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jc w:val="center"/>
      </w:pPr>
      <w:r>
        <w:rPr>
          <w:rFonts w:ascii="Aptos" w:cs="Aptos" w:eastAsia="Aptos" w:hAnsi="Aptos"/>
          <w:b/>
          <w:bCs/>
          <w:color w:val="00A1DE"/>
          <w:sz w:val="20"/>
          <w:szCs w:val="20"/>
        </w:rPr>
        <w:t xml:space="preserve">RWANDA MINES, PETROLEUM AND GAS BOARD</w:t>
      </w:r>
    </w:p>
    <w:p>
      <w:pPr>
        <w:spacing w:after="40" w:before="0" w:line="380"/>
        <w:jc w:val="center"/>
      </w:pPr>
      <w:r>
        <w:rPr>
          <w:rFonts w:ascii="Georgia" w:cs="Georgia" w:eastAsia="Georgia" w:hAnsi="Georgia"/>
          <w:b/>
          <w:bCs/>
          <w:color w:val="0B2A3D"/>
          <w:sz w:val="30"/>
          <w:szCs w:val="30"/>
        </w:rPr>
        <w:t xml:space="preserve">Board of Directors meeting of 1 September 2026</w:t>
      </w:r>
    </w:p>
    <w:p>
      <w:pPr>
        <w:spacing w:after="60" w:before="0" w:line="320"/>
        <w:jc w:val="center"/>
      </w:pPr>
      <w:r>
        <w:rPr>
          <w:rFonts w:ascii="Georgia" w:cs="Georgia" w:eastAsia="Georgia" w:hAnsi="Georgia"/>
          <w:b/>
          <w:bCs/>
          <w:color w:val="0B2A3D"/>
          <w:sz w:val="22"/>
          <w:szCs w:val="22"/>
        </w:rPr>
        <w:t xml:space="preserve">Objectives and action plan, condensed version</w:t>
      </w:r>
    </w:p>
    <w:p>
      <w:pPr>
        <w:spacing w:after="160" w:before="0" w:line="240"/>
        <w:jc w:val="center"/>
      </w:pPr>
      <w:r>
        <w:rPr>
          <w:rFonts w:ascii="Aptos" w:cs="Aptos" w:eastAsia="Aptos" w:hAnsi="Aptos"/>
          <w:i/>
          <w:iCs/>
          <w:color w:val="6B7A87"/>
          <w:sz w:val="16"/>
          <w:szCs w:val="16"/>
        </w:rPr>
        <w:t xml:space="preserve">Jean Jacques, mineral market intelligence expert. 5 September 2026. Horizon 1 September 2026 to 31 May 2027. A detailed version and an online version exist: https://jeanjacques-mutabaruka.github.io/rmb-bod-request-2026-09-01/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FAD201"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What this plan commits to</w:t>
            </w:r>
          </w:p>
          <w:p>
            <w:pPr>
              <w:spacing w:after="80" w:before="0" w:line="240"/>
              <w:jc w:val="both"/>
            </w:pPr>
            <w:r>
              <w:rPr>
                <w:rFonts w:ascii="Aptos" w:cs="Aptos" w:eastAsia="Aptos" w:hAnsi="Aptos"/>
                <w:color w:val="1A1A1A"/>
                <w:sz w:val="19"/>
                <w:szCs w:val="19"/>
              </w:rPr>
              <w:t xml:space="preserve">Six requirements came out of the meeting. Four of them depend on the same missing capability: RMB does not today see, systematically and in time, what is happening inside the companies it regulates. That capability is therefore built first, and the rest is sequenced around it. Seven deliverables, including three working demonstrations built without budget, are ready for the Board meeting of early December 2026.</w:t>
            </w:r>
          </w:p>
          <w:p>
            <w:pPr>
              <w:spacing w:after="0" w:before="0" w:line="240"/>
              <w:jc w:val="both"/>
            </w:pPr>
            <w:r>
              <w:rPr>
                <w:rFonts w:ascii="Aptos" w:cs="Aptos" w:eastAsia="Aptos" w:hAnsi="Aptos"/>
                <w:color w:val="1A1A1A"/>
                <w:sz w:val="19"/>
                <w:szCs w:val="19"/>
              </w:rPr>
              <w:t xml:space="preserve">Dates carry a day count in brackets. D+0 is 1 September 2026, so D+90 means ninety days from that date.</w:t>
            </w:r>
          </w:p>
        </w:tc>
      </w:tr>
    </w:tbl>
    <w:p>
      <w:pPr>
        <w:spacing w:after="14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The Board's six requirements, and the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
        <w:gridCol w:w="2500"/>
        <w:gridCol w:w="7286"/>
      </w:tblGrid>
      <w:tr>
        <w:trPr>
          <w:tblHeader/>
        </w:trPr>
        <w:tc>
          <w:tcPr>
            <w:tcW w:type="dxa" w:w="4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N°</w:t>
            </w:r>
          </w:p>
        </w:tc>
        <w:tc>
          <w:tcPr>
            <w:tcW w:type="dxa" w:w="2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Requirement</w:t>
            </w:r>
          </w:p>
        </w:tc>
        <w:tc>
          <w:tcPr>
            <w:tcW w:type="dxa" w:w="728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Response</w:t>
            </w:r>
          </w:p>
        </w:tc>
      </w:tr>
      <w:tr>
        <w:tc>
          <w:tcPr>
            <w:tcW w:type="dxa" w:w="4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1</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Controlling what is happening in companies</w:t>
            </w:r>
          </w:p>
          <w:p>
            <w:pPr>
              <w:shd w:fill="1A5C38" w:color="auto" w:val="clear"/>
              <w:spacing w:after="60" w:before="0" w:line="240"/>
              <w:jc w:val="center"/>
            </w:pPr>
            <w:r>
              <w:rPr>
                <w:rFonts w:ascii="Aptos" w:cs="Aptos" w:eastAsia="Aptos" w:hAnsi="Aptos"/>
                <w:color w:val="FFFFFF"/>
                <w:sz w:val="13"/>
                <w:szCs w:val="13"/>
              </w:rPr>
              <w:t xml:space="preserve">WS1</w:t>
            </w:r>
          </w:p>
        </w:tc>
        <w:tc>
          <w:tcPr>
            <w:tcW w:type="dxa" w:w="72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WS1 delivers the same objective, more completely, through consistent enforcement of the reporting obligations the law already allows, applied uniformly to every licensee. A demonstration platform where companies upload their financial data and receive automated analysis is live by 31 October 2026, before any decision on a permanent system is asked of the Board. An options paper sets shareholding, reporting and a hybrid side by side for the Board to arbitrate.</w:t>
            </w:r>
          </w:p>
        </w:tc>
      </w:tr>
      <w:tr>
        <w:tc>
          <w:tcPr>
            <w:tcW w:type="dxa" w:w="4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2</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Cleaning fake and dormant licences</w:t>
            </w:r>
          </w:p>
          <w:p>
            <w:pPr>
              <w:shd w:fill="B8860B" w:color="auto" w:val="clear"/>
              <w:spacing w:after="60" w:before="0" w:line="240"/>
              <w:jc w:val="center"/>
            </w:pPr>
            <w:r>
              <w:rPr>
                <w:rFonts w:ascii="Aptos" w:cs="Aptos" w:eastAsia="Aptos" w:hAnsi="Aptos"/>
                <w:color w:val="FFFFFF"/>
                <w:sz w:val="13"/>
                <w:szCs w:val="13"/>
              </w:rPr>
              <w:t xml:space="preserve">WS2</w:t>
            </w:r>
          </w:p>
        </w:tc>
        <w:tc>
          <w:tcPr>
            <w:tcW w:type="dxa" w:w="72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WS2 starts with mineral trading companies only, so the first cycle is completed rather than started everywhere. Objective activity and dormancy criteria, then a full mapping of trading licensees by activity level, cash-flow movement and reporting compliance, delivered by 30 November 2026. A due-process warning cycle follows, with revocation decided by the CEO on the recommendation of the competent RMB organ, and permanent monitoring thereafter.</w:t>
            </w:r>
          </w:p>
        </w:tc>
      </w:tr>
      <w:tr>
        <w:tc>
          <w:tcPr>
            <w:tcW w:type="dxa" w:w="4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3</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A more complete and realistic estimate of losses to the Rwandan economy</w:t>
            </w:r>
          </w:p>
          <w:p>
            <w:pPr>
              <w:shd w:fill="C00000" w:color="auto" w:val="clear"/>
              <w:spacing w:after="60" w:before="0" w:line="240"/>
              <w:jc w:val="center"/>
            </w:pPr>
            <w:r>
              <w:rPr>
                <w:rFonts w:ascii="Aptos" w:cs="Aptos" w:eastAsia="Aptos" w:hAnsi="Aptos"/>
                <w:color w:val="FFFFFF"/>
                <w:sz w:val="13"/>
                <w:szCs w:val="13"/>
              </w:rPr>
              <w:t xml:space="preserve">WS3</w:t>
            </w:r>
          </w:p>
        </w:tc>
        <w:tc>
          <w:tcPr>
            <w:tcW w:type="dxa" w:w="72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WS3 corrects this by quantifying all four loss categories, not prefinancing interest alone, and ranking them so the largest and most addressable component is visible rather than buried in a single combined figure. It also models the reverse question the Board raised: what the sector could gain by taking control of its own financing, rather than only measuring what has been lost. A working model and a first defensible range, ready by 15 November 2026 (D+75), ahead of the December Board meeting.</w:t>
            </w:r>
          </w:p>
        </w:tc>
      </w:tr>
      <w:tr>
        <w:tc>
          <w:tcPr>
            <w:tcW w:type="dxa" w:w="4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4</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Efficient and adapted financing mechanisms and framework</w:t>
            </w:r>
          </w:p>
          <w:p>
            <w:pPr>
              <w:shd w:fill="1B6CA8" w:color="auto" w:val="clear"/>
              <w:spacing w:after="60" w:before="0" w:line="240"/>
              <w:jc w:val="center"/>
            </w:pPr>
            <w:r>
              <w:rPr>
                <w:rFonts w:ascii="Aptos" w:cs="Aptos" w:eastAsia="Aptos" w:hAnsi="Aptos"/>
                <w:color w:val="FFFFFF"/>
                <w:sz w:val="13"/>
                <w:szCs w:val="13"/>
              </w:rPr>
              <w:t xml:space="preserve">WS4</w:t>
            </w:r>
          </w:p>
        </w:tc>
        <w:tc>
          <w:tcPr>
            <w:tcW w:type="dxa" w:w="72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WS4 works on the principle that financing follows de-risking. Map, explain and model the sector's risks, both financial risks and non-financial risks with a financial impact, and build a demonstration model that prices them, by 30 November 2026. That model is what is put in front of banks, insurers and BNR to mobilise them around financing the sector rather than avoiding it.</w:t>
            </w:r>
          </w:p>
        </w:tc>
      </w:tr>
      <w:tr>
        <w:tc>
          <w:tcPr>
            <w:tcW w:type="dxa" w:w="4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5</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Price predictability for processing-plant investors</w:t>
            </w:r>
          </w:p>
          <w:p>
            <w:pPr>
              <w:shd w:fill="5B2C6F" w:color="auto" w:val="clear"/>
              <w:spacing w:after="60" w:before="0" w:line="240"/>
              <w:jc w:val="center"/>
            </w:pPr>
            <w:r>
              <w:rPr>
                <w:rFonts w:ascii="Aptos" w:cs="Aptos" w:eastAsia="Aptos" w:hAnsi="Aptos"/>
                <w:color w:val="FFFFFF"/>
                <w:sz w:val="13"/>
                <w:szCs w:val="13"/>
              </w:rPr>
              <w:t xml:space="preserve">WS5</w:t>
            </w:r>
          </w:p>
        </w:tc>
        <w:tc>
          <w:tcPr>
            <w:tcW w:type="dxa" w:w="72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WS5 maps and monitors prices and costs across the whole value chain, then separates what Rwanda can control directly (regulation, published deductions, contract minimum content) from what it can only influence indirectly (offtake contracts, index-linked formulas, hedging). A monitoring dashboard and the first quarterly outlook follow by 31 May 2027.</w:t>
            </w:r>
          </w:p>
        </w:tc>
      </w:tr>
      <w:tr>
        <w:tc>
          <w:tcPr>
            <w:tcW w:type="dxa" w:w="4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7"/>
                <w:szCs w:val="17"/>
              </w:rPr>
              <w:t xml:space="preserve">6</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7"/>
                <w:szCs w:val="17"/>
              </w:rPr>
              <w:t xml:space="preserve">Clear action plan with deadlines and responsibilities</w:t>
            </w:r>
          </w:p>
          <w:p>
            <w:pPr>
              <w:shd w:fill="6B7B6F" w:color="auto" w:val="clear"/>
              <w:spacing w:after="60" w:before="0" w:line="240"/>
              <w:jc w:val="center"/>
            </w:pPr>
            <w:r>
              <w:rPr>
                <w:rFonts w:ascii="Aptos" w:cs="Aptos" w:eastAsia="Aptos" w:hAnsi="Aptos"/>
                <w:color w:val="FFFFFF"/>
                <w:sz w:val="13"/>
                <w:szCs w:val="13"/>
              </w:rPr>
              <w:t xml:space="preserve">WS6</w:t>
            </w:r>
          </w:p>
        </w:tc>
        <w:tc>
          <w:tcPr>
            <w:tcW w:type="dxa" w:w="72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This document. WS6 and WS7 give every activity a named owner, a deliverable, a start date and a due date; a dual reporting line to RMB Senior Management and to the informal Board finance committee chaired by Mr. Dorian Cyubahiro; a defined decision workflow with service levels; and a progress pack ready for the Board meeting of early December 2026.</w:t>
            </w:r>
          </w:p>
        </w:tc>
      </w:tr>
    </w:tbl>
    <w:p>
      <w:pPr>
        <w:spacing w:after="60" w:before="0"/>
      </w:pPr>
    </w:p>
    <w:p>
      <w:pPr>
        <w:spacing w:after="120" w:before="0" w:line="240"/>
        <w:jc w:val="both"/>
      </w:pPr>
      <w:r>
        <w:rPr>
          <w:rFonts w:ascii="Aptos" w:cs="Aptos" w:eastAsia="Aptos" w:hAnsi="Aptos"/>
          <w:b/>
          <w:bCs/>
          <w:color w:val="1A1A1A"/>
          <w:sz w:val="17"/>
          <w:szCs w:val="17"/>
        </w:rPr>
        <w:t xml:space="preserve">Note on requirement 1.  </w:t>
      </w:r>
      <w:r>
        <w:rPr>
          <w:rFonts w:ascii="Aptos" w:cs="Aptos" w:eastAsia="Aptos" w:hAnsi="Aptos"/>
          <w:color w:val="1A1A1A"/>
          <w:sz w:val="17"/>
          <w:szCs w:val="17"/>
        </w:rPr>
        <w:t xml:space="preserve">The Chair proposed State shareholding as the route to company information. This plan proposes reaching the same result, more completely and with equal treatment of every operator, through reporting obligations the law already allows, consistently enforced. Rather than take a position, an options paper compares shareholding, reporting and a hybrid on explicit criteria and leaves the arbitration to the Board (activity A1.3, 15 November 2026, D+75).</w:t>
      </w:r>
    </w:p>
    <w:p>
      <w:pPr>
        <w:spacing w:after="60" w:before="0"/>
      </w:pPr>
    </w:p>
    <w:p>
      <w:pPr>
        <w:spacing w:after="120" w:before="0" w:line="240"/>
        <w:jc w:val="both"/>
      </w:pPr>
      <w:r>
        <w:rPr>
          <w:rFonts w:ascii="Aptos" w:cs="Aptos" w:eastAsia="Aptos" w:hAnsi="Aptos"/>
          <w:b/>
          <w:bCs/>
          <w:color w:val="1A1A1A"/>
          <w:sz w:val="17"/>
          <w:szCs w:val="17"/>
        </w:rPr>
        <w:t xml:space="preserve">Note on requirement 3.  </w:t>
      </w:r>
      <w:r>
        <w:rPr>
          <w:rFonts w:ascii="Aptos" w:cs="Aptos" w:eastAsia="Aptos" w:hAnsi="Aptos"/>
          <w:color w:val="1A1A1A"/>
          <w:sz w:val="17"/>
          <w:szCs w:val="17"/>
        </w:rPr>
        <w:t xml:space="preserve">The Board noted that the loss figures already presented were understated, since the estimate in circulation covered prefinancing interest alone. WS3 corrects this by quantifying all four categories the Board named, ranked by size, and adds the reverse question the Board raised: what the sector could gain by controlling its own financing.</w:t>
      </w:r>
    </w:p>
    <w:p>
      <w:pPr>
        <w:spacing w:after="16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2586"/>
      </w:tblGrid>
      <w:tr>
        <w:trPr>
          <w:tblHeader/>
        </w:trPr>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Ref.</w:t>
            </w:r>
          </w:p>
        </w:tc>
        <w:tc>
          <w:tcPr>
            <w:tcW w:type="dxa" w:w="7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Objective</w:t>
            </w:r>
          </w:p>
        </w:tc>
        <w:tc>
          <w:tcPr>
            <w:tcW w:type="dxa" w:w="258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Due</w:t>
            </w:r>
          </w:p>
        </w:tc>
      </w:tr>
      <w:tr>
        <w:tc>
          <w:tcPr>
            <w:tcW w:type="dxa" w:w="6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SO1</w:t>
            </w:r>
          </w:p>
          <w:p>
            <w:pPr>
              <w:shd w:fill="1A5C38" w:color="auto" w:val="clear"/>
              <w:spacing w:after="60" w:before="0" w:line="240"/>
              <w:jc w:val="center"/>
            </w:pPr>
            <w:r>
              <w:rPr>
                <w:rFonts w:ascii="Aptos" w:cs="Aptos" w:eastAsia="Aptos" w:hAnsi="Aptos"/>
                <w:color w:val="FFFFFF"/>
                <w:sz w:val="13"/>
                <w:szCs w:val="13"/>
              </w:rPr>
              <w:t xml:space="preserve">WS1</w:t>
            </w:r>
          </w:p>
        </w:tc>
        <w:tc>
          <w:tcPr>
            <w:tcW w:type="dxa" w:w="7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Give RMB complete, timely and verifiable visibility over every licensed operator, obtained through reporting obligations enforced uniformly on all companies rather than through case-by-case arrangements or shareholdings.</w:t>
            </w:r>
          </w:p>
        </w:tc>
        <w:tc>
          <w:tcPr>
            <w:tcW w:type="dxa" w:w="25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Mar 2027 (D+211)</w:t>
            </w:r>
          </w:p>
        </w:tc>
      </w:tr>
      <w:tr>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SO2</w:t>
            </w:r>
          </w:p>
          <w:p>
            <w:pPr>
              <w:shd w:fill="B8860B" w:color="auto" w:val="clear"/>
              <w:spacing w:after="60" w:before="0" w:line="240"/>
              <w:jc w:val="center"/>
            </w:pPr>
            <w:r>
              <w:rPr>
                <w:rFonts w:ascii="Aptos" w:cs="Aptos" w:eastAsia="Aptos" w:hAnsi="Aptos"/>
                <w:color w:val="FFFFFF"/>
                <w:sz w:val="13"/>
                <w:szCs w:val="13"/>
              </w:rPr>
              <w:t xml:space="preserve">WS2</w:t>
            </w:r>
          </w:p>
        </w:tc>
        <w:tc>
          <w:tcPr>
            <w:tcW w:type="dxa" w:w="7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Make the mineral trading licence register reflect reality on a continuous basis, so that inactive, fictitious or non-compliant titles are identified and resolved as a matter of routine rather than in periodic campaigns.</w:t>
            </w:r>
          </w:p>
        </w:tc>
        <w:tc>
          <w:tcPr>
            <w:tcW w:type="dxa" w:w="25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May 2027 (D+272)</w:t>
            </w:r>
          </w:p>
        </w:tc>
      </w:tr>
      <w:tr>
        <w:tc>
          <w:tcPr>
            <w:tcW w:type="dxa" w:w="6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SO3</w:t>
            </w:r>
          </w:p>
          <w:p>
            <w:pPr>
              <w:shd w:fill="C00000" w:color="auto" w:val="clear"/>
              <w:spacing w:after="60" w:before="0" w:line="240"/>
              <w:jc w:val="center"/>
            </w:pPr>
            <w:r>
              <w:rPr>
                <w:rFonts w:ascii="Aptos" w:cs="Aptos" w:eastAsia="Aptos" w:hAnsi="Aptos"/>
                <w:color w:val="FFFFFF"/>
                <w:sz w:val="13"/>
                <w:szCs w:val="13"/>
              </w:rPr>
              <w:t xml:space="preserve">WS3</w:t>
            </w:r>
          </w:p>
        </w:tc>
        <w:tc>
          <w:tcPr>
            <w:tcW w:type="dxa" w:w="7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Correct the previously understated estimate of what the Rwandan economy has lost in mineral trading transactions by quantifying all four loss categories rather than prefinancing interest alone, and build the sector's first indicative picture of how much of its profit is being reinvested locally rather than exiting the sector, so RMB can act on evidence rather than on tax receipts alone.</w:t>
            </w:r>
          </w:p>
        </w:tc>
        <w:tc>
          <w:tcPr>
            <w:tcW w:type="dxa" w:w="25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30 Nov 2026 (D+90)</w:t>
            </w:r>
          </w:p>
        </w:tc>
      </w:tr>
      <w:tr>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SO4</w:t>
            </w:r>
          </w:p>
          <w:p>
            <w:pPr>
              <w:shd w:fill="1B6CA8" w:color="auto" w:val="clear"/>
              <w:spacing w:after="60" w:before="0" w:line="240"/>
              <w:jc w:val="center"/>
            </w:pPr>
            <w:r>
              <w:rPr>
                <w:rFonts w:ascii="Aptos" w:cs="Aptos" w:eastAsia="Aptos" w:hAnsi="Aptos"/>
                <w:color w:val="FFFFFF"/>
                <w:sz w:val="13"/>
                <w:szCs w:val="13"/>
              </w:rPr>
              <w:t xml:space="preserve">WS4</w:t>
            </w:r>
          </w:p>
        </w:tc>
        <w:tc>
          <w:tcPr>
            <w:tcW w:type="dxa" w:w="7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Reduce the sector's real and perceived risk to the point where financing becomes commercially viable, and put a costed, sector-adapted financing mechanism in front of the Board and MINECOFIN.</w:t>
            </w:r>
          </w:p>
        </w:tc>
        <w:tc>
          <w:tcPr>
            <w:tcW w:type="dxa" w:w="25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May 2027 (D+272)</w:t>
            </w:r>
          </w:p>
        </w:tc>
      </w:tr>
      <w:tr>
        <w:tc>
          <w:tcPr>
            <w:tcW w:type="dxa" w:w="62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SO5</w:t>
            </w:r>
          </w:p>
          <w:p>
            <w:pPr>
              <w:shd w:fill="5B2C6F" w:color="auto" w:val="clear"/>
              <w:spacing w:after="60" w:before="0" w:line="240"/>
              <w:jc w:val="center"/>
            </w:pPr>
            <w:r>
              <w:rPr>
                <w:rFonts w:ascii="Aptos" w:cs="Aptos" w:eastAsia="Aptos" w:hAnsi="Aptos"/>
                <w:color w:val="FFFFFF"/>
                <w:sz w:val="13"/>
                <w:szCs w:val="13"/>
              </w:rPr>
              <w:t xml:space="preserve">WS5</w:t>
            </w:r>
          </w:p>
        </w:tc>
        <w:tc>
          <w:tcPr>
            <w:tcW w:type="dxa" w:w="7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Give investors in processing capacity a defensible forward view of prices and costs, without pretending to fix a volatile market, by making explicit which components Rwanda controls, which it can only influence, and through which instruments.</w:t>
            </w:r>
          </w:p>
        </w:tc>
        <w:tc>
          <w:tcPr>
            <w:tcW w:type="dxa" w:w="25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May 2027 (D+272)</w:t>
            </w:r>
          </w:p>
        </w:tc>
      </w:tr>
      <w:tr>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center"/>
            </w:pPr>
            <w:r>
              <w:rPr>
                <w:rFonts w:ascii="Aptos" w:cs="Aptos" w:eastAsia="Aptos" w:hAnsi="Aptos"/>
                <w:b/>
                <w:bCs/>
                <w:color w:val="0B2A3D"/>
                <w:sz w:val="17"/>
                <w:szCs w:val="17"/>
              </w:rPr>
              <w:t xml:space="preserve">SO6</w:t>
            </w:r>
          </w:p>
          <w:p>
            <w:pPr>
              <w:shd w:fill="6B7B6F" w:color="auto" w:val="clear"/>
              <w:spacing w:after="60" w:before="0" w:line="240"/>
              <w:jc w:val="center"/>
            </w:pPr>
            <w:r>
              <w:rPr>
                <w:rFonts w:ascii="Aptos" w:cs="Aptos" w:eastAsia="Aptos" w:hAnsi="Aptos"/>
                <w:color w:val="FFFFFF"/>
                <w:sz w:val="13"/>
                <w:szCs w:val="13"/>
              </w:rPr>
              <w:t xml:space="preserve">WS6</w:t>
            </w:r>
          </w:p>
        </w:tc>
        <w:tc>
          <w:tcPr>
            <w:tcW w:type="dxa" w:w="7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Ensure that every action carries a named owner, a deadline and a reporting channel, and that the Board sees tangible results at its December 2026 meeting rather than a progress narrative.</w:t>
            </w:r>
          </w:p>
        </w:tc>
        <w:tc>
          <w:tcPr>
            <w:tcW w:type="dxa" w:w="258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Dec 2026 (D+121)</w:t>
            </w:r>
          </w:p>
        </w:tc>
      </w:tr>
    </w:tbl>
    <w:p>
      <w:pPr>
        <w:spacing w:after="18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What the Board sees in December 2026</w:t>
      </w:r>
    </w:p>
    <w:p>
      <w:pPr>
        <w:spacing w:after="120" w:before="0" w:line="240"/>
        <w:jc w:val="both"/>
      </w:pPr>
      <w:r>
        <w:rPr>
          <w:rFonts w:ascii="Aptos" w:cs="Aptos" w:eastAsia="Aptos" w:hAnsi="Aptos"/>
          <w:color w:val="1A1A1A"/>
          <w:sz w:val="17"/>
          <w:szCs w:val="17"/>
        </w:rPr>
        <w:t xml:space="preserve">Tangible results, not a progress narrative. Each of these is designed to need no budget: they are demonstrations, built on tools and data already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5806"/>
        <w:gridCol w:w="1700"/>
      </w:tblGrid>
      <w:tr>
        <w:trPr>
          <w:tblHeader/>
        </w:trPr>
        <w:tc>
          <w:tcPr>
            <w:tcW w:type="dxa" w:w="2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Deliverable</w:t>
            </w:r>
          </w:p>
        </w:tc>
        <w:tc>
          <w:tcPr>
            <w:tcW w:type="dxa" w:w="58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it is</w:t>
            </w:r>
          </w:p>
        </w:tc>
        <w:tc>
          <w:tcPr>
            <w:tcW w:type="dxa" w:w="1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Ready by</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Demonstration reporting and analysis platform</w:t>
            </w:r>
          </w:p>
          <w:p>
            <w:pPr>
              <w:spacing w:after="60" w:before="0" w:line="240"/>
              <w:jc w:val="left"/>
            </w:pPr>
            <w:r>
              <w:rPr>
                <w:rFonts w:ascii="Aptos" w:cs="Aptos" w:eastAsia="Aptos" w:hAnsi="Aptos"/>
                <w:i/>
                <w:iCs/>
                <w:color w:val="6B7A87"/>
                <w:sz w:val="14"/>
                <w:szCs w:val="14"/>
              </w:rPr>
              <w:t xml:space="preserve">A1.2</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A working tool where a company uploads its financial data, as Excel or CSV templates or as PDF and text files, and receives automated checks, analysis and feedback within minutes. Built in Streamlit, holding no data once the session ends, and reusing the algorithms already written for the financial file formats Rwandan companies actually use.</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Oct 2026 (D+60)</w:t>
            </w:r>
          </w:p>
        </w:tc>
      </w:tr>
      <w:tr>
        <w:tc>
          <w:tcPr>
            <w:tcW w:type="dxa" w:w="2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Portable AI prompt and skill library</w:t>
            </w:r>
          </w:p>
          <w:p>
            <w:pPr>
              <w:spacing w:after="60" w:before="0" w:line="240"/>
              <w:jc w:val="left"/>
            </w:pPr>
            <w:r>
              <w:rPr>
                <w:rFonts w:ascii="Aptos" w:cs="Aptos" w:eastAsia="Aptos" w:hAnsi="Aptos"/>
                <w:i/>
                <w:iCs/>
                <w:color w:val="6B7A87"/>
                <w:sz w:val="14"/>
                <w:szCs w:val="14"/>
              </w:rPr>
              <w:t xml:space="preserve">A7.1</w:t>
            </w:r>
          </w:p>
        </w:tc>
        <w:tc>
          <w:tcPr>
            <w:tcW w:type="dxa" w:w="58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Downloadable prompt and skill files that let any company, using any AI assistant, convert a report that is not already in spreadsheet form into a clean Excel or CSV file the platform can read. This is what makes the demonstration usable by companies whose records are not digital today.</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31 Oct 2026 (D+60)</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Options paper on access to company information</w:t>
            </w:r>
          </w:p>
          <w:p>
            <w:pPr>
              <w:spacing w:after="60" w:before="0" w:line="240"/>
              <w:jc w:val="left"/>
            </w:pPr>
            <w:r>
              <w:rPr>
                <w:rFonts w:ascii="Aptos" w:cs="Aptos" w:eastAsia="Aptos" w:hAnsi="Aptos"/>
                <w:i/>
                <w:iCs/>
                <w:color w:val="6B7A87"/>
                <w:sz w:val="14"/>
                <w:szCs w:val="14"/>
              </w:rPr>
              <w:t xml:space="preserve">A1.3</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Shareholding, regulatory reporting and a hybrid compared against explicit criteria, with a recommendation and the reasoning exposed, so the Board can arbitrate the Chair's proposal on evidence rather than on preference.</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15 Nov 2026 (D+75)</w:t>
            </w:r>
          </w:p>
        </w:tc>
      </w:tr>
      <w:tr>
        <w:tc>
          <w:tcPr>
            <w:tcW w:type="dxa" w:w="2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Loss and gain model: a corrected, complete estimate</w:t>
            </w:r>
          </w:p>
          <w:p>
            <w:pPr>
              <w:spacing w:after="60" w:before="0" w:line="240"/>
              <w:jc w:val="left"/>
            </w:pPr>
            <w:r>
              <w:rPr>
                <w:rFonts w:ascii="Aptos" w:cs="Aptos" w:eastAsia="Aptos" w:hAnsi="Aptos"/>
                <w:i/>
                <w:iCs/>
                <w:color w:val="6B7A87"/>
                <w:sz w:val="14"/>
                <w:szCs w:val="14"/>
              </w:rPr>
              <w:t xml:space="preserve">A3.2, A3.4</w:t>
            </w:r>
          </w:p>
        </w:tc>
        <w:tc>
          <w:tcPr>
            <w:tcW w:type="dxa" w:w="58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A working model, in the same Streamlit style as the other demonstrations, that corrects the earlier estimate presented to the Board, which covered prefinancing interest alone. It computes losses across all four categories the Board named, payability, unexplained penalties, unpriced by-product content, and prefinancing interest, ranked so the largest and most addressable component is visible, and models the reverse case: what the sector could gain from local control of its financing. Populated with real contracts, invoices and assay reports over the historical period, with assumptions flagged wherever data is incomplete, and presented as a range rather than a single false-precision number.</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15 Nov 2026 (D+75)</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Indicative profit-and-reinvestment estimate</w:t>
            </w:r>
          </w:p>
          <w:p>
            <w:pPr>
              <w:spacing w:after="60" w:before="0" w:line="240"/>
              <w:jc w:val="left"/>
            </w:pPr>
            <w:r>
              <w:rPr>
                <w:rFonts w:ascii="Aptos" w:cs="Aptos" w:eastAsia="Aptos" w:hAnsi="Aptos"/>
                <w:i/>
                <w:iCs/>
                <w:color w:val="6B7A87"/>
                <w:sz w:val="14"/>
                <w:szCs w:val="14"/>
              </w:rPr>
              <w:t xml:space="preserve">A3.6, A3.7</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An additional, RMB-initiated analysis, not raised by the Board, added because it changes how the loss and gain figures should be read. Mineral prices have risen sharply since 2024, and RMB's own visibility into the sector's finances stops at tax collected, which captures only a small share of the value passing through it. This analysis gives a first, clearly labelled indicative picture of how much of that price increase appears reinvested in the sector, new or upgraded processing capacity, equipment, employment, and how much cannot be traced. It also sets out the reporting fields that would make this visible on an ongoing basis rather than reconstructed after the fact.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30 Nov 2026 (D+90)</w:t>
            </w:r>
          </w:p>
        </w:tc>
      </w:tr>
      <w:tr>
        <w:tc>
          <w:tcPr>
            <w:tcW w:type="dxa" w:w="2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Risk map and risk-pricing model</w:t>
            </w:r>
          </w:p>
          <w:p>
            <w:pPr>
              <w:spacing w:after="60" w:before="0" w:line="240"/>
              <w:jc w:val="left"/>
            </w:pPr>
            <w:r>
              <w:rPr>
                <w:rFonts w:ascii="Aptos" w:cs="Aptos" w:eastAsia="Aptos" w:hAnsi="Aptos"/>
                <w:i/>
                <w:iCs/>
                <w:color w:val="6B7A87"/>
                <w:sz w:val="14"/>
                <w:szCs w:val="14"/>
              </w:rPr>
              <w:t xml:space="preserve">A4.1, A4.2</w:t>
            </w:r>
          </w:p>
        </w:tc>
        <w:tc>
          <w:tcPr>
            <w:tcW w:type="dxa" w:w="58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The sector's risks mapped, explained and modelled, covering financial risks and non-financial risks that carry a financial impact, with a demonstration model that prices them. Built to be run live with banks, insurers and BNR as the basis of a conversation about financing the sector rather than avoiding it.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30 Nov 2026 (D+90)</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6" w:before="60" w:line="240"/>
              <w:jc w:val="left"/>
            </w:pPr>
            <w:r>
              <w:rPr>
                <w:rFonts w:ascii="Aptos" w:cs="Aptos" w:eastAsia="Aptos" w:hAnsi="Aptos"/>
                <w:b/>
                <w:bCs/>
                <w:color w:val="0B2A3D"/>
                <w:sz w:val="17"/>
                <w:szCs w:val="17"/>
              </w:rPr>
              <w:t xml:space="preserve">Mapping of mineral trading companies</w:t>
            </w:r>
          </w:p>
          <w:p>
            <w:pPr>
              <w:spacing w:after="60" w:before="0" w:line="240"/>
              <w:jc w:val="left"/>
            </w:pPr>
            <w:r>
              <w:rPr>
                <w:rFonts w:ascii="Aptos" w:cs="Aptos" w:eastAsia="Aptos" w:hAnsi="Aptos"/>
                <w:i/>
                <w:iCs/>
                <w:color w:val="6B7A87"/>
                <w:sz w:val="14"/>
                <w:szCs w:val="14"/>
              </w:rPr>
              <w:t xml:space="preserve">A2.2</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Every licensed mineral trading company classified by activity level, by cash-flow movement (cash in against cash out) and by compliance with mandatory reporting, so that dormant and near-dormant holders are identified and reminded of their obligations before any revocation is considered.</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30 Nov 2026 (D+90)</w:t>
            </w:r>
          </w:p>
        </w:tc>
      </w:tr>
    </w:tbl>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FAD201"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7"/>
                <w:szCs w:val="17"/>
              </w:rPr>
              <w:t xml:space="preserve">What a demonstration is, and what it is not</w:t>
            </w:r>
          </w:p>
          <w:p>
            <w:pPr>
              <w:spacing w:after="0" w:before="0" w:line="240"/>
              <w:jc w:val="both"/>
            </w:pPr>
            <w:r>
              <w:rPr>
                <w:rFonts w:ascii="Aptos" w:cs="Aptos" w:eastAsia="Aptos" w:hAnsi="Aptos"/>
                <w:color w:val="1A1A1A"/>
                <w:sz w:val="17"/>
                <w:szCs w:val="17"/>
              </w:rPr>
              <w:t xml:space="preserve">These tools prove the approach works and that the data can be collected and analysed. They are not production systems: they retain no data after a session, carry no hosting commitment, and cannot yet serve every licensee at once. The decision paper on a permanent platform, with its cost, is tabled in the same session, so the Board decides having seen the temporary one work.</w:t>
            </w:r>
          </w:p>
        </w:tc>
      </w:tr>
    </w:tbl>
    <w:p>
      <w:pPr>
        <w:spacing w:after="60" w:before="0"/>
      </w:pPr>
    </w:p>
    <w:p>
      <w:pPr>
        <w:spacing w:after="120" w:before="0" w:line="240"/>
        <w:jc w:val="both"/>
      </w:pPr>
      <w:r>
        <w:rPr>
          <w:rFonts w:ascii="Aptos" w:cs="Aptos" w:eastAsia="Aptos" w:hAnsi="Aptos"/>
          <w:b/>
          <w:bCs/>
          <w:color w:val="1A1A1A"/>
          <w:sz w:val="17"/>
          <w:szCs w:val="17"/>
        </w:rPr>
        <w:t xml:space="preserve">One of these was not raised by the Board.  </w:t>
      </w:r>
      <w:r>
        <w:rPr>
          <w:rFonts w:ascii="Aptos" w:cs="Aptos" w:eastAsia="Aptos" w:hAnsi="Aptos"/>
          <w:color w:val="1A1A1A"/>
          <w:sz w:val="17"/>
          <w:szCs w:val="17"/>
        </w:rPr>
        <w:t xml:space="preserve">The indicative profit-and-reinvestment estimate is an RMB-initiated addition, included because RMB's visibility into the sector's finances stops at tax collected (around five per cent of value in the best case), and because prices have risen sharply since 2024 without a visible matching increase in local processing capacity.</w:t>
      </w:r>
    </w:p>
    <w:p>
      <w:pPr>
        <w:spacing w:after="18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Schedule</w:t>
      </w:r>
    </w:p>
    <w:p>
      <w:pPr>
        <w:spacing w:after="120" w:before="0" w:line="240"/>
        <w:jc w:val="both"/>
      </w:pPr>
      <w:r>
        <w:rPr>
          <w:rFonts w:ascii="Aptos" w:cs="Aptos" w:eastAsia="Aptos" w:hAnsi="Aptos"/>
          <w:color w:val="1A1A1A"/>
          <w:sz w:val="17"/>
          <w:szCs w:val="17"/>
        </w:rPr>
        <w:t xml:space="preserve">Workstreams in priority order, each with its own start and end. The December 2026 column is the Board meeting at which the first results are shown.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6"/>
        <w:gridCol w:w="1400"/>
        <w:gridCol w:w="1400"/>
        <w:gridCol w:w="620"/>
        <w:gridCol w:w="620"/>
        <w:gridCol w:w="620"/>
        <w:gridCol w:w="620"/>
        <w:gridCol w:w="620"/>
        <w:gridCol w:w="620"/>
        <w:gridCol w:w="620"/>
        <w:gridCol w:w="620"/>
        <w:gridCol w:w="620"/>
      </w:tblGrid>
      <w:tr>
        <w:trPr>
          <w:tblHeader/>
        </w:trPr>
        <w:tc>
          <w:tcPr>
            <w:tcW w:type="dxa" w:w="182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Workstream</w:t>
            </w:r>
          </w:p>
        </w:tc>
        <w:tc>
          <w:tcPr>
            <w:tcW w:type="dxa" w:w="1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Starts</w:t>
            </w:r>
          </w:p>
        </w:tc>
        <w:tc>
          <w:tcPr>
            <w:tcW w:type="dxa" w:w="1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Ends</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Sep</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Oct</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Nov</w:t>
            </w:r>
          </w:p>
        </w:tc>
        <w:tc>
          <w:tcPr>
            <w:tcW w:type="dxa" w:w="620"/>
            <w:tcBorders>
              <w:top w:val="single" w:color="C7D2DA" w:sz="2"/>
              <w:left w:val="single" w:color="C7D2DA" w:sz="2"/>
              <w:bottom w:val="single" w:color="C7D2DA" w:sz="2"/>
              <w:right w:val="single" w:color="C7D2DA" w:sz="2"/>
            </w:tcBorders>
            <w:shd w:fill="FAD201"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3"/>
                <w:szCs w:val="13"/>
              </w:rPr>
              <w:t xml:space="preserve">Dec</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Jan</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Feb</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Mar</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Apr</w:t>
            </w:r>
          </w:p>
        </w:tc>
        <w:tc>
          <w:tcPr>
            <w:tcW w:type="dxa" w:w="6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3"/>
                <w:szCs w:val="13"/>
              </w:rPr>
              <w:t xml:space="preserve">May</w:t>
            </w:r>
          </w:p>
        </w:tc>
      </w:tr>
      <w:tr>
        <w:tc>
          <w:tcPr>
            <w:tcW w:type="dxa" w:w="182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WS1, Company oversight through enforced reporting</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08 Sep 2026</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WS2, Licence portfolio clean-up (mineral trading companies)</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22 Sep 2026</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WS3, Quantification of losses and profit reinvestment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08 Sep 2026</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w:t>
            </w:r>
          </w:p>
        </w:tc>
        <w:tc>
          <w:tcPr>
            <w:tcW w:type="dxa" w:w="620"/>
            <w:tcBorders>
              <w:top w:val="single" w:color="C7D2DA" w:sz="2"/>
              <w:left w:val="single" w:color="C7D2DA" w:sz="2"/>
              <w:bottom w:val="single" w:color="C7D2DA" w:sz="2"/>
              <w:right w:val="single" w:color="C7D2DA" w:sz="2"/>
            </w:tcBorders>
            <w:shd w:fill="C00000"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C00000"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C00000"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WS4, Sector de-risking and financing framework</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01 Oct 2026</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WS5, Prices predictability for processing-plant investors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01 Nov 2026</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WS6, Programme mobilisation and governance</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05 Sep 2026</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w:t>
            </w:r>
          </w:p>
        </w:tc>
        <w:tc>
          <w:tcPr>
            <w:tcW w:type="dxa" w:w="62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182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b/>
                <w:bCs/>
                <w:color w:val="0B2A3D"/>
                <w:sz w:val="15"/>
                <w:szCs w:val="15"/>
              </w:rPr>
              <w:t xml:space="preserve">WS7, Decision-making ecosystem, automation and AI (cross-cutting)</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15 Sep 2026</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62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bl>
    <w:p>
      <w:pPr>
        <w:spacing w:after="18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Action plan</w:t>
      </w:r>
    </w:p>
    <w:p>
      <w:pPr>
        <w:spacing w:after="120" w:before="0" w:line="240"/>
        <w:jc w:val="both"/>
      </w:pPr>
      <w:r>
        <w:rPr>
          <w:rFonts w:ascii="Aptos" w:cs="Aptos" w:eastAsia="Aptos" w:hAnsi="Aptos"/>
          <w:color w:val="1A1A1A"/>
          <w:sz w:val="17"/>
          <w:szCs w:val="17"/>
        </w:rPr>
        <w:t xml:space="preserve">Every activity, its owner, its dates and its duration. Sub-activities, deliverables, supporting parties, dependencies and a fuller explanation of each activity are in the detailed and online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0"/>
        <w:gridCol w:w="4166"/>
        <w:gridCol w:w="2200"/>
        <w:gridCol w:w="1700"/>
        <w:gridCol w:w="1500"/>
      </w:tblGrid>
      <w:tr>
        <w:trPr>
          <w:tblHeader/>
        </w:trPr>
        <w:tc>
          <w:tcPr>
            <w:tcW w:type="dxa" w:w="64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Ref.</w:t>
            </w:r>
          </w:p>
        </w:tc>
        <w:tc>
          <w:tcPr>
            <w:tcW w:type="dxa" w:w="416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Activity</w:t>
            </w:r>
          </w:p>
        </w:tc>
        <w:tc>
          <w:tcPr>
            <w:tcW w:type="dxa" w:w="22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Lead</w:t>
            </w:r>
          </w:p>
        </w:tc>
        <w:tc>
          <w:tcPr>
            <w:tcW w:type="dxa" w:w="1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Due date</w:t>
            </w:r>
          </w:p>
        </w:tc>
        <w:tc>
          <w:tcPr>
            <w:tcW w:type="dxa" w:w="1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Duration</w:t>
            </w:r>
          </w:p>
        </w:tc>
      </w:tr>
      <w:tr>
        <w:tc>
          <w:tcPr>
            <w:tcW w:type="dxa" w:w="10206"/>
            <w:gridSpan w:val="5"/>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WS1, Company oversight through enforced reporting  (08 Sep 2026 to 31 May 2027)</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stocktake of existing reporting obligations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40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Demonstration reporting and analysis platform</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54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Options paper on access to company information</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Nov 2026, Board in Dec 2026</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32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Reporting framework by licensee category</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Dec 2026 (D+105)</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45 days (~1 month)</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Automated validation and analysis layer</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First release 30 Nov 2026, full 31 Mar 2027</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182 days (~6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A1.6</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instrument making the reporting framework binding</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Legal (P), with the 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Draft 31 Jan 2027, submitted 31 Mar 2027</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106 days (~3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A1.7</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Decision paper on a permanent reporting platform</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CEO</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Paper Dec 2026, specification 31 May 2027</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182 days (~6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A1.8</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Capacity building for RMB officers and reporting entities</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(D+272)</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148 days (~5 months)</w:t>
            </w:r>
          </w:p>
        </w:tc>
      </w:tr>
      <w:tr>
        <w:tc>
          <w:tcPr>
            <w:tcW w:type="dxa" w:w="10206"/>
            <w:gridSpan w:val="5"/>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WS2, Licence portfolio clean-up (mineral trading companies)  (22 Sep 2026 to 31 May 2027)</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Activity and dormancy criteria for mineral trading licences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Cadastre and digital information division (P), with the 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40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Mapping of mineral trading companies</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cadastre and digital information division</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(D+90)</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47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review of grounds and due process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Legal (P)</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Dec 2026 (D+105)</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45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Warning cycle before any closure proposal</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Cadastre and digital information division (P)</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Apr 2027 (D+241)</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117 days (~4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Revocation dossiers recommended to the CEO</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Competent RMB organ, recommending to the CEO</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(D+272)</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61 days (~2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A2.6</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Continuous licence-health monitoring</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Cadastre and digital information division (P)</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then permanent</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31 days (~1 month)</w:t>
            </w:r>
          </w:p>
        </w:tc>
      </w:tr>
      <w:tr>
        <w:tc>
          <w:tcPr>
            <w:tcW w:type="dxa" w:w="10206"/>
            <w:gridSpan w:val="5"/>
            <w:tcBorders>
              <w:top w:val="single" w:color="C7D2DA" w:sz="2"/>
              <w:left w:val="single" w:color="C7D2DA" w:sz="2"/>
              <w:bottom w:val="single" w:color="C7D2DA" w:sz="2"/>
              <w:right w:val="single" w:color="C7D2DA" w:sz="2"/>
            </w:tcBorders>
            <w:shd w:fill="C00000"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WS3, Quantification of losses and profit reinvestment  (08 Sep 2026 to 30 Nov 2026)</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Definition of the loss taxonomy, historical period and data sources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Oct 2026 (D+44)</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38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Demonstration loss-and-gain model</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54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Historical data population and computation</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07 Nov 2026 (D+67)</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23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Validation and sensitivity check</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Nov 2026 (D+75)</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8 days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Explanatory note and Board presentation</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Nov 2026 (D+75)</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8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A3.6</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Scope and data requirements for profit and reinvestment tracking</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15 Nov 2026 (D+75)</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46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A3.7</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Indicative profit-and-reinvestment estimate, 2024 to date</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(D+90)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46 days (~2 months)</w:t>
            </w:r>
          </w:p>
        </w:tc>
      </w:tr>
      <w:tr>
        <w:tc>
          <w:tcPr>
            <w:tcW w:type="dxa" w:w="10206"/>
            <w:gridSpan w:val="5"/>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WS4, Sector de-risking and financing framework  (01 Oct 2026 to 31 May 2027)</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Mapping, explanation and modelling of risks in the value chain</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(D+90)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61 days (~2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Demonstration risk-pricing model</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(D+90)</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47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Engagement with financial institutions around the model</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CEO's office</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Mar 2027 (D+211)</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121 days (~4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Mitigation and monitoring strategy with key risk indicators</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Mar 2027 (D+211)</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87 days (~3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Financing options study</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Apr 2027 (D+241)</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89 days (~3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A4.6</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Concept note and roadmap for the retained financing mechanism</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CEO</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(D+272)</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31 days (~1 month)</w:t>
            </w:r>
          </w:p>
        </w:tc>
      </w:tr>
      <w:tr>
        <w:tc>
          <w:tcPr>
            <w:tcW w:type="dxa" w:w="10206"/>
            <w:gridSpan w:val="5"/>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WS5, Prices predictability for processing-plant investors  (01 Nov 2026 to 31 May 2027)</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Value-chain price and cost mapping for cassiterite, coltan and wolframite</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Dec 2026 (D+121)</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61 days (~2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Classification of components into controllable and non-controllable</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Jan 2027 (D+152)</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28 days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Design of direct price-influencing instruments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28 Feb 2027 (D+180)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28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Feasibility assessment of indirect instruments</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Mar 2027 (D+211)</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59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Proposal to Senior Management and to the Board committee</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Apr 2027 (D+241)</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30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A5.6</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Price and cost monitoring dashboard</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(D+272)</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92 days (~3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A5.7</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First quarterly price and cost outlook for investors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May 2027, then quarterly</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31 days (~1 month)</w:t>
            </w:r>
          </w:p>
        </w:tc>
      </w:tr>
      <w:tr>
        <w:tc>
          <w:tcPr>
            <w:tcW w:type="dxa" w:w="10206"/>
            <w:gridSpan w:val="5"/>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WS6, Programme mobilisation and governance  (05 Sep 2026 to 30 Nov 2026)</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Review and validation of this action plan</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19 Sep 2026 (D+18)</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15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Internal delivery team and named focal points</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Chief Executive Officer (P)</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Sep 2026 (D+29)</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23 days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Programme dashboard, reporting calendar and repository</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31 days (~1 month)</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Progress pack for the December 2026 Board meeting</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CEO</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(D+90)</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30 days</w:t>
            </w:r>
          </w:p>
        </w:tc>
      </w:tr>
      <w:tr>
        <w:tc>
          <w:tcPr>
            <w:tcW w:type="dxa" w:w="10206"/>
            <w:gridSpan w:val="5"/>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6"/>
                <w:szCs w:val="16"/>
              </w:rPr>
              <w:t xml:space="preserve">WS7, Decision-making ecosystem, automation and AI (cross-cutting)  (15 Sep 2026 to 31 May 2027)</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A7.1</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Portable AI prompt and skill library for file conversion and analysis</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Oct 2026 (D+60)</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47 days (~2 months)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A7.2</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Data governance, confidentiality and audit-trail policy</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Legal (P)</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Note 31 Oct 2026, policy 31 Dec 2026</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108 days (~4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A7.3</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Standard analytical products and publication calendar</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30 Nov 2026, then continuous</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30 days</w:t>
            </w:r>
          </w:p>
        </w:tc>
      </w:tr>
      <w:tr>
        <w:tc>
          <w:tcPr>
            <w:tcW w:type="dxa" w:w="64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A7.4</w:t>
            </w:r>
          </w:p>
        </w:tc>
        <w:tc>
          <w:tcPr>
            <w:tcW w:type="dxa" w:w="416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Information-flow map and target decision workflow</w:t>
            </w:r>
          </w:p>
        </w:tc>
        <w:tc>
          <w:tcPr>
            <w:tcW w:type="dxa" w:w="22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31 Dec 2026 (D+121)</w:t>
            </w:r>
          </w:p>
        </w:tc>
        <w:tc>
          <w:tcPr>
            <w:tcW w:type="dxa" w:w="1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61 days (~2 months)</w:t>
            </w:r>
          </w:p>
        </w:tc>
      </w:tr>
      <w:tr>
        <w:tc>
          <w:tcPr>
            <w:tcW w:type="dxa" w:w="64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A7.5</w:t>
            </w:r>
          </w:p>
        </w:tc>
        <w:tc>
          <w:tcPr>
            <w:tcW w:type="dxa" w:w="416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Automation and artificial-intelligence roadmap</w:t>
            </w:r>
          </w:p>
        </w:tc>
        <w:tc>
          <w:tcPr>
            <w:tcW w:type="dxa" w:w="2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4"/>
                <w:szCs w:val="14"/>
              </w:rPr>
              <w:t xml:space="preserve">Mineral market intelligence expert, with the head of IT team</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Roadmap 31 Jan 2027, releases to 31 May 2027</w:t>
            </w:r>
          </w:p>
        </w:tc>
        <w:tc>
          <w:tcPr>
            <w:tcW w:type="dxa" w:w="1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4"/>
                <w:szCs w:val="14"/>
              </w:rPr>
              <w:t xml:space="preserve">148 days (~5 months)</w:t>
            </w:r>
          </w:p>
        </w:tc>
      </w:tr>
    </w:tbl>
    <w:p>
      <w:pPr>
        <w:spacing w:after="18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Responsibilities and reporting</w:t>
      </w:r>
    </w:p>
    <w:p>
      <w:pPr>
        <w:spacing w:after="120" w:before="0" w:line="240"/>
        <w:jc w:val="both"/>
      </w:pPr>
      <w:r>
        <w:rPr>
          <w:rFonts w:ascii="Aptos" w:cs="Aptos" w:eastAsia="Aptos" w:hAnsi="Aptos"/>
          <w:color w:val="1A1A1A"/>
          <w:sz w:val="17"/>
          <w:szCs w:val="17"/>
        </w:rPr>
        <w:t xml:space="preserve">The mineral market intelligence expert reports on two lines at once, and the same written products serve both.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606"/>
      </w:tblGrid>
      <w:tr>
        <w:tc>
          <w:tcPr>
            <w:tcW w:type="dxa" w:w="26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FFFFFF"/>
                <w:sz w:val="16"/>
                <w:szCs w:val="16"/>
              </w:rPr>
              <w:t xml:space="preserve">RMB Senior Management</w:t>
            </w:r>
          </w:p>
        </w:tc>
        <w:tc>
          <w:tcPr>
            <w:tcW w:type="dxa" w:w="76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The CEO, the CGO, the heads of department and the division managers, plus any officer whose responsibilities in the sector make notification necessary. Carries operational direction, resources and technical arbitration.</w:t>
            </w:r>
          </w:p>
        </w:tc>
      </w:tr>
      <w:tr>
        <w:tc>
          <w:tcPr>
            <w:tcW w:type="dxa" w:w="26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FFFFFF"/>
                <w:sz w:val="16"/>
                <w:szCs w:val="16"/>
              </w:rPr>
              <w:t xml:space="preserve">Board finance committee</w:t>
            </w:r>
          </w:p>
        </w:tc>
        <w:tc>
          <w:tcPr>
            <w:tcW w:type="dxa" w:w="76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Informal committee chaired by Mr. Dorian Cyubahiro, Advisor to the Minister of Finance and member of the Board. No formal constitution required. Carries strategic direction, validation of proposed mechanisms before implementation, and financing matters.</w:t>
            </w:r>
          </w:p>
        </w:tc>
      </w:tr>
    </w:tbl>
    <w:p>
      <w:pPr>
        <w:spacing w:after="60" w:before="0"/>
      </w:pPr>
    </w:p>
    <w:p>
      <w:pPr>
        <w:spacing w:after="120" w:before="0" w:line="240"/>
        <w:jc w:val="both"/>
      </w:pPr>
      <w:r>
        <w:rPr>
          <w:rFonts w:ascii="Aptos" w:cs="Aptos" w:eastAsia="Aptos" w:hAnsi="Aptos"/>
          <w:b/>
          <w:bCs/>
          <w:color w:val="1A1A1A"/>
          <w:sz w:val="17"/>
          <w:szCs w:val="17"/>
        </w:rPr>
        <w:t xml:space="preserve">Sequencing.  </w:t>
      </w:r>
      <w:r>
        <w:rPr>
          <w:rFonts w:ascii="Aptos" w:cs="Aptos" w:eastAsia="Aptos" w:hAnsi="Aptos"/>
          <w:color w:val="1A1A1A"/>
          <w:sz w:val="17"/>
          <w:szCs w:val="17"/>
        </w:rPr>
        <w:t xml:space="preserve">A proposal goes to Senior Management first and to the committee second, so the committee receives a technically reviewed document with a management position attached. The exception is an alert, which reaches the CEO and the committee chair simultaneously within 48 hours. Licence revocation is decided by the CEO on the recommendation of the competent RMB organ.</w:t>
      </w:r>
    </w:p>
    <w:p>
      <w:pPr>
        <w:spacing w:after="140" w:before="0"/>
      </w:pPr>
    </w:p>
    <w:p>
      <w:pPr>
        <w:pStyle w:val="Heading2"/>
        <w:spacing w:after="100" w:before="240"/>
      </w:pPr>
      <w:r>
        <w:rPr>
          <w:rFonts w:ascii="Georgia" w:cs="Georgia" w:eastAsia="Georgia" w:hAnsi="Georgia"/>
          <w:b/>
          <w:bCs/>
          <w:color w:val="0B2A3D"/>
          <w:sz w:val="23"/>
          <w:szCs w:val="23"/>
        </w:rPr>
        <w:t xml:space="preserve">Reporting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206"/>
      </w:tblGrid>
      <w:tr>
        <w:trPr>
          <w:tblHeader/>
        </w:trPr>
        <w:tc>
          <w:tcPr>
            <w:tcW w:type="dxa" w:w="2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Report</w:t>
            </w:r>
          </w:p>
        </w:tc>
        <w:tc>
          <w:tcPr>
            <w:tcW w:type="dxa" w:w="56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To</w:t>
            </w:r>
          </w:p>
        </w:tc>
        <w:tc>
          <w:tcPr>
            <w:tcW w:type="dxa" w:w="22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Frequency</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Weekly progress log</w:t>
            </w:r>
          </w:p>
        </w:tc>
        <w:tc>
          <w:tcPr>
            <w:tcW w:type="dxa" w:w="5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to the head of department and the delivery team</w:t>
            </w:r>
          </w:p>
        </w:tc>
        <w:tc>
          <w:tcPr>
            <w:tcW w:type="dxa" w:w="2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Weekly, every Monday</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Monthly progress report</w:t>
            </w:r>
          </w:p>
        </w:tc>
        <w:tc>
          <w:tcPr>
            <w:tcW w:type="dxa" w:w="5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to the CEO, the CGO, the heads of department and the division managers</w:t>
            </w:r>
          </w:p>
        </w:tc>
        <w:tc>
          <w:tcPr>
            <w:tcW w:type="dxa" w:w="2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Monthly, first working Monday</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Monthly sector dashboard</w:t>
            </w:r>
          </w:p>
        </w:tc>
        <w:tc>
          <w:tcPr>
            <w:tcW w:type="dxa" w:w="5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to Senior Management, extract to the Board committee</w:t>
            </w:r>
          </w:p>
        </w:tc>
        <w:tc>
          <w:tcPr>
            <w:tcW w:type="dxa" w:w="2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Monthly, by the 10th</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Quarterly report to the Board committee</w:t>
            </w:r>
          </w:p>
        </w:tc>
        <w:tc>
          <w:tcPr>
            <w:tcW w:type="dxa" w:w="5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through the CEO, to the informal Board finance committee</w:t>
            </w:r>
          </w:p>
        </w:tc>
        <w:tc>
          <w:tcPr>
            <w:tcW w:type="dxa" w:w="2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Quarterly, within 15 days of quarter end</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Report to the full Board</w:t>
            </w:r>
          </w:p>
        </w:tc>
        <w:tc>
          <w:tcPr>
            <w:tcW w:type="dxa" w:w="5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CEO and committee chair to the Board of Directors</w:t>
            </w:r>
          </w:p>
        </w:tc>
        <w:tc>
          <w:tcPr>
            <w:tcW w:type="dxa" w:w="2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At each ordinary Board meeting, next in early December 2026</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5"/>
                <w:szCs w:val="15"/>
              </w:rPr>
              <w:t xml:space="preserve">Exception alert</w:t>
            </w:r>
          </w:p>
        </w:tc>
        <w:tc>
          <w:tcPr>
            <w:tcW w:type="dxa" w:w="5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to the CEO and the committee chair simultaneously</w:t>
            </w:r>
          </w:p>
        </w:tc>
        <w:tc>
          <w:tcPr>
            <w:tcW w:type="dxa" w:w="2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Within 48 hours of detection</w:t>
            </w:r>
          </w:p>
        </w:tc>
      </w:tr>
    </w:tbl>
    <w:p>
      <w:pPr>
        <w:spacing w:after="140" w:before="0"/>
      </w:pPr>
    </w:p>
    <w:p>
      <w:pPr>
        <w:pStyle w:val="Heading2"/>
        <w:spacing w:after="100" w:before="240"/>
      </w:pPr>
      <w:r>
        <w:rPr>
          <w:rFonts w:ascii="Georgia" w:cs="Georgia" w:eastAsia="Georgia" w:hAnsi="Georgia"/>
          <w:b/>
          <w:bCs/>
          <w:color w:val="0B2A3D"/>
          <w:sz w:val="23"/>
          <w:szCs w:val="23"/>
        </w:rPr>
        <w:t xml:space="preserve">From data to decision</w:t>
      </w:r>
    </w:p>
    <w:p>
      <w:pPr>
        <w:spacing w:after="60" w:before="0" w:line="240"/>
        <w:jc w:val="both"/>
      </w:pPr>
      <w:r>
        <w:rPr>
          <w:rFonts w:ascii="Aptos" w:cs="Aptos" w:eastAsia="Aptos" w:hAnsi="Aptos"/>
          <w:b/>
          <w:bCs/>
          <w:color w:val="20603D"/>
          <w:sz w:val="17"/>
          <w:szCs w:val="17"/>
        </w:rPr>
        <w:t xml:space="preserve">1. Capture (per the framework's deadlines)   &gt;   </w:t>
      </w:r>
      <w:r>
        <w:rPr>
          <w:rFonts w:ascii="Aptos" w:cs="Aptos" w:eastAsia="Aptos" w:hAnsi="Aptos"/>
          <w:b/>
          <w:bCs/>
          <w:color w:val="0B2A3D"/>
          <w:sz w:val="17"/>
          <w:szCs w:val="17"/>
        </w:rPr>
        <w:t xml:space="preserve">2. Automated validation (immediate)   &gt;   </w:t>
      </w:r>
      <w:r>
        <w:rPr>
          <w:rFonts w:ascii="Aptos" w:cs="Aptos" w:eastAsia="Aptos" w:hAnsi="Aptos"/>
          <w:b/>
          <w:bCs/>
          <w:color w:val="20603D"/>
          <w:sz w:val="17"/>
          <w:szCs w:val="17"/>
        </w:rPr>
        <w:t xml:space="preserve">3. Analysis (5 working days)   &gt;   </w:t>
      </w:r>
      <w:r>
        <w:rPr>
          <w:rFonts w:ascii="Aptos" w:cs="Aptos" w:eastAsia="Aptos" w:hAnsi="Aptos"/>
          <w:b/>
          <w:bCs/>
          <w:color w:val="0B2A3D"/>
          <w:sz w:val="17"/>
          <w:szCs w:val="17"/>
        </w:rPr>
        <w:t xml:space="preserve">4. Recommendation (5 working days)   &gt;   </w:t>
      </w:r>
      <w:r>
        <w:rPr>
          <w:rFonts w:ascii="Aptos" w:cs="Aptos" w:eastAsia="Aptos" w:hAnsi="Aptos"/>
          <w:b/>
          <w:bCs/>
          <w:color w:val="20603D"/>
          <w:sz w:val="17"/>
          <w:szCs w:val="17"/>
        </w:rPr>
        <w:t xml:space="preserve">5. Decision (next scheduled meeting, or 10 working days if urgent)   &gt;   </w:t>
      </w:r>
      <w:r>
        <w:rPr>
          <w:rFonts w:ascii="Aptos" w:cs="Aptos" w:eastAsia="Aptos" w:hAnsi="Aptos"/>
          <w:b/>
          <w:bCs/>
          <w:color w:val="0B2A3D"/>
          <w:sz w:val="17"/>
          <w:szCs w:val="17"/>
        </w:rPr>
        <w:t xml:space="preserve">6. Execution (as set in the decision)   &gt;   </w:t>
      </w:r>
      <w:r>
        <w:rPr>
          <w:rFonts w:ascii="Aptos" w:cs="Aptos" w:eastAsia="Aptos" w:hAnsi="Aptos"/>
          <w:b/>
          <w:bCs/>
          <w:color w:val="20603D"/>
          <w:sz w:val="17"/>
          <w:szCs w:val="17"/>
        </w:rPr>
        <w:t xml:space="preserve">7. Feedback (at the next reporting cycle)</w:t>
      </w:r>
    </w:p>
    <w:p>
      <w:pPr>
        <w:spacing w:after="120" w:before="0" w:line="240"/>
        <w:jc w:val="both"/>
      </w:pPr>
      <w:r>
        <w:rPr>
          <w:rFonts w:ascii="Aptos" w:cs="Aptos" w:eastAsia="Aptos" w:hAnsi="Aptos"/>
          <w:color w:val="1A1A1A"/>
          <w:sz w:val="17"/>
          <w:szCs w:val="17"/>
        </w:rPr>
        <w:t xml:space="preserve">Every finding leaves the analysis stage as a written recommendation with options, expected effect and the authority competent to decide. Nothing is circulated without a proposed course of action, and the loop closes by measuring whether the decision had the intended effect.</w:t>
      </w:r>
    </w:p>
    <w:p>
      <w:pPr>
        <w:spacing w:after="160" w:before="0"/>
      </w:pPr>
    </w:p>
    <w:p>
      <w:pPr>
        <w:pStyle w:val="Heading2"/>
        <w:spacing w:after="100" w:before="240"/>
      </w:pPr>
      <w:r>
        <w:rPr>
          <w:rFonts w:ascii="Georgia" w:cs="Georgia" w:eastAsia="Georgia" w:hAnsi="Georgia"/>
          <w:b/>
          <w:bCs/>
          <w:color w:val="0B2A3D"/>
          <w:sz w:val="23"/>
          <w:szCs w:val="23"/>
        </w:rPr>
        <w:t xml:space="preserve">Abbreviations</w:t>
      </w:r>
    </w:p>
    <w:p>
      <w:pPr>
        <w:spacing w:after="0" w:before="0" w:line="240"/>
        <w:jc w:val="both"/>
      </w:pPr>
      <w:r>
        <w:rPr>
          <w:rFonts w:ascii="Aptos" w:cs="Aptos" w:eastAsia="Aptos" w:hAnsi="Aptos"/>
          <w:color w:val="6B7A87"/>
          <w:sz w:val="15"/>
          <w:szCs w:val="15"/>
        </w:rPr>
        <w:t xml:space="preserve">RMB Rwanda Mines;  </w:t>
      </w:r>
      <w:r>
        <w:rPr>
          <w:rFonts w:ascii="Aptos" w:cs="Aptos" w:eastAsia="Aptos" w:hAnsi="Aptos"/>
          <w:color w:val="6B7A87"/>
          <w:sz w:val="15"/>
          <w:szCs w:val="15"/>
        </w:rPr>
        <w:t xml:space="preserve">CEO Chief Executive Officer of RMB;  </w:t>
      </w:r>
      <w:r>
        <w:rPr>
          <w:rFonts w:ascii="Aptos" w:cs="Aptos" w:eastAsia="Aptos" w:hAnsi="Aptos"/>
          <w:color w:val="6B7A87"/>
          <w:sz w:val="15"/>
          <w:szCs w:val="15"/>
        </w:rPr>
        <w:t xml:space="preserve">CGO Chief Geo-Hazard Officer of RMB;  </w:t>
      </w:r>
      <w:r>
        <w:rPr>
          <w:rFonts w:ascii="Aptos" w:cs="Aptos" w:eastAsia="Aptos" w:hAnsi="Aptos"/>
          <w:color w:val="6B7A87"/>
          <w:sz w:val="15"/>
          <w:szCs w:val="15"/>
        </w:rPr>
        <w:t xml:space="preserve">SPIU Single Project Implementation Unit;  </w:t>
      </w:r>
      <w:r>
        <w:rPr>
          <w:rFonts w:ascii="Aptos" w:cs="Aptos" w:eastAsia="Aptos" w:hAnsi="Aptos"/>
          <w:color w:val="6B7A87"/>
          <w:sz w:val="15"/>
          <w:szCs w:val="15"/>
        </w:rPr>
        <w:t xml:space="preserve">WS1 Workstream 1;  </w:t>
      </w:r>
      <w:r>
        <w:rPr>
          <w:rFonts w:ascii="Aptos" w:cs="Aptos" w:eastAsia="Aptos" w:hAnsi="Aptos"/>
          <w:color w:val="6B7A87"/>
          <w:sz w:val="15"/>
          <w:szCs w:val="15"/>
        </w:rPr>
        <w:t xml:space="preserve">WS2 Workstream 2;  </w:t>
      </w:r>
      <w:r>
        <w:rPr>
          <w:rFonts w:ascii="Aptos" w:cs="Aptos" w:eastAsia="Aptos" w:hAnsi="Aptos"/>
          <w:color w:val="6B7A87"/>
          <w:sz w:val="15"/>
          <w:szCs w:val="15"/>
        </w:rPr>
        <w:t xml:space="preserve">WS3 Workstream 3;  </w:t>
      </w:r>
      <w:r>
        <w:rPr>
          <w:rFonts w:ascii="Aptos" w:cs="Aptos" w:eastAsia="Aptos" w:hAnsi="Aptos"/>
          <w:color w:val="6B7A87"/>
          <w:sz w:val="15"/>
          <w:szCs w:val="15"/>
        </w:rPr>
        <w:t xml:space="preserve">WS4 Workstream 4;  </w:t>
      </w:r>
      <w:r>
        <w:rPr>
          <w:rFonts w:ascii="Aptos" w:cs="Aptos" w:eastAsia="Aptos" w:hAnsi="Aptos"/>
          <w:color w:val="6B7A87"/>
          <w:sz w:val="15"/>
          <w:szCs w:val="15"/>
        </w:rPr>
        <w:t xml:space="preserve">WS5 Workstream 5;  </w:t>
      </w:r>
      <w:r>
        <w:rPr>
          <w:rFonts w:ascii="Aptos" w:cs="Aptos" w:eastAsia="Aptos" w:hAnsi="Aptos"/>
          <w:color w:val="6B7A87"/>
          <w:sz w:val="15"/>
          <w:szCs w:val="15"/>
        </w:rPr>
        <w:t xml:space="preserve">WS6 Workstream 6;  </w:t>
      </w:r>
      <w:r>
        <w:rPr>
          <w:rFonts w:ascii="Aptos" w:cs="Aptos" w:eastAsia="Aptos" w:hAnsi="Aptos"/>
          <w:color w:val="6B7A87"/>
          <w:sz w:val="15"/>
          <w:szCs w:val="15"/>
        </w:rPr>
        <w:t xml:space="preserve">WS7 Workstream 7;  </w:t>
      </w:r>
      <w:r>
        <w:rPr>
          <w:rFonts w:ascii="Aptos" w:cs="Aptos" w:eastAsia="Aptos" w:hAnsi="Aptos"/>
          <w:color w:val="6B7A87"/>
          <w:sz w:val="15"/>
          <w:szCs w:val="15"/>
        </w:rPr>
        <w:t xml:space="preserve">SO1 Specific objective 1;  </w:t>
      </w:r>
      <w:r>
        <w:rPr>
          <w:rFonts w:ascii="Aptos" w:cs="Aptos" w:eastAsia="Aptos" w:hAnsi="Aptos"/>
          <w:color w:val="6B7A87"/>
          <w:sz w:val="15"/>
          <w:szCs w:val="15"/>
        </w:rPr>
        <w:t xml:space="preserve">SO2 Specific objective 2;  </w:t>
      </w:r>
      <w:r>
        <w:rPr>
          <w:rFonts w:ascii="Aptos" w:cs="Aptos" w:eastAsia="Aptos" w:hAnsi="Aptos"/>
          <w:color w:val="6B7A87"/>
          <w:sz w:val="15"/>
          <w:szCs w:val="15"/>
        </w:rPr>
        <w:t xml:space="preserve">SO3 Specific objective 3;  </w:t>
      </w:r>
      <w:r>
        <w:rPr>
          <w:rFonts w:ascii="Aptos" w:cs="Aptos" w:eastAsia="Aptos" w:hAnsi="Aptos"/>
          <w:color w:val="6B7A87"/>
          <w:sz w:val="15"/>
          <w:szCs w:val="15"/>
        </w:rPr>
        <w:t xml:space="preserve">SO4 Specific objective 4;  </w:t>
      </w:r>
      <w:r>
        <w:rPr>
          <w:rFonts w:ascii="Aptos" w:cs="Aptos" w:eastAsia="Aptos" w:hAnsi="Aptos"/>
          <w:color w:val="6B7A87"/>
          <w:sz w:val="15"/>
          <w:szCs w:val="15"/>
        </w:rPr>
        <w:t xml:space="preserve">SO5 Specific objective 5;  </w:t>
      </w:r>
      <w:r>
        <w:rPr>
          <w:rFonts w:ascii="Aptos" w:cs="Aptos" w:eastAsia="Aptos" w:hAnsi="Aptos"/>
          <w:color w:val="6B7A87"/>
          <w:sz w:val="15"/>
          <w:szCs w:val="15"/>
        </w:rPr>
        <w:t xml:space="preserve">SO6 Specific objective 6;  </w:t>
      </w:r>
      <w:r>
        <w:rPr>
          <w:rFonts w:ascii="Aptos" w:cs="Aptos" w:eastAsia="Aptos" w:hAnsi="Aptos"/>
          <w:color w:val="6B7A87"/>
          <w:sz w:val="15"/>
          <w:szCs w:val="15"/>
        </w:rPr>
        <w:t xml:space="preserve">TC Treatment charge;  </w:t>
      </w:r>
      <w:r>
        <w:rPr>
          <w:rFonts w:ascii="Aptos" w:cs="Aptos" w:eastAsia="Aptos" w:hAnsi="Aptos"/>
          <w:color w:val="6B7A87"/>
          <w:sz w:val="15"/>
          <w:szCs w:val="15"/>
        </w:rPr>
        <w:t xml:space="preserve">RRA Rwanda Revenue Authority;  </w:t>
      </w:r>
      <w:r>
        <w:rPr>
          <w:rFonts w:ascii="Aptos" w:cs="Aptos" w:eastAsia="Aptos" w:hAnsi="Aptos"/>
          <w:color w:val="6B7A87"/>
          <w:sz w:val="15"/>
          <w:szCs w:val="15"/>
        </w:rPr>
        <w:t xml:space="preserve">BNR National Bank of Rwanda;  </w:t>
      </w:r>
      <w:r>
        <w:rPr>
          <w:rFonts w:ascii="Aptos" w:cs="Aptos" w:eastAsia="Aptos" w:hAnsi="Aptos"/>
          <w:color w:val="6B7A87"/>
          <w:sz w:val="15"/>
          <w:szCs w:val="15"/>
        </w:rPr>
        <w:t xml:space="preserve">MINECOFIN Ministry of Finance and Economic Planning;  </w:t>
      </w:r>
      <w:r>
        <w:rPr>
          <w:rFonts w:ascii="Aptos" w:cs="Aptos" w:eastAsia="Aptos" w:hAnsi="Aptos"/>
          <w:color w:val="6B7A87"/>
          <w:sz w:val="15"/>
          <w:szCs w:val="15"/>
        </w:rPr>
        <w:t xml:space="preserve">DFI Development finance institution;  </w:t>
      </w:r>
      <w:r>
        <w:rPr>
          <w:rFonts w:ascii="Aptos" w:cs="Aptos" w:eastAsia="Aptos" w:hAnsi="Aptos"/>
          <w:color w:val="6B7A87"/>
          <w:sz w:val="15"/>
          <w:szCs w:val="15"/>
        </w:rPr>
        <w:t xml:space="preserve">CSV Comma-separated values;  </w:t>
      </w:r>
      <w:r>
        <w:rPr>
          <w:rFonts w:ascii="Aptos" w:cs="Aptos" w:eastAsia="Aptos" w:hAnsi="Aptos"/>
          <w:color w:val="6B7A87"/>
          <w:sz w:val="15"/>
          <w:szCs w:val="15"/>
        </w:rPr>
        <w:t xml:space="preserve">AI Artificial intelligence;  </w:t>
      </w:r>
      <w:r>
        <w:rPr>
          <w:rFonts w:ascii="Aptos" w:cs="Aptos" w:eastAsia="Aptos" w:hAnsi="Aptos"/>
          <w:color w:val="6B7A87"/>
          <w:sz w:val="15"/>
          <w:szCs w:val="15"/>
        </w:rPr>
        <w:t xml:space="preserve">D+n Number of days counted from 1 September 2026</w:t>
      </w:r>
    </w:p>
    <w:p>
      <w:pPr>
        <w:spacing w:after="160" w:before="0"/>
      </w:pPr>
    </w:p>
    <w:p>
      <w:pPr>
        <w:spacing w:after="0" w:before="0" w:line="240"/>
        <w:jc w:val="center"/>
      </w:pPr>
      <w:r>
        <w:rPr>
          <w:rFonts w:ascii="Aptos" w:cs="Aptos" w:eastAsia="Aptos" w:hAnsi="Aptos"/>
          <w:i/>
          <w:iCs/>
          <w:color w:val="6B7A87"/>
          <w:sz w:val="15"/>
          <w:szCs w:val="15"/>
        </w:rPr>
        <w:t xml:space="preserve">Prepared by Jean Jacques, mineral market intelligence expert, RMB, 5 September 2026. Draft for review. Responsibilities marked (P) in the detailed version are proposals requiring confirmation.</w:t>
      </w:r>
    </w:p>
    <w:sectPr>
      <w:footerReference w:type="default" r:id="rId7"/>
      <w:pgSz w:w="11906" w:h="16838" w:orient="portrait"/>
      <w:pgMar w:top="850" w:right="850" w:bottom="850" w:left="850"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A" w:sz="4" w:space="6"/>
      </w:pBdr>
      <w:jc w:val="center"/>
    </w:pPr>
    <w:r>
      <w:rPr>
        <w:color w:val="6B7A87"/>
        <w:sz w:val="14"/>
        <w:szCs w:val="14"/>
      </w:rPr>
      <w:t xml:space="preserve">RMB, Board of Directors of 1 September 2026: objectives and action plan (condensed), v3, 5 September 2026 · Page </w:t>
    </w:r>
    <w:r>
      <w:rPr>
        <w:color w:val="6B7A87"/>
        <w:sz w:val="14"/>
        <w:szCs w:val="14"/>
      </w:rPr>
      <w:fldChar w:fldCharType="begin"/>
      <w:instrText xml:space="preserve">PAGE</w:instrText>
      <w:fldChar w:fldCharType="separate"/>
      <w:fldChar w:fldCharType="end"/>
    </w:r>
    <w:r>
      <w:rPr>
        <w:color w:val="6B7A87"/>
        <w:sz w:val="14"/>
        <w:szCs w:val="14"/>
      </w:rPr>
      <w:t xml:space="preserve"> of </w:t>
    </w:r>
    <w:r>
      <w:rPr>
        <w:color w:val="6B7A8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0B2A3D"/>
      <w:sz w:val="28"/>
      <w:szCs w:val="28"/>
    </w:rPr>
  </w:style>
  <w:style w:type="paragraph" w:styleId="Heading2">
    <w:name w:val="Heading 2"/>
    <w:basedOn w:val="Normal"/>
    <w:next w:val="Normal"/>
    <w:qFormat/>
    <w:rPr>
      <w:rFonts w:ascii="Georgia" w:cs="Georgia" w:eastAsia="Georgia" w:hAnsi="Georgia"/>
      <w:b/>
      <w:bCs/>
      <w:color w:val="0B2A3D"/>
      <w:sz w:val="23"/>
      <w:szCs w:val="23"/>
    </w:rPr>
  </w:style>
  <w:style w:type="paragraph" w:styleId="Heading3">
    <w:name w:val="Heading 3"/>
    <w:basedOn w:val="Normal"/>
    <w:next w:val="Normal"/>
    <w:qFormat/>
    <w:rPr>
      <w:rFonts w:ascii="Aptos" w:cs="Aptos" w:eastAsia="Aptos" w:hAnsi="Aptos"/>
      <w:b/>
      <w:bCs/>
      <w:color w:val="2060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2026-09-06T09:25:31.601Z</dcterms:created>
  <dcterms:modified xsi:type="dcterms:W3CDTF">2026-09-06T09:25:31.602Z</dcterms:modified>
</cp:coreProperties>
</file>

<file path=docProps/custom.xml><?xml version="1.0" encoding="utf-8"?>
<Properties xmlns="http://schemas.openxmlformats.org/officeDocument/2006/custom-properties" xmlns:vt="http://schemas.openxmlformats.org/officeDocument/2006/docPropsVTypes"/>
</file>