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 Lovelace</w:t>
      </w:r>
    </w:p>
    <w:p>
      <w:r>
        <w:t xml:space="preserve">Lead Engineer</w:t>
      </w:r>
    </w:p>
    <w:p>
      <w:r>
        <w:t xml:space="preserve">London, UK | +44 20 7946 0958 | ada.lovelace@analytical.co.uk</w:t>
      </w:r>
    </w:p>
    <w:p>
      <w:r>
        <w:t xml:space="preserve">Experience</w:t>
      </w:r>
    </w:p>
    <w:p>
      <w:r>
        <w:t xml:space="preserve">Analytical Engines Ltd / Lead Engineer | April 2019 - August 2024</w:t>
      </w:r>
    </w:p>
    <w:p>
      <w:r>
        <w:t xml:space="preserve">I led a team of 6 building the difference engine scheduler.</w:t>
      </w:r>
    </w:p>
    <w:p>
      <w:r>
        <w:t xml:space="preserve">Education</w:t>
      </w:r>
    </w:p>
    <w:p>
      <w:r>
        <w:t xml:space="preserve">University of London, BSc Mathematics, 2012 - 2015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2026-10-07T05:22:05.955Z</dcterms:created>
  <dcterms:modified xsi:type="dcterms:W3CDTF">2026-10-07T05:22:05.956Z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