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TSTitle"/>
      </w:pPr>
      <w:r>
        <w:t>JEAN LUCK RUIZ GRANDA</w:t>
      </w:r>
    </w:p>
    <w:p>
      <w:pPr>
        <w:pStyle w:val="ATSSubtitle"/>
      </w:pPr>
      <w:r>
        <w:t>Enterprise Transformation &amp; Operating Model Lead | Senior Delivery &amp; Program Governance Manager</w:t>
      </w:r>
    </w:p>
    <w:p>
      <w:pPr>
        <w:spacing w:after="20"/>
        <w:jc w:val="left"/>
      </w:pPr>
      <w:r>
        <w:rPr>
          <w:rFonts w:ascii="Arial" w:hAnsi="Arial"/>
          <w:color w:val="555555"/>
          <w:sz w:val="18"/>
        </w:rPr>
        <w:t>Medellín, Colombia | Remoto, hibrido o presencial</w:t>
      </w:r>
    </w:p>
    <w:p>
      <w:pPr>
        <w:spacing w:after="20"/>
        <w:jc w:val="left"/>
      </w:pPr>
      <w:r>
        <w:rPr>
          <w:rFonts w:ascii="Arial" w:hAnsi="Arial"/>
          <w:color w:val="555555"/>
          <w:sz w:val="18"/>
        </w:rPr>
        <w:t>injeanluck@gmail.com | +57 300 364 6376</w:t>
      </w:r>
    </w:p>
    <w:p>
      <w:r>
        <w:rPr>
          <w:rFonts w:ascii="Arial" w:hAnsi="Arial"/>
          <w:color w:val="555555"/>
          <w:sz w:val="18"/>
        </w:rPr>
        <w:t>linkedin.com/in/jean-luck-ruiz-granda-a35088162 | jeantwin.vercel.app</w:t>
      </w:r>
    </w:p>
    <w:p>
      <w:pPr>
        <w:pStyle w:val="Heading1"/>
      </w:pPr>
      <w:r>
        <w:t>PERFIL PROFESIONAL</w:t>
      </w:r>
    </w:p>
    <w:p>
      <w:r>
        <w:rPr>
          <w:rFonts w:ascii="Arial" w:hAnsi="Arial"/>
          <w:color w:val="555555"/>
          <w:sz w:val="18"/>
        </w:rPr>
        <w:t>Lider de transformación empresarial y modelos operativos con 10+ años de trayectoria profesional total y 8+ años en consultoría y tecnología corporativa. Evolucionó desde Scrum y Agile hacia delivery multiproyecto, diseño de organizaciones, desarrollo de líderes y operación a escala. Cofundó y operó durante cinco años la arquitectura del Management CoE de Sofka Technologies.</w:t>
      </w:r>
    </w:p>
    <w:p>
      <w:r>
        <w:rPr>
          <w:rFonts w:ascii="Arial" w:hAnsi="Arial"/>
          <w:color w:val="555555"/>
          <w:sz w:val="18"/>
        </w:rPr>
        <w:t>Contribuyó a escalar el CoE de 9 a más de 110 profesionales y a soportar más de 160 iniciativas concurrentes. Durante ese crecimiento contribuyó a elevar los ingresos anuales de USD 1M a USD 3M y el margen de 35% a 45%, manteniendo la deserción anual por debajo de 5%. Combina estrategia Data &amp; AI, modelos de negocio, portafolio de servicios, realización de valor, change management, delivery governance y sistemas agenticos.</w:t>
      </w:r>
    </w:p>
    <w:p>
      <w:pPr>
        <w:pStyle w:val="Heading1"/>
      </w:pPr>
      <w:r>
        <w:t>EVIDENCIA DE ENCAJE</w:t>
      </w:r>
    </w:p>
    <w:p>
      <w:pPr>
        <w:spacing w:after="50" w:line="259" w:lineRule="auto"/>
        <w:numPr>
          <w:ilvl w:val="0"/>
          <w:numId w:val="10"/>
        </w:numPr>
      </w:pPr>
      <w:r>
        <w:t>CoE escalado de 9 a 110+ profesionales y 160+ iniciativas concurrentes.</w:t>
      </w:r>
    </w:p>
    <w:p>
      <w:pPr>
        <w:spacing w:after="50" w:line="259" w:lineRule="auto"/>
        <w:numPr>
          <w:ilvl w:val="0"/>
          <w:numId w:val="10"/>
        </w:numPr>
      </w:pPr>
      <w:r>
        <w:t>Contribución al crecimiento de ingresos anuales de USD 1M a USD 3M y del margen de 35% a 45%.</w:t>
      </w:r>
    </w:p>
    <w:p>
      <w:pPr>
        <w:spacing w:after="50" w:line="259" w:lineRule="auto"/>
        <w:numPr>
          <w:ilvl w:val="0"/>
          <w:numId w:val="10"/>
        </w:numPr>
      </w:pPr>
      <w:r>
        <w:t>Desercion anual inferior a 5% durante el crecimiento.</w:t>
      </w:r>
    </w:p>
    <w:p>
      <w:pPr>
        <w:spacing w:after="50" w:line="259" w:lineRule="auto"/>
        <w:numPr>
          <w:ilvl w:val="0"/>
          <w:numId w:val="10"/>
        </w:numPr>
      </w:pPr>
      <w:r>
        <w:t>Contribución a iniciativas con ROI reportado superior a 50%, 30% menos time-to-market y 30% más productividad.</w:t>
      </w:r>
    </w:p>
    <w:p>
      <w:pPr>
        <w:spacing w:after="50" w:line="259" w:lineRule="auto"/>
        <w:numPr>
          <w:ilvl w:val="0"/>
          <w:numId w:val="10"/>
        </w:numPr>
      </w:pPr>
      <w:r>
        <w:t>Liderazgo directo de hasta 6 Account Coaches y operación en Colombia, México, Panamá y Ecuador.</w:t>
      </w:r>
    </w:p>
    <w:p>
      <w:pPr>
        <w:pStyle w:val="Heading1"/>
      </w:pPr>
      <w:r>
        <w:t>CAPACIDADES CLAVE</w:t>
      </w:r>
    </w:p>
    <w:p>
      <w:pPr>
        <w:spacing w:after="50" w:line="259" w:lineRule="auto"/>
        <w:numPr>
          <w:ilvl w:val="0"/>
          <w:numId w:val="10"/>
        </w:numPr>
      </w:pPr>
      <w:r>
        <w:t>Estrategia y liderazgo de unidades: estrategia Data &amp; AI, modelos de negocio, portafolio de servicios, capacidad y economía.</w:t>
      </w:r>
    </w:p>
    <w:p>
      <w:pPr>
        <w:spacing w:after="50" w:line="259" w:lineRule="auto"/>
        <w:numPr>
          <w:ilvl w:val="0"/>
          <w:numId w:val="10"/>
        </w:numPr>
      </w:pPr>
      <w:r>
        <w:t>Disrupción digital y transformación con IA: rediseño de flujos de valor, casos de uso, GenAI adoption y roadmaps.</w:t>
      </w:r>
    </w:p>
    <w:p>
      <w:pPr>
        <w:spacing w:after="50" w:line="259" w:lineRule="auto"/>
        <w:numPr>
          <w:ilvl w:val="0"/>
          <w:numId w:val="10"/>
        </w:numPr>
      </w:pPr>
      <w:r>
        <w:t>Alto rendimiento y realización de valor: business case, OKR, KPI, executive dashboards y ciclos de aprendizaje.</w:t>
      </w:r>
    </w:p>
    <w:p>
      <w:pPr>
        <w:spacing w:after="50" w:line="259" w:lineRule="auto"/>
        <w:numPr>
          <w:ilvl w:val="0"/>
          <w:numId w:val="10"/>
        </w:numPr>
      </w:pPr>
      <w:r>
        <w:t>Diseño organizacional y change management: operating models, roles, competencias, ADKAR, Kotter y capability building.</w:t>
      </w:r>
    </w:p>
    <w:p>
      <w:pPr>
        <w:spacing w:after="50" w:line="259" w:lineRule="auto"/>
        <w:numPr>
          <w:ilvl w:val="0"/>
          <w:numId w:val="10"/>
        </w:numPr>
      </w:pPr>
      <w:r>
        <w:t>Producto, programas y portafolio: product discovery, priorización, roadmaps, delivery governance y gestión de dependencias.</w:t>
      </w:r>
    </w:p>
    <w:p>
      <w:pPr>
        <w:spacing w:after="50" w:line="259" w:lineRule="auto"/>
        <w:numPr>
          <w:ilvl w:val="0"/>
          <w:numId w:val="10"/>
        </w:numPr>
      </w:pPr>
      <w:r>
        <w:t>AI operating model y gobierno: demanda, Responsible AI, guardrails, adopción, riesgos y supervisión humana.</w:t>
      </w:r>
    </w:p>
    <w:p>
      <w:pPr>
        <w:spacing w:after="50" w:line="259" w:lineRule="auto"/>
        <w:numPr>
          <w:ilvl w:val="0"/>
          <w:numId w:val="10"/>
        </w:numPr>
      </w:pPr>
      <w:r>
        <w:t>Ofertas y preventa consultiva: discovery, propuesta de valor, alcance, estimaciones, RFP y modelos de capacidad.</w:t>
      </w:r>
    </w:p>
    <w:p>
      <w:pPr>
        <w:spacing w:after="50" w:line="259" w:lineRule="auto"/>
        <w:numPr>
          <w:ilvl w:val="0"/>
          <w:numId w:val="10"/>
        </w:numPr>
      </w:pPr>
      <w:r>
        <w:t>Sistemas agenticos y capacidad transferible: prompt y context engineering, source grounding, workflow states y quality gates.</w:t>
      </w:r>
    </w:p>
    <w:p>
      <w:pPr>
        <w:pStyle w:val="Heading1"/>
      </w:pPr>
      <w:r>
        <w:t>HERRAMIENTAS Y MARCOS</w:t>
      </w:r>
    </w:p>
    <w:p>
      <w:r>
        <w:rPr>
          <w:rFonts w:ascii="Arial" w:hAnsi="Arial"/>
          <w:color w:val="555555"/>
          <w:sz w:val="18"/>
        </w:rPr>
        <w:t>Azure DevOps avanzado | Power BI | CRM | Microsoft 365 | Google Workspace | Miro | PMI / PMBOK aplicado | Scrum | SAFe | Nexus | LeSS | ADKAR | Kotter | OKR | KPI | Responsible AI</w:t>
      </w:r>
    </w:p>
    <w:p>
      <w:pPr>
        <w:pStyle w:val="Heading1"/>
      </w:pPr>
      <w:r>
        <w:t>FORMACIÓN</w:t>
      </w:r>
    </w:p>
    <w:p>
      <w:pPr>
        <w:spacing w:after="50" w:line="259" w:lineRule="auto"/>
        <w:numPr>
          <w:ilvl w:val="0"/>
          <w:numId w:val="10"/>
        </w:numPr>
      </w:pPr>
      <w:r>
        <w:t>Tecnólogo en Mecatrónica - SENA, graduado en 2017.</w:t>
      </w:r>
    </w:p>
    <w:p>
      <w:pPr>
        <w:spacing w:after="50" w:line="259" w:lineRule="auto"/>
        <w:numPr>
          <w:ilvl w:val="0"/>
          <w:numId w:val="10"/>
        </w:numPr>
      </w:pPr>
      <w:r>
        <w:t>Ingeniería Industrial - Politécnico Grancolombiano, en curso.</w:t>
      </w:r>
    </w:p>
    <w:p>
      <w:pPr>
        <w:pStyle w:val="Heading1"/>
      </w:pPr>
      <w:r>
        <w:t>CURSOS Y FORMACIÓN COMPLEMENTARIA</w:t>
      </w:r>
    </w:p>
    <w:p>
      <w:r>
        <w:rPr>
          <w:rFonts w:ascii="Arial" w:hAnsi="Arial"/>
          <w:color w:val="555555"/>
          <w:sz w:val="18"/>
        </w:rPr>
        <w:t>Conscious Business Coaching - CBC International / Fred Kofman, 2024 | Programa de Empoderamiento con IA - MetodologIA, 16 semanas, 2026; certificado pendiente.</w:t>
      </w:r>
    </w:p>
    <w:p>
      <w:r>
        <w:rPr>
          <w:rFonts w:ascii="Arial" w:hAnsi="Arial"/>
          <w:color w:val="555555"/>
          <w:sz w:val="18"/>
        </w:rPr>
        <w:t>I.A. y transformación digital - Universidad Católica de Oriente, 20 horas, 2026 | Inteligencia de negocios con Power BI - Universidad Pontificia Bolivariana, 40 horas, 2026.</w:t>
      </w:r>
    </w:p>
    <w:p>
      <w:r>
        <w:rPr>
          <w:rFonts w:ascii="Arial" w:hAnsi="Arial"/>
          <w:color w:val="555555"/>
          <w:sz w:val="18"/>
        </w:rPr>
        <w:t>Fundamentos de Diseño - SENA, 40 horas, 2015 | Herramientas de Prototipado Electrónico - SENA, 40 horas, 2015.</w:t>
      </w:r>
    </w:p>
    <w:p>
      <w:pPr>
        <w:pStyle w:val="Heading1"/>
      </w:pPr>
      <w:r>
        <w:t>IDIOMAS</w:t>
      </w:r>
    </w:p>
    <w:p>
      <w:r>
        <w:rPr>
          <w:rFonts w:ascii="Arial" w:hAnsi="Arial"/>
          <w:color w:val="555555"/>
          <w:sz w:val="18"/>
        </w:rPr>
        <w:t>Español nativo | Inglés B2 - Marco Común Europeo de Referencia.</w:t>
      </w:r>
    </w:p>
    <w:p>
      <w:r>
        <w:br w:type="page"/>
      </w:r>
    </w:p>
    <w:p>
      <w:pPr>
        <w:pStyle w:val="Heading1"/>
      </w:pPr>
      <w:r>
        <w:t>EXPERIENCIA PROFESIONAL</w:t>
      </w:r>
    </w:p>
    <w:p>
      <w:pPr>
        <w:pStyle w:val="Heading2"/>
      </w:pPr>
      <w:r>
        <w:t>METODOLOGIA | Mayo 2026 - Actualidad</w:t>
      </w:r>
    </w:p>
    <w:p>
      <w:r>
        <w:rPr>
          <w:rFonts w:ascii="Arial" w:hAnsi="Arial"/>
          <w:color w:val="555555"/>
          <w:sz w:val="18"/>
        </w:rPr>
        <w:t>Embajador de la marca | AI Enablement &amp; Systems Builder</w:t>
      </w:r>
    </w:p>
    <w:p>
      <w:pPr>
        <w:spacing w:after="50" w:line="259" w:lineRule="auto"/>
        <w:numPr>
          <w:ilvl w:val="0"/>
          <w:numId w:val="10"/>
        </w:numPr>
      </w:pPr>
      <w:r>
        <w:t>Construye productos de aprendizaje y consultoría habilitados por IA como Embajador de MetodologIA.</w:t>
      </w:r>
    </w:p>
    <w:p>
      <w:pPr>
        <w:spacing w:after="50" w:line="259" w:lineRule="auto"/>
        <w:numPr>
          <w:ilvl w:val="0"/>
          <w:numId w:val="10"/>
        </w:numPr>
      </w:pPr>
      <w:r>
        <w:t>Completó un programa intensivo de 16 semanas y construyó 16 entregables entre metodologías, activos digitales, sistemas y evidencias de aprendizaje aplicado.</w:t>
      </w:r>
    </w:p>
    <w:p>
      <w:pPr>
        <w:spacing w:after="50" w:line="259" w:lineRule="auto"/>
        <w:numPr>
          <w:ilvl w:val="0"/>
          <w:numId w:val="10"/>
        </w:numPr>
      </w:pPr>
      <w:r>
        <w:t>Desarrolla posicionamiento, modelo de negocio y mecanismos de sostenibilidad; aplica prompt y context engineering, source grounding, workflow states y quality gates.</w:t>
      </w:r>
    </w:p>
    <w:p>
      <w:pPr>
        <w:pStyle w:val="Heading2"/>
      </w:pPr>
      <w:r>
        <w:t>SOFKA TECHNOLOGIES | Septiembre 2020 - Abril 2026</w:t>
      </w:r>
    </w:p>
    <w:p>
      <w:r>
        <w:rPr>
          <w:rFonts w:ascii="Arial" w:hAnsi="Arial"/>
          <w:color w:val="555555"/>
          <w:sz w:val="18"/>
        </w:rPr>
        <w:t>Enterprise Coach | Cofundador y arquitecto operativo del Management CoE</w:t>
      </w:r>
    </w:p>
    <w:p>
      <w:pPr>
        <w:spacing w:after="50" w:line="259" w:lineRule="auto"/>
        <w:numPr>
          <w:ilvl w:val="0"/>
          <w:numId w:val="10"/>
        </w:numPr>
      </w:pPr>
      <w:r>
        <w:t>Cofundó y operó la arquitectura del Management CoE: modelo operativo, roles, capacidad, competencias, evaluaciones, desarrollo profesional y mecanismos de control.</w:t>
      </w:r>
    </w:p>
    <w:p>
      <w:pPr>
        <w:spacing w:after="50" w:line="259" w:lineRule="auto"/>
        <w:numPr>
          <w:ilvl w:val="0"/>
          <w:numId w:val="10"/>
        </w:numPr>
      </w:pPr>
      <w:r>
        <w:t>Contribuyó a escalar el CoE de 9 a 110+ profesionales y 160+ iniciativas concurrentes; lideró directamente hasta 6 Account Coaches.</w:t>
      </w:r>
    </w:p>
    <w:p>
      <w:pPr>
        <w:spacing w:after="50" w:line="259" w:lineRule="auto"/>
        <w:numPr>
          <w:ilvl w:val="0"/>
          <w:numId w:val="10"/>
        </w:numPr>
      </w:pPr>
      <w:r>
        <w:t>Contribuyó al crecimiento de ingresos anuales de USD 1M a USD 3M y del margen de 35% a 45%, con deserción anual inferior a 5% durante la expansión.</w:t>
      </w:r>
    </w:p>
    <w:p>
      <w:pPr>
        <w:spacing w:after="50" w:line="259" w:lineRule="auto"/>
        <w:numPr>
          <w:ilvl w:val="0"/>
          <w:numId w:val="10"/>
        </w:numPr>
      </w:pPr>
      <w:r>
        <w:t>Operó portfolio reviews, cadencias multinivel, seguimiento de triple restricción, RAID y riesgos, change control, dependencias, capacidad, asignación de talento, proyección de servicios y rutas de escalamiento.</w:t>
      </w:r>
    </w:p>
    <w:p>
      <w:pPr>
        <w:spacing w:after="50" w:line="259" w:lineRule="auto"/>
        <w:numPr>
          <w:ilvl w:val="0"/>
          <w:numId w:val="10"/>
        </w:numPr>
      </w:pPr>
      <w:r>
        <w:t>Mejoró la fidelidad del seguimiento, la decisión basada en datos, la velocidad de escalamiento y la ejecución coordinada de mitigaciones en Colombia, México, Panamá y Ecuador.</w:t>
      </w:r>
    </w:p>
    <w:p>
      <w:pPr>
        <w:spacing w:after="50" w:line="259" w:lineRule="auto"/>
        <w:numPr>
          <w:ilvl w:val="0"/>
          <w:numId w:val="10"/>
        </w:numPr>
      </w:pPr>
      <w:r>
        <w:t>Contribuyó a iniciativas que reportaron ROI superior a 50%, 30% menos time-to-market y 30% más productividad.</w:t>
      </w:r>
    </w:p>
    <w:p>
      <w:pPr>
        <w:spacing w:after="50" w:line="259" w:lineRule="auto"/>
        <w:numPr>
          <w:ilvl w:val="0"/>
          <w:numId w:val="10"/>
        </w:numPr>
      </w:pPr>
      <w:r>
        <w:t>Gestionó costos y rentabilidad del CoE para cumplir el margen objetivo de operaciones; no tuvo responsabilidad por presupuestos de proyectos.</w:t>
      </w:r>
    </w:p>
    <w:p>
      <w:pPr>
        <w:spacing w:after="50" w:line="259" w:lineRule="auto"/>
        <w:numPr>
          <w:ilvl w:val="0"/>
          <w:numId w:val="10"/>
        </w:numPr>
      </w:pPr>
      <w:r>
        <w:t>Aplicó IA al Listado Maestro y a la consolidacion operativa para apoyar seguimiento y decisiones; no hay datos cuantitativos disponibles para esta mejora.</w:t>
      </w:r>
    </w:p>
    <w:p>
      <w:pPr>
        <w:spacing w:after="50" w:line="259" w:lineRule="auto"/>
        <w:numPr>
          <w:ilvl w:val="0"/>
          <w:numId w:val="10"/>
        </w:numPr>
      </w:pPr>
      <w:r>
        <w:t>Diseño un programa de liderazgo consciente para 16 líderes de Sura: 100% de graduación y ocho duplas con competencias demostradas mediante hábitos y pruebas conversacionales; facilitó directamente cuatro duplas.</w:t>
      </w:r>
    </w:p>
    <w:p>
      <w:pPr>
        <w:spacing w:after="50" w:line="259" w:lineRule="auto"/>
        <w:numPr>
          <w:ilvl w:val="0"/>
          <w:numId w:val="10"/>
        </w:numPr>
      </w:pPr>
      <w:r>
        <w:t>Contribuyó al rediseño nacional del proceso de desarrollo empresarial de asesores Sura, conectando competencias habilitadas y desarrollo profesional; las métricas de mejora son confidenciales del cliente.</w:t>
      </w:r>
    </w:p>
    <w:p>
      <w:pPr>
        <w:pStyle w:val="Heading2"/>
      </w:pPr>
      <w:r>
        <w:t>TECH AND SOLVE | Diciembre 2017 - Septiembre 2020</w:t>
      </w:r>
    </w:p>
    <w:p>
      <w:r>
        <w:rPr>
          <w:rFonts w:ascii="Arial" w:hAnsi="Arial"/>
          <w:color w:val="555555"/>
          <w:sz w:val="18"/>
        </w:rPr>
        <w:t>Scrum Master | Agile Coach | Gestor de Proyectos | Consultor</w:t>
      </w:r>
    </w:p>
    <w:p>
      <w:pPr>
        <w:spacing w:after="50" w:line="259" w:lineRule="auto"/>
        <w:numPr>
          <w:ilvl w:val="0"/>
          <w:numId w:val="10"/>
        </w:numPr>
      </w:pPr>
      <w:r>
        <w:t>Gestionó la solución nacional de Historia Laboral y doble asesoría para Protección, con un equipo de alta eficiencia de 8 ingenieros de TI en frontend, backend, calidad y despliegue.</w:t>
      </w:r>
    </w:p>
    <w:p>
      <w:pPr>
        <w:spacing w:after="50" w:line="259" w:lineRule="auto"/>
        <w:numPr>
          <w:ilvl w:val="0"/>
          <w:numId w:val="10"/>
        </w:numPr>
      </w:pPr>
      <w:r>
        <w:t>Lideró discovery y planificación de múltiples iniciativas de innovación y desarrollo para TI de un cliente del sector retail.</w:t>
      </w:r>
    </w:p>
    <w:p>
      <w:pPr>
        <w:spacing w:after="50" w:line="259" w:lineRule="auto"/>
        <w:numPr>
          <w:ilvl w:val="0"/>
          <w:numId w:val="10"/>
        </w:numPr>
      </w:pPr>
      <w:r>
        <w:t>Facilitó Inception y Discovery para alinear visión, alcance, interesados, dependencias, valor y criterios de aceptacion.</w:t>
      </w:r>
    </w:p>
    <w:p>
      <w:pPr>
        <w:spacing w:after="50" w:line="259" w:lineRule="auto"/>
        <w:numPr>
          <w:ilvl w:val="0"/>
          <w:numId w:val="10"/>
        </w:numPr>
      </w:pPr>
      <w:r>
        <w:t>Evolucionó desde Scrum Master y Agile Coach hacia gestión de proyectos, delivery, riesgos, interesados, preventa consultiva y continuidad de entrega.</w:t>
      </w:r>
    </w:p>
    <w:p>
      <w:pPr>
        <w:pStyle w:val="Heading2"/>
      </w:pPr>
      <w:r>
        <w:t>ONELINK BPO | Febrero 2017 - Julio 2017</w:t>
      </w:r>
    </w:p>
    <w:p>
      <w:r>
        <w:rPr>
          <w:rFonts w:ascii="Arial" w:hAnsi="Arial"/>
          <w:color w:val="555555"/>
          <w:sz w:val="18"/>
        </w:rPr>
        <w:t>Operaciones de servicio de alto volumen</w:t>
      </w:r>
    </w:p>
    <w:p>
      <w:pPr>
        <w:spacing w:after="50" w:line="259" w:lineRule="auto"/>
        <w:numPr>
          <w:ilvl w:val="0"/>
          <w:numId w:val="10"/>
        </w:numPr>
      </w:pPr>
      <w:r>
        <w:t>Participó en una operación BPO de alta demanda, con foco en atención, servicio y cumplimiento de lineamientos operativos.</w:t>
      </w:r>
    </w:p>
    <w:p>
      <w:pPr>
        <w:pStyle w:val="Heading2"/>
      </w:pPr>
      <w:r>
        <w:t>SMURFIT KAPPA CARTON DE COLOMBIA | Junio 2016 - Diciembre 2016</w:t>
      </w:r>
    </w:p>
    <w:p>
      <w:r>
        <w:rPr>
          <w:rFonts w:ascii="Arial" w:hAnsi="Arial"/>
          <w:color w:val="555555"/>
          <w:sz w:val="18"/>
        </w:rPr>
        <w:t>Mantenimiento de Planta</w:t>
      </w:r>
    </w:p>
    <w:p>
      <w:pPr>
        <w:spacing w:after="50" w:line="259" w:lineRule="auto"/>
        <w:numPr>
          <w:ilvl w:val="0"/>
          <w:numId w:val="10"/>
        </w:numPr>
      </w:pPr>
      <w:r>
        <w:t>Ejecutó mantenimiento preventivo, predictivo y correctivo eléctrico y electrónico.</w:t>
      </w:r>
    </w:p>
    <w:p>
      <w:pPr>
        <w:spacing w:after="50" w:line="259" w:lineRule="auto"/>
        <w:numPr>
          <w:ilvl w:val="0"/>
          <w:numId w:val="10"/>
        </w:numPr>
      </w:pPr>
      <w:r>
        <w:t>Apoyó proyectos de mejora y automatización industrial.</w:t>
      </w:r>
    </w:p>
    <w:p>
      <w:pPr>
        <w:pStyle w:val="Heading2"/>
      </w:pPr>
      <w:r>
        <w:t>IAC - INGENIERÍA ASISTIDA POR COMPUTADOR | Octubre 2015 - Junio 2016</w:t>
      </w:r>
    </w:p>
    <w:p>
      <w:r>
        <w:rPr>
          <w:rFonts w:ascii="Arial" w:hAnsi="Arial"/>
          <w:color w:val="555555"/>
          <w:sz w:val="18"/>
        </w:rPr>
        <w:t>Soporte de Aplicaciones CAD</w:t>
      </w:r>
    </w:p>
    <w:p>
      <w:pPr>
        <w:spacing w:after="50" w:line="259" w:lineRule="auto"/>
        <w:numPr>
          <w:ilvl w:val="0"/>
          <w:numId w:val="10"/>
        </w:numPr>
      </w:pPr>
      <w:r>
        <w:t>Brindó soporte técnico, diagnóstico y resolución de incidentes de aplicaciones CAD.</w:t>
      </w:r>
    </w:p>
    <w:sectPr w:rsidR="00FC693F" w:rsidRPr="0006063C" w:rsidSect="00034616">
      <w:footerReference w:type="default" r:id="rId9"/>
      <w:pgSz w:w="12240" w:h="15840"/>
      <w:pgMar w:top="1037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6464"/>
        <w:sz w:val="17"/>
      </w:rPr>
      <w:t xml:space="preserve">Página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270"/>
        </w:tabs>
        <w:ind w:left="540" w:hanging="27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</w:pPr>
    <w:rPr>
      <w:rFonts w:ascii="Arial" w:hAnsi="Arial"/>
      <w:b w:val="0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F4D7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TSTitle">
    <w:name w:val="ATS Title"/>
    <w:pPr>
      <w:spacing w:after="40"/>
    </w:pPr>
    <w:rPr>
      <w:rFonts w:ascii="Arial" w:hAnsi="Arial"/>
      <w:b/>
      <w:color w:val="0B2545"/>
      <w:sz w:val="42"/>
    </w:rPr>
  </w:style>
  <w:style w:type="paragraph" w:customStyle="1" w:styleId="ATSSubtitle">
    <w:name w:val="ATS Subtitle"/>
    <w:pPr>
      <w:spacing w:after="40"/>
    </w:pPr>
    <w:rPr>
      <w:rFonts w:ascii="Arial" w:hAnsi="Arial"/>
      <w:b/>
      <w:color w:val="2E74B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Jean Luck Ruiz Granda - Hoja de vida ATS</dc:title>
  <dc:subject>Enterprise Transformation, Operating Model, Delivery and Program Governance</dc:subject>
  <dc:creator>Jean Luck Ruiz Granda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