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F50D7" w14:textId="5EEC3653" w:rsidR="0053429C" w:rsidRDefault="00446838" w:rsidP="00446838">
      <w:pPr>
        <w:jc w:val="center"/>
        <w:rPr>
          <w:b/>
          <w:bCs/>
          <w:sz w:val="44"/>
          <w:szCs w:val="44"/>
          <w:u w:val="single"/>
        </w:rPr>
      </w:pPr>
      <w:r w:rsidRPr="00446838">
        <w:rPr>
          <w:b/>
          <w:bCs/>
          <w:sz w:val="44"/>
          <w:szCs w:val="44"/>
          <w:u w:val="single"/>
        </w:rPr>
        <w:t>Lexique et définition</w:t>
      </w:r>
    </w:p>
    <w:p w14:paraId="6A02A7A4" w14:textId="77777777" w:rsidR="00446838" w:rsidRDefault="00446838" w:rsidP="00446838">
      <w:pPr>
        <w:jc w:val="center"/>
        <w:rPr>
          <w:b/>
          <w:bCs/>
          <w:sz w:val="44"/>
          <w:szCs w:val="44"/>
          <w:u w:val="single"/>
        </w:rPr>
      </w:pPr>
    </w:p>
    <w:p w14:paraId="50D51653" w14:textId="4EDFFE81" w:rsidR="00446838" w:rsidRDefault="00446838" w:rsidP="00446838">
      <w:pPr>
        <w:pStyle w:val="Paragraphedeliste"/>
        <w:numPr>
          <w:ilvl w:val="0"/>
          <w:numId w:val="1"/>
        </w:numPr>
      </w:pPr>
      <w:r w:rsidRPr="00446838">
        <w:t>Compréhension et exploration des données</w:t>
      </w:r>
    </w:p>
    <w:p w14:paraId="0C4A40F8" w14:textId="64F6EA62" w:rsidR="00446838" w:rsidRPr="00446838" w:rsidRDefault="00446838" w:rsidP="00446838">
      <w:r w:rsidRPr="00446838">
        <w:t>Information sur les données de “</w:t>
      </w:r>
      <w:proofErr w:type="spellStart"/>
      <w:r w:rsidRPr="00446838">
        <w:t>Corporate</w:t>
      </w:r>
      <w:proofErr w:type="spellEnd"/>
      <w:r w:rsidRPr="00446838">
        <w:t xml:space="preserve"> </w:t>
      </w:r>
      <w:proofErr w:type="spellStart"/>
      <w:r w:rsidRPr="00446838">
        <w:t>Credit</w:t>
      </w:r>
      <w:proofErr w:type="spellEnd"/>
      <w:r w:rsidRPr="00446838">
        <w:t xml:space="preserve"> Rating </w:t>
      </w:r>
      <w:proofErr w:type="spellStart"/>
      <w:r w:rsidRPr="00446838">
        <w:t>with</w:t>
      </w:r>
      <w:proofErr w:type="spellEnd"/>
      <w:r w:rsidRPr="00446838">
        <w:t xml:space="preserve"> Financial Ratios” : La notation binaire </w:t>
      </w:r>
      <w:r w:rsidR="001779B9">
        <w:t>« </w:t>
      </w:r>
      <w:proofErr w:type="spellStart"/>
      <w:r w:rsidR="001779B9">
        <w:t>Binary</w:t>
      </w:r>
      <w:proofErr w:type="spellEnd"/>
      <w:r w:rsidR="001779B9">
        <w:t xml:space="preserve"> Rating » </w:t>
      </w:r>
      <w:r w:rsidRPr="00446838">
        <w:t>d'une entreprise indique si elle est notée « non-</w:t>
      </w:r>
      <w:proofErr w:type="spellStart"/>
      <w:r w:rsidRPr="00446838">
        <w:t>investment</w:t>
      </w:r>
      <w:proofErr w:type="spellEnd"/>
      <w:r w:rsidRPr="00446838">
        <w:t xml:space="preserve"> grade » ('0') ou « </w:t>
      </w:r>
      <w:proofErr w:type="spellStart"/>
      <w:r w:rsidRPr="00446838">
        <w:t>investment</w:t>
      </w:r>
      <w:proofErr w:type="spellEnd"/>
      <w:r w:rsidRPr="00446838">
        <w:t xml:space="preserve"> grade » ('1).</w:t>
      </w:r>
    </w:p>
    <w:p w14:paraId="539F0BE0" w14:textId="1005FD5A" w:rsidR="00446838" w:rsidRDefault="00446838" w:rsidP="00446838">
      <w:r w:rsidRPr="00446838">
        <w:rPr>
          <w:b/>
          <w:bCs/>
        </w:rPr>
        <w:t>Investment Grade</w:t>
      </w:r>
      <w:r>
        <w:t xml:space="preserve"> : </w:t>
      </w:r>
      <w:r w:rsidRPr="00446838">
        <w:rPr>
          <w:i/>
          <w:iCs/>
        </w:rPr>
        <w:t xml:space="preserve">Les </w:t>
      </w:r>
      <w:proofErr w:type="spellStart"/>
      <w:r w:rsidRPr="00446838">
        <w:rPr>
          <w:i/>
          <w:iCs/>
        </w:rPr>
        <w:t>investment</w:t>
      </w:r>
      <w:proofErr w:type="spellEnd"/>
      <w:r w:rsidRPr="00446838">
        <w:rPr>
          <w:i/>
          <w:iCs/>
        </w:rPr>
        <w:t xml:space="preserve"> grade correspondent aux notations des agences de rating situées entre AAA et BBB- selon l'échelle de Standard &amp; </w:t>
      </w:r>
      <w:proofErr w:type="spellStart"/>
      <w:r w:rsidRPr="00446838">
        <w:rPr>
          <w:i/>
          <w:iCs/>
        </w:rPr>
        <w:t>Poor's</w:t>
      </w:r>
      <w:proofErr w:type="spellEnd"/>
      <w:r w:rsidRPr="00446838">
        <w:rPr>
          <w:i/>
          <w:iCs/>
        </w:rPr>
        <w:t xml:space="preserve">. Ils correspondent à un niveau de risque faible. Elles sont également appelées également High Grade. On peut noter que certains investisseurs institutionnels sont contraints par leurs statuts de n'investir que dans des entreprises </w:t>
      </w:r>
      <w:proofErr w:type="spellStart"/>
      <w:r w:rsidRPr="00446838">
        <w:rPr>
          <w:i/>
          <w:iCs/>
        </w:rPr>
        <w:t>investment</w:t>
      </w:r>
      <w:proofErr w:type="spellEnd"/>
      <w:r w:rsidRPr="00446838">
        <w:rPr>
          <w:i/>
          <w:iCs/>
        </w:rPr>
        <w:t xml:space="preserve"> grade.</w:t>
      </w:r>
      <w:r>
        <w:t xml:space="preserve"> </w:t>
      </w:r>
    </w:p>
    <w:p w14:paraId="3AD97CD5" w14:textId="0FC337AB" w:rsidR="00446838" w:rsidRDefault="006C7F9B" w:rsidP="00446838">
      <w:r w:rsidRPr="006C7F9B">
        <w:t>Les codes de classification industrielle standard (codes SIC) identifient le secteur d'activité principal d'une entreprise. Plusieurs sociétés peuvent partager le même code SIC, ce qui permet d'identifier le secteur d'activité d'une entreprise grâce à son code SIC. Plusieurs correspondances entre le code SIC et le secteur d'activité sont disponibles en ligne</w:t>
      </w:r>
      <w:r>
        <w:t xml:space="preserve">. </w:t>
      </w:r>
      <w:r w:rsidRPr="006C7F9B">
        <w:t xml:space="preserve">La correspondance de la SEC peut également être utilisée : </w:t>
      </w:r>
      <w:hyperlink r:id="rId5" w:history="1">
        <w:r w:rsidRPr="009C1B02">
          <w:rPr>
            <w:rStyle w:val="Lienhypertexte"/>
          </w:rPr>
          <w:t>https://www.sec.gov/corpfin/division-of-corporation-finance-standard-industrial-classification-sic-code-list</w:t>
        </w:r>
      </w:hyperlink>
      <w:r>
        <w:t xml:space="preserve"> </w:t>
      </w:r>
    </w:p>
    <w:p w14:paraId="2972FE0A" w14:textId="32F3B697" w:rsidR="002A15A4" w:rsidRDefault="002A15A4" w:rsidP="00446838">
      <w:r>
        <w:t>ANALYSE DE LA CORRELATION</w:t>
      </w:r>
      <w:r w:rsidR="00A21AA3">
        <w:t xml:space="preserve"> : </w:t>
      </w:r>
    </w:p>
    <w:p w14:paraId="6F6F496B" w14:textId="5B698E5A" w:rsidR="00A21AA3" w:rsidRDefault="00A21AA3" w:rsidP="00446838">
      <w:r w:rsidRPr="00A21AA3">
        <w:t>La notation de crédit reflète la capacité d'une entreprise à rembourser ses dettes. Les agences de notation s’appuient principalement sur :</w:t>
      </w:r>
    </w:p>
    <w:tbl>
      <w:tblPr>
        <w:tblW w:w="85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3000"/>
        <w:gridCol w:w="4195"/>
      </w:tblGrid>
      <w:tr w:rsidR="00570548" w:rsidRPr="00570548" w14:paraId="75729314" w14:textId="77777777" w:rsidTr="00570548">
        <w:trPr>
          <w:trHeight w:val="398"/>
          <w:tblHeader/>
          <w:tblCellSpacing w:w="15" w:type="dxa"/>
        </w:trPr>
        <w:tc>
          <w:tcPr>
            <w:tcW w:w="0" w:type="auto"/>
            <w:vAlign w:val="center"/>
            <w:hideMark/>
          </w:tcPr>
          <w:p w14:paraId="3A7A0868" w14:textId="77777777" w:rsidR="00570548" w:rsidRPr="00570548" w:rsidRDefault="00570548" w:rsidP="00570548">
            <w:pPr>
              <w:jc w:val="center"/>
              <w:rPr>
                <w:b/>
                <w:bCs/>
              </w:rPr>
            </w:pPr>
            <w:r w:rsidRPr="00570548">
              <w:rPr>
                <w:b/>
                <w:bCs/>
              </w:rPr>
              <w:t>Type de ratio</w:t>
            </w:r>
          </w:p>
        </w:tc>
        <w:tc>
          <w:tcPr>
            <w:tcW w:w="0" w:type="auto"/>
            <w:vAlign w:val="center"/>
            <w:hideMark/>
          </w:tcPr>
          <w:p w14:paraId="76A15140" w14:textId="77777777" w:rsidR="00570548" w:rsidRPr="00570548" w:rsidRDefault="00570548" w:rsidP="00570548">
            <w:pPr>
              <w:jc w:val="center"/>
              <w:rPr>
                <w:b/>
                <w:bCs/>
              </w:rPr>
            </w:pPr>
            <w:r w:rsidRPr="00570548">
              <w:rPr>
                <w:b/>
                <w:bCs/>
              </w:rPr>
              <w:t>Ce qu’il indique</w:t>
            </w:r>
          </w:p>
        </w:tc>
        <w:tc>
          <w:tcPr>
            <w:tcW w:w="0" w:type="auto"/>
            <w:vAlign w:val="center"/>
            <w:hideMark/>
          </w:tcPr>
          <w:p w14:paraId="25B6EB6E" w14:textId="77777777" w:rsidR="00570548" w:rsidRPr="00570548" w:rsidRDefault="00570548" w:rsidP="00570548">
            <w:pPr>
              <w:jc w:val="center"/>
              <w:rPr>
                <w:b/>
                <w:bCs/>
              </w:rPr>
            </w:pPr>
            <w:r w:rsidRPr="00570548">
              <w:rPr>
                <w:b/>
                <w:bCs/>
              </w:rPr>
              <w:t>Utilité pour la note de crédit</w:t>
            </w:r>
          </w:p>
        </w:tc>
      </w:tr>
      <w:tr w:rsidR="00570548" w:rsidRPr="00570548" w14:paraId="3B1DD104" w14:textId="77777777" w:rsidTr="00570548">
        <w:trPr>
          <w:trHeight w:val="651"/>
          <w:tblCellSpacing w:w="15" w:type="dxa"/>
        </w:trPr>
        <w:tc>
          <w:tcPr>
            <w:tcW w:w="0" w:type="auto"/>
            <w:vAlign w:val="center"/>
            <w:hideMark/>
          </w:tcPr>
          <w:p w14:paraId="47816857" w14:textId="77777777" w:rsidR="00570548" w:rsidRPr="00570548" w:rsidRDefault="00570548" w:rsidP="00570548">
            <w:r w:rsidRPr="00570548">
              <w:rPr>
                <w:b/>
                <w:bCs/>
              </w:rPr>
              <w:t>Liquidité</w:t>
            </w:r>
          </w:p>
        </w:tc>
        <w:tc>
          <w:tcPr>
            <w:tcW w:w="0" w:type="auto"/>
            <w:vAlign w:val="center"/>
            <w:hideMark/>
          </w:tcPr>
          <w:p w14:paraId="4A8CB808" w14:textId="77777777" w:rsidR="00570548" w:rsidRPr="00570548" w:rsidRDefault="00570548" w:rsidP="00570548">
            <w:r w:rsidRPr="00570548">
              <w:t>Capacité à faire face à court terme</w:t>
            </w:r>
          </w:p>
        </w:tc>
        <w:tc>
          <w:tcPr>
            <w:tcW w:w="0" w:type="auto"/>
            <w:vAlign w:val="center"/>
            <w:hideMark/>
          </w:tcPr>
          <w:p w14:paraId="137CF05D" w14:textId="77777777" w:rsidR="00570548" w:rsidRPr="00570548" w:rsidRDefault="00570548" w:rsidP="00570548">
            <w:r w:rsidRPr="00570548">
              <w:t>Évalue les risques immédiats de défaut</w:t>
            </w:r>
          </w:p>
        </w:tc>
      </w:tr>
      <w:tr w:rsidR="00570548" w:rsidRPr="00570548" w14:paraId="6EB49754" w14:textId="77777777" w:rsidTr="00570548">
        <w:trPr>
          <w:trHeight w:val="638"/>
          <w:tblCellSpacing w:w="15" w:type="dxa"/>
        </w:trPr>
        <w:tc>
          <w:tcPr>
            <w:tcW w:w="0" w:type="auto"/>
            <w:vAlign w:val="center"/>
            <w:hideMark/>
          </w:tcPr>
          <w:p w14:paraId="01E846E5" w14:textId="77777777" w:rsidR="00570548" w:rsidRPr="00570548" w:rsidRDefault="00570548" w:rsidP="00570548">
            <w:r w:rsidRPr="00570548">
              <w:rPr>
                <w:b/>
                <w:bCs/>
              </w:rPr>
              <w:t>Endettement</w:t>
            </w:r>
          </w:p>
        </w:tc>
        <w:tc>
          <w:tcPr>
            <w:tcW w:w="0" w:type="auto"/>
            <w:vAlign w:val="center"/>
            <w:hideMark/>
          </w:tcPr>
          <w:p w14:paraId="46F47AC2" w14:textId="77777777" w:rsidR="00570548" w:rsidRPr="00570548" w:rsidRDefault="00570548" w:rsidP="00570548">
            <w:r w:rsidRPr="00570548">
              <w:t>Niveau de dépendance à la dette</w:t>
            </w:r>
          </w:p>
        </w:tc>
        <w:tc>
          <w:tcPr>
            <w:tcW w:w="0" w:type="auto"/>
            <w:vAlign w:val="center"/>
            <w:hideMark/>
          </w:tcPr>
          <w:p w14:paraId="2C164DD4" w14:textId="77777777" w:rsidR="00570548" w:rsidRPr="00570548" w:rsidRDefault="00570548" w:rsidP="00570548">
            <w:r w:rsidRPr="00570548">
              <w:t>Plus l’endettement est élevé, plus le risque l’est</w:t>
            </w:r>
          </w:p>
        </w:tc>
      </w:tr>
      <w:tr w:rsidR="00570548" w:rsidRPr="00570548" w14:paraId="5B9DEBCC" w14:textId="77777777" w:rsidTr="00570548">
        <w:trPr>
          <w:trHeight w:val="40"/>
          <w:tblCellSpacing w:w="15" w:type="dxa"/>
        </w:trPr>
        <w:tc>
          <w:tcPr>
            <w:tcW w:w="0" w:type="auto"/>
            <w:vAlign w:val="center"/>
            <w:hideMark/>
          </w:tcPr>
          <w:p w14:paraId="211E5F23" w14:textId="77777777" w:rsidR="00570548" w:rsidRPr="00570548" w:rsidRDefault="00570548" w:rsidP="00570548">
            <w:r w:rsidRPr="00570548">
              <w:rPr>
                <w:b/>
                <w:bCs/>
              </w:rPr>
              <w:t>Rentabilité</w:t>
            </w:r>
          </w:p>
        </w:tc>
        <w:tc>
          <w:tcPr>
            <w:tcW w:w="0" w:type="auto"/>
            <w:vAlign w:val="center"/>
            <w:hideMark/>
          </w:tcPr>
          <w:p w14:paraId="253491AA" w14:textId="77777777" w:rsidR="00570548" w:rsidRPr="00570548" w:rsidRDefault="00570548" w:rsidP="00570548">
            <w:r w:rsidRPr="00570548">
              <w:t>Capacité à générer du profit</w:t>
            </w:r>
          </w:p>
        </w:tc>
        <w:tc>
          <w:tcPr>
            <w:tcW w:w="0" w:type="auto"/>
            <w:vAlign w:val="center"/>
            <w:hideMark/>
          </w:tcPr>
          <w:p w14:paraId="6CC4F954" w14:textId="77777777" w:rsidR="00570548" w:rsidRPr="00570548" w:rsidRDefault="00570548" w:rsidP="00570548">
            <w:r w:rsidRPr="00570548">
              <w:t>Plus une entreprise est rentable, plus elle rassure</w:t>
            </w:r>
          </w:p>
        </w:tc>
      </w:tr>
    </w:tbl>
    <w:p w14:paraId="013E4EF2" w14:textId="77777777" w:rsidR="002A15A4" w:rsidRDefault="002A15A4" w:rsidP="00446838"/>
    <w:p w14:paraId="4AA66B9F" w14:textId="3B889163" w:rsidR="006C7F9B" w:rsidRDefault="0087365A" w:rsidP="00446838">
      <w:r>
        <w:t xml:space="preserve">Statistiques descriptives des ratios financiers : </w:t>
      </w:r>
    </w:p>
    <w:p w14:paraId="15F73A26" w14:textId="489506D2" w:rsidR="002B41AE" w:rsidRDefault="002B41AE" w:rsidP="002B41AE">
      <w:pPr>
        <w:pStyle w:val="Paragraphedeliste"/>
        <w:numPr>
          <w:ilvl w:val="0"/>
          <w:numId w:val="2"/>
        </w:numPr>
      </w:pPr>
      <w:r w:rsidRPr="00570548">
        <w:rPr>
          <w:b/>
          <w:bCs/>
          <w:sz w:val="24"/>
          <w:szCs w:val="24"/>
        </w:rPr>
        <w:t>Liquidité</w:t>
      </w:r>
      <w:r>
        <w:t xml:space="preserve"> :</w:t>
      </w:r>
    </w:p>
    <w:p w14:paraId="04B2DDE8" w14:textId="6DE8301A" w:rsidR="00CD0F68" w:rsidRDefault="002B41AE" w:rsidP="00CD0F68">
      <w:pPr>
        <w:pStyle w:val="Paragraphedeliste"/>
        <w:numPr>
          <w:ilvl w:val="1"/>
          <w:numId w:val="2"/>
        </w:numPr>
      </w:pPr>
      <w:proofErr w:type="spellStart"/>
      <w:r w:rsidRPr="005C157F">
        <w:rPr>
          <w:b/>
          <w:bCs/>
        </w:rPr>
        <w:t>Current</w:t>
      </w:r>
      <w:proofErr w:type="spellEnd"/>
      <w:r w:rsidRPr="005C157F">
        <w:rPr>
          <w:b/>
          <w:bCs/>
        </w:rPr>
        <w:t xml:space="preserve"> Ratio</w:t>
      </w:r>
      <w:r>
        <w:t xml:space="preserve"> → Indicateur clé pour mesurer la capacité de l’entreprise à couvrir ses dettes court terme avec ses actifs court terme.</w:t>
      </w:r>
      <w:r w:rsidR="00CD0F68">
        <w:t xml:space="preserve"> </w:t>
      </w:r>
    </w:p>
    <w:p w14:paraId="39171B48" w14:textId="06C668E5" w:rsidR="002B41AE" w:rsidRDefault="00CD0F68" w:rsidP="00CD0F68">
      <w:pPr>
        <w:pStyle w:val="Paragraphedeliste"/>
        <w:numPr>
          <w:ilvl w:val="2"/>
          <w:numId w:val="2"/>
        </w:numPr>
      </w:pPr>
      <w:r>
        <w:t>Règle générale : un ratio &gt; 1 est rassurant, mais un ratio trop élevé peut indiquer une mauvaise gestion des liquidités.</w:t>
      </w:r>
    </w:p>
    <w:p w14:paraId="3600879E" w14:textId="77777777" w:rsidR="002B41AE" w:rsidRDefault="002B41AE" w:rsidP="002B41AE">
      <w:pPr>
        <w:pStyle w:val="Paragraphedeliste"/>
        <w:numPr>
          <w:ilvl w:val="0"/>
          <w:numId w:val="2"/>
        </w:numPr>
      </w:pPr>
      <w:r w:rsidRPr="00570548">
        <w:rPr>
          <w:b/>
          <w:bCs/>
          <w:sz w:val="24"/>
          <w:szCs w:val="24"/>
        </w:rPr>
        <w:t xml:space="preserve">Endettement </w:t>
      </w:r>
      <w:r>
        <w:t>:</w:t>
      </w:r>
    </w:p>
    <w:p w14:paraId="333238D1" w14:textId="77777777" w:rsidR="0078084E" w:rsidRDefault="0078084E" w:rsidP="0078084E">
      <w:pPr>
        <w:pStyle w:val="Paragraphedeliste"/>
        <w:numPr>
          <w:ilvl w:val="1"/>
          <w:numId w:val="2"/>
        </w:numPr>
      </w:pPr>
      <w:proofErr w:type="spellStart"/>
      <w:r w:rsidRPr="005C157F">
        <w:rPr>
          <w:b/>
          <w:bCs/>
        </w:rPr>
        <w:t>Debt</w:t>
      </w:r>
      <w:proofErr w:type="spellEnd"/>
      <w:r w:rsidRPr="005C157F">
        <w:rPr>
          <w:b/>
          <w:bCs/>
        </w:rPr>
        <w:t>/</w:t>
      </w:r>
      <w:proofErr w:type="spellStart"/>
      <w:r w:rsidRPr="005C157F">
        <w:rPr>
          <w:b/>
          <w:bCs/>
        </w:rPr>
        <w:t>Equity</w:t>
      </w:r>
      <w:proofErr w:type="spellEnd"/>
      <w:r w:rsidRPr="005C157F">
        <w:rPr>
          <w:b/>
          <w:bCs/>
        </w:rPr>
        <w:t xml:space="preserve"> Ratio</w:t>
      </w:r>
      <w:r>
        <w:t xml:space="preserve"> → Ratio d’endettement (dette totale par rapport aux capitaux propres). Indique le niveau d’endettement par rapport aux fonds propres.</w:t>
      </w:r>
    </w:p>
    <w:p w14:paraId="28BA84BE" w14:textId="77777777" w:rsidR="0078084E" w:rsidRDefault="0078084E" w:rsidP="0078084E">
      <w:pPr>
        <w:pStyle w:val="Paragraphedeliste"/>
        <w:numPr>
          <w:ilvl w:val="2"/>
          <w:numId w:val="2"/>
        </w:numPr>
      </w:pPr>
      <w:r>
        <w:lastRenderedPageBreak/>
        <w:t>Plus ce ratio est élevé, plus l’entreprise est endettée, ce qui peut représenter un risque accru.</w:t>
      </w:r>
    </w:p>
    <w:p w14:paraId="405C40BC" w14:textId="77777777" w:rsidR="002B41AE" w:rsidRDefault="002B41AE" w:rsidP="002B41AE">
      <w:pPr>
        <w:pStyle w:val="Paragraphedeliste"/>
        <w:numPr>
          <w:ilvl w:val="1"/>
          <w:numId w:val="2"/>
        </w:numPr>
      </w:pPr>
      <w:r>
        <w:t>Long-</w:t>
      </w:r>
      <w:proofErr w:type="spellStart"/>
      <w:r>
        <w:t>term</w:t>
      </w:r>
      <w:proofErr w:type="spellEnd"/>
      <w:r>
        <w:t xml:space="preserve"> </w:t>
      </w:r>
      <w:proofErr w:type="spellStart"/>
      <w:r>
        <w:t>Debt</w:t>
      </w:r>
      <w:proofErr w:type="spellEnd"/>
      <w:r>
        <w:t xml:space="preserve"> / Capital → Proportion de la dette long terme par rapport au capital total.</w:t>
      </w:r>
    </w:p>
    <w:p w14:paraId="732A2602" w14:textId="77777777" w:rsidR="002B41AE" w:rsidRDefault="002B41AE" w:rsidP="002B41AE">
      <w:pPr>
        <w:pStyle w:val="Paragraphedeliste"/>
      </w:pPr>
    </w:p>
    <w:p w14:paraId="330113D0" w14:textId="3F5D658E" w:rsidR="002B41AE" w:rsidRDefault="002B41AE" w:rsidP="002B41AE">
      <w:pPr>
        <w:pStyle w:val="Paragraphedeliste"/>
        <w:numPr>
          <w:ilvl w:val="0"/>
          <w:numId w:val="2"/>
        </w:numPr>
      </w:pPr>
      <w:r w:rsidRPr="00570548">
        <w:rPr>
          <w:b/>
          <w:bCs/>
          <w:sz w:val="24"/>
          <w:szCs w:val="24"/>
        </w:rPr>
        <w:t>Rentabilité</w:t>
      </w:r>
      <w:r>
        <w:t xml:space="preserve"> :</w:t>
      </w:r>
    </w:p>
    <w:p w14:paraId="28BB1C77" w14:textId="77777777" w:rsidR="0078084E" w:rsidRDefault="0078084E" w:rsidP="0078084E">
      <w:pPr>
        <w:pStyle w:val="Paragraphedeliste"/>
        <w:numPr>
          <w:ilvl w:val="1"/>
          <w:numId w:val="2"/>
        </w:numPr>
      </w:pPr>
      <w:r w:rsidRPr="0078084E">
        <w:rPr>
          <w:b/>
          <w:bCs/>
        </w:rPr>
        <w:t xml:space="preserve">ROE - Return On </w:t>
      </w:r>
      <w:proofErr w:type="spellStart"/>
      <w:r w:rsidRPr="0078084E">
        <w:rPr>
          <w:b/>
          <w:bCs/>
        </w:rPr>
        <w:t>Equity</w:t>
      </w:r>
      <w:proofErr w:type="spellEnd"/>
      <w:r>
        <w:t xml:space="preserve"> → Rentabilité des capitaux propres. Mesure la rentabilité des capitaux propres. Il indique la capacité de l’entreprise à générer du profit pour ses actionnaires.</w:t>
      </w:r>
    </w:p>
    <w:p w14:paraId="2D3FC3B1" w14:textId="77777777" w:rsidR="0078084E" w:rsidRDefault="0078084E" w:rsidP="0078084E">
      <w:pPr>
        <w:pStyle w:val="Paragraphedeliste"/>
        <w:numPr>
          <w:ilvl w:val="2"/>
          <w:numId w:val="2"/>
        </w:numPr>
      </w:pPr>
      <w:r>
        <w:t>Un ROE élevé est positif, mais un ROE trop élevé peut aussi cacher une prise de risque excessive.</w:t>
      </w:r>
    </w:p>
    <w:p w14:paraId="3A309DB3" w14:textId="77777777" w:rsidR="000D14C9" w:rsidRDefault="002B41AE" w:rsidP="000D14C9">
      <w:pPr>
        <w:pStyle w:val="Paragraphedeliste"/>
        <w:numPr>
          <w:ilvl w:val="1"/>
          <w:numId w:val="2"/>
        </w:numPr>
      </w:pPr>
      <w:r>
        <w:t xml:space="preserve">Gross </w:t>
      </w:r>
      <w:proofErr w:type="spellStart"/>
      <w:r>
        <w:t>Margin</w:t>
      </w:r>
      <w:proofErr w:type="spellEnd"/>
      <w:r>
        <w:t xml:space="preserve"> → Marge brute.</w:t>
      </w:r>
    </w:p>
    <w:p w14:paraId="304ADBF1" w14:textId="77777777" w:rsidR="000D14C9" w:rsidRDefault="002B41AE" w:rsidP="000D14C9">
      <w:pPr>
        <w:pStyle w:val="Paragraphedeliste"/>
        <w:numPr>
          <w:ilvl w:val="1"/>
          <w:numId w:val="2"/>
        </w:numPr>
      </w:pPr>
      <w:r>
        <w:t xml:space="preserve">Operating </w:t>
      </w:r>
      <w:proofErr w:type="spellStart"/>
      <w:r>
        <w:t>Margin</w:t>
      </w:r>
      <w:proofErr w:type="spellEnd"/>
      <w:r>
        <w:t xml:space="preserve"> → Marge opérationnelle.</w:t>
      </w:r>
    </w:p>
    <w:p w14:paraId="1825C57D" w14:textId="77777777" w:rsidR="000D14C9" w:rsidRDefault="002B41AE" w:rsidP="000D14C9">
      <w:pPr>
        <w:pStyle w:val="Paragraphedeliste"/>
        <w:numPr>
          <w:ilvl w:val="1"/>
          <w:numId w:val="2"/>
        </w:numPr>
        <w:rPr>
          <w:lang w:val="en-US"/>
        </w:rPr>
      </w:pPr>
      <w:r w:rsidRPr="000D14C9">
        <w:rPr>
          <w:lang w:val="en-US"/>
        </w:rPr>
        <w:t>EBIT Margin → Marge EBIT (Earnings Before Interest and Taxes).</w:t>
      </w:r>
    </w:p>
    <w:p w14:paraId="5DBDCDFB" w14:textId="77777777" w:rsidR="000D14C9" w:rsidRDefault="002B41AE" w:rsidP="000D14C9">
      <w:pPr>
        <w:pStyle w:val="Paragraphedeliste"/>
        <w:numPr>
          <w:ilvl w:val="1"/>
          <w:numId w:val="2"/>
        </w:numPr>
        <w:rPr>
          <w:lang w:val="en-US"/>
        </w:rPr>
      </w:pPr>
      <w:r w:rsidRPr="000D14C9">
        <w:rPr>
          <w:lang w:val="en-US"/>
        </w:rPr>
        <w:t>EBITDA Margin → Marge EBITDA (Earnings Before Interest, Taxes, Depreciation, and Amortization).</w:t>
      </w:r>
    </w:p>
    <w:p w14:paraId="620CBDA2" w14:textId="77777777" w:rsidR="000D14C9" w:rsidRDefault="002B41AE" w:rsidP="000D14C9">
      <w:pPr>
        <w:pStyle w:val="Paragraphedeliste"/>
        <w:numPr>
          <w:ilvl w:val="1"/>
          <w:numId w:val="2"/>
        </w:numPr>
      </w:pPr>
      <w:r>
        <w:t>Pre-</w:t>
      </w:r>
      <w:proofErr w:type="spellStart"/>
      <w:r>
        <w:t>Tax</w:t>
      </w:r>
      <w:proofErr w:type="spellEnd"/>
      <w:r>
        <w:t xml:space="preserve"> Profit </w:t>
      </w:r>
      <w:proofErr w:type="spellStart"/>
      <w:r>
        <w:t>Margin</w:t>
      </w:r>
      <w:proofErr w:type="spellEnd"/>
      <w:r>
        <w:t xml:space="preserve"> → Marge bénéficiaire avant impôts.</w:t>
      </w:r>
    </w:p>
    <w:p w14:paraId="5C318A82" w14:textId="77777777" w:rsidR="000D14C9" w:rsidRDefault="002B41AE" w:rsidP="000D14C9">
      <w:pPr>
        <w:pStyle w:val="Paragraphedeliste"/>
        <w:numPr>
          <w:ilvl w:val="1"/>
          <w:numId w:val="2"/>
        </w:numPr>
      </w:pPr>
      <w:r>
        <w:t xml:space="preserve">Net Profit </w:t>
      </w:r>
      <w:proofErr w:type="spellStart"/>
      <w:r>
        <w:t>Margin</w:t>
      </w:r>
      <w:proofErr w:type="spellEnd"/>
      <w:r>
        <w:t xml:space="preserve"> → Marge nette.</w:t>
      </w:r>
    </w:p>
    <w:p w14:paraId="7785548E" w14:textId="77777777" w:rsidR="000D14C9" w:rsidRDefault="002B41AE" w:rsidP="000D14C9">
      <w:pPr>
        <w:pStyle w:val="Paragraphedeliste"/>
        <w:numPr>
          <w:ilvl w:val="1"/>
          <w:numId w:val="2"/>
        </w:numPr>
      </w:pPr>
      <w:r>
        <w:t xml:space="preserve">Return On Tangible </w:t>
      </w:r>
      <w:proofErr w:type="spellStart"/>
      <w:r>
        <w:t>Equity</w:t>
      </w:r>
      <w:proofErr w:type="spellEnd"/>
      <w:r>
        <w:t xml:space="preserve"> → Rentabilité sur les capitaux propres tangibles.</w:t>
      </w:r>
    </w:p>
    <w:p w14:paraId="2907532F" w14:textId="77777777" w:rsidR="000D14C9" w:rsidRDefault="002B41AE" w:rsidP="000D14C9">
      <w:pPr>
        <w:pStyle w:val="Paragraphedeliste"/>
        <w:numPr>
          <w:ilvl w:val="1"/>
          <w:numId w:val="2"/>
        </w:numPr>
      </w:pPr>
      <w:r>
        <w:t>ROA - Return On Assets → Rentabilité des actifs.</w:t>
      </w:r>
    </w:p>
    <w:p w14:paraId="72724EDF" w14:textId="337BA21F" w:rsidR="0087365A" w:rsidRDefault="002B41AE" w:rsidP="000D14C9">
      <w:pPr>
        <w:pStyle w:val="Paragraphedeliste"/>
        <w:numPr>
          <w:ilvl w:val="1"/>
          <w:numId w:val="2"/>
        </w:numPr>
      </w:pPr>
      <w:r>
        <w:t>ROI - Return On Investment → Retour sur investissement.</w:t>
      </w:r>
    </w:p>
    <w:p w14:paraId="7DAC884A" w14:textId="243E78F9" w:rsidR="00282F70" w:rsidRDefault="00282F70" w:rsidP="00282F70">
      <w:r>
        <w:t xml:space="preserve">Résultat des corrélations entre </w:t>
      </w:r>
      <w:r w:rsidR="00572B90">
        <w:t xml:space="preserve">Rating score et les ratios : </w:t>
      </w:r>
    </w:p>
    <w:p w14:paraId="7C340CAC" w14:textId="77777777" w:rsidR="00AE1165" w:rsidRDefault="00AE1165" w:rsidP="00AE1165">
      <w:pPr>
        <w:pStyle w:val="Paragraphedeliste"/>
        <w:numPr>
          <w:ilvl w:val="0"/>
          <w:numId w:val="2"/>
        </w:numPr>
      </w:pPr>
      <w:r>
        <w:t>Ratio de Liquidité :</w:t>
      </w:r>
    </w:p>
    <w:p w14:paraId="3CE01936" w14:textId="75334C26" w:rsidR="00AE1165" w:rsidRDefault="00AE1165" w:rsidP="00AE1165">
      <w:pPr>
        <w:pStyle w:val="Paragraphedeliste"/>
        <w:numPr>
          <w:ilvl w:val="1"/>
          <w:numId w:val="2"/>
        </w:numPr>
      </w:pPr>
      <w:r>
        <w:t xml:space="preserve"> </w:t>
      </w:r>
      <w:proofErr w:type="spellStart"/>
      <w:r w:rsidRPr="00327A44">
        <w:t>Current</w:t>
      </w:r>
      <w:proofErr w:type="spellEnd"/>
      <w:r w:rsidRPr="00327A44">
        <w:t xml:space="preserve"> Ratio (+0.1677)</w:t>
      </w:r>
      <w:r>
        <w:t xml:space="preserve">, </w:t>
      </w:r>
      <w:r w:rsidR="00B077CF">
        <w:t>corrélation positive. U</w:t>
      </w:r>
      <w:r w:rsidRPr="00AE1165">
        <w:t xml:space="preserve">ne meilleure liquidité </w:t>
      </w:r>
      <w:r>
        <w:t>-</w:t>
      </w:r>
      <w:proofErr w:type="gramStart"/>
      <w:r>
        <w:t>&gt;</w:t>
      </w:r>
      <w:r w:rsidRPr="00AE1165">
        <w:t xml:space="preserve">  une</w:t>
      </w:r>
      <w:proofErr w:type="gramEnd"/>
      <w:r w:rsidRPr="00AE1165">
        <w:t xml:space="preserve"> meilleure notation</w:t>
      </w:r>
    </w:p>
    <w:p w14:paraId="7BBD4F37" w14:textId="1BD45C28" w:rsidR="00A472E9" w:rsidRDefault="00A472E9" w:rsidP="00A472E9">
      <w:pPr>
        <w:pStyle w:val="Paragraphedeliste"/>
        <w:numPr>
          <w:ilvl w:val="0"/>
          <w:numId w:val="2"/>
        </w:numPr>
      </w:pPr>
      <w:r>
        <w:t>Ratio d’endettement</w:t>
      </w:r>
      <w:r w:rsidR="00432041">
        <w:t xml:space="preserve"> : </w:t>
      </w:r>
    </w:p>
    <w:p w14:paraId="5D30CF63" w14:textId="38E90183" w:rsidR="004F7FF8" w:rsidRDefault="008018B6" w:rsidP="004F7FF8">
      <w:pPr>
        <w:pStyle w:val="Paragraphedeliste"/>
        <w:numPr>
          <w:ilvl w:val="1"/>
          <w:numId w:val="2"/>
        </w:numPr>
      </w:pPr>
      <w:proofErr w:type="spellStart"/>
      <w:r w:rsidRPr="00B077CF">
        <w:t>Debt</w:t>
      </w:r>
      <w:proofErr w:type="spellEnd"/>
      <w:r w:rsidRPr="00B077CF">
        <w:t>/</w:t>
      </w:r>
      <w:proofErr w:type="spellStart"/>
      <w:r w:rsidRPr="00B077CF">
        <w:t>Equity</w:t>
      </w:r>
      <w:proofErr w:type="spellEnd"/>
      <w:r w:rsidRPr="00B077CF">
        <w:t xml:space="preserve"> Ratio (-0.0207</w:t>
      </w:r>
      <w:r w:rsidRPr="00B077CF">
        <w:t xml:space="preserve">) et </w:t>
      </w:r>
      <w:r w:rsidRPr="00B077CF">
        <w:t>Long-</w:t>
      </w:r>
      <w:proofErr w:type="spellStart"/>
      <w:r w:rsidRPr="00B077CF">
        <w:t>term</w:t>
      </w:r>
      <w:proofErr w:type="spellEnd"/>
      <w:r w:rsidRPr="00B077CF">
        <w:t xml:space="preserve"> </w:t>
      </w:r>
      <w:proofErr w:type="spellStart"/>
      <w:r w:rsidRPr="00B077CF">
        <w:t>Debt</w:t>
      </w:r>
      <w:proofErr w:type="spellEnd"/>
      <w:r w:rsidRPr="00B077CF">
        <w:t xml:space="preserve"> / Capital</w:t>
      </w:r>
      <w:r w:rsidRPr="00B077CF">
        <w:t xml:space="preserve"> (</w:t>
      </w:r>
      <w:r w:rsidR="007E5A6B" w:rsidRPr="00B077CF">
        <w:t>0.041973</w:t>
      </w:r>
      <w:r w:rsidR="007E5A6B" w:rsidRPr="00B077CF">
        <w:t>)</w:t>
      </w:r>
      <w:r w:rsidR="00B077CF" w:rsidRPr="00B077CF">
        <w:t xml:space="preserve"> </w:t>
      </w:r>
      <w:r w:rsidR="007E5A6B" w:rsidRPr="00B077CF">
        <w:t xml:space="preserve">; </w:t>
      </w:r>
      <w:r w:rsidR="00B077CF" w:rsidRPr="00B077CF">
        <w:t>Corrélation très faible voire nulle.</w:t>
      </w:r>
      <w:r w:rsidR="00B077CF">
        <w:t xml:space="preserve"> </w:t>
      </w:r>
      <w:r w:rsidR="00B077CF" w:rsidRPr="00B077CF">
        <w:t xml:space="preserve">Cela signifie </w:t>
      </w:r>
      <w:r w:rsidR="004F7FF8" w:rsidRPr="004F7FF8">
        <w:t>il n’y a pas de relation linéaire forte entre ce</w:t>
      </w:r>
      <w:r w:rsidR="004F7FF8">
        <w:t>s</w:t>
      </w:r>
      <w:r w:rsidR="004F7FF8" w:rsidRPr="004F7FF8">
        <w:t xml:space="preserve"> ratio</w:t>
      </w:r>
      <w:r w:rsidR="004F7FF8">
        <w:t>s</w:t>
      </w:r>
      <w:r w:rsidR="004F7FF8" w:rsidRPr="004F7FF8">
        <w:t xml:space="preserve"> d’endettement et la notation de crédit.</w:t>
      </w:r>
    </w:p>
    <w:p w14:paraId="3B7BE9E7" w14:textId="7A107E55" w:rsidR="004F7FF8" w:rsidRDefault="004F7FF8" w:rsidP="004F7FF8">
      <w:pPr>
        <w:pStyle w:val="Paragraphedeliste"/>
        <w:numPr>
          <w:ilvl w:val="1"/>
          <w:numId w:val="2"/>
        </w:numPr>
      </w:pPr>
      <w:r>
        <w:sym w:font="Wingdings" w:char="F0E8"/>
      </w:r>
      <w:r>
        <w:t xml:space="preserve"> </w:t>
      </w:r>
      <w:r w:rsidR="00154930">
        <w:t>Possibilité que l</w:t>
      </w:r>
      <w:r w:rsidR="00154930" w:rsidRPr="005532C1">
        <w:t>’impact</w:t>
      </w:r>
      <w:r w:rsidR="005532C1" w:rsidRPr="005532C1">
        <w:t xml:space="preserve"> de l’endettement soit non linéaire ou qu’il interagisse avec d’autres ratios</w:t>
      </w:r>
    </w:p>
    <w:p w14:paraId="6F64F983" w14:textId="0F3AC8AA" w:rsidR="00A472E9" w:rsidRDefault="00A472E9" w:rsidP="006857ED">
      <w:pPr>
        <w:pStyle w:val="Paragraphedeliste"/>
        <w:numPr>
          <w:ilvl w:val="0"/>
          <w:numId w:val="2"/>
        </w:numPr>
      </w:pPr>
      <w:r>
        <w:t>Ratio d</w:t>
      </w:r>
      <w:r w:rsidR="00F513BC">
        <w:t xml:space="preserve">e rentabilité : </w:t>
      </w:r>
    </w:p>
    <w:p w14:paraId="052C7A5C" w14:textId="7A497907" w:rsidR="00F513BC" w:rsidRDefault="003F5A22" w:rsidP="003F5A22">
      <w:pPr>
        <w:pStyle w:val="Paragraphedeliste"/>
        <w:numPr>
          <w:ilvl w:val="1"/>
          <w:numId w:val="2"/>
        </w:numPr>
      </w:pPr>
      <w:r>
        <w:t xml:space="preserve">Net Profit </w:t>
      </w:r>
      <w:proofErr w:type="spellStart"/>
      <w:r>
        <w:t>Margin</w:t>
      </w:r>
      <w:proofErr w:type="spellEnd"/>
      <w:r>
        <w:t xml:space="preserve"> </w:t>
      </w:r>
      <w:r>
        <w:t>(</w:t>
      </w:r>
      <w:r>
        <w:t>-0.2</w:t>
      </w:r>
      <w:r w:rsidR="00E729A4">
        <w:t>687</w:t>
      </w:r>
      <w:r>
        <w:t xml:space="preserve">) </w:t>
      </w:r>
      <w:r>
        <w:t xml:space="preserve">ROI : </w:t>
      </w:r>
      <w:r>
        <w:t>(</w:t>
      </w:r>
      <w:r>
        <w:t>-0.23</w:t>
      </w:r>
      <w:r w:rsidR="00E729A4">
        <w:t>43</w:t>
      </w:r>
      <w:r>
        <w:t xml:space="preserve">) </w:t>
      </w:r>
      <w:r>
        <w:t xml:space="preserve">EBITDA </w:t>
      </w:r>
      <w:proofErr w:type="spellStart"/>
      <w:r>
        <w:t>Margin</w:t>
      </w:r>
      <w:proofErr w:type="spellEnd"/>
      <w:r>
        <w:t xml:space="preserve"> : </w:t>
      </w:r>
      <w:r>
        <w:t>(</w:t>
      </w:r>
      <w:r>
        <w:t>-0.20</w:t>
      </w:r>
      <w:r w:rsidR="00AF41AB">
        <w:t>68</w:t>
      </w:r>
      <w:r>
        <w:t>)</w:t>
      </w:r>
      <w:r w:rsidR="00AF41AB">
        <w:t xml:space="preserve"> ; Corrélation </w:t>
      </w:r>
      <w:r w:rsidR="009A3E8E">
        <w:t xml:space="preserve">faiblement </w:t>
      </w:r>
      <w:r w:rsidR="00AF41AB">
        <w:t>négative</w:t>
      </w:r>
      <w:r w:rsidR="0009094A">
        <w:t>. O</w:t>
      </w:r>
      <w:r w:rsidR="0009094A" w:rsidRPr="0009094A">
        <w:t>n s'attend à ce qu’une meilleure rentabilité → meilleure note</w:t>
      </w:r>
      <w:r w:rsidR="0009094A">
        <w:t xml:space="preserve">. </w:t>
      </w:r>
    </w:p>
    <w:p w14:paraId="0B33CF0A" w14:textId="659DF04F" w:rsidR="0009094A" w:rsidRDefault="0009094A" w:rsidP="003F5A22">
      <w:pPr>
        <w:pStyle w:val="Paragraphedeliste"/>
        <w:numPr>
          <w:ilvl w:val="1"/>
          <w:numId w:val="2"/>
        </w:numPr>
      </w:pPr>
      <w:r>
        <w:sym w:font="Wingdings" w:char="F0E8"/>
      </w:r>
      <w:r w:rsidR="00060A2C" w:rsidRPr="00060A2C">
        <w:t xml:space="preserve"> </w:t>
      </w:r>
      <w:r w:rsidR="00060A2C" w:rsidRPr="00060A2C">
        <w:t>Il se peut que certaines entreprises très rentables soient paradoxalement mal notées (startups, secteurs volatiles, effets comptables)</w:t>
      </w:r>
    </w:p>
    <w:p w14:paraId="2E1BC363" w14:textId="06EB87FF" w:rsidR="001C277D" w:rsidRPr="000D14C9" w:rsidRDefault="001C277D" w:rsidP="001C277D">
      <w:r>
        <w:sym w:font="Wingdings" w:char="F0E8"/>
      </w:r>
      <w:proofErr w:type="spellStart"/>
      <w:r w:rsidR="00084067">
        <w:t>Quelque</w:t>
      </w:r>
      <w:proofErr w:type="spellEnd"/>
      <w:r w:rsidR="00084067">
        <w:t xml:space="preserve"> soit le résultat de l’analyse de la corrélation de la notatio</w:t>
      </w:r>
      <w:r w:rsidR="00D36D89">
        <w:t>n</w:t>
      </w:r>
      <w:r w:rsidR="00084067">
        <w:t xml:space="preserve"> de crédit avec </w:t>
      </w:r>
      <w:r w:rsidR="00E07784">
        <w:t xml:space="preserve">le ratio, un seul ratio financier ne suffit pas pour </w:t>
      </w:r>
      <w:r w:rsidR="00D36D89">
        <w:t xml:space="preserve">avoir une image complète de situation d’une entreprise. </w:t>
      </w:r>
      <w:proofErr w:type="spellStart"/>
      <w:r>
        <w:t>Nécesssité</w:t>
      </w:r>
      <w:proofErr w:type="spellEnd"/>
      <w:r>
        <w:t xml:space="preserve"> ici de ramener une approche sectorielle, pour </w:t>
      </w:r>
      <w:r w:rsidR="0028715B">
        <w:t xml:space="preserve">segmenter notre analyse par secteur. </w:t>
      </w:r>
    </w:p>
    <w:sectPr w:rsidR="001C277D" w:rsidRPr="000D1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7E10B8"/>
    <w:multiLevelType w:val="hybridMultilevel"/>
    <w:tmpl w:val="2836FADE"/>
    <w:lvl w:ilvl="0" w:tplc="5FD6F9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5420CB"/>
    <w:multiLevelType w:val="hybridMultilevel"/>
    <w:tmpl w:val="3E3AC980"/>
    <w:lvl w:ilvl="0" w:tplc="8BD6108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981EB3"/>
    <w:multiLevelType w:val="hybridMultilevel"/>
    <w:tmpl w:val="77CA27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69832631">
    <w:abstractNumId w:val="2"/>
  </w:num>
  <w:num w:numId="2" w16cid:durableId="1373067978">
    <w:abstractNumId w:val="1"/>
  </w:num>
  <w:num w:numId="3" w16cid:durableId="59324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838"/>
    <w:rsid w:val="00060A2C"/>
    <w:rsid w:val="00084067"/>
    <w:rsid w:val="0009094A"/>
    <w:rsid w:val="000D14C9"/>
    <w:rsid w:val="00154930"/>
    <w:rsid w:val="001779B9"/>
    <w:rsid w:val="001C277D"/>
    <w:rsid w:val="00282F70"/>
    <w:rsid w:val="0028715B"/>
    <w:rsid w:val="002A15A4"/>
    <w:rsid w:val="002B41AE"/>
    <w:rsid w:val="00327A44"/>
    <w:rsid w:val="003F5A22"/>
    <w:rsid w:val="00432041"/>
    <w:rsid w:val="00446838"/>
    <w:rsid w:val="004F7FF8"/>
    <w:rsid w:val="0053429C"/>
    <w:rsid w:val="005532C1"/>
    <w:rsid w:val="00570548"/>
    <w:rsid w:val="00572B90"/>
    <w:rsid w:val="005B587D"/>
    <w:rsid w:val="005C157F"/>
    <w:rsid w:val="006C7F9B"/>
    <w:rsid w:val="007308FB"/>
    <w:rsid w:val="0078084E"/>
    <w:rsid w:val="007E5A6B"/>
    <w:rsid w:val="008018B6"/>
    <w:rsid w:val="0087365A"/>
    <w:rsid w:val="009A3E8E"/>
    <w:rsid w:val="00A21AA3"/>
    <w:rsid w:val="00A472E9"/>
    <w:rsid w:val="00AE1165"/>
    <w:rsid w:val="00AF41AB"/>
    <w:rsid w:val="00B077CF"/>
    <w:rsid w:val="00B8246A"/>
    <w:rsid w:val="00B90DFE"/>
    <w:rsid w:val="00BB1E4A"/>
    <w:rsid w:val="00C40458"/>
    <w:rsid w:val="00CD0F68"/>
    <w:rsid w:val="00D36D89"/>
    <w:rsid w:val="00E07784"/>
    <w:rsid w:val="00E729A4"/>
    <w:rsid w:val="00F513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0662"/>
  <w15:chartTrackingRefBased/>
  <w15:docId w15:val="{72CCBE33-400B-4C92-8B8E-678EFA0D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6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46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4683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683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683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68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68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68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68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683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4683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4683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683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683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68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68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68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6838"/>
    <w:rPr>
      <w:rFonts w:eastAsiaTheme="majorEastAsia" w:cstheme="majorBidi"/>
      <w:color w:val="272727" w:themeColor="text1" w:themeTint="D8"/>
    </w:rPr>
  </w:style>
  <w:style w:type="paragraph" w:styleId="Titre">
    <w:name w:val="Title"/>
    <w:basedOn w:val="Normal"/>
    <w:next w:val="Normal"/>
    <w:link w:val="TitreCar"/>
    <w:uiPriority w:val="10"/>
    <w:qFormat/>
    <w:rsid w:val="00446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68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68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68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6838"/>
    <w:pPr>
      <w:spacing w:before="160"/>
      <w:jc w:val="center"/>
    </w:pPr>
    <w:rPr>
      <w:i/>
      <w:iCs/>
      <w:color w:val="404040" w:themeColor="text1" w:themeTint="BF"/>
    </w:rPr>
  </w:style>
  <w:style w:type="character" w:customStyle="1" w:styleId="CitationCar">
    <w:name w:val="Citation Car"/>
    <w:basedOn w:val="Policepardfaut"/>
    <w:link w:val="Citation"/>
    <w:uiPriority w:val="29"/>
    <w:rsid w:val="00446838"/>
    <w:rPr>
      <w:i/>
      <w:iCs/>
      <w:color w:val="404040" w:themeColor="text1" w:themeTint="BF"/>
    </w:rPr>
  </w:style>
  <w:style w:type="paragraph" w:styleId="Paragraphedeliste">
    <w:name w:val="List Paragraph"/>
    <w:basedOn w:val="Normal"/>
    <w:uiPriority w:val="34"/>
    <w:qFormat/>
    <w:rsid w:val="00446838"/>
    <w:pPr>
      <w:ind w:left="720"/>
      <w:contextualSpacing/>
    </w:pPr>
  </w:style>
  <w:style w:type="character" w:styleId="Accentuationintense">
    <w:name w:val="Intense Emphasis"/>
    <w:basedOn w:val="Policepardfaut"/>
    <w:uiPriority w:val="21"/>
    <w:qFormat/>
    <w:rsid w:val="00446838"/>
    <w:rPr>
      <w:i/>
      <w:iCs/>
      <w:color w:val="0F4761" w:themeColor="accent1" w:themeShade="BF"/>
    </w:rPr>
  </w:style>
  <w:style w:type="paragraph" w:styleId="Citationintense">
    <w:name w:val="Intense Quote"/>
    <w:basedOn w:val="Normal"/>
    <w:next w:val="Normal"/>
    <w:link w:val="CitationintenseCar"/>
    <w:uiPriority w:val="30"/>
    <w:qFormat/>
    <w:rsid w:val="00446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6838"/>
    <w:rPr>
      <w:i/>
      <w:iCs/>
      <w:color w:val="0F4761" w:themeColor="accent1" w:themeShade="BF"/>
    </w:rPr>
  </w:style>
  <w:style w:type="character" w:styleId="Rfrenceintense">
    <w:name w:val="Intense Reference"/>
    <w:basedOn w:val="Policepardfaut"/>
    <w:uiPriority w:val="32"/>
    <w:qFormat/>
    <w:rsid w:val="00446838"/>
    <w:rPr>
      <w:b/>
      <w:bCs/>
      <w:smallCaps/>
      <w:color w:val="0F4761" w:themeColor="accent1" w:themeShade="BF"/>
      <w:spacing w:val="5"/>
    </w:rPr>
  </w:style>
  <w:style w:type="character" w:styleId="Lienhypertexte">
    <w:name w:val="Hyperlink"/>
    <w:basedOn w:val="Policepardfaut"/>
    <w:uiPriority w:val="99"/>
    <w:unhideWhenUsed/>
    <w:rsid w:val="006C7F9B"/>
    <w:rPr>
      <w:color w:val="467886" w:themeColor="hyperlink"/>
      <w:u w:val="single"/>
    </w:rPr>
  </w:style>
  <w:style w:type="character" w:styleId="Mentionnonrsolue">
    <w:name w:val="Unresolved Mention"/>
    <w:basedOn w:val="Policepardfaut"/>
    <w:uiPriority w:val="99"/>
    <w:semiHidden/>
    <w:unhideWhenUsed/>
    <w:rsid w:val="006C7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111929">
      <w:bodyDiv w:val="1"/>
      <w:marLeft w:val="0"/>
      <w:marRight w:val="0"/>
      <w:marTop w:val="0"/>
      <w:marBottom w:val="0"/>
      <w:divBdr>
        <w:top w:val="none" w:sz="0" w:space="0" w:color="auto"/>
        <w:left w:val="none" w:sz="0" w:space="0" w:color="auto"/>
        <w:bottom w:val="none" w:sz="0" w:space="0" w:color="auto"/>
        <w:right w:val="none" w:sz="0" w:space="0" w:color="auto"/>
      </w:divBdr>
    </w:div>
    <w:div w:id="843126170">
      <w:bodyDiv w:val="1"/>
      <w:marLeft w:val="0"/>
      <w:marRight w:val="0"/>
      <w:marTop w:val="0"/>
      <w:marBottom w:val="0"/>
      <w:divBdr>
        <w:top w:val="none" w:sz="0" w:space="0" w:color="auto"/>
        <w:left w:val="none" w:sz="0" w:space="0" w:color="auto"/>
        <w:bottom w:val="none" w:sz="0" w:space="0" w:color="auto"/>
        <w:right w:val="none" w:sz="0" w:space="0" w:color="auto"/>
      </w:divBdr>
    </w:div>
    <w:div w:id="1612466796">
      <w:bodyDiv w:val="1"/>
      <w:marLeft w:val="0"/>
      <w:marRight w:val="0"/>
      <w:marTop w:val="0"/>
      <w:marBottom w:val="0"/>
      <w:divBdr>
        <w:top w:val="none" w:sz="0" w:space="0" w:color="auto"/>
        <w:left w:val="none" w:sz="0" w:space="0" w:color="auto"/>
        <w:bottom w:val="none" w:sz="0" w:space="0" w:color="auto"/>
        <w:right w:val="none" w:sz="0" w:space="0" w:color="auto"/>
      </w:divBdr>
    </w:div>
    <w:div w:id="1979604986">
      <w:bodyDiv w:val="1"/>
      <w:marLeft w:val="0"/>
      <w:marRight w:val="0"/>
      <w:marTop w:val="0"/>
      <w:marBottom w:val="0"/>
      <w:divBdr>
        <w:top w:val="none" w:sz="0" w:space="0" w:color="auto"/>
        <w:left w:val="none" w:sz="0" w:space="0" w:color="auto"/>
        <w:bottom w:val="none" w:sz="0" w:space="0" w:color="auto"/>
        <w:right w:val="none" w:sz="0" w:space="0" w:color="auto"/>
      </w:divBdr>
    </w:div>
    <w:div w:id="20117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c.gov/corpfin/division-of-corporation-finance-standard-industrial-classification-sic-code-lis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688</Words>
  <Characters>3785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Pokame</dc:creator>
  <cp:keywords/>
  <dc:description/>
  <cp:lastModifiedBy>Jean-paul Pokame</cp:lastModifiedBy>
  <cp:revision>35</cp:revision>
  <dcterms:created xsi:type="dcterms:W3CDTF">2025-03-29T13:55:00Z</dcterms:created>
  <dcterms:modified xsi:type="dcterms:W3CDTF">2025-04-05T15:38:00Z</dcterms:modified>
</cp:coreProperties>
</file>