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c5167ccd055cb744fafaadbf12dc9461d6db14"/>
    <w:p>
      <w:pPr>
        <w:pStyle w:val="Heading1"/>
      </w:pPr>
      <w:r>
        <w:rPr>
          <w:lang w:val="pl"/>
        </w:rPr>
        <w:t xml:space="preserve">Pokorna prośba — „Jezusie, Synu Dawida, ulituj się nade mną!”</w:t>
      </w:r>
    </w:p>
    <w:p>
      <w:pPr>
        <w:pStyle w:val="FirstParagraph"/>
      </w:pPr>
      <w:r>
        <w:rPr>
          <w:i/>
          <w:iCs/>
          <w:lang w:val="pl"/>
        </w:rPr>
        <w:t xml:space="preserve">Konspekt spotkania kręgu — cykl „12 Kroków na drodze do wolności”, krok 7 z 12</w:t>
      </w:r>
    </w:p>
    <w:p>
      <w:pPr>
        <w:pStyle w:val="BlockText"/>
      </w:pPr>
      <w:r>
        <w:rPr>
          <w:b/>
          <w:bCs/>
          <w:lang w:val="pl"/>
        </w:rPr>
        <w:t xml:space="preserve">Krok 7.</w:t>
      </w:r>
      <w:r>
        <w:rPr>
          <w:lang w:val="pl"/>
        </w:rPr>
        <w:t xml:space="preserve"> </w:t>
      </w:r>
      <w:r>
        <w:rPr>
          <w:lang w:val="pl"/>
        </w:rPr>
        <w:t xml:space="preserve">Zwróciliśmy się do Niego w pokorze, aby swoją łaską usunął nasze braki.</w:t>
      </w:r>
    </w:p>
    <w:p>
      <w:pPr>
        <w:pStyle w:val="FirstParagraph"/>
      </w:pPr>
      <w:r>
        <w:rPr>
          <w:b/>
          <w:bCs/>
          <w:lang w:val="pl"/>
        </w:rPr>
        <w:t xml:space="preserve">Cel spotkania:</w:t>
      </w:r>
      <w:r>
        <w:rPr>
          <w:lang w:val="pl"/>
        </w:rPr>
        <w:t xml:space="preserve"> </w:t>
      </w:r>
      <w:r>
        <w:rPr>
          <w:lang w:val="pl"/>
        </w:rPr>
        <w:t xml:space="preserve">odkrycie pokory jako prawdy o sobie, a nie poniżania siebie; zrozumienie, że przemiana jest dziełem łaski, o którą trzeba prosić wytrwale; zachęta do pokornej prośby w modlitwie osobistej i rodzinnej oraz do czerpania łaski z Eucharystii.</w:t>
      </w:r>
    </w:p>
    <w:p>
      <w:pPr>
        <w:pStyle w:val="BlockText"/>
      </w:pPr>
      <w:r>
        <w:rPr>
          <w:lang w:val="pl"/>
        </w:rPr>
        <w:t xml:space="preserve">„Bóg sprzeciwia się pysznym, pokornym zaś daje łaskę. (…) Uniżcie się przed Panem, a wywyższy was” (Jk 4,6.10).</w:t>
      </w:r>
    </w:p>
    <w:p>
      <w:pPr>
        <w:pStyle w:val="FirstParagraph"/>
      </w:pPr>
      <w:r>
        <w:rPr>
          <w:i/>
          <w:iCs/>
          <w:lang w:val="pl"/>
        </w:rPr>
        <w:t xml:space="preserve">Akapity oznaczone 🔍</w:t>
      </w:r>
      <w:r>
        <w:rPr>
          <w:i/>
          <w:iCs/>
          <w:lang w:val="pl"/>
        </w:rPr>
        <w:t xml:space="preserve"> </w:t>
      </w:r>
      <w:r>
        <w:rPr>
          <w:b/>
          <w:bCs/>
          <w:i/>
          <w:iCs/>
          <w:lang w:val="pl"/>
        </w:rPr>
        <w:t xml:space="preserve">DO SPRAWDZENIA</w:t>
      </w:r>
      <w:r>
        <w:rPr>
          <w:i/>
          <w:iCs/>
          <w:lang w:val="pl"/>
        </w:rPr>
        <w:t xml:space="preserve"> </w:t>
      </w:r>
      <w:r>
        <w:rPr>
          <w:i/>
          <w:iCs/>
          <w:lang w:val="pl"/>
        </w:rPr>
        <w:t xml:space="preserve">wymagają sprawdzenia przed użyciem konspektu. Wykaz jest na końcu dokumentu. Wszelkie pogrubienia, także w tekstach źródłowych, pochodzą od autorów konspektu.</w:t>
      </w:r>
    </w:p>
    <w:p>
      <w:r>
        <w:pict>
          <v:rect style="width:0;height:1.5pt" o:hralign="center" o:hrstd="t" o:hr="t"/>
        </w:pict>
      </w:r>
    </w:p>
    <w:bookmarkStart w:id="9" w:name="i.-dzielenie-się-życiem"/>
    <w:p>
      <w:pPr>
        <w:pStyle w:val="Heading2"/>
      </w:pPr>
      <w:r>
        <w:rPr>
          <w:lang w:val="pl"/>
        </w:rPr>
        <w:t xml:space="preserve">I. Dzielenie się życiem</w:t>
      </w:r>
    </w:p>
    <w:p>
      <w:pPr>
        <w:pStyle w:val="FirstParagraph"/>
      </w:pPr>
      <w:r>
        <w:rPr>
          <w:lang w:val="pl"/>
        </w:rPr>
        <w:t xml:space="preserve">Podzielmy się radościami i troskami, których doświadczyliśmy od poprzedniego spotkania kręgu.</w:t>
      </w:r>
    </w:p>
    <w:p>
      <w:pPr>
        <w:pStyle w:val="BodyText"/>
      </w:pPr>
      <w:r>
        <w:rPr>
          <w:lang w:val="pl"/>
        </w:rPr>
        <w:t xml:space="preserve">Nawiązując do kroku 6: czy udało nam się podjąć decyzję o rekolekcjach? Czy zauważyłem/zauważyłam w sobie choćby odrobinę większej gotowości do zmiany?</w:t>
      </w:r>
    </w:p>
    <w:p>
      <w:pPr>
        <w:pStyle w:val="BodyText"/>
      </w:pPr>
      <w:r>
        <w:rPr>
          <w:lang w:val="pl"/>
        </w:rPr>
        <w:t xml:space="preserve">Przypominamy zasadę: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to, co zostało powiedziane w kręgu, zostaje w kręgu</w:t>
      </w:r>
      <w:r>
        <w:rPr>
          <w:lang w:val="pl"/>
        </w:rPr>
        <w:t xml:space="preserve">.</w:t>
      </w:r>
    </w:p>
    <w:bookmarkEnd w:id="9"/>
    <w:bookmarkStart w:id="10" w:name="ii.-część-modlitewna"/>
    <w:p>
      <w:pPr>
        <w:pStyle w:val="Heading2"/>
      </w:pPr>
      <w:r>
        <w:rPr>
          <w:lang w:val="pl"/>
        </w:rPr>
        <w:t xml:space="preserve">II. Część modlitewna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Zapalenie świecy i odczytanie słów: „Jeżeli będziecie trwać w nauce mojej, będziecie prawdziwie moimi uczniami i poznacie prawdę, a prawda was wyzwoli” (J 8,31-32). Modlitwa do Ducha Świętego.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Dzielenie się słowem Bożym — do wyboru: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  <w:lang w:val="pl"/>
        </w:rPr>
        <w:t xml:space="preserve">Mk 10,46-52</w:t>
      </w:r>
      <w:r>
        <w:rPr>
          <w:lang w:val="pl"/>
        </w:rPr>
        <w:t xml:space="preserve"> </w:t>
      </w:r>
      <w:r>
        <w:rPr>
          <w:lang w:val="pl"/>
        </w:rPr>
        <w:t xml:space="preserve">(wiodący) — niewidomy żebrak Bartymeusz woła o litość mimo uciszania; na pytanie „Co chcesz, abym ci uczynił?” odpowiada prosto: „żebym przejrzał”;</w:t>
      </w:r>
    </w:p>
    <w:p>
      <w:pPr>
        <w:pStyle w:val="Compact"/>
        <w:numPr>
          <w:ilvl w:val="1"/>
          <w:numId w:val="1002"/>
        </w:numPr>
      </w:pPr>
      <w:r>
        <w:rPr>
          <w:lang w:val="pl"/>
        </w:rPr>
        <w:t xml:space="preserve">Mt 8,1-4 — trędowaty: „Panie, jeśli chcesz, możesz mnie oczyścić”, i odpowiedź Jezusa: „Chcę, bądź oczyszczony!”;</w:t>
      </w:r>
    </w:p>
    <w:p>
      <w:pPr>
        <w:pStyle w:val="Compact"/>
        <w:numPr>
          <w:ilvl w:val="1"/>
          <w:numId w:val="1002"/>
        </w:numPr>
      </w:pPr>
      <w:r>
        <w:rPr>
          <w:lang w:val="pl"/>
        </w:rPr>
        <w:t xml:space="preserve">Mt 15,21-28 — kobieta kananejska w pokorze i wytrwałości prosi o okruchy — i słyszy: „wielka jest twoja wiara”;</w:t>
      </w:r>
    </w:p>
    <w:p>
      <w:pPr>
        <w:pStyle w:val="Compact"/>
        <w:numPr>
          <w:ilvl w:val="1"/>
          <w:numId w:val="1002"/>
        </w:numPr>
      </w:pPr>
      <w:r>
        <w:rPr>
          <w:lang w:val="pl"/>
        </w:rPr>
        <w:t xml:space="preserve">Łk 11,5-13 — przyjaciel proszący o północy; „Proście, a będzie wam dane”; Ojciec daje Ducha Świętego tym, którzy Go proszą.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  <w:lang w:val="pl"/>
        </w:rPr>
        <w:t xml:space="preserve">Poza Ewangelią:</w:t>
      </w:r>
      <w:r>
        <w:rPr>
          <w:lang w:val="pl"/>
        </w:rPr>
        <w:t xml:space="preserve"> </w:t>
      </w:r>
      <w:r>
        <w:rPr>
          <w:lang w:val="pl"/>
        </w:rPr>
        <w:t xml:space="preserve">Jk 4,6-10 (Bóg daje łaskę pokornym); Ps 51,3-14 („Stwórz, o Boże, we mnie serce czyste”).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Krótka modlitwa spontaniczna jako odpowiedź na słowo Boże i dzielenie się życiem: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pokorna prośba</w:t>
      </w:r>
      <w:r>
        <w:rPr>
          <w:lang w:val="pl"/>
        </w:rPr>
        <w:t xml:space="preserve"> </w:t>
      </w:r>
      <w:r>
        <w:rPr>
          <w:lang w:val="pl"/>
        </w:rPr>
        <w:t xml:space="preserve">— każdy prosi Boga jednym prostym zdaniem, jak Bartymeusz, o uzdrowienie jednego braku (można w ciszy serca).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Tajemnica różańca z dopowiedzeniami: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Ustanowienie Eucharystii</w:t>
      </w:r>
      <w:r>
        <w:rPr>
          <w:lang w:val="pl"/>
        </w:rPr>
        <w:t xml:space="preserve"> </w:t>
      </w:r>
      <w:r>
        <w:rPr>
          <w:lang w:val="pl"/>
        </w:rPr>
        <w:t xml:space="preserve">(Eucharystia jako pokarm i lekarstwo dla słabych).</w:t>
      </w:r>
    </w:p>
    <w:bookmarkEnd w:id="10"/>
    <w:bookmarkStart w:id="15" w:name="iii.-część-formacyjna"/>
    <w:p>
      <w:pPr>
        <w:pStyle w:val="Heading2"/>
      </w:pPr>
      <w:r>
        <w:rPr>
          <w:lang w:val="pl"/>
        </w:rPr>
        <w:t xml:space="preserve">III. Część formacyjna</w:t>
      </w:r>
    </w:p>
    <w:bookmarkStart w:id="11" w:name="dzielenie-się-realizacją-zobowiązań"/>
    <w:p>
      <w:pPr>
        <w:pStyle w:val="Heading3"/>
      </w:pPr>
      <w:r>
        <w:rPr>
          <w:lang w:val="pl"/>
        </w:rPr>
        <w:t xml:space="preserve">1. Dzielenie się realizacją zobowiązań</w:t>
      </w:r>
    </w:p>
    <w:p>
      <w:pPr>
        <w:pStyle w:val="FirstParagraph"/>
      </w:pPr>
      <w:r>
        <w:rPr>
          <w:lang w:val="pl"/>
        </w:rPr>
        <w:t xml:space="preserve">Dzielimy się realizacją wszystkich zobowiązań, ze szczególnym zwróceniem uwagi na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codzienną modlitwę rodzinną</w:t>
      </w:r>
      <w:r>
        <w:rPr>
          <w:lang w:val="pl"/>
        </w:rPr>
        <w:t xml:space="preserve">.</w:t>
      </w:r>
    </w:p>
    <w:p>
      <w:pPr>
        <w:pStyle w:val="BodyText"/>
      </w:pPr>
      <w:r>
        <w:rPr>
          <w:lang w:val="pl"/>
        </w:rPr>
        <w:t xml:space="preserve">Czy modlimy się codziennie razem z dziećmi (lub — gdy dzieci są dorosłe — w intencji rodziny)? Czy w modlitwie rodzinnej jest miejsce na prośbę o przebaczenie i na przeproszenie siebie nawzajem? Co utrudnia nam wspólną modlitwę: różne godziny, zmęczenie, opór nastolatków, wstyd? Czego nauczyły nas dzieci o prostej, ufnej prośbie?</w:t>
      </w:r>
    </w:p>
    <w:bookmarkEnd w:id="11"/>
    <w:bookmarkStart w:id="12" w:name="omówienie-tematu-pokorna-prośba"/>
    <w:p>
      <w:pPr>
        <w:pStyle w:val="Heading3"/>
      </w:pPr>
      <w:r>
        <w:rPr>
          <w:lang w:val="pl"/>
        </w:rPr>
        <w:t xml:space="preserve">2. Omówienie tematu: „Pokorna prośba”</w:t>
      </w:r>
    </w:p>
    <w:p>
      <w:pPr>
        <w:pStyle w:val="FirstParagraph"/>
      </w:pPr>
      <w:r>
        <w:rPr>
          <w:i/>
          <w:iCs/>
          <w:lang w:val="pl"/>
        </w:rPr>
        <w:t xml:space="preserve">(Każde małżeństwo wcześniej, w domu, zapoznaje się z tekstami oraz pytaniami; na kręgu odbywa się rozmowa.)</w:t>
      </w:r>
    </w:p>
    <w:p>
      <w:pPr>
        <w:pStyle w:val="BodyText"/>
      </w:pPr>
      <w:r>
        <w:rPr>
          <w:lang w:val="pl"/>
        </w:rPr>
        <w:t xml:space="preserve">Krok szósty mówił o gotowości. Krok siódmy mówi o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prośbie</w:t>
      </w:r>
      <w:r>
        <w:rPr>
          <w:lang w:val="pl"/>
        </w:rPr>
        <w:t xml:space="preserve">: zwracamy się do Boga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w pokorze</w:t>
      </w:r>
      <w:r>
        <w:rPr>
          <w:lang w:val="pl"/>
        </w:rPr>
        <w:t xml:space="preserve">, aby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swoją łaską</w:t>
      </w:r>
      <w:r>
        <w:rPr>
          <w:lang w:val="pl"/>
        </w:rPr>
        <w:t xml:space="preserve"> </w:t>
      </w:r>
      <w:r>
        <w:rPr>
          <w:lang w:val="pl"/>
        </w:rPr>
        <w:t xml:space="preserve">usunął nasze braki. W jednym zdaniu mieszczą się tu trzy prawdy: nie ja usuwam swoje braki; Bóg to czyni swoją łaską; a drogą do tej łaski jest pokora.</w:t>
      </w:r>
    </w:p>
    <w:p>
      <w:pPr>
        <w:pStyle w:val="BodyText"/>
      </w:pPr>
      <w:r>
        <w:rPr>
          <w:lang w:val="pl"/>
        </w:rPr>
        <w:t xml:space="preserve">Pokora bywa źle rozumiana jako mówienie o sobie źle, udawanie, że nic nie potrafię, albo zgoda na poniżanie. W Ewangelii wygląda inaczej. Bartymeusz jest żebrakiem, niewidomym, siedzi przy drodze. Nie udaje, że widzi, ani nie wstydzi się wołać. Gdy wielu każe mu zamilknąć, on „</w:t>
      </w:r>
      <w:r>
        <w:rPr>
          <w:b/>
          <w:bCs/>
          <w:lang w:val="pl"/>
        </w:rPr>
        <w:t xml:space="preserve">jeszcze głośniej wołał: Synu Dawida, ulituj się nade mną!</w:t>
      </w:r>
      <w:r>
        <w:rPr>
          <w:lang w:val="pl"/>
        </w:rPr>
        <w:t xml:space="preserve">” (Mk 10,48). A gdy Jezus pyta: „</w:t>
      </w:r>
      <w:r>
        <w:rPr>
          <w:b/>
          <w:bCs/>
          <w:lang w:val="pl"/>
        </w:rPr>
        <w:t xml:space="preserve">Co chcesz, abym ci uczynił?</w:t>
      </w:r>
      <w:r>
        <w:rPr>
          <w:lang w:val="pl"/>
        </w:rPr>
        <w:t xml:space="preserve">”, nie wygłasza przemowy. Mówi jedno: „</w:t>
      </w:r>
      <w:r>
        <w:rPr>
          <w:b/>
          <w:bCs/>
          <w:lang w:val="pl"/>
        </w:rPr>
        <w:t xml:space="preserve">Rabbuni, żebym przejrzał</w:t>
      </w:r>
      <w:r>
        <w:rPr>
          <w:lang w:val="pl"/>
        </w:rPr>
        <w:t xml:space="preserve">” (Mk 10,51). Pokora to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prawda o sobie wypowiedziana przed Bogiem z ufnością</w:t>
      </w:r>
      <w:r>
        <w:rPr>
          <w:lang w:val="pl"/>
        </w:rPr>
        <w:t xml:space="preserve">. Katechizm przypomina, że „prośba o przebaczenie jest pierwszym dążeniem modlitwy prośby (słowa celnika: »Miej litość dla mnie, grzesznika«, Łk 18,13)” oraz że „ufna pokora stawia nas w świetle komunii z Ojcem” (KKK 2631).</w:t>
      </w:r>
    </w:p>
    <w:p>
      <w:pPr>
        <w:pStyle w:val="BodyText"/>
      </w:pPr>
      <w:r>
        <w:rPr>
          <w:lang w:val="pl"/>
        </w:rPr>
        <w:t xml:space="preserve">Święty Augustyn, człowiek ogromnie wykształcony, pisał młodemu Dioskorowi, który chciał zdobyć mądrość: na drodze do prawdy „</w:t>
      </w:r>
      <w:r>
        <w:rPr>
          <w:b/>
          <w:bCs/>
          <w:lang w:val="pl"/>
        </w:rPr>
        <w:t xml:space="preserve">pierwszą rzeczą jest pokora, drugą — pokora, trzecią — pokora</w:t>
      </w:r>
      <w:r>
        <w:rPr>
          <w:lang w:val="pl"/>
        </w:rPr>
        <w:t xml:space="preserve">”. I wyjaśniał: jeśli pokora nie poprzedza, nie towarzyszy i nie idzie za każdym dobrym czynem, „pycha wyrywa nam z ręki wszelkie dobro, z którego jesteśmy zadowoleni” (św. Augustyn,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List</w:t>
      </w:r>
      <w:r>
        <w:rPr>
          <w:lang w:val="pl"/>
        </w:rPr>
        <w:t xml:space="preserve"> </w:t>
      </w:r>
      <w:r>
        <w:rPr>
          <w:lang w:val="pl"/>
        </w:rPr>
        <w:t xml:space="preserve">118,22). O. Edward Dowling SJ, który przez lata towarzyszył duchowo współzałożycielowi AA, zauważył z doświadczenia: „tam, gdzie jest dobra wola, istnieje niemal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żelazny związek między upokorzeniem, pokorą i pomocą Bożą</w:t>
      </w:r>
      <w:r>
        <w:rPr>
          <w:lang w:val="pl"/>
        </w:rPr>
        <w:t xml:space="preserve">”.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przekład:</w:t>
      </w:r>
      <w:r>
        <w:rPr>
          <w:lang w:val="pl"/>
        </w:rPr>
        <w:t xml:space="preserve"> </w:t>
      </w:r>
      <w:r>
        <w:rPr>
          <w:lang w:val="pl"/>
        </w:rPr>
        <w:t xml:space="preserve">cytaty z Augustyna (</w:t>
      </w:r>
      <w:r>
        <w:rPr>
          <w:i/>
          <w:iCs/>
          <w:lang w:val="pl"/>
        </w:rPr>
        <w:t xml:space="preserve">List</w:t>
      </w:r>
      <w:r>
        <w:rPr>
          <w:lang w:val="pl"/>
        </w:rPr>
        <w:t xml:space="preserve"> </w:t>
      </w:r>
      <w:r>
        <w:rPr>
          <w:lang w:val="pl"/>
        </w:rPr>
        <w:t xml:space="preserve">118) i o. Dowlinga to przekłady robocze z angielskiego (New Advent; silkworth.net). Augustyna porównać z polskim wydaniem listów (seria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Pisma Starochrześcijańskich Pisarzy</w:t>
      </w:r>
      <w:r>
        <w:rPr>
          <w:lang w:val="pl"/>
        </w:rPr>
        <w:t xml:space="preserve">).</w:t>
      </w:r>
    </w:p>
    <w:p>
      <w:pPr>
        <w:pStyle w:val="FirstParagraph"/>
      </w:pPr>
      <w:r>
        <w:rPr>
          <w:lang w:val="pl"/>
        </w:rPr>
        <w:t xml:space="preserve">Siódmy krok mówi, że Bóg usuwa nasze braki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swoją łaską</w:t>
      </w:r>
      <w:r>
        <w:rPr>
          <w:lang w:val="pl"/>
        </w:rPr>
        <w:t xml:space="preserve">. Jednym z najważniejszych miejsc, gdzie ją otrzymujemy, jest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Eucharystia</w:t>
      </w:r>
      <w:r>
        <w:rPr>
          <w:lang w:val="pl"/>
        </w:rPr>
        <w:t xml:space="preserve">. Katechizm uczy: „Jak pokarm cielesny służy do przywracania utraconych sił, tak Eucharystia umacnia miłość, która słabnie w życiu codziennym (…). Chrystus, dając nam siebie, ożywia naszą miłość i uzdalnia nas do uwolnienia się od nieuporządkowanych przywiązań do stworzeń” (KKK 1394). Papież Leon XIII, pisząc o nieokiełznanym pragnieniu przyjemności, które „szerzy się jak zaraźliwa choroba”, stwierdził: „</w:t>
      </w:r>
      <w:r>
        <w:rPr>
          <w:b/>
          <w:bCs/>
          <w:lang w:val="pl"/>
        </w:rPr>
        <w:t xml:space="preserve">nawet na tak straszne zło jest lekarstwo pod ręką — w Boskiej Eucharystii</w:t>
      </w:r>
      <w:r>
        <w:rPr>
          <w:lang w:val="pl"/>
        </w:rPr>
        <w:t xml:space="preserve">. Przede wszystkim hamuje ona pożądliwość, pomnażając miłość” (Leon XIII,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Mirae caritatis</w:t>
      </w:r>
      <w:r>
        <w:rPr>
          <w:lang w:val="pl"/>
        </w:rPr>
        <w:t xml:space="preserve">, 8). Przystępujemy do Komunii nie dlatego, że jesteśmy doskonali, lecz dlatego, że potrzebujemy lekarstwa.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przekład i źródło:</w:t>
      </w:r>
      <w:r>
        <w:rPr>
          <w:lang w:val="pl"/>
        </w:rPr>
        <w:t xml:space="preserve"> </w:t>
      </w:r>
      <w:r>
        <w:rPr>
          <w:lang w:val="pl"/>
        </w:rPr>
        <w:t xml:space="preserve">cytat z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Mirae caritatis</w:t>
      </w:r>
      <w:r>
        <w:rPr>
          <w:lang w:val="pl"/>
        </w:rPr>
        <w:t xml:space="preserve"> </w:t>
      </w:r>
      <w:r>
        <w:rPr>
          <w:lang w:val="pl"/>
        </w:rPr>
        <w:t xml:space="preserve">to przekład roboczy z angielskiego przekładu na vatican.va; numer punktu ustalony według tekstu angielskiego — sprawdzić z tekstem łacińskim.</w:t>
      </w:r>
    </w:p>
    <w:p>
      <w:pPr>
        <w:pStyle w:val="FirstParagraph"/>
      </w:pPr>
      <w:r>
        <w:rPr>
          <w:lang w:val="pl"/>
        </w:rPr>
        <w:t xml:space="preserve">[DO UZUPEŁNIENIA: cytat ks. F. Blachnickiego o pokorze albo o Eucharystii jako źródle mocy do przemiany życia (np.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Eucharystia pokarm na całe życie</w:t>
      </w:r>
      <w:r>
        <w:rPr>
          <w:lang w:val="pl"/>
        </w:rPr>
        <w:t xml:space="preserve">), z numerem strony]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teologia:</w:t>
      </w:r>
      <w:r>
        <w:rPr>
          <w:lang w:val="pl"/>
        </w:rPr>
        <w:t xml:space="preserve"> </w:t>
      </w:r>
      <w:r>
        <w:rPr>
          <w:lang w:val="pl"/>
        </w:rPr>
        <w:t xml:space="preserve">akapit „Gdzie analogia pęka” mówi, że niektóre braki mogą nie zostać usunięte. Sprawdzić, czy jest to zgodne z KKK 1264 i 2 Kor 12,7-9 i nie osłabia nadziei na uzdrowienie.</w:t>
      </w:r>
    </w:p>
    <w:p>
      <w:pPr>
        <w:pStyle w:val="FirstParagraph"/>
      </w:pPr>
      <w:r>
        <w:rPr>
          <w:b/>
          <w:bCs/>
          <w:lang w:val="pl"/>
        </w:rPr>
        <w:t xml:space="preserve">Gdzie analogia pęka.</w:t>
      </w:r>
      <w:r>
        <w:rPr>
          <w:lang w:val="pl"/>
        </w:rPr>
        <w:t xml:space="preserve"> </w:t>
      </w:r>
      <w:r>
        <w:rPr>
          <w:lang w:val="pl"/>
        </w:rPr>
        <w:t xml:space="preserve">Krok siódmy w AA nie mówi,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jak</w:t>
      </w:r>
      <w:r>
        <w:rPr>
          <w:lang w:val="pl"/>
        </w:rPr>
        <w:t xml:space="preserve"> </w:t>
      </w:r>
      <w:r>
        <w:rPr>
          <w:lang w:val="pl"/>
        </w:rPr>
        <w:t xml:space="preserve">Bóg usuwa braki. Wiara Kościoła odpowiada: przez łaskę, którą otrzymujemy w sakramentach — zwłaszcza w Eucharystii i sakramencie pokuty — w modlitwie i we współpracy naszej woli. Ponadto pokorna prośba nie jest zamówieniem z gwarancją natychmiastowej realizacji. Święty Paweł trzy razy prosił o usunięcie „ościenia” i usłyszał: „Wystarczy ci mojej łaski” (2 Kor 12,9). Niektóre skłonności mogą zostać z nami długo jako miejsce walki i pokory (KKK 1264). Oczekiwanie, że po jednej modlitwie znikną wszystkie wady, prowadzi do rozczarowania. Pokora uczy prosić wytrwale i ufać, że Bóg wysłuchuje — choć czasem inaczej, niż się spodziewaliśmy.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duszpasterstwo:</w:t>
      </w:r>
      <w:r>
        <w:rPr>
          <w:lang w:val="pl"/>
        </w:rPr>
        <w:t xml:space="preserve"> </w:t>
      </w:r>
      <w:r>
        <w:rPr>
          <w:lang w:val="pl"/>
        </w:rPr>
        <w:t xml:space="preserve">„pokora” bywa nadużywana wobec osób żyjących z kimś uzależnionym lub przemocowym („bądź pokorna i znoś”). Tekst musi jasno mówić, że pokora nie oznacza zgody na krzywdę.</w:t>
      </w:r>
    </w:p>
    <w:p>
      <w:pPr>
        <w:pStyle w:val="FirstParagraph"/>
      </w:pPr>
      <w:r>
        <w:rPr>
          <w:b/>
          <w:bCs/>
          <w:lang w:val="pl"/>
        </w:rPr>
        <w:t xml:space="preserve">W małżeństwie i rodzinie</w:t>
      </w:r>
      <w:r>
        <w:rPr>
          <w:lang w:val="pl"/>
        </w:rPr>
        <w:t xml:space="preserve"> </w:t>
      </w:r>
      <w:r>
        <w:rPr>
          <w:lang w:val="pl"/>
        </w:rPr>
        <w:t xml:space="preserve">pokora ma bardzo konkretne oblicze: umieć powiedzieć „przepraszam”, „nie wiem”, „potrzebuję pomocy”, „miałeś/miałaś rację”. Dzieci uczą się pokory nie z kazań, lecz patrząc, czy rodzice potrafią przeprosić je i siebie nawzajem.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Modlitwa rodzinna</w:t>
      </w:r>
      <w:r>
        <w:rPr>
          <w:lang w:val="pl"/>
        </w:rPr>
        <w:t xml:space="preserve">, w której ojciec i matka proszą Boga o pomoc w swoich słabościach, jest dla dzieci najlepszą szkołą siódmego kroku. Zagrożeniem jest fałszywa pokora: „ja już jestem taki beznadziejny” — to często ukryta forma pychy albo zniechęcenia. Innym zagrożeniem jest mylenie pokory z biernym znoszeniem krzywdy. Pokora nie oznacza zgody na przemoc, uzależnienie czy poniżanie. Pokorny człowiek potrafi poprosić o pomoc — także ludzi.</w:t>
      </w:r>
    </w:p>
    <w:bookmarkEnd w:id="12"/>
    <w:bookmarkStart w:id="13" w:name="X670130c1a01ceebf732c787eaee591168e63db7"/>
    <w:p>
      <w:pPr>
        <w:pStyle w:val="Heading3"/>
      </w:pPr>
      <w:r>
        <w:rPr>
          <w:lang w:val="pl"/>
        </w:rPr>
        <w:t xml:space="preserve">3. Pytania do wcześniejszego przedyskutowania w małżeństwie, a następnie podzielenia się na spotkaniu kręgu</w:t>
      </w:r>
    </w:p>
    <w:p>
      <w:pPr>
        <w:pStyle w:val="Compact"/>
        <w:numPr>
          <w:ilvl w:val="0"/>
          <w:numId w:val="1003"/>
        </w:numPr>
      </w:pPr>
      <w:r>
        <w:rPr>
          <w:lang w:val="pl"/>
        </w:rPr>
        <w:t xml:space="preserve">Czym jest dla mnie pokora? Czym różni się od kompleksów, fałszywej skromności i biernego znoszenia krzywdy?</w:t>
      </w:r>
    </w:p>
    <w:p>
      <w:pPr>
        <w:pStyle w:val="Compact"/>
        <w:numPr>
          <w:ilvl w:val="0"/>
          <w:numId w:val="1003"/>
        </w:numPr>
      </w:pPr>
      <w:r>
        <w:rPr>
          <w:lang w:val="pl"/>
        </w:rPr>
        <w:t xml:space="preserve">Co odpowiedziałbym/odpowiedziałabym, gdyby Jezus zapytał mnie dziś jak Bartymeusza: „Co chcesz, abym ci uczynił?”</w:t>
      </w:r>
    </w:p>
    <w:p>
      <w:pPr>
        <w:pStyle w:val="Compact"/>
        <w:numPr>
          <w:ilvl w:val="0"/>
          <w:numId w:val="1003"/>
        </w:numPr>
      </w:pPr>
      <w:r>
        <w:rPr>
          <w:lang w:val="pl"/>
        </w:rPr>
        <w:t xml:space="preserve">Jak przeżywam sytuację, gdy modlę się o uwolnienie od jakiejś słabości, a ona nie znika?</w:t>
      </w:r>
    </w:p>
    <w:p>
      <w:pPr>
        <w:pStyle w:val="Compact"/>
        <w:numPr>
          <w:ilvl w:val="0"/>
          <w:numId w:val="1003"/>
        </w:numPr>
      </w:pPr>
      <w:r>
        <w:rPr>
          <w:lang w:val="pl"/>
        </w:rPr>
        <w:t xml:space="preserve">Jak w pokornej prośbie pomaga mi formacja Domowego Kościoła — zwłaszcza modlitwa rodzinna i Eucharystia?</w:t>
      </w:r>
    </w:p>
    <w:p>
      <w:pPr>
        <w:pStyle w:val="Compact"/>
        <w:numPr>
          <w:ilvl w:val="0"/>
          <w:numId w:val="1003"/>
        </w:numPr>
      </w:pPr>
      <w:r>
        <w:rPr>
          <w:lang w:val="pl"/>
        </w:rPr>
        <w:t xml:space="preserve">Jak moglibyśmy w naszej rodzinie uczyć się proszenia o przebaczenie i o pomoc — Boga i siebie nawzajem?</w:t>
      </w:r>
    </w:p>
    <w:bookmarkEnd w:id="13"/>
    <w:bookmarkStart w:id="14" w:name="sugestie-pracy-w-ciągu-miesiąca"/>
    <w:p>
      <w:pPr>
        <w:pStyle w:val="Heading3"/>
      </w:pPr>
      <w:r>
        <w:rPr>
          <w:lang w:val="pl"/>
        </w:rPr>
        <w:t xml:space="preserve">4. Sugestie pracy w ciągu miesiąca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Namiot Spotkania</w:t>
      </w:r>
      <w:r>
        <w:rPr>
          <w:lang w:val="pl"/>
        </w:rPr>
        <w:t xml:space="preserve"> </w:t>
      </w:r>
      <w:r>
        <w:rPr>
          <w:lang w:val="pl"/>
        </w:rPr>
        <w:t xml:space="preserve">(w kolejnych tygodniach): Mt 8,1-4; Mt 15,21-28; Łk 11,5-13; Jk 4,6-10.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Modlitwa małżeńska / rodzinna:</w:t>
      </w:r>
      <w:r>
        <w:rPr>
          <w:lang w:val="pl"/>
        </w:rPr>
        <w:t xml:space="preserve"> </w:t>
      </w:r>
      <w:r>
        <w:rPr>
          <w:lang w:val="pl"/>
        </w:rPr>
        <w:t xml:space="preserve">w modlitwie rodzinnej wprowadzić moment, w którym każdy (także rodzice) może powiedzieć „przepraszam” komuś z domowników i poprosić Boga o pomoc w jednej rzeczy; codziennie modlić się wezwaniem Bartymeusza: „Jezusie, Synu Dawida, ulituj się nade mną”.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Dialog małżeński</w:t>
      </w:r>
      <w:r>
        <w:rPr>
          <w:lang w:val="pl"/>
        </w:rPr>
        <w:t xml:space="preserve"> </w:t>
      </w:r>
      <w:r>
        <w:rPr>
          <w:lang w:val="pl"/>
        </w:rPr>
        <w:t xml:space="preserve">na temat: „Gdzie brakuje nam pokory?”. Pomocne pytania: W jakich sytuacjach najtrudniej mi przyznać się do błędu przed Tobą? Kiedy ostatnio poczułem/poczułam, że mnie upokorzyłeś/upokorzyłaś — i jak to przeżyłem/przeżyłam? O jaką łaskę dla naszego małżeństwa chcemy razem prosić?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Nie oskarżamy się nawzajem o pychę; każdy mówi o swojej pokorze.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Spotkanie ze słowem Bożym:</w:t>
      </w:r>
      <w:r>
        <w:rPr>
          <w:lang w:val="pl"/>
        </w:rPr>
        <w:t xml:space="preserve"> </w:t>
      </w:r>
      <w:r>
        <w:rPr>
          <w:lang w:val="pl"/>
        </w:rPr>
        <w:t xml:space="preserve">przeczytać Ewangelię według św. Łukasza, rozdz. 18, pod kątem postaw ludzi, którzy proszą Boga.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Lektura:</w:t>
      </w:r>
      <w:r>
        <w:rPr>
          <w:lang w:val="pl"/>
        </w:rPr>
        <w:t xml:space="preserve"> </w:t>
      </w:r>
      <w:r>
        <w:rPr>
          <w:lang w:val="pl"/>
        </w:rPr>
        <w:t xml:space="preserve">Katechizm Kościoła Katolickiego, nr 2629–2633 (modlitwa prośby); Leon XIII,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Mirae caritatis</w:t>
      </w:r>
      <w:r>
        <w:rPr>
          <w:lang w:val="pl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l"/>
        </w:rPr>
        <w:t xml:space="preserve">Propozycje reguły życia:</w:t>
      </w:r>
    </w:p>
    <w:p>
      <w:pPr>
        <w:pStyle w:val="Compact"/>
        <w:numPr>
          <w:ilvl w:val="1"/>
          <w:numId w:val="1005"/>
        </w:numPr>
      </w:pPr>
      <w:r>
        <w:rPr>
          <w:lang w:val="pl"/>
        </w:rPr>
        <w:t xml:space="preserve">np. przez miesiąc raz w tygodniu uczestniczyć we Mszy Świętej w dzień powszedni z intencją uwolnienia od jednej wady;</w:t>
      </w:r>
    </w:p>
    <w:p>
      <w:pPr>
        <w:pStyle w:val="Compact"/>
        <w:numPr>
          <w:ilvl w:val="1"/>
          <w:numId w:val="1005"/>
        </w:numPr>
      </w:pPr>
      <w:r>
        <w:rPr>
          <w:lang w:val="pl"/>
        </w:rPr>
        <w:t xml:space="preserve">np. codziennie, gdy upadnę w swoją główną słabość, od razu powiedzieć w sercu: „Jezu, ulituj się nade mną” — bez złości na siebie;</w:t>
      </w:r>
    </w:p>
    <w:p>
      <w:pPr>
        <w:pStyle w:val="Compact"/>
        <w:numPr>
          <w:ilvl w:val="1"/>
          <w:numId w:val="1005"/>
        </w:numPr>
      </w:pPr>
      <w:r>
        <w:rPr>
          <w:lang w:val="pl"/>
        </w:rPr>
        <w:t xml:space="preserve">np. raz w tygodniu świadomie poprosić kogoś o pomoc lub radę w sprawie, w której zwykle radzę sobie sam/sama;</w:t>
      </w:r>
    </w:p>
    <w:p>
      <w:pPr>
        <w:pStyle w:val="Compact"/>
        <w:numPr>
          <w:ilvl w:val="1"/>
          <w:numId w:val="1005"/>
        </w:numPr>
      </w:pPr>
      <w:r>
        <w:rPr>
          <w:lang w:val="pl"/>
        </w:rPr>
        <w:t xml:space="preserve">np. codziennie przeprosić kogoś z domowników za drobną rzecz, zanim zrobi to on.</w:t>
      </w:r>
    </w:p>
    <w:p>
      <w:pPr>
        <w:pStyle w:val="Compact"/>
        <w:numPr>
          <w:ilvl w:val="0"/>
          <w:numId w:val="1004"/>
        </w:numPr>
      </w:pPr>
      <w:r>
        <w:rPr>
          <w:lang w:val="pl"/>
        </w:rPr>
        <w:t xml:space="preserve">Podjąć lekturę tekstów pomocniczych oraz przygotować się do kroku 8.</w:t>
      </w:r>
    </w:p>
    <w:bookmarkEnd w:id="14"/>
    <w:bookmarkEnd w:id="15"/>
    <w:bookmarkStart w:id="16" w:name="zakończenie"/>
    <w:p>
      <w:pPr>
        <w:pStyle w:val="Heading2"/>
      </w:pPr>
      <w:r>
        <w:rPr>
          <w:lang w:val="pl"/>
        </w:rPr>
        <w:t xml:space="preserve">Zakończenie</w:t>
      </w:r>
    </w:p>
    <w:p>
      <w:pPr>
        <w:pStyle w:val="FirstParagraph"/>
      </w:pPr>
      <w:r>
        <w:rPr>
          <w:lang w:val="pl"/>
        </w:rPr>
        <w:t xml:space="preserve">Spotkanie kończymy błogosławieństwem kapłana. Przed nim wszyscy razem trzykrotnie wołamy słowami Bartymeusza: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„Jezusie, Synu Dawida, ulituj się nade mną!”</w:t>
      </w:r>
      <w:r>
        <w:rPr>
          <w:lang w:val="pl"/>
        </w:rPr>
        <w:t xml:space="preserve"> </w:t>
      </w:r>
      <w:r>
        <w:rPr>
          <w:lang w:val="pl"/>
        </w:rPr>
        <w:t xml:space="preserve">(Mk 10,47), a następnie odmawiamy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„Ojcze nasz”</w:t>
      </w:r>
      <w:r>
        <w:rPr>
          <w:lang w:val="pl"/>
        </w:rPr>
        <w:t xml:space="preserve">.</w:t>
      </w:r>
    </w:p>
    <w:p>
      <w:pPr>
        <w:pStyle w:val="BodyText"/>
      </w:pPr>
      <w:r>
        <w:rPr>
          <w:b/>
          <w:bCs/>
          <w:lang w:val="pl"/>
        </w:rPr>
        <w:t xml:space="preserve">Zastanowię się, co z dzisiejszego spotkania pragnę wprowadzić do mojego/naszego życia.</w:t>
      </w:r>
    </w:p>
    <w:p>
      <w:pPr>
        <w:pStyle w:val="BodyText"/>
      </w:pPr>
      <w:r>
        <w:rPr>
          <w:i/>
          <w:iCs/>
          <w:lang w:val="pl"/>
        </w:rPr>
        <w:t xml:space="preserve">[DO UZUPEŁNIENIA: autorzy konspektu]</w:t>
      </w:r>
    </w:p>
    <w:p>
      <w:r>
        <w:pict>
          <v:rect style="width:0;height:1.5pt" o:hralign="center" o:hrstd="t" o:hr="t"/>
        </w:pict>
      </w:r>
    </w:p>
    <w:bookmarkEnd w:id="16"/>
    <w:bookmarkStart w:id="33" w:name="teksty-pomocnicze"/>
    <w:p>
      <w:pPr>
        <w:pStyle w:val="Heading2"/>
      </w:pPr>
      <w:r>
        <w:rPr>
          <w:lang w:val="pl"/>
        </w:rPr>
        <w:t xml:space="preserve">Teksty pomocnicze</w:t>
      </w:r>
    </w:p>
    <w:bookmarkStart w:id="18" w:name="X8af30d8d03d7f98ed736c30035321e15732a459"/>
    <w:p>
      <w:pPr>
        <w:pStyle w:val="Heading3"/>
      </w:pPr>
      <w:r>
        <w:rPr>
          <w:lang w:val="pl"/>
        </w:rPr>
        <w:t xml:space="preserve">1. Pismo Święte — Ewangelia według św. Marka 10,46-52</w:t>
      </w:r>
    </w:p>
    <w:p>
      <w:pPr>
        <w:pStyle w:val="BlockText"/>
      </w:pPr>
      <w:r>
        <w:rPr>
          <w:lang w:val="pl"/>
        </w:rPr>
        <w:t xml:space="preserve">46 Tak przyszli do Jerycha. Gdy wraz z uczniami i sporym tłumem wychodził z Jerycha, niewidomy żebrak, Bartymeusz, syn Tymeusza, siedział przy drodze. 47 Ten słysząc, że to jest Jezus z Nazaretu, zaczął wołać: Jezusie, Synu Dawida, ulituj się nade mną! 48 Wielu nastawało na niego, żeby umilkł. Lecz on jeszcze głośniej wołał: Synu Dawida, ulituj się nade mną! 49 Jezus przystanął i rzekł: Zawołajcie go! I przywołali niewidomego, mówiąc mu: Bądź dobrej myśli, wstań, woła cię. 50 On zrzucił z siebie płaszcz, zerwał się i przyszedł do Jezusa. 51 A Jezus przemówił do niego: Co chcesz, abym ci uczynił? Powiedział Mu niewidomy: Rabbuni, żebym przejrzał. 52 Jezus mu rzekł: Idź, twoja wiara cię uzdrowiła. Natychmiast przejrzał i szedł za Nim drogą.</w:t>
      </w:r>
    </w:p>
    <w:p>
      <w:pPr>
        <w:pStyle w:val="BlockText"/>
      </w:pPr>
      <w:r>
        <w:rPr>
          <w:lang w:val="pl"/>
        </w:rPr>
        <w:t xml:space="preserve">— Biblia Tysiąclecia, wyd. V</w:t>
      </w:r>
    </w:p>
    <w:p>
      <w:pPr>
        <w:pStyle w:val="FirstParagraph"/>
      </w:pPr>
      <w:r>
        <w:rPr>
          <w:lang w:val="pl"/>
        </w:rPr>
        <w:t xml:space="preserve">Źródło:</w:t>
      </w:r>
      <w:r>
        <w:rPr>
          <w:lang w:val="pl"/>
        </w:rPr>
        <w:t xml:space="preserve"> </w:t>
      </w:r>
      <w:hyperlink r:id="rId17">
        <w:r>
          <w:rPr>
            <w:rStyle w:val="Hyperlink"/>
            <w:lang w:val="pl"/>
          </w:rPr>
          <w:t xml:space="preserve">biblia-online.pl — Mk 10</w:t>
        </w:r>
      </w:hyperlink>
    </w:p>
    <w:bookmarkEnd w:id="18"/>
    <w:bookmarkStart w:id="20" w:name="X9163090cd0aa8898b6cc4b3ded996d485258075"/>
    <w:p>
      <w:pPr>
        <w:pStyle w:val="Heading3"/>
      </w:pPr>
      <w:r>
        <w:rPr>
          <w:lang w:val="pl"/>
        </w:rPr>
        <w:t xml:space="preserve">2. Ojcowie Kościoła — św. Augustyn, pokora (</w:t>
      </w:r>
      <w:r>
        <w:rPr>
          <w:i/>
          <w:iCs/>
          <w:lang w:val="pl"/>
        </w:rPr>
        <w:t xml:space="preserve">List</w:t>
      </w:r>
      <w:r>
        <w:rPr>
          <w:lang w:val="pl"/>
        </w:rPr>
        <w:t xml:space="preserve"> </w:t>
      </w:r>
      <w:r>
        <w:rPr>
          <w:lang w:val="pl"/>
        </w:rPr>
        <w:t xml:space="preserve">118,22, do Dioskora)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przekład:</w:t>
      </w:r>
      <w:r>
        <w:rPr>
          <w:lang w:val="pl"/>
        </w:rPr>
        <w:t xml:space="preserve"> </w:t>
      </w:r>
      <w:r>
        <w:rPr>
          <w:lang w:val="pl"/>
        </w:rPr>
        <w:t xml:space="preserve">przekład roboczy z angielskiego przekładu (NPNF, New Advent). Porównać z tekstem łacińskim i polskim wydaniem listów św. Augustyna.</w:t>
      </w:r>
    </w:p>
    <w:p>
      <w:pPr>
        <w:pStyle w:val="BlockText"/>
      </w:pPr>
      <w:r>
        <w:rPr>
          <w:lang w:val="pl"/>
        </w:rPr>
        <w:t xml:space="preserve">Pragnę, mój Dioskorze, abyś Jemu [Chrystusowi] poddał się z niezłomną pobożnością, i nie chcę, byś szukał dla siebie innej drogi uchwycenia i posiadania prawdy niż ta, którą przygotował Ten, który jako Bóg widział słabość naszych kroków.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Na tej drodze pierwszą rzeczą jest pokora, drugą — pokora, trzecią — pokora</w:t>
      </w:r>
      <w:r>
        <w:rPr>
          <w:lang w:val="pl"/>
        </w:rPr>
        <w:t xml:space="preserve">; i powtarzałbym to tyle razy, ile razy byś mnie pytał — nie dlatego, że nie ma innych wskazań, które można by dać, ale dlatego, że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jeśli pokora nie poprzedza, nie towarzyszy i nie idzie za każdym dobrym czynem</w:t>
      </w:r>
      <w:r>
        <w:rPr>
          <w:lang w:val="pl"/>
        </w:rPr>
        <w:t xml:space="preserve">, który spełniamy — będąc zarazem celem, który mamy przed oczami, oparciem, którego się trzymamy, i strażnikiem, który nas powściąga —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pycha wyrywa nam z ręki wszelkie dobro, z którego jesteśmy zadowoleni</w:t>
      </w:r>
      <w:r>
        <w:rPr>
          <w:lang w:val="pl"/>
        </w:rPr>
        <w:t xml:space="preserve">.</w:t>
      </w:r>
    </w:p>
    <w:p>
      <w:pPr>
        <w:pStyle w:val="BlockText"/>
      </w:pPr>
      <w:r>
        <w:rPr>
          <w:lang w:val="pl"/>
        </w:rPr>
        <w:t xml:space="preserve">— św. Augustyn,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List</w:t>
      </w:r>
      <w:r>
        <w:rPr>
          <w:lang w:val="pl"/>
        </w:rPr>
        <w:t xml:space="preserve"> </w:t>
      </w:r>
      <w:r>
        <w:rPr>
          <w:lang w:val="pl"/>
        </w:rPr>
        <w:t xml:space="preserve">118 (do Dioskora), 22; przekład roboczy</w:t>
      </w:r>
    </w:p>
    <w:p>
      <w:pPr>
        <w:pStyle w:val="FirstParagraph"/>
      </w:pPr>
      <w:r>
        <w:rPr>
          <w:lang w:val="pl"/>
        </w:rPr>
        <w:t xml:space="preserve">Przekład angielski:</w:t>
      </w:r>
      <w:r>
        <w:rPr>
          <w:lang w:val="pl"/>
        </w:rPr>
        <w:t xml:space="preserve"> </w:t>
      </w:r>
      <w:hyperlink r:id="rId19">
        <w:r>
          <w:rPr>
            <w:rStyle w:val="Hyperlink"/>
            <w:lang w:val="pl"/>
          </w:rPr>
          <w:t xml:space="preserve">New Advent — Letter 118</w:t>
        </w:r>
      </w:hyperlink>
    </w:p>
    <w:bookmarkEnd w:id="20"/>
    <w:bookmarkStart w:id="22" w:name="X57294a137d81c32f7e9af898f706c37bcefe85a"/>
    <w:p>
      <w:pPr>
        <w:pStyle w:val="Heading3"/>
      </w:pPr>
      <w:r>
        <w:rPr>
          <w:lang w:val="pl"/>
        </w:rPr>
        <w:t xml:space="preserve">3. Papież przedsoborowy — Leon XIII, Eucharystia jako lekarstwo (</w:t>
      </w:r>
      <w:r>
        <w:rPr>
          <w:i/>
          <w:iCs/>
          <w:lang w:val="pl"/>
        </w:rPr>
        <w:t xml:space="preserve">Mirae caritatis</w:t>
      </w:r>
      <w:r>
        <w:rPr>
          <w:lang w:val="pl"/>
        </w:rPr>
        <w:t xml:space="preserve">, 8; 28 V 1902)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przekład:</w:t>
      </w:r>
      <w:r>
        <w:rPr>
          <w:lang w:val="pl"/>
        </w:rPr>
        <w:t xml:space="preserve"> </w:t>
      </w:r>
      <w:r>
        <w:rPr>
          <w:lang w:val="pl"/>
        </w:rPr>
        <w:t xml:space="preserve">przekład roboczy z oficjalnego przekładu angielskiego na vatican.va. Porównać z tekstem łacińskim; sprawdzić numer punktu.</w:t>
      </w:r>
    </w:p>
    <w:p>
      <w:pPr>
        <w:pStyle w:val="BlockText"/>
      </w:pPr>
      <w:r>
        <w:rPr>
          <w:lang w:val="pl"/>
        </w:rPr>
        <w:t xml:space="preserve">W naszych czasach szaleje nienasycony apetyt na te przyjemności, zarażając wszystkie warstwy społeczne jak zaraźliwa choroba, i to już od najmłodszych lat.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Jednak nawet na tak straszne zło jest lekarstwo pod ręką — w Boskiej Eucharystii.</w:t>
      </w:r>
      <w:r>
        <w:rPr>
          <w:lang w:val="pl"/>
        </w:rPr>
        <w:t xml:space="preserve"> </w:t>
      </w:r>
      <w:r>
        <w:rPr>
          <w:lang w:val="pl"/>
        </w:rPr>
        <w:t xml:space="preserve">Przede wszystkim hamuje ona pożądliwość, pomnażając miłość, zgodnie ze słowami św. Augustyna, który mówi o miłości: „Gdy ona wzrasta, pożądliwość maleje; gdy osiąga doskonałość, pożądliwości już nie ma”. Ponadto najczystsze ciało Jezusa poskramia bunt naszego ciała, jak nauczał św. Cyryl Aleksandryjski: „Chrystus bowiem, trwając w nas, usypia prawo ciała, które szaleje w naszych członkach”.</w:t>
      </w:r>
    </w:p>
    <w:p>
      <w:pPr>
        <w:pStyle w:val="BlockText"/>
      </w:pPr>
      <w:r>
        <w:rPr>
          <w:lang w:val="pl"/>
        </w:rPr>
        <w:t xml:space="preserve">— Leon XIII, encyklika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Mirae caritatis</w:t>
      </w:r>
      <w:r>
        <w:rPr>
          <w:lang w:val="pl"/>
        </w:rPr>
        <w:t xml:space="preserve">, nr 8; przekład roboczy</w:t>
      </w:r>
    </w:p>
    <w:p>
      <w:pPr>
        <w:pStyle w:val="FirstParagraph"/>
      </w:pPr>
      <w:r>
        <w:rPr>
          <w:lang w:val="pl"/>
        </w:rPr>
        <w:t xml:space="preserve">Tekst oficjalny (EN):</w:t>
      </w:r>
      <w:r>
        <w:rPr>
          <w:lang w:val="pl"/>
        </w:rPr>
        <w:t xml:space="preserve"> </w:t>
      </w:r>
      <w:hyperlink r:id="rId21">
        <w:r>
          <w:rPr>
            <w:rStyle w:val="Hyperlink"/>
            <w:lang w:val="pl"/>
          </w:rPr>
          <w:t xml:space="preserve">vatican.va — Mirae caritatis</w:t>
        </w:r>
      </w:hyperlink>
    </w:p>
    <w:bookmarkEnd w:id="22"/>
    <w:bookmarkStart w:id="25" w:name="Xd8d4ea44870fd2ddac6a7a71626e393bf1391c0"/>
    <w:p>
      <w:pPr>
        <w:pStyle w:val="Heading3"/>
      </w:pPr>
      <w:r>
        <w:rPr>
          <w:lang w:val="pl"/>
        </w:rPr>
        <w:t xml:space="preserve">4. Magisterium współczesne — Katechizm Kościoła Katolickiego</w:t>
      </w:r>
    </w:p>
    <w:p>
      <w:pPr>
        <w:pStyle w:val="BlockText"/>
      </w:pPr>
      <w:r>
        <w:rPr>
          <w:b/>
          <w:bCs/>
          <w:lang w:val="pl"/>
        </w:rPr>
        <w:t xml:space="preserve">1394</w:t>
      </w:r>
      <w:r>
        <w:rPr>
          <w:lang w:val="pl"/>
        </w:rPr>
        <w:t xml:space="preserve"> </w:t>
      </w:r>
      <w:r>
        <w:rPr>
          <w:lang w:val="pl"/>
        </w:rPr>
        <w:t xml:space="preserve">Jak pokarm cielesny służy do przywracania utraconych sił, tak Eucharystia umacnia miłość, która słabnie w życiu codziennym, a ożywiona miłość gładzi grzechy powszednie. Chrystus, dając nam siebie, ożywia naszą miłość i uzdalnia nas do uwolnienia się od nieuporządkowanych przywiązań do stworzeń; sprawia także, że zakorzeniamy się w Nim (…).</w:t>
      </w:r>
    </w:p>
    <w:p>
      <w:pPr>
        <w:pStyle w:val="BlockText"/>
      </w:pPr>
      <w:r>
        <w:rPr>
          <w:b/>
          <w:bCs/>
          <w:lang w:val="pl"/>
        </w:rPr>
        <w:t xml:space="preserve">2631</w:t>
      </w:r>
      <w:r>
        <w:rPr>
          <w:lang w:val="pl"/>
        </w:rPr>
        <w:t xml:space="preserve"> </w:t>
      </w:r>
      <w:r>
        <w:rPr>
          <w:lang w:val="pl"/>
        </w:rPr>
        <w:t xml:space="preserve">Prośba o przebaczenie jest pierwszym dążeniem modlitwy prośby (słowa celnika: „Miej litość dla mnie, grzesznika”, Łk 18,13). Poprzedza ona właściwą, czystą modlitwę. Ufna pokora stawia nas w świetle komunii z Ojcem i Jego Synem Jezusem Chrystusem oraz w komunii z innymi: a zatem „o co prosić będziemy, otrzymamy od Niego” (1 J 3,22). (…)</w:t>
      </w:r>
    </w:p>
    <w:p>
      <w:pPr>
        <w:pStyle w:val="FirstParagraph"/>
      </w:pPr>
      <w:r>
        <w:rPr>
          <w:lang w:val="pl"/>
        </w:rPr>
        <w:t xml:space="preserve">Źródło:</w:t>
      </w:r>
      <w:r>
        <w:rPr>
          <w:lang w:val="pl"/>
        </w:rPr>
        <w:t xml:space="preserve"> </w:t>
      </w:r>
      <w:hyperlink r:id="rId23">
        <w:r>
          <w:rPr>
            <w:rStyle w:val="Hyperlink"/>
            <w:lang w:val="pl"/>
          </w:rPr>
          <w:t xml:space="preserve">katechizm.opoka.org.pl — KKK 1212-1419</w:t>
        </w:r>
      </w:hyperlink>
      <w:r>
        <w:rPr>
          <w:lang w:val="pl"/>
        </w:rPr>
        <w:t xml:space="preserve"> </w:t>
      </w:r>
      <w:r>
        <w:rPr>
          <w:lang w:val="pl"/>
        </w:rPr>
        <w:t xml:space="preserve">·</w:t>
      </w:r>
      <w:r>
        <w:rPr>
          <w:lang w:val="pl"/>
        </w:rPr>
        <w:t xml:space="preserve"> </w:t>
      </w:r>
      <w:hyperlink r:id="rId24">
        <w:r>
          <w:rPr>
            <w:rStyle w:val="Hyperlink"/>
            <w:lang w:val="pl"/>
          </w:rPr>
          <w:t xml:space="preserve">KKK 2566-2649</w:t>
        </w:r>
      </w:hyperlink>
    </w:p>
    <w:bookmarkEnd w:id="25"/>
    <w:bookmarkStart w:id="27" w:name="X215bb8f78e0017870e13d696e6b1f5b98521775"/>
    <w:p>
      <w:pPr>
        <w:pStyle w:val="Heading3"/>
      </w:pPr>
      <w:r>
        <w:rPr>
          <w:lang w:val="pl"/>
        </w:rPr>
        <w:t xml:space="preserve">5. O. Edward Dowling SJ — upokorzenie, pokora i pomoc Boża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przekład:</w:t>
      </w:r>
      <w:r>
        <w:rPr>
          <w:lang w:val="pl"/>
        </w:rPr>
        <w:t xml:space="preserve"> </w:t>
      </w:r>
      <w:r>
        <w:rPr>
          <w:lang w:val="pl"/>
        </w:rPr>
        <w:t xml:space="preserve">przekład roboczy z angielskiego oryginału (silkworth.net).</w:t>
      </w:r>
    </w:p>
    <w:p>
      <w:pPr>
        <w:pStyle w:val="BlockText"/>
      </w:pPr>
      <w:r>
        <w:rPr>
          <w:lang w:val="pl"/>
        </w:rPr>
        <w:t xml:space="preserve">Wiecie tak jak ja, że w głębi upokorzenia jesteśmy w swoim naturalnym środowisku i że — jeśli właściwie się z tym obchodzimy, zwłaszcza w wewnętrznym duchu szóstego kroku — możemy niemal oczekiwać automatycznego wypełnienia Bożej obietnicy pomocy pokornym.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Tam, gdzie jest dobra wola, istnieje niemal żelazny związek między upokorzeniem, pokorą i pomocą Bożą.</w:t>
      </w:r>
    </w:p>
    <w:p>
      <w:pPr>
        <w:pStyle w:val="BlockText"/>
      </w:pPr>
      <w:r>
        <w:rPr>
          <w:lang w:val="pl"/>
        </w:rPr>
        <w:t xml:space="preserve">— E. Dowling SJ,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Catholic Asceticism and the Twelve Steps</w:t>
      </w:r>
      <w:r>
        <w:rPr>
          <w:lang w:val="pl"/>
        </w:rPr>
        <w:t xml:space="preserve"> </w:t>
      </w:r>
      <w:r>
        <w:rPr>
          <w:lang w:val="pl"/>
        </w:rPr>
        <w:t xml:space="preserve">(1953); przekład roboczy</w:t>
      </w:r>
    </w:p>
    <w:p>
      <w:pPr>
        <w:pStyle w:val="FirstParagraph"/>
      </w:pPr>
      <w:r>
        <w:rPr>
          <w:lang w:val="pl"/>
        </w:rPr>
        <w:t xml:space="preserve">Tekst angielski:</w:t>
      </w:r>
      <w:r>
        <w:rPr>
          <w:lang w:val="pl"/>
        </w:rPr>
        <w:t xml:space="preserve"> </w:t>
      </w:r>
      <w:hyperlink r:id="rId26">
        <w:r>
          <w:rPr>
            <w:rStyle w:val="Hyperlink"/>
            <w:lang w:val="pl"/>
          </w:rPr>
          <w:t xml:space="preserve">silkworth.net — Catholic Asceticism and the Twelve Steps</w:t>
        </w:r>
      </w:hyperlink>
    </w:p>
    <w:bookmarkEnd w:id="27"/>
    <w:bookmarkStart w:id="28" w:name="ks.-franciszek-blachnicki"/>
    <w:p>
      <w:pPr>
        <w:pStyle w:val="Heading3"/>
      </w:pPr>
      <w:r>
        <w:rPr>
          <w:lang w:val="pl"/>
        </w:rPr>
        <w:t xml:space="preserve">6. Ks. Franciszek Blachnicki</w:t>
      </w:r>
    </w:p>
    <w:p>
      <w:pPr>
        <w:pStyle w:val="FirstParagraph"/>
      </w:pPr>
      <w:r>
        <w:rPr>
          <w:lang w:val="pl"/>
        </w:rPr>
        <w:t xml:space="preserve">[DO UZUPEŁNIENIA: fragment ks. F. Blachnickiego o Eucharystii jako źródle przemiany życia, np. F. Blachnicki,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Eucharystia pokarm na całe życie</w:t>
      </w:r>
      <w:r>
        <w:rPr>
          <w:lang w:val="pl"/>
        </w:rPr>
        <w:t xml:space="preserve">, z numerem strony]</w:t>
      </w:r>
    </w:p>
    <w:p>
      <w:pPr>
        <w:pStyle w:val="BodyText"/>
      </w:pPr>
      <w:r>
        <w:rPr>
          <w:b/>
          <w:bCs/>
          <w:lang w:val="pl"/>
        </w:rPr>
        <w:t xml:space="preserve">Materiał uzupełniający:</w:t>
      </w:r>
      <w:r>
        <w:rPr>
          <w:lang w:val="pl"/>
        </w:rPr>
        <w:t xml:space="preserve"> </w:t>
      </w:r>
      <w:r>
        <w:rPr>
          <w:lang w:val="pl"/>
        </w:rPr>
        <w:t xml:space="preserve">F. Blachnicki,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Eucharystia pokarm na całe życie</w:t>
      </w:r>
      <w:r>
        <w:rPr>
          <w:lang w:val="pl"/>
        </w:rPr>
        <w:t xml:space="preserve"> </w:t>
      </w:r>
      <w:r>
        <w:rPr>
          <w:lang w:val="pl"/>
        </w:rPr>
        <w:t xml:space="preserve">[LINK DO UZUPEŁNIENIA]</w:t>
      </w:r>
    </w:p>
    <w:bookmarkEnd w:id="28"/>
    <w:bookmarkStart w:id="32" w:name="gdzie-szukać-pomocy"/>
    <w:p>
      <w:pPr>
        <w:pStyle w:val="Heading3"/>
      </w:pPr>
      <w:r>
        <w:rPr>
          <w:lang w:val="pl"/>
        </w:rPr>
        <w:t xml:space="preserve">7. Gdzie szukać pomocy</w:t>
      </w:r>
    </w:p>
    <w:p>
      <w:pPr>
        <w:pStyle w:val="FirstParagraph"/>
      </w:pPr>
      <w:r>
        <w:rPr>
          <w:lang w:val="pl"/>
        </w:rPr>
        <w:t xml:space="preserve">Krąg Domowego Kościoła nie zastępuje leczenia uzależnień, terapii ani sakramentu pokuty. Pokora nie oznacza zgody na przemoc ani na życie z nieleczonym nałogiem bliskiej osoby. Pomoc: poradnia leczenia uzależnień, AA i Al-Anon (</w:t>
      </w:r>
      <w:hyperlink r:id="rId29">
        <w:r>
          <w:rPr>
            <w:rStyle w:val="Hyperlink"/>
            <w:lang w:val="pl"/>
          </w:rPr>
          <w:t xml:space="preserve">aa.org.pl</w:t>
        </w:r>
      </w:hyperlink>
      <w:r>
        <w:rPr>
          <w:lang w:val="pl"/>
        </w:rPr>
        <w:t xml:space="preserve">,</w:t>
      </w:r>
      <w:r>
        <w:rPr>
          <w:lang w:val="pl"/>
        </w:rPr>
        <w:t xml:space="preserve"> </w:t>
      </w:r>
      <w:hyperlink r:id="rId30">
        <w:r>
          <w:rPr>
            <w:rStyle w:val="Hyperlink"/>
            <w:lang w:val="pl"/>
          </w:rPr>
          <w:t xml:space="preserve">al-anon.org.pl</w:t>
        </w:r>
      </w:hyperlink>
      <w:r>
        <w:rPr>
          <w:lang w:val="pl"/>
        </w:rPr>
        <w:t xml:space="preserve">), Krucjata Wyzwolenia Człowieka (</w:t>
      </w:r>
      <w:hyperlink r:id="rId31">
        <w:r>
          <w:rPr>
            <w:rStyle w:val="Hyperlink"/>
            <w:lang w:val="pl"/>
          </w:rPr>
          <w:t xml:space="preserve">kwc.oaza.pl</w:t>
        </w:r>
      </w:hyperlink>
      <w:r>
        <w:rPr>
          <w:lang w:val="pl"/>
        </w:rPr>
        <w:t xml:space="preserve">), duszpasterz, osoba towarzysząca duchowo [DO UZUPEŁNIENIA: lokalne kontakty].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ykaz-miejsc-do-sprawdzenia"/>
    <w:p>
      <w:pPr>
        <w:pStyle w:val="Heading2"/>
      </w:pPr>
      <w:r>
        <w:rPr>
          <w:lang w:val="pl"/>
        </w:rPr>
        <w:t xml:space="preserve">Wykaz miejsc do sprawdzenia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l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Miejsce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Rodzaj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Co sprawdzić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III.2 Omówienie — cytaty Augustyna i o. Dowlinga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Przekłady robocze → wydania polskie.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III.2 Omówienie — cytat Leona XIII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przekład, źródło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 roboczy; numer punktu.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III.2 Omówienie — ks. Blachnicki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źródło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Brak cytatu</w:t>
            </w:r>
            <w:r>
              <w:rPr>
                <w:lang w:val="pl"/>
              </w:rPr>
              <w:t xml:space="preserve"> </w:t>
            </w:r>
            <w:r>
              <w:rPr>
                <w:rStyle w:val="VerbatimChar"/>
                <w:lang w:val="pl"/>
              </w:rPr>
              <w:t xml:space="preserve">[DO UZUPEŁNIENIA]</w:t>
            </w:r>
            <w:r>
              <w:rPr>
                <w:lang w:val="pl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III.2 „Gdzie analogia pęka”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teologia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Braki, które nie znikają — nie osłabiać nadziei.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III.2 Komentarz o małżeństwie i rodzinie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duszpasterstwo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Pokora ≠ zgoda na krzywdę.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Teksty pomocnicze 2 (Augustyn)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 roboczy → wydanie polskie.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Teksty pomocnicze 3 (Leon XIII)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 roboczy → tekst łaciński.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Teksty pomocnicze 5 (Dowling)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Przekład roboczy.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://www.katechizm.opoka.org.pl/kkkII-2-1.htm" TargetMode="External" /><Relationship Type="http://schemas.openxmlformats.org/officeDocument/2006/relationships/hyperlink" Id="rId24" Target="http://www.katechizm.opoka.org.pl/kkkIV-1-1.htm" TargetMode="External" /><Relationship Type="http://schemas.openxmlformats.org/officeDocument/2006/relationships/hyperlink" Id="rId31" Target="http://www.kwc.oaza.pl/" TargetMode="External" /><Relationship Type="http://schemas.openxmlformats.org/officeDocument/2006/relationships/hyperlink" Id="rId29" Target="https://aa.org.pl/" TargetMode="External" /><Relationship Type="http://schemas.openxmlformats.org/officeDocument/2006/relationships/hyperlink" Id="rId30" Target="https://al-anon.org.pl/" TargetMode="External" /><Relationship Type="http://schemas.openxmlformats.org/officeDocument/2006/relationships/hyperlink" Id="rId17" Target="https://biblia-online.pl/Biblia/Tysiaclecia/Ewangelia-Marka/10/1" TargetMode="External" /><Relationship Type="http://schemas.openxmlformats.org/officeDocument/2006/relationships/hyperlink" Id="rId26" Target="https://silkworth.net/alcoholics-anonymous/01-038-catholic-asceticism-and-the-twelve-steps-by-reverend-edward-dowling-s-j-n-c-c-a-blue-book-an-anthology-brooklyn-1953/" TargetMode="External" /><Relationship Type="http://schemas.openxmlformats.org/officeDocument/2006/relationships/hyperlink" Id="rId19" Target="https://www.newadvent.org/fathers/1102118.htm" TargetMode="External" /><Relationship Type="http://schemas.openxmlformats.org/officeDocument/2006/relationships/hyperlink" Id="rId21" Target="https://www.vatican.va/content/leo-xiii/en/encyclicals/documents/hf_l-xiii_enc_28051902_mirae-caritati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://www.katechizm.opoka.org.pl/kkkII-2-1.htm" TargetMode="External" /><Relationship Type="http://schemas.openxmlformats.org/officeDocument/2006/relationships/hyperlink" Id="rId24" Target="http://www.katechizm.opoka.org.pl/kkkIV-1-1.htm" TargetMode="External" /><Relationship Type="http://schemas.openxmlformats.org/officeDocument/2006/relationships/hyperlink" Id="rId31" Target="http://www.kwc.oaza.pl/" TargetMode="External" /><Relationship Type="http://schemas.openxmlformats.org/officeDocument/2006/relationships/hyperlink" Id="rId29" Target="https://aa.org.pl/" TargetMode="External" /><Relationship Type="http://schemas.openxmlformats.org/officeDocument/2006/relationships/hyperlink" Id="rId30" Target="https://al-anon.org.pl/" TargetMode="External" /><Relationship Type="http://schemas.openxmlformats.org/officeDocument/2006/relationships/hyperlink" Id="rId17" Target="https://biblia-online.pl/Biblia/Tysiaclecia/Ewangelia-Marka/10/1" TargetMode="External" /><Relationship Type="http://schemas.openxmlformats.org/officeDocument/2006/relationships/hyperlink" Id="rId26" Target="https://silkworth.net/alcoholics-anonymous/01-038-catholic-asceticism-and-the-twelve-steps-by-reverend-edward-dowling-s-j-n-c-c-a-blue-book-an-anthology-brooklyn-1953/" TargetMode="External" /><Relationship Type="http://schemas.openxmlformats.org/officeDocument/2006/relationships/hyperlink" Id="rId19" Target="https://www.newadvent.org/fathers/1102118.htm" TargetMode="External" /><Relationship Type="http://schemas.openxmlformats.org/officeDocument/2006/relationships/hyperlink" Id="rId21" Target="https://www.vatican.va/content/leo-xiii/en/encyclicals/documents/hf_l-xiii_enc_28051902_mirae-caritati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pl</dc:language>
  <cp:keywords/>
  <dcterms:created xsi:type="dcterms:W3CDTF">2026-09-16T15:21:06Z</dcterms:created>
  <dcterms:modified xsi:type="dcterms:W3CDTF">2026-09-16T15:21:06Z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zy">
    <vt:lpwstr>[DO UZUPEŁNIENIA]</vt:lpwstr>
  </property>
  <property fmtid="{D5CDD505-2E9C-101B-9397-08002B2CF9AE}" pid="3" name="cykl">
    <vt:lpwstr>12 Kroków na drodze do wolności</vt:lpwstr>
  </property>
  <property fmtid="{D5CDD505-2E9C-101B-9397-08002B2CF9AE}" pid="4" name="krok">
    <vt:lpwstr>7</vt:lpwstr>
  </property>
  <property fmtid="{D5CDD505-2E9C-101B-9397-08002B2CF9AE}" pid="5" name="metoda">
    <vt:lpwstr>A: tekst+pytania</vt:lpwstr>
  </property>
  <property fmtid="{D5CDD505-2E9C-101B-9397-08002B2CF9AE}" pid="6" name="status">
    <vt:lpwstr>szkic do weryfikacji</vt:lpwstr>
  </property>
  <property fmtid="{D5CDD505-2E9C-101B-9397-08002B2CF9AE}" pid="7" name="tekst_kroku">
    <vt:lpwstr>Zwróciliśmy się do Niego w pokorze, aby swoją łaską usunął nasze braki.</vt:lpwstr>
  </property>
  <property fmtid="{D5CDD505-2E9C-101B-9397-08002B2CF9AE}" pid="8" name="temat">
    <vt:lpwstr>Pokorna prośba — „Jezusie, Synu Dawida, ulituj się nade mną!”</vt:lpwstr>
  </property>
  <property fmtid="{D5CDD505-2E9C-101B-9397-08002B2CF9AE}" pid="9" name="typ">
    <vt:lpwstr>konspekt</vt:lpwstr>
  </property>
  <property fmtid="{D5CDD505-2E9C-101B-9397-08002B2CF9AE}" pid="10" name="zobowiazanie_wiodace">
    <vt:lpwstr>modlitwa rodzinna</vt:lpwstr>
  </property>
</Properties>
</file>