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 w:rsidP="00AA386C">
      <w:pPr>
        <w:numPr>
          <w:ilvl w:val="0"/>
          <w:numId w:val="59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 w:rsidP="00AA386C">
      <w:pPr>
        <w:numPr>
          <w:ilvl w:val="0"/>
          <w:numId w:val="59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AA386C" w:rsidRDefault="00AA386C" w:rsidP="00AA386C"/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 w:rsidP="00AA386C">
      <w:pPr>
        <w:numPr>
          <w:ilvl w:val="0"/>
          <w:numId w:val="60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AA386C" w:rsidRDefault="00AA386C" w:rsidP="00AA386C"/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 w:rsidP="00AA386C">
      <w:pPr>
        <w:numPr>
          <w:ilvl w:val="0"/>
          <w:numId w:val="61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 w:rsidP="00AA386C">
      <w:pPr>
        <w:numPr>
          <w:ilvl w:val="1"/>
          <w:numId w:val="61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 w:rsidP="00AA386C">
      <w:pPr>
        <w:numPr>
          <w:ilvl w:val="1"/>
          <w:numId w:val="61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 w:rsidP="00AA386C">
      <w:pPr>
        <w:numPr>
          <w:ilvl w:val="1"/>
          <w:numId w:val="61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 w:rsidP="00AA386C">
      <w:pPr>
        <w:numPr>
          <w:ilvl w:val="1"/>
          <w:numId w:val="61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 w:rsidP="00AA386C">
      <w:pPr>
        <w:numPr>
          <w:ilvl w:val="0"/>
          <w:numId w:val="62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AA386C" w:rsidRDefault="00AA386C" w:rsidP="00AA386C"/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 w:rsidP="00AA386C">
      <w:pPr>
        <w:numPr>
          <w:ilvl w:val="0"/>
          <w:numId w:val="63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AA386C" w:rsidRDefault="00AA386C" w:rsidP="00AA386C"/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proofErr w:type="spellStart"/>
            <w:r w:rsidRPr="00AA386C">
              <w:t>Section</w:t>
            </w:r>
            <w:proofErr w:type="spellEnd"/>
            <w:r w:rsidRPr="00AA386C">
              <w:t xml:space="preserve"> </w:t>
            </w:r>
            <w:proofErr w:type="spellStart"/>
            <w:r w:rsidRPr="00AA386C">
              <w:t>Title</w:t>
            </w:r>
            <w:proofErr w:type="spellEnd"/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 xml:space="preserve">Target Word </w:t>
            </w:r>
            <w:proofErr w:type="spellStart"/>
            <w:r w:rsidRPr="00AA386C">
              <w:t>Count</w:t>
            </w:r>
            <w:proofErr w:type="spellEnd"/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proofErr w:type="spellStart"/>
            <w:r w:rsidRPr="00AA386C">
              <w:t>Key</w:t>
            </w:r>
            <w:proofErr w:type="spellEnd"/>
            <w:r w:rsidRPr="00AA386C">
              <w:t xml:space="preserve"> Focus</w:t>
            </w:r>
          </w:p>
        </w:tc>
      </w:tr>
      <w:tr w:rsidR="00AA386C" w:rsidRPr="00AA386C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 xml:space="preserve">1. </w:t>
            </w:r>
            <w:proofErr w:type="spellStart"/>
            <w:r w:rsidRPr="00AA386C">
              <w:t>Introduction</w:t>
            </w:r>
            <w:proofErr w:type="spellEnd"/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AA386C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AA386C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 xml:space="preserve">3. </w:t>
            </w:r>
            <w:proofErr w:type="spellStart"/>
            <w:r w:rsidRPr="00AA386C">
              <w:t>Why</w:t>
            </w:r>
            <w:proofErr w:type="spellEnd"/>
            <w:r w:rsidRPr="00AA386C">
              <w:t xml:space="preserve"> </w:t>
            </w:r>
            <w:proofErr w:type="spellStart"/>
            <w:r w:rsidRPr="00AA386C">
              <w:t>Satisfaction</w:t>
            </w:r>
            <w:proofErr w:type="spellEnd"/>
            <w:r w:rsidRPr="00AA386C">
              <w:t xml:space="preserve"> </w:t>
            </w:r>
            <w:proofErr w:type="spellStart"/>
            <w:r w:rsidRPr="00AA386C">
              <w:t>Matters</w:t>
            </w:r>
            <w:proofErr w:type="spellEnd"/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AA386C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AA386C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 xml:space="preserve">5. </w:t>
            </w:r>
            <w:proofErr w:type="spellStart"/>
            <w:r w:rsidRPr="00AA386C">
              <w:t>Conclusion</w:t>
            </w:r>
            <w:proofErr w:type="spellEnd"/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GB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1771E2CE" w14:textId="173DB4FA" w:rsidR="00137286" w:rsidRDefault="00137286" w:rsidP="00137286">
      <w:pPr>
        <w:pStyle w:val="Heading2"/>
        <w:rPr>
          <w:lang w:val="en-US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8F4EB" w14:textId="77777777" w:rsidR="00747C2A" w:rsidRDefault="00747C2A" w:rsidP="00807180">
      <w:pPr>
        <w:spacing w:line="240" w:lineRule="auto"/>
      </w:pPr>
      <w:r>
        <w:separator/>
      </w:r>
    </w:p>
  </w:endnote>
  <w:endnote w:type="continuationSeparator" w:id="0">
    <w:p w14:paraId="71A00076" w14:textId="77777777" w:rsidR="00747C2A" w:rsidRDefault="00747C2A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554F0" w14:textId="77777777" w:rsidR="00747C2A" w:rsidRDefault="00747C2A" w:rsidP="00807180">
      <w:pPr>
        <w:spacing w:line="240" w:lineRule="auto"/>
      </w:pPr>
      <w:r>
        <w:separator/>
      </w:r>
    </w:p>
  </w:footnote>
  <w:footnote w:type="continuationSeparator" w:id="0">
    <w:p w14:paraId="07D3016F" w14:textId="77777777" w:rsidR="00747C2A" w:rsidRDefault="00747C2A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69"/>
    <w:multiLevelType w:val="hybridMultilevel"/>
    <w:tmpl w:val="532AD76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12572"/>
    <w:multiLevelType w:val="hybridMultilevel"/>
    <w:tmpl w:val="5C4A1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0260B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5038D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1E4750C7"/>
    <w:multiLevelType w:val="hybridMultilevel"/>
    <w:tmpl w:val="1D56F7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072A4"/>
    <w:multiLevelType w:val="hybridMultilevel"/>
    <w:tmpl w:val="B73626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84064CA"/>
    <w:multiLevelType w:val="hybridMultilevel"/>
    <w:tmpl w:val="E67E06C0"/>
    <w:lvl w:ilvl="0" w:tplc="C7CC5A0C"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87126"/>
    <w:multiLevelType w:val="hybridMultilevel"/>
    <w:tmpl w:val="8B468A86"/>
    <w:lvl w:ilvl="0" w:tplc="15AE2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813D30"/>
    <w:multiLevelType w:val="hybridMultilevel"/>
    <w:tmpl w:val="D924BB00"/>
    <w:lvl w:ilvl="0" w:tplc="312CDA54">
      <w:start w:val="1"/>
      <w:numFmt w:val="decimal"/>
      <w:lvlText w:val="H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C6D47C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E848A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582F7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4AD39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E70D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BF6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AA37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6F6F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89C065C"/>
    <w:multiLevelType w:val="hybridMultilevel"/>
    <w:tmpl w:val="B6A0C16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745660"/>
    <w:multiLevelType w:val="hybridMultilevel"/>
    <w:tmpl w:val="15F82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7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7A30519B"/>
    <w:multiLevelType w:val="hybridMultilevel"/>
    <w:tmpl w:val="D8AA8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7210AB"/>
    <w:multiLevelType w:val="hybridMultilevel"/>
    <w:tmpl w:val="395E1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329">
    <w:abstractNumId w:val="35"/>
  </w:num>
  <w:num w:numId="2" w16cid:durableId="1152141714">
    <w:abstractNumId w:val="36"/>
  </w:num>
  <w:num w:numId="3" w16cid:durableId="412630402">
    <w:abstractNumId w:val="35"/>
    <w:lvlOverride w:ilvl="0">
      <w:startOverride w:val="1"/>
    </w:lvlOverride>
  </w:num>
  <w:num w:numId="4" w16cid:durableId="1852140090">
    <w:abstractNumId w:val="25"/>
  </w:num>
  <w:num w:numId="5" w16cid:durableId="1244490497">
    <w:abstractNumId w:val="42"/>
  </w:num>
  <w:num w:numId="6" w16cid:durableId="392588381">
    <w:abstractNumId w:val="59"/>
  </w:num>
  <w:num w:numId="7" w16cid:durableId="1496728163">
    <w:abstractNumId w:val="8"/>
  </w:num>
  <w:num w:numId="8" w16cid:durableId="1567885209">
    <w:abstractNumId w:val="58"/>
  </w:num>
  <w:num w:numId="9" w16cid:durableId="892035834">
    <w:abstractNumId w:val="53"/>
  </w:num>
  <w:num w:numId="10" w16cid:durableId="1420322924">
    <w:abstractNumId w:val="44"/>
  </w:num>
  <w:num w:numId="11" w16cid:durableId="1588689285">
    <w:abstractNumId w:val="47"/>
  </w:num>
  <w:num w:numId="12" w16cid:durableId="366374553">
    <w:abstractNumId w:val="12"/>
  </w:num>
  <w:num w:numId="13" w16cid:durableId="649604550">
    <w:abstractNumId w:val="40"/>
  </w:num>
  <w:num w:numId="14" w16cid:durableId="1096633854">
    <w:abstractNumId w:val="34"/>
  </w:num>
  <w:num w:numId="15" w16cid:durableId="386149807">
    <w:abstractNumId w:val="5"/>
  </w:num>
  <w:num w:numId="16" w16cid:durableId="1662730210">
    <w:abstractNumId w:val="45"/>
  </w:num>
  <w:num w:numId="17" w16cid:durableId="122966611">
    <w:abstractNumId w:val="48"/>
  </w:num>
  <w:num w:numId="18" w16cid:durableId="347293067">
    <w:abstractNumId w:val="54"/>
  </w:num>
  <w:num w:numId="19" w16cid:durableId="1658806952">
    <w:abstractNumId w:val="14"/>
  </w:num>
  <w:num w:numId="20" w16cid:durableId="1393308741">
    <w:abstractNumId w:val="2"/>
  </w:num>
  <w:num w:numId="21" w16cid:durableId="1303463920">
    <w:abstractNumId w:val="9"/>
  </w:num>
  <w:num w:numId="22" w16cid:durableId="1351032583">
    <w:abstractNumId w:val="20"/>
  </w:num>
  <w:num w:numId="23" w16cid:durableId="1279608975">
    <w:abstractNumId w:val="39"/>
  </w:num>
  <w:num w:numId="24" w16cid:durableId="1800755233">
    <w:abstractNumId w:val="28"/>
  </w:num>
  <w:num w:numId="25" w16cid:durableId="567154322">
    <w:abstractNumId w:val="30"/>
  </w:num>
  <w:num w:numId="26" w16cid:durableId="1644890384">
    <w:abstractNumId w:val="51"/>
  </w:num>
  <w:num w:numId="27" w16cid:durableId="1623997854">
    <w:abstractNumId w:val="15"/>
  </w:num>
  <w:num w:numId="28" w16cid:durableId="2073962726">
    <w:abstractNumId w:val="23"/>
  </w:num>
  <w:num w:numId="29" w16cid:durableId="1486900364">
    <w:abstractNumId w:val="33"/>
  </w:num>
  <w:num w:numId="30" w16cid:durableId="730884049">
    <w:abstractNumId w:val="17"/>
  </w:num>
  <w:num w:numId="31" w16cid:durableId="1098676612">
    <w:abstractNumId w:val="1"/>
  </w:num>
  <w:num w:numId="32" w16cid:durableId="2085108929">
    <w:abstractNumId w:val="49"/>
  </w:num>
  <w:num w:numId="33" w16cid:durableId="296843607">
    <w:abstractNumId w:val="56"/>
  </w:num>
  <w:num w:numId="34" w16cid:durableId="1608731842">
    <w:abstractNumId w:val="35"/>
    <w:lvlOverride w:ilvl="0">
      <w:startOverride w:val="1"/>
    </w:lvlOverride>
  </w:num>
  <w:num w:numId="35" w16cid:durableId="360979206">
    <w:abstractNumId w:val="13"/>
  </w:num>
  <w:num w:numId="36" w16cid:durableId="691804319">
    <w:abstractNumId w:val="35"/>
    <w:lvlOverride w:ilvl="0">
      <w:startOverride w:val="1"/>
    </w:lvlOverride>
  </w:num>
  <w:num w:numId="37" w16cid:durableId="793138348">
    <w:abstractNumId w:val="10"/>
  </w:num>
  <w:num w:numId="38" w16cid:durableId="675772132">
    <w:abstractNumId w:val="50"/>
  </w:num>
  <w:num w:numId="39" w16cid:durableId="1563834281">
    <w:abstractNumId w:val="3"/>
  </w:num>
  <w:num w:numId="40" w16cid:durableId="870218547">
    <w:abstractNumId w:val="19"/>
  </w:num>
  <w:num w:numId="41" w16cid:durableId="2139257992">
    <w:abstractNumId w:val="26"/>
  </w:num>
  <w:num w:numId="42" w16cid:durableId="1018849354">
    <w:abstractNumId w:val="52"/>
  </w:num>
  <w:num w:numId="43" w16cid:durableId="721712733">
    <w:abstractNumId w:val="22"/>
  </w:num>
  <w:num w:numId="44" w16cid:durableId="1378698831">
    <w:abstractNumId w:val="4"/>
  </w:num>
  <w:num w:numId="45" w16cid:durableId="141428669">
    <w:abstractNumId w:val="21"/>
  </w:num>
  <w:num w:numId="46" w16cid:durableId="240599873">
    <w:abstractNumId w:val="37"/>
  </w:num>
  <w:num w:numId="47" w16cid:durableId="1238396744">
    <w:abstractNumId w:val="38"/>
  </w:num>
  <w:num w:numId="48" w16cid:durableId="568423838">
    <w:abstractNumId w:val="6"/>
  </w:num>
  <w:num w:numId="49" w16cid:durableId="57435818">
    <w:abstractNumId w:val="32"/>
  </w:num>
  <w:num w:numId="50" w16cid:durableId="384261147">
    <w:abstractNumId w:val="31"/>
  </w:num>
  <w:num w:numId="51" w16cid:durableId="2056342842">
    <w:abstractNumId w:val="18"/>
  </w:num>
  <w:num w:numId="52" w16cid:durableId="474183920">
    <w:abstractNumId w:val="57"/>
  </w:num>
  <w:num w:numId="53" w16cid:durableId="2010206203">
    <w:abstractNumId w:val="16"/>
  </w:num>
  <w:num w:numId="54" w16cid:durableId="1525436707">
    <w:abstractNumId w:val="0"/>
  </w:num>
  <w:num w:numId="55" w16cid:durableId="1896964071">
    <w:abstractNumId w:val="29"/>
  </w:num>
  <w:num w:numId="56" w16cid:durableId="1580097741">
    <w:abstractNumId w:val="43"/>
  </w:num>
  <w:num w:numId="57" w16cid:durableId="1815369707">
    <w:abstractNumId w:val="41"/>
  </w:num>
  <w:num w:numId="58" w16cid:durableId="765542338">
    <w:abstractNumId w:val="11"/>
  </w:num>
  <w:num w:numId="59" w16cid:durableId="776632156">
    <w:abstractNumId w:val="27"/>
  </w:num>
  <w:num w:numId="60" w16cid:durableId="2036270168">
    <w:abstractNumId w:val="55"/>
  </w:num>
  <w:num w:numId="61" w16cid:durableId="1530996411">
    <w:abstractNumId w:val="46"/>
  </w:num>
  <w:num w:numId="62" w16cid:durableId="1972052341">
    <w:abstractNumId w:val="7"/>
  </w:num>
  <w:num w:numId="63" w16cid:durableId="1911620132">
    <w:abstractNumId w:val="2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BAA"/>
    <w:rsid w:val="009741A7"/>
    <w:rsid w:val="009742D9"/>
    <w:rsid w:val="009754B1"/>
    <w:rsid w:val="00976339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CB0245A8-0537-4119-991C-15141BC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11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11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11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11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1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1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1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1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11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69860</TotalTime>
  <Pages>15</Pages>
  <Words>958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1169</cp:revision>
  <cp:lastPrinted>2024-05-10T18:45:00Z</cp:lastPrinted>
  <dcterms:created xsi:type="dcterms:W3CDTF">2021-05-09T13:07:00Z</dcterms:created>
  <dcterms:modified xsi:type="dcterms:W3CDTF">2025-07-01T11:59:00Z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