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2449" w14:textId="510C8024" w:rsidR="00DE7193" w:rsidRDefault="00B61EC4" w:rsidP="00B61EC4">
      <w:pPr>
        <w:pStyle w:val="Nagwek1"/>
      </w:pPr>
      <w:r w:rsidRPr="00B61EC4">
        <w:t>Badanie efektów działania</w:t>
      </w:r>
      <w:r w:rsidR="00787121" w:rsidRPr="00B61EC4">
        <w:t xml:space="preserve"> systemu zarządzania jakością uczelni z uwzględnieniem pomiaru satysfakcji interesariuszy</w:t>
      </w:r>
    </w:p>
    <w:p w14:paraId="662CC151" w14:textId="0F31CB99" w:rsidR="00B61EC4" w:rsidRDefault="00B61EC4" w:rsidP="00B61EC4">
      <w:pPr>
        <w:pStyle w:val="Nagwek2"/>
      </w:pPr>
      <w:bookmarkStart w:id="0" w:name="_Toc157667013"/>
      <w:r>
        <w:t>Efekty działań uczelni w świetle pomiaru satysfakcji interesariuszy</w:t>
      </w:r>
    </w:p>
    <w:p w14:paraId="455571B0" w14:textId="2A5E58CC" w:rsidR="003C08E8" w:rsidRDefault="003C08E8" w:rsidP="00B61EC4">
      <w:pPr>
        <w:pStyle w:val="Nagwek3"/>
      </w:pPr>
      <w:bookmarkStart w:id="1" w:name="_Ref137647622"/>
      <w:bookmarkStart w:id="2" w:name="_Ref137647645"/>
      <w:bookmarkStart w:id="3" w:name="_Ref137763110"/>
      <w:bookmarkStart w:id="4" w:name="_Ref137763114"/>
      <w:bookmarkStart w:id="5" w:name="_Ref137805973"/>
      <w:bookmarkStart w:id="6" w:name="_Toc157667015"/>
      <w:bookmarkEnd w:id="0"/>
      <w:r>
        <w:t xml:space="preserve">Analiza </w:t>
      </w:r>
      <w:r w:rsidR="00847F16">
        <w:t>grupy badawczej</w:t>
      </w:r>
      <w:r>
        <w:t xml:space="preserve"> badania kwestionariuszowego</w:t>
      </w:r>
      <w:bookmarkEnd w:id="1"/>
      <w:bookmarkEnd w:id="2"/>
      <w:bookmarkEnd w:id="3"/>
      <w:bookmarkEnd w:id="4"/>
      <w:bookmarkEnd w:id="5"/>
      <w:bookmarkEnd w:id="6"/>
    </w:p>
    <w:p w14:paraId="1D12C119" w14:textId="3CCAA211" w:rsidR="003C08E8" w:rsidRDefault="003C08E8" w:rsidP="00980EB8">
      <w:r>
        <w:t>Badanie kwestionariuszowe zostało przeprowadzone przy pomocy narzędzia badawczego w postaci ankiety internetowej stworzonej w portalu ankietaplus.pl</w:t>
      </w:r>
      <w:r>
        <w:rPr>
          <w:rStyle w:val="Odwoanieprzypisudolnego"/>
        </w:rPr>
        <w:footnoteReference w:id="1"/>
      </w:r>
      <w:r>
        <w:t xml:space="preserve">. Badanie było kierowane do wybranych grup interesariuszy uczelni przy wykorzystaniu metody kuli śnieżnej </w:t>
      </w:r>
      <w:r>
        <w:fldChar w:fldCharType="begin" w:fldLock="1"/>
      </w:r>
      <w:r w:rsidR="001A2624">
        <w:instrText>ADDIN CSL_CITATION {"citationItems":[{"id":"ITEM-1","itemData":{"DOI":"10.1146/annurev.psych.50.1.537","ISSN":"0066-4308","PMID":"15012463","abstract":"▪ Abstract For the first time in decades, conventional wisdom about survey methodology is being challenged on many fronts. The insights gained can not only help psychologists do their research better but also provide useful insights into the basics of social interaction and cognition. This chapter reviews some of the many recent advances in the literature, including the following: New findings challenge a long-standing prejudice against studies with low response rates; innovative techniques for pretesting questionnaires offer opportunities for improving measurement validity; surprising effects of the verbal labels put on rating scale points have been identified, suggesting optimal approaches to scale labeling; respondents interpret questions on the basis of the norms of everyday conversation, so violations of those conventions introduce error; some measurement error thought to have been attributable to social desirability response bias now appears to be due to other factors instead, thus encouraging different approaches to fixing such problems; and a new theory of satisficing in questionnaire responding offers parsimonious explanations for a range of response patterns long recognized by psycholo-gists and survey researchers but previously not well understood.","author":[{"dropping-particle":"","family":"Krosnick","given":"Jon A.","non-dropping-particle":"","parse-names":false,"suffix":""}],"container-title":"Annual Review of Psychology","id":"ITEM-1","issue":"1","issued":{"date-parts":[["1999","2"]]},"page":"537-567","title":"SURVEY RESEARCH","type":"article-journal","volume":"50"},"prefix":"por.","uris":["http://www.mendeley.com/documents/?uuid=e41481f9-2217-4e08-b378-13cc4e86c600"]}],"mendeley":{"formattedCitation":"(por. Krosnick, 1999)","plainTextFormattedCitation":"(por. Krosnick, 1999)","previouslyFormattedCitation":"(por. Krosnick, 1999)"},"properties":{"noteIndex":0},"schema":"https://github.com/citation-style-language/schema/raw/master/csl-citation.json"}</w:instrText>
      </w:r>
      <w:r>
        <w:fldChar w:fldCharType="separate"/>
      </w:r>
      <w:r w:rsidR="00921CC1" w:rsidRPr="00921CC1">
        <w:rPr>
          <w:noProof/>
        </w:rPr>
        <w:t>(por. Krosnick, 1999)</w:t>
      </w:r>
      <w:r>
        <w:fldChar w:fldCharType="end"/>
      </w:r>
      <w:r>
        <w:t xml:space="preserve"> do doboru próby. Jest to metoda nieprobabilistyczna.</w:t>
      </w:r>
    </w:p>
    <w:p w14:paraId="7386A4FC" w14:textId="081CC9BA" w:rsidR="003C08E8" w:rsidRDefault="003C08E8" w:rsidP="003C08E8">
      <w:pPr>
        <w:pStyle w:val="Tytutabeli"/>
      </w:pPr>
      <w:bookmarkStart w:id="7" w:name="_Toc163576352"/>
      <w:r>
        <w:t xml:space="preserve">Tabela </w:t>
      </w:r>
      <w:r>
        <w:fldChar w:fldCharType="begin"/>
      </w:r>
      <w:r>
        <w:instrText xml:space="preserve"> SEQ Tabela \* ARABIC </w:instrText>
      </w:r>
      <w:r>
        <w:fldChar w:fldCharType="separate"/>
      </w:r>
      <w:r w:rsidR="00DA2A4D">
        <w:rPr>
          <w:noProof/>
        </w:rPr>
        <w:t>63</w:t>
      </w:r>
      <w:r>
        <w:rPr>
          <w:noProof/>
        </w:rPr>
        <w:fldChar w:fldCharType="end"/>
      </w:r>
      <w:r>
        <w:t xml:space="preserve"> Statystyki rezultatów liczby uzyskanych odpowiedzi uczestników badania kwestionariuszowego</w:t>
      </w:r>
      <w:bookmarkEnd w:id="7"/>
    </w:p>
    <w:tbl>
      <w:tblPr>
        <w:tblStyle w:val="Tabela-Siatka"/>
        <w:tblW w:w="9071" w:type="dxa"/>
        <w:tblLook w:val="04A0" w:firstRow="1" w:lastRow="0" w:firstColumn="1" w:lastColumn="0" w:noHBand="0" w:noVBand="1"/>
      </w:tblPr>
      <w:tblGrid>
        <w:gridCol w:w="7370"/>
        <w:gridCol w:w="1701"/>
      </w:tblGrid>
      <w:tr w:rsidR="003C08E8" w:rsidRPr="008A7C5F" w14:paraId="6E145B62" w14:textId="77777777" w:rsidTr="00035BCA">
        <w:trPr>
          <w:cantSplit/>
          <w:tblHeader/>
        </w:trPr>
        <w:tc>
          <w:tcPr>
            <w:tcW w:w="7370" w:type="dxa"/>
            <w:vAlign w:val="center"/>
          </w:tcPr>
          <w:p w14:paraId="0F744DA3" w14:textId="77777777" w:rsidR="003C08E8" w:rsidRPr="008A7C5F" w:rsidRDefault="003C08E8" w:rsidP="005A1FE4">
            <w:pPr>
              <w:keepNext/>
              <w:ind w:firstLine="0"/>
              <w:jc w:val="left"/>
              <w:rPr>
                <w:b/>
                <w:bCs/>
                <w:sz w:val="18"/>
                <w:szCs w:val="18"/>
                <w:lang w:val="pl-PL"/>
              </w:rPr>
            </w:pPr>
            <w:r w:rsidRPr="008A7C5F">
              <w:rPr>
                <w:b/>
                <w:bCs/>
                <w:sz w:val="18"/>
                <w:szCs w:val="18"/>
                <w:lang w:val="pl-PL"/>
              </w:rPr>
              <w:t xml:space="preserve">Kategoria kwalifikacji odpowiedzi </w:t>
            </w:r>
          </w:p>
        </w:tc>
        <w:tc>
          <w:tcPr>
            <w:tcW w:w="1701" w:type="dxa"/>
            <w:vAlign w:val="center"/>
          </w:tcPr>
          <w:p w14:paraId="7BD323E1" w14:textId="77777777" w:rsidR="003C08E8" w:rsidRPr="008A7C5F" w:rsidRDefault="003C08E8" w:rsidP="005A1FE4">
            <w:pPr>
              <w:keepNext/>
              <w:ind w:firstLine="0"/>
              <w:jc w:val="center"/>
              <w:rPr>
                <w:b/>
                <w:bCs/>
                <w:sz w:val="18"/>
                <w:szCs w:val="18"/>
                <w:lang w:val="pl-PL"/>
              </w:rPr>
            </w:pPr>
            <w:r w:rsidRPr="008A7C5F">
              <w:rPr>
                <w:b/>
                <w:bCs/>
                <w:sz w:val="18"/>
                <w:szCs w:val="18"/>
                <w:lang w:val="pl-PL"/>
              </w:rPr>
              <w:t>Wartość</w:t>
            </w:r>
          </w:p>
        </w:tc>
      </w:tr>
      <w:tr w:rsidR="003C08E8" w:rsidRPr="008A7C5F" w14:paraId="2FA49D0A" w14:textId="77777777" w:rsidTr="00035BCA">
        <w:trPr>
          <w:cantSplit/>
        </w:trPr>
        <w:tc>
          <w:tcPr>
            <w:tcW w:w="7370" w:type="dxa"/>
          </w:tcPr>
          <w:p w14:paraId="1E02A721" w14:textId="77777777" w:rsidR="003C08E8" w:rsidRPr="008A7C5F" w:rsidRDefault="003C08E8" w:rsidP="00035BCA">
            <w:pPr>
              <w:ind w:firstLine="0"/>
              <w:rPr>
                <w:sz w:val="18"/>
                <w:szCs w:val="18"/>
                <w:lang w:val="pl-PL"/>
              </w:rPr>
            </w:pPr>
            <w:r w:rsidRPr="008A7C5F">
              <w:rPr>
                <w:sz w:val="18"/>
                <w:szCs w:val="18"/>
                <w:lang w:val="pl-PL"/>
              </w:rPr>
              <w:t>Liczba rozpoczętych ankiet</w:t>
            </w:r>
          </w:p>
        </w:tc>
        <w:tc>
          <w:tcPr>
            <w:tcW w:w="1701" w:type="dxa"/>
          </w:tcPr>
          <w:p w14:paraId="66D25F73" w14:textId="77777777" w:rsidR="003C08E8" w:rsidRPr="008A7C5F" w:rsidRDefault="003C08E8" w:rsidP="00035BCA">
            <w:pPr>
              <w:ind w:firstLine="0"/>
              <w:jc w:val="center"/>
              <w:rPr>
                <w:sz w:val="18"/>
                <w:szCs w:val="18"/>
                <w:lang w:val="pl-PL"/>
              </w:rPr>
            </w:pPr>
            <w:r w:rsidRPr="008A7C5F">
              <w:rPr>
                <w:sz w:val="18"/>
                <w:szCs w:val="18"/>
                <w:lang w:val="pl-PL"/>
              </w:rPr>
              <w:t>259</w:t>
            </w:r>
          </w:p>
        </w:tc>
      </w:tr>
      <w:tr w:rsidR="003C08E8" w:rsidRPr="008A7C5F" w14:paraId="507022A6" w14:textId="77777777" w:rsidTr="00035BCA">
        <w:trPr>
          <w:cantSplit/>
        </w:trPr>
        <w:tc>
          <w:tcPr>
            <w:tcW w:w="7370" w:type="dxa"/>
          </w:tcPr>
          <w:p w14:paraId="59294F70" w14:textId="77777777" w:rsidR="003C08E8" w:rsidRPr="008A7C5F" w:rsidRDefault="003C08E8" w:rsidP="00035BCA">
            <w:pPr>
              <w:ind w:firstLine="0"/>
              <w:rPr>
                <w:sz w:val="18"/>
                <w:szCs w:val="18"/>
                <w:lang w:val="pl-PL"/>
              </w:rPr>
            </w:pPr>
            <w:r w:rsidRPr="008A7C5F">
              <w:rPr>
                <w:sz w:val="18"/>
                <w:szCs w:val="18"/>
                <w:lang w:val="pl-PL"/>
              </w:rPr>
              <w:t>Liczba zakończonych ankiet</w:t>
            </w:r>
          </w:p>
        </w:tc>
        <w:tc>
          <w:tcPr>
            <w:tcW w:w="1701" w:type="dxa"/>
          </w:tcPr>
          <w:p w14:paraId="20D96E7B" w14:textId="77777777" w:rsidR="003C08E8" w:rsidRPr="008A7C5F" w:rsidRDefault="003C08E8" w:rsidP="00035BCA">
            <w:pPr>
              <w:ind w:firstLine="0"/>
              <w:jc w:val="center"/>
              <w:rPr>
                <w:sz w:val="18"/>
                <w:szCs w:val="18"/>
                <w:lang w:val="pl-PL"/>
              </w:rPr>
            </w:pPr>
            <w:r w:rsidRPr="008A7C5F">
              <w:rPr>
                <w:sz w:val="18"/>
                <w:szCs w:val="18"/>
                <w:lang w:val="pl-PL"/>
              </w:rPr>
              <w:t>138</w:t>
            </w:r>
          </w:p>
        </w:tc>
      </w:tr>
      <w:tr w:rsidR="003C08E8" w:rsidRPr="008A7C5F" w14:paraId="1EC498DE" w14:textId="77777777" w:rsidTr="00035BCA">
        <w:trPr>
          <w:cantSplit/>
        </w:trPr>
        <w:tc>
          <w:tcPr>
            <w:tcW w:w="7370" w:type="dxa"/>
          </w:tcPr>
          <w:p w14:paraId="78EE1C75" w14:textId="77777777" w:rsidR="003C08E8" w:rsidRPr="008A7C5F" w:rsidRDefault="003C08E8" w:rsidP="00035BCA">
            <w:pPr>
              <w:ind w:firstLine="0"/>
              <w:rPr>
                <w:sz w:val="18"/>
                <w:szCs w:val="18"/>
                <w:lang w:val="pl-PL"/>
              </w:rPr>
            </w:pPr>
            <w:r w:rsidRPr="008A7C5F">
              <w:rPr>
                <w:sz w:val="18"/>
                <w:szCs w:val="18"/>
                <w:lang w:val="pl-PL"/>
              </w:rPr>
              <w:t>Proporcja liczby ankiet zakończonych do liczby ankiet rozpoczętych</w:t>
            </w:r>
          </w:p>
        </w:tc>
        <w:tc>
          <w:tcPr>
            <w:tcW w:w="1701" w:type="dxa"/>
          </w:tcPr>
          <w:p w14:paraId="61C6B2C2" w14:textId="77777777" w:rsidR="003C08E8" w:rsidRPr="008A7C5F" w:rsidRDefault="003C08E8" w:rsidP="00035BCA">
            <w:pPr>
              <w:ind w:firstLine="0"/>
              <w:jc w:val="center"/>
              <w:rPr>
                <w:sz w:val="18"/>
                <w:szCs w:val="18"/>
                <w:lang w:val="pl-PL"/>
              </w:rPr>
            </w:pPr>
            <w:r w:rsidRPr="008A7C5F">
              <w:rPr>
                <w:sz w:val="18"/>
                <w:szCs w:val="18"/>
                <w:lang w:val="pl-PL"/>
              </w:rPr>
              <w:t>53,28%</w:t>
            </w:r>
          </w:p>
        </w:tc>
      </w:tr>
      <w:tr w:rsidR="003C08E8" w:rsidRPr="008A7C5F" w14:paraId="26591A27" w14:textId="77777777" w:rsidTr="00035BCA">
        <w:trPr>
          <w:cantSplit/>
        </w:trPr>
        <w:tc>
          <w:tcPr>
            <w:tcW w:w="7370" w:type="dxa"/>
          </w:tcPr>
          <w:p w14:paraId="77292EB3" w14:textId="77777777" w:rsidR="003C08E8" w:rsidRPr="008A7C5F" w:rsidRDefault="003C08E8" w:rsidP="00035BCA">
            <w:pPr>
              <w:ind w:firstLine="0"/>
              <w:rPr>
                <w:sz w:val="18"/>
                <w:szCs w:val="18"/>
                <w:lang w:val="pl-PL"/>
              </w:rPr>
            </w:pPr>
            <w:r w:rsidRPr="008A7C5F">
              <w:rPr>
                <w:sz w:val="18"/>
                <w:szCs w:val="18"/>
                <w:lang w:val="pl-PL"/>
              </w:rPr>
              <w:t>Liczba respondentów ankiet rozpoczętych</w:t>
            </w:r>
            <w:r w:rsidRPr="008A7C5F">
              <w:rPr>
                <w:rStyle w:val="Odwoanieprzypisudolnego"/>
                <w:sz w:val="18"/>
                <w:szCs w:val="18"/>
                <w:lang w:val="pl-PL"/>
              </w:rPr>
              <w:footnoteReference w:id="2"/>
            </w:r>
          </w:p>
        </w:tc>
        <w:tc>
          <w:tcPr>
            <w:tcW w:w="1701" w:type="dxa"/>
          </w:tcPr>
          <w:p w14:paraId="01F16FC2" w14:textId="77777777" w:rsidR="003C08E8" w:rsidRPr="008A7C5F" w:rsidRDefault="003C08E8" w:rsidP="00035BCA">
            <w:pPr>
              <w:ind w:firstLine="0"/>
              <w:jc w:val="center"/>
              <w:rPr>
                <w:sz w:val="18"/>
                <w:szCs w:val="18"/>
                <w:lang w:val="pl-PL"/>
              </w:rPr>
            </w:pPr>
            <w:r w:rsidRPr="008A7C5F">
              <w:rPr>
                <w:sz w:val="18"/>
                <w:szCs w:val="18"/>
                <w:lang w:val="pl-PL"/>
              </w:rPr>
              <w:t>249</w:t>
            </w:r>
          </w:p>
        </w:tc>
      </w:tr>
      <w:tr w:rsidR="003C08E8" w:rsidRPr="008A7C5F" w14:paraId="6ABCD3E8" w14:textId="77777777" w:rsidTr="00035BCA">
        <w:trPr>
          <w:cantSplit/>
        </w:trPr>
        <w:tc>
          <w:tcPr>
            <w:tcW w:w="7370" w:type="dxa"/>
          </w:tcPr>
          <w:p w14:paraId="434D183F" w14:textId="77777777" w:rsidR="003C08E8" w:rsidRPr="008A7C5F" w:rsidRDefault="003C08E8" w:rsidP="00035BCA">
            <w:pPr>
              <w:ind w:firstLine="0"/>
              <w:rPr>
                <w:sz w:val="18"/>
                <w:szCs w:val="18"/>
                <w:lang w:val="pl-PL"/>
              </w:rPr>
            </w:pPr>
            <w:r w:rsidRPr="008A7C5F">
              <w:rPr>
                <w:sz w:val="18"/>
                <w:szCs w:val="18"/>
                <w:lang w:val="pl-PL"/>
              </w:rPr>
              <w:t>Liczba respondentów ankiet zakończonych</w:t>
            </w:r>
          </w:p>
        </w:tc>
        <w:tc>
          <w:tcPr>
            <w:tcW w:w="1701" w:type="dxa"/>
          </w:tcPr>
          <w:p w14:paraId="7FA7FDB4" w14:textId="77777777" w:rsidR="003C08E8" w:rsidRPr="008A7C5F" w:rsidRDefault="003C08E8" w:rsidP="00035BCA">
            <w:pPr>
              <w:ind w:firstLine="0"/>
              <w:jc w:val="center"/>
              <w:rPr>
                <w:sz w:val="18"/>
                <w:szCs w:val="18"/>
                <w:lang w:val="pl-PL"/>
              </w:rPr>
            </w:pPr>
            <w:r w:rsidRPr="008A7C5F">
              <w:rPr>
                <w:sz w:val="18"/>
                <w:szCs w:val="18"/>
                <w:lang w:val="pl-PL"/>
              </w:rPr>
              <w:t>133</w:t>
            </w:r>
          </w:p>
        </w:tc>
      </w:tr>
      <w:tr w:rsidR="003C08E8" w:rsidRPr="008A7C5F" w14:paraId="48056AB8" w14:textId="77777777" w:rsidTr="00035BCA">
        <w:trPr>
          <w:cantSplit/>
        </w:trPr>
        <w:tc>
          <w:tcPr>
            <w:tcW w:w="7370" w:type="dxa"/>
          </w:tcPr>
          <w:p w14:paraId="691A4C50" w14:textId="77777777" w:rsidR="003C08E8" w:rsidRPr="008A7C5F" w:rsidRDefault="003C08E8" w:rsidP="005A1FE4">
            <w:pPr>
              <w:keepNext/>
              <w:ind w:firstLine="0"/>
              <w:rPr>
                <w:sz w:val="18"/>
                <w:szCs w:val="18"/>
                <w:lang w:val="pl-PL"/>
              </w:rPr>
            </w:pPr>
            <w:r w:rsidRPr="008A7C5F">
              <w:rPr>
                <w:sz w:val="18"/>
                <w:szCs w:val="18"/>
                <w:lang w:val="pl-PL"/>
              </w:rPr>
              <w:t xml:space="preserve">Proporcja liczby respondentów ankiet zakończonych do liczby respondentów ankiet </w:t>
            </w:r>
            <w:r>
              <w:rPr>
                <w:sz w:val="18"/>
                <w:szCs w:val="18"/>
                <w:lang w:val="pl-PL"/>
              </w:rPr>
              <w:br/>
            </w:r>
            <w:r w:rsidRPr="008A7C5F">
              <w:rPr>
                <w:sz w:val="18"/>
                <w:szCs w:val="18"/>
                <w:lang w:val="pl-PL"/>
              </w:rPr>
              <w:t>rozpoczętych</w:t>
            </w:r>
          </w:p>
        </w:tc>
        <w:tc>
          <w:tcPr>
            <w:tcW w:w="1701" w:type="dxa"/>
          </w:tcPr>
          <w:p w14:paraId="30EE7B85" w14:textId="77777777" w:rsidR="003C08E8" w:rsidRPr="008A7C5F" w:rsidRDefault="003C08E8" w:rsidP="005A1FE4">
            <w:pPr>
              <w:keepNext/>
              <w:ind w:firstLine="0"/>
              <w:jc w:val="center"/>
              <w:rPr>
                <w:sz w:val="18"/>
                <w:szCs w:val="18"/>
                <w:lang w:val="pl-PL"/>
              </w:rPr>
            </w:pPr>
            <w:r w:rsidRPr="008A7C5F">
              <w:rPr>
                <w:sz w:val="18"/>
                <w:szCs w:val="18"/>
                <w:lang w:val="pl-PL"/>
              </w:rPr>
              <w:t>53,41%</w:t>
            </w:r>
          </w:p>
        </w:tc>
      </w:tr>
    </w:tbl>
    <w:p w14:paraId="12DBE0AD" w14:textId="77777777" w:rsidR="003C08E8" w:rsidRDefault="003C08E8" w:rsidP="007770AA">
      <w:pPr>
        <w:pStyle w:val="rdo"/>
      </w:pPr>
      <w:r>
        <w:t>Źródło: opracowanie własne</w:t>
      </w:r>
    </w:p>
    <w:p w14:paraId="1846F96F" w14:textId="55855D77" w:rsidR="003C08E8" w:rsidRDefault="003C08E8" w:rsidP="003C08E8">
      <w:r>
        <w:t xml:space="preserve">Wartości proporcji ankiet zakończonych do rozpoczętych, zarówno dla ogółu uczestników badania, jak i dla odpowiedzi zakwalifikowanych na podstawie pytań filtrujących jako respondentów badania na poziomie 53%, należy uznać za niezbyt wysokie </w:t>
      </w:r>
      <w:r>
        <w:fldChar w:fldCharType="begin" w:fldLock="1"/>
      </w:r>
      <w:r w:rsidR="001A2624">
        <w:instrText>ADDIN CSL_CITATION {"citationItems":[{"id":"ITEM-1","itemData":{"author":[{"dropping-particle":"","family":"Vehovar","given":"Vasja","non-dropping-particle":"","parse-names":false,"suffix":""},{"dropping-particle":"","family":"Batagelj","given":"Zenel","non-dropping-particle":"","parse-names":false,"suffix":""},{"dropping-particle":"","family":"Manfreda","given":"Katja Lozar","non-dropping-particle":"","parse-names":false,"suffix":""},{"dropping-particle":"","family":"Zaletel","given":"Metka","non-dropping-particle":"","parse-names":false,"suffix":""}],"container-title":"Survey nonresponse","id":"ITEM-1","issued":{"date-parts":[["2002"]]},"page":"229-242","publisher":"John Wiley New York, NY","title":"Nonresponse in web surveys","type":"article-journal"},"prefix":"por.","uris":["http://www.mendeley.com/documents/?uuid=d7667fc7-a502-4e9e-bc82-625e3bc741c2"]},{"id":"ITEM-2","itemData":{"author":[{"dropping-particle":"","family":"Matzat","given":"Uwe","non-dropping-particle":"","parse-names":false,"suffix":""},{"dropping-particle":"","family":"Snijders","given":"Chris","non-dropping-particle":"","parse-names":false,"suffix":""},{"dropping-particle":"","family":"Horst","given":"Wouter","non-dropping-particle":"van der","parse-names":false,"suffix":""}],"container-title":"Social Psychology","id":"ITEM-2","issue":"1","issued":{"date-parts":[["2009"]]},"page":"43","publisher":"Hogrefe \\&amp; Huber Publishers","title":"Effects of different types of progress indicators on drop-out rates in web surveys.","type":"article-journal","volume":"40"},"uris":["http://www.mendeley.com/documents/?uuid=6fadb7fd-a84e-4020-a703-bc01fb81d098"]},{"id":"ITEM-3","itemData":{"DOI":"10.1080/10447310902864951","ISSN":"1044-7318","author":[{"dropping-particle":"","family":"Hoonakker","given":"Peter","non-dropping-particle":"","parse-names":false,"suffix":""},{"dropping-particle":"","family":"Carayon","given":"Pascale","non-dropping-particle":"","parse-names":false,"suffix":""}],"container-title":"International Journal of Human-Computer Interaction","id":"ITEM-3","issue":"5","issued":{"date-parts":[["2009","6","8"]]},"page":"348-373","title":"Questionnaire Survey Nonresponse: A Comparison of Postal Mail and Internet Surveys","type":"article-journal","volume":"25"},"uris":["http://www.mendeley.com/documents/?uuid=8d22d825-47eb-411f-87b8-6c02576f22cc"]},{"id":"ITEM-4","itemData":{"DOI":"10.1177/0894439313497468","ISSN":"0894-4393","abstract":"The use of progress indicators seems to be standard in many online surveys. Researchers include them in surveys in the hope they will help reduce drop-off rates. However, there is no consensus in the literature regarding their effects. In this meta-analysis, we analyzed 32 randomized experiments comparing drop-off rates of an experimental group who completed an online survey in which a progress indicator was shown to drop-off rates of a control group to whom the progress indicator was not shown. In all the studies, a drop-off was defined as a discontinuance of the survey (at any point) after it has begun, resulting in failure to complete the survey. Three types of progress indicators were analyzed: constant, fast-to-slow, and slow-to-fast. Our results show that, overall, using a constant progress indicator does not significantly help reduce drop-offs and that effectiveness of the progress indicator varies depending on the speed of indicator: Fast-to-slow indicators reduced drop-offs, whereas slow-to-fast indicators incr</w:instrText>
      </w:r>
      <w:r w:rsidR="001A2624" w:rsidRPr="00C25CFE">
        <w:rPr>
          <w:lang w:val="en-GB"/>
        </w:rPr>
        <w:instrText>eased drop-offs. We also found that among the studies in which a small incentive was promised, showing a constant progress indicator increased the drop-off rate. These findings question the common belief that progress indicators help reduce drop-off rates.","author":[{"dropping-particle":"","family":"Villar","given":"Ana","non-dropping-particle":"","parse-names":false,"suffix":""},{"dropping-particle":"","family":"Callegaro","given":"Mario","non-dropping-particle":"","parse-names":false,"suffix":""},{"dropping-particle":"","family":"Yang","given":"Yongwei","non-dropping-particle":"","parse-names":false,"suffix":""}],"container-title":"Social Science Computer Review","id":"ITEM-4","issue":"6","issued":{"date-parts":[["2013","12","19"]]},"page":"744-762","title":"Where Am I? A Meta-Analysis of Experiments on the Effects of Progress Indicators for Web Surveys","type":"article-journal","volume":"31"},"uris":["http://www.mendeley.com/documents/?uuid=da307dee-b707-41c3-8938-d697e977d02c"]}],"mendeley":{"formattedCitation":"(Hoonakker &amp; Carayon, 2009; Matzat i in., 2009; por. Vehovar i in., 2002; Villar i in., 2013)","plainTextFormattedCitation":"(Hoonakker &amp; Carayon, 2009; Matzat i in., 2009; por. Vehovar i in., 2002; Villar i in., 2013)","previouslyFormattedCitation":"(Hoonakker &amp; Carayon, 2009; Matzat i in., 2009; por. Vehovar i in., 2002; Villar i in., 2013)"},"properties":{"noteIndex":0},"schema":"https://github.com/citation-style-language/schema/raw/master/csl-citation.json"}</w:instrText>
      </w:r>
      <w:r>
        <w:fldChar w:fldCharType="separate"/>
      </w:r>
      <w:r w:rsidR="00921CC1" w:rsidRPr="00921CC1">
        <w:rPr>
          <w:noProof/>
          <w:lang w:val="en-GB"/>
        </w:rPr>
        <w:t xml:space="preserve">(Hoonakker &amp; Carayon, 2009; Matzat i in., 2009; por. </w:t>
      </w:r>
      <w:r w:rsidR="00921CC1" w:rsidRPr="00376614">
        <w:rPr>
          <w:noProof/>
          <w:lang w:val="en-GB"/>
        </w:rPr>
        <w:t>Vehovar i in., 2002; Villar i in., 2013)</w:t>
      </w:r>
      <w:r>
        <w:fldChar w:fldCharType="end"/>
      </w:r>
      <w:r w:rsidRPr="00376614">
        <w:rPr>
          <w:lang w:val="en-GB"/>
        </w:rPr>
        <w:t xml:space="preserve">. </w:t>
      </w:r>
      <w:r w:rsidRPr="00951BCE">
        <w:t xml:space="preserve">Wartości takie wskazują </w:t>
      </w:r>
      <w:r>
        <w:t xml:space="preserve">na dość długie lub skomplikowane badanie. Należy tu podkreślić, że istotnym ograniczeniem był brak możliwości zaimplementowania nieco bardziej zaawansowanej logiki wyświetlania uczestnikom badania stron z odpowiedziami. Prawdopodobnie najlepszą formą byłoby zastosowanie jednej strony z pytaniami filtrującymi, na której uczestnik badania miałby możliwość zadeklarować, do których grup interesariuszy uczelni wyższych należy. A następnie na podstawie tych odpowiedzi narzędzie badawcze wyświetlałoby jedynie te strony z pytaniami, które dotyczą wskazanych grup interesariuszy uczelni. W zastosowanym narzędziu wykorzystano jednak pewną formę ograniczenia liczby stron z wyświetlanymi pytaniami. Rozwiązanie to polegało na przedstawieniu uczestnikom badania strony z pytaniem filtrującym dotyczącym przynależności do kolejnej grupy interesariuszy. W przypadku odpowiedzi negatywnej następne strony z pytaniami nie wyświetlały się, a ankieta wyświetlała stronę z pytaniem o </w:t>
      </w:r>
      <w:r>
        <w:lastRenderedPageBreak/>
        <w:t>przynależność do kolejnej grupy interesariuszy. Należy uznać to techniczne ograniczenie za istotne dla stopnia przychylności uczestników badania do kontynuowania udzielania odpowiedzi na pytania. Natomiast w poszukiwaniach odpowiedniego narzędzia trudno było znaleźć takie, które pozwalałoby na sprawne zaprojektowanie kwestionariusza, choćby z taką formą ograniczenia długości badania, jaka została zastosowana.</w:t>
      </w:r>
    </w:p>
    <w:p w14:paraId="75DBCDB8" w14:textId="77777777" w:rsidR="003C08E8" w:rsidRDefault="003C08E8" w:rsidP="003C08E8">
      <w:r>
        <w:t xml:space="preserve">Kolejnym prawdopodobnie pomocnym usprawnieniem dla następnych badań tego rodzaju byłoby zmodyfikowanie kolejności wyświetlanych sekcji z pytaniami, tak by najpierw wyświetlić pytania </w:t>
      </w:r>
      <w:proofErr w:type="spellStart"/>
      <w:r>
        <w:t>metryczkowe</w:t>
      </w:r>
      <w:proofErr w:type="spellEnd"/>
      <w:r>
        <w:t>, które zazwyczaj nie wymagają takiego zaangażowania intelektualnego, jak pytania dotyczące oceny uczelni itp.</w:t>
      </w:r>
    </w:p>
    <w:p w14:paraId="0C70071B" w14:textId="153360FB" w:rsidR="003C08E8" w:rsidRPr="00951BCE" w:rsidRDefault="003C08E8" w:rsidP="003C08E8">
      <w:r>
        <w:t xml:space="preserve">Po wstępnej analizie ilościowej odpowiedzi pełnych i niepełnych oraz pod względem kwalifikacji do badanej populacji (interesariusze uczelni wyższej) dokonano oczyszczenia odpowiedzi z oczywistych błędów. Ponadto było konieczne ustandaryzowanie lub skategoryzowanie zapisów odpowiedzi dotyczących niektórych pytań (głównie otwartych), by kolejne etapy analizy były łatwiejsze. Dla celów dalszych opisów pojęcie respondenta badania kwestionariuszowego będzie używane do określenia tych respondentów, którzy ukończyli ankietę. Jest to liczba 133 respondentów, wśród których pod względem deklarowanej płci proporcje są niemal równe (por. </w:t>
      </w:r>
      <w:r>
        <w:fldChar w:fldCharType="begin"/>
      </w:r>
      <w:r>
        <w:instrText xml:space="preserve"> REF _Ref134900359 \h </w:instrText>
      </w:r>
      <w:r>
        <w:fldChar w:fldCharType="separate"/>
      </w:r>
      <w:r w:rsidR="009E351C">
        <w:t xml:space="preserve">Rysunek </w:t>
      </w:r>
      <w:r w:rsidR="009E351C">
        <w:rPr>
          <w:noProof/>
        </w:rPr>
        <w:t>30</w:t>
      </w:r>
      <w:r>
        <w:fldChar w:fldCharType="end"/>
      </w:r>
      <w:r>
        <w:t xml:space="preserve">). </w:t>
      </w:r>
    </w:p>
    <w:p w14:paraId="40CD42A4" w14:textId="77777777" w:rsidR="003C08E8" w:rsidRDefault="003C08E8" w:rsidP="003C08E8">
      <w:pPr>
        <w:keepNext/>
        <w:jc w:val="center"/>
      </w:pPr>
      <w:r>
        <w:rPr>
          <w:noProof/>
        </w:rPr>
        <w:drawing>
          <wp:inline distT="0" distB="0" distL="0" distR="0" wp14:anchorId="565C13C4" wp14:editId="256F29DC">
            <wp:extent cx="2880000" cy="2160000"/>
            <wp:effectExtent l="0" t="0" r="15875" b="12065"/>
            <wp:docPr id="236495993" name="Wykres 236495993">
              <a:extLst xmlns:a="http://schemas.openxmlformats.org/drawingml/2006/main">
                <a:ext uri="{FF2B5EF4-FFF2-40B4-BE49-F238E27FC236}">
                  <a16:creationId xmlns:a16="http://schemas.microsoft.com/office/drawing/2014/main" id="{82ADD9F9-4A76-FEE1-97FB-D25AE9F710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827163" w14:textId="06DDB4CD" w:rsidR="003C08E8" w:rsidRDefault="003C08E8" w:rsidP="003C08E8">
      <w:pPr>
        <w:pStyle w:val="Rysunek"/>
      </w:pPr>
      <w:bookmarkStart w:id="8" w:name="_Ref134900359"/>
      <w:bookmarkStart w:id="9" w:name="_Ref134900368"/>
      <w:bookmarkStart w:id="10" w:name="_Toc157755569"/>
      <w:r>
        <w:t xml:space="preserve">Rysunek </w:t>
      </w:r>
      <w:r>
        <w:fldChar w:fldCharType="begin"/>
      </w:r>
      <w:r>
        <w:instrText xml:space="preserve"> SEQ Rysunek \* ARABIC </w:instrText>
      </w:r>
      <w:r>
        <w:fldChar w:fldCharType="separate"/>
      </w:r>
      <w:r w:rsidR="009E351C">
        <w:rPr>
          <w:noProof/>
        </w:rPr>
        <w:t>30</w:t>
      </w:r>
      <w:r>
        <w:rPr>
          <w:noProof/>
        </w:rPr>
        <w:fldChar w:fldCharType="end"/>
      </w:r>
      <w:bookmarkEnd w:id="8"/>
      <w:r>
        <w:t xml:space="preserve"> Struktura respondentów badania kwestionariuszowego wg płci</w:t>
      </w:r>
      <w:bookmarkEnd w:id="9"/>
      <w:bookmarkEnd w:id="10"/>
    </w:p>
    <w:p w14:paraId="30449458" w14:textId="77777777" w:rsidR="003C08E8" w:rsidRDefault="003C08E8" w:rsidP="007770AA">
      <w:pPr>
        <w:pStyle w:val="rdo"/>
      </w:pPr>
      <w:r>
        <w:t>Źródło: opracowanie własne</w:t>
      </w:r>
    </w:p>
    <w:p w14:paraId="51FBC258" w14:textId="7FA250A7" w:rsidR="003C08E8" w:rsidRDefault="003C08E8" w:rsidP="003C08E8">
      <w:r>
        <w:t>Przedstawiona na wykresie po</w:t>
      </w:r>
      <w:r>
        <w:fldChar w:fldCharType="begin"/>
      </w:r>
      <w:r>
        <w:instrText xml:space="preserve"> REF _Ref134900368 \p \h </w:instrText>
      </w:r>
      <w:r>
        <w:fldChar w:fldCharType="separate"/>
      </w:r>
      <w:r w:rsidR="009E351C">
        <w:t>wyżej</w:t>
      </w:r>
      <w:r>
        <w:fldChar w:fldCharType="end"/>
      </w:r>
      <w:r>
        <w:t xml:space="preserve"> (</w:t>
      </w:r>
      <w:r>
        <w:fldChar w:fldCharType="begin"/>
      </w:r>
      <w:r>
        <w:instrText xml:space="preserve"> REF _Ref134900359 \h </w:instrText>
      </w:r>
      <w:r>
        <w:fldChar w:fldCharType="separate"/>
      </w:r>
      <w:r w:rsidR="009E351C">
        <w:t xml:space="preserve">Rysunek </w:t>
      </w:r>
      <w:r w:rsidR="009E351C">
        <w:rPr>
          <w:noProof/>
        </w:rPr>
        <w:t>30</w:t>
      </w:r>
      <w:r>
        <w:fldChar w:fldCharType="end"/>
      </w:r>
      <w:r>
        <w:t xml:space="preserve">) struktura respondentów badania kwestionariuszowego wg deklarowanej płci wskazuje na niemal równe liczby kobiet i mężczyzn z nieznaczną przewagę kobiet. Można więc stwierdzić, że pomimo nielosowej metody doboru próby uzyskano pod względem tego kryterium strukturę próby przypominającą strukturę populacji. Nieco odmiennie wygląda natomiast struktura pod względem kryterium wieku. W celu dokonania analizy grupy respondentów przedstawionej na </w:t>
      </w:r>
      <w:r w:rsidRPr="0024321C">
        <w:t>wykresie po</w:t>
      </w:r>
      <w:r>
        <w:fldChar w:fldCharType="begin"/>
      </w:r>
      <w:r>
        <w:instrText xml:space="preserve"> REF _Ref134900388 \p \h </w:instrText>
      </w:r>
      <w:r>
        <w:fldChar w:fldCharType="separate"/>
      </w:r>
      <w:r w:rsidR="009E351C">
        <w:t>niżej</w:t>
      </w:r>
      <w:r>
        <w:fldChar w:fldCharType="end"/>
      </w:r>
      <w:r w:rsidRPr="0024321C">
        <w:t xml:space="preserve"> </w:t>
      </w:r>
      <w:r>
        <w:t>(</w:t>
      </w:r>
      <w:r>
        <w:fldChar w:fldCharType="begin"/>
      </w:r>
      <w:r>
        <w:instrText xml:space="preserve"> REF _Ref134900397 \h </w:instrText>
      </w:r>
      <w:r>
        <w:fldChar w:fldCharType="separate"/>
      </w:r>
      <w:r w:rsidR="009E351C">
        <w:t xml:space="preserve">Rysunek </w:t>
      </w:r>
      <w:r w:rsidR="009E351C">
        <w:rPr>
          <w:noProof/>
        </w:rPr>
        <w:t>31</w:t>
      </w:r>
      <w:r>
        <w:fldChar w:fldCharType="end"/>
      </w:r>
      <w:r>
        <w:t xml:space="preserve">) należało najpierw pogrupować odpowiedzi respondentów w kategorie wiekowe. Do rozróżnienia pierwszych dwóch kategorii przyjęto wiek 25 lat, który jest dość typowy dla kończenia pełnego (dwustopniowego) trybu studiów do uzyskania tytułu magistra. Następne kategorie zostały określone jako kolejne okresy 10-letnie, aż do typowego wieku emerytalnego 65 lat. Najwyższa kategoria w niniejszej analizie została określona dla osób o wieku wyższym </w:t>
      </w:r>
      <w:r>
        <w:lastRenderedPageBreak/>
        <w:t xml:space="preserve">niż 65 lat. Należy tu zwrócić uwagę, że takie przyjęcie kategorii wiekowych nieco odbiega od konwencji przyjętej w analizach dotyczących studentów (19–24 lata) w rozdziale </w:t>
      </w:r>
      <w:r>
        <w:fldChar w:fldCharType="begin"/>
      </w:r>
      <w:r>
        <w:instrText xml:space="preserve"> REF _Ref66874449 \n \h </w:instrText>
      </w:r>
      <w:r>
        <w:fldChar w:fldCharType="separate"/>
      </w:r>
      <w:r w:rsidR="009E351C">
        <w:t>1.1.3</w:t>
      </w:r>
      <w:r>
        <w:fldChar w:fldCharType="end"/>
      </w:r>
      <w:r>
        <w:t xml:space="preserve"> (</w:t>
      </w:r>
      <w:r>
        <w:fldChar w:fldCharType="begin"/>
      </w:r>
      <w:r>
        <w:instrText xml:space="preserve"> REF _Ref66874449 \h </w:instrText>
      </w:r>
      <w:r>
        <w:fldChar w:fldCharType="separate"/>
      </w:r>
      <w:r w:rsidR="009E351C" w:rsidRPr="00233788">
        <w:t>Uwarunkowania funkcjonowania uczelni w Polsce</w:t>
      </w:r>
      <w:r>
        <w:fldChar w:fldCharType="end"/>
      </w:r>
      <w:r>
        <w:t>), gdyż tamte analizy były wykonywane na podstawie kategorii wiekowych definiowanych przez GUS w swoich raportach. Natomiast do analizy wyników badania celem było dobranie takich kategorii wiekowych, które z jednej strony przedstawiają jak najbardziej równie przedziały wiekowe, a z drugiej strony odnoszą się w jak największym stopniu do typowych charakterystycznych granic dla końca formalnej edukacji i wejścia na rynek pracy oraz dla wieku emerytalnego. Oczywiście, przy takich założeniach trudno nie wziąć pod uwagę, że obie wspomniane granice wiekowe są bardzo umowne i zmieniały się w ostatnich latach nie tylko ze względu na zmiany przepisów prawa, ale również na przemiany społeczno-kulturowe w zakresie kształcenia ustawicznego oraz coraz większej swobody zarówno podejmowania aktywności zawodowej jak i jej kończenia.</w:t>
      </w:r>
    </w:p>
    <w:p w14:paraId="425B83A8" w14:textId="77777777" w:rsidR="003C08E8" w:rsidRDefault="003C08E8" w:rsidP="003C08E8">
      <w:pPr>
        <w:keepNext/>
        <w:jc w:val="center"/>
      </w:pPr>
      <w:r>
        <w:rPr>
          <w:noProof/>
        </w:rPr>
        <w:drawing>
          <wp:inline distT="0" distB="0" distL="0" distR="0" wp14:anchorId="34A5A6BA" wp14:editId="51FA0430">
            <wp:extent cx="3960000" cy="2520000"/>
            <wp:effectExtent l="0" t="0" r="2540" b="13970"/>
            <wp:docPr id="2019866062" name="Wykres 2019866062">
              <a:extLst xmlns:a="http://schemas.openxmlformats.org/drawingml/2006/main">
                <a:ext uri="{FF2B5EF4-FFF2-40B4-BE49-F238E27FC236}">
                  <a16:creationId xmlns:a16="http://schemas.microsoft.com/office/drawing/2014/main" id="{98B1073F-97ED-775B-11FE-784F7EC14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D6AE21" w14:textId="747FA3F4" w:rsidR="003C08E8" w:rsidRDefault="003C08E8" w:rsidP="003C08E8">
      <w:pPr>
        <w:pStyle w:val="Rysunek"/>
      </w:pPr>
      <w:bookmarkStart w:id="11" w:name="_Ref134900397"/>
      <w:bookmarkStart w:id="12" w:name="_Ref134900388"/>
      <w:bookmarkStart w:id="13" w:name="_Ref134900624"/>
      <w:bookmarkStart w:id="14" w:name="_Toc157755570"/>
      <w:r>
        <w:t xml:space="preserve">Rysunek </w:t>
      </w:r>
      <w:r>
        <w:fldChar w:fldCharType="begin"/>
      </w:r>
      <w:r>
        <w:instrText xml:space="preserve"> SEQ Rysunek \* ARABIC </w:instrText>
      </w:r>
      <w:r>
        <w:fldChar w:fldCharType="separate"/>
      </w:r>
      <w:r w:rsidR="009E351C">
        <w:rPr>
          <w:noProof/>
        </w:rPr>
        <w:t>31</w:t>
      </w:r>
      <w:r>
        <w:rPr>
          <w:noProof/>
        </w:rPr>
        <w:fldChar w:fldCharType="end"/>
      </w:r>
      <w:bookmarkEnd w:id="11"/>
      <w:r>
        <w:t xml:space="preserve"> Struktura respondentów badania kwestionariuszowego wg kategorii wiekowych</w:t>
      </w:r>
      <w:bookmarkEnd w:id="12"/>
      <w:bookmarkEnd w:id="13"/>
      <w:bookmarkEnd w:id="14"/>
    </w:p>
    <w:p w14:paraId="05E309A0" w14:textId="77777777" w:rsidR="003C08E8" w:rsidRDefault="003C08E8" w:rsidP="007770AA">
      <w:pPr>
        <w:pStyle w:val="rdo"/>
      </w:pPr>
      <w:r>
        <w:t>Źródło: opracowanie własne</w:t>
      </w:r>
    </w:p>
    <w:p w14:paraId="71F4E63C" w14:textId="4B6B261F" w:rsidR="003C08E8" w:rsidRDefault="003C08E8" w:rsidP="003C08E8">
      <w:r>
        <w:t xml:space="preserve">W badaniu kwestionariuszowym znaczną większość (ok. 2/3) respondentów stanowiły osoby w wieku znajdującym się w przedziale 26–45 lat. Prawdopodobnym wytłumaczeniem jest bardzo duża reprezentacja absolwentów uczelni w próbie. Z dużym prawdopodobieństwem można stwierdzić, że udział osób w wieku poniżej 26 lat na poziomie 7% jest znacznie niższy niż w całej populacji interesariuszy uczelni wyższych. Porównując strukturę grupy badawczej ze strukturą ludności Polski w roku 2020 (por. </w:t>
      </w:r>
      <w:r>
        <w:fldChar w:fldCharType="begin"/>
      </w:r>
      <w:r>
        <w:instrText xml:space="preserve"> REF _Ref134898291 \h </w:instrText>
      </w:r>
      <w:r>
        <w:fldChar w:fldCharType="separate"/>
      </w:r>
      <w:r w:rsidR="009E351C">
        <w:t xml:space="preserve">Tabela </w:t>
      </w:r>
      <w:r w:rsidR="009E351C">
        <w:rPr>
          <w:noProof/>
        </w:rPr>
        <w:t>64</w:t>
      </w:r>
      <w:r>
        <w:fldChar w:fldCharType="end"/>
      </w:r>
      <w:r>
        <w:t>) można stwierdzić z całą pewnością, że grupa wiekowa 19-–25 lat jest niedoreprezentowana</w:t>
      </w:r>
      <w:r>
        <w:rPr>
          <w:rStyle w:val="Odwoanieprzypisudolnego"/>
        </w:rPr>
        <w:footnoteReference w:id="3"/>
      </w:r>
      <w:r>
        <w:t>.</w:t>
      </w:r>
    </w:p>
    <w:p w14:paraId="5B3184F4" w14:textId="41136CFA" w:rsidR="003C08E8" w:rsidRDefault="003C08E8" w:rsidP="003C08E8">
      <w:pPr>
        <w:pStyle w:val="Tytutabeli"/>
      </w:pPr>
      <w:bookmarkStart w:id="15" w:name="_Ref134898291"/>
      <w:bookmarkStart w:id="16" w:name="_Toc163576353"/>
      <w:r>
        <w:lastRenderedPageBreak/>
        <w:t xml:space="preserve">Tabela </w:t>
      </w:r>
      <w:r>
        <w:fldChar w:fldCharType="begin"/>
      </w:r>
      <w:r>
        <w:instrText xml:space="preserve"> SEQ Tabela \* ARABIC </w:instrText>
      </w:r>
      <w:r>
        <w:fldChar w:fldCharType="separate"/>
      </w:r>
      <w:r w:rsidR="00DA2A4D">
        <w:rPr>
          <w:noProof/>
        </w:rPr>
        <w:t>64</w:t>
      </w:r>
      <w:r>
        <w:rPr>
          <w:noProof/>
        </w:rPr>
        <w:fldChar w:fldCharType="end"/>
      </w:r>
      <w:bookmarkEnd w:id="15"/>
      <w:r>
        <w:t xml:space="preserve"> Liczba ludności Polski na dzień 31 grudnia 2020 r. wg wybranych kategorii wiekowych</w:t>
      </w:r>
      <w:bookmarkEnd w:id="16"/>
    </w:p>
    <w:tbl>
      <w:tblPr>
        <w:tblStyle w:val="Tabela-Siatka"/>
        <w:tblW w:w="9072" w:type="dxa"/>
        <w:tblLayout w:type="fixed"/>
        <w:tblLook w:val="04A0" w:firstRow="1" w:lastRow="0" w:firstColumn="1" w:lastColumn="0" w:noHBand="0" w:noVBand="1"/>
      </w:tblPr>
      <w:tblGrid>
        <w:gridCol w:w="1417"/>
        <w:gridCol w:w="3402"/>
        <w:gridCol w:w="4253"/>
      </w:tblGrid>
      <w:tr w:rsidR="003C08E8" w:rsidRPr="00E13812" w14:paraId="1758D64B" w14:textId="77777777" w:rsidTr="005A1FE4">
        <w:trPr>
          <w:cantSplit/>
          <w:trHeight w:val="285"/>
          <w:tblHeader/>
        </w:trPr>
        <w:tc>
          <w:tcPr>
            <w:tcW w:w="1418" w:type="dxa"/>
            <w:noWrap/>
            <w:vAlign w:val="center"/>
            <w:hideMark/>
          </w:tcPr>
          <w:p w14:paraId="15C679E8" w14:textId="77777777" w:rsidR="003C08E8" w:rsidRPr="005A1FE4" w:rsidRDefault="003C08E8" w:rsidP="005A1FE4">
            <w:pPr>
              <w:keepNext/>
              <w:spacing w:before="0" w:line="240" w:lineRule="auto"/>
              <w:ind w:firstLine="0"/>
              <w:jc w:val="center"/>
              <w:rPr>
                <w:rFonts w:eastAsia="Times New Roman" w:cs="Arial"/>
                <w:b/>
                <w:bCs/>
                <w:color w:val="000000"/>
                <w:sz w:val="18"/>
                <w:szCs w:val="18"/>
                <w:lang w:eastAsia="pl-PL"/>
              </w:rPr>
            </w:pPr>
            <w:proofErr w:type="spellStart"/>
            <w:r w:rsidRPr="005A1FE4">
              <w:rPr>
                <w:rFonts w:eastAsia="Times New Roman" w:cs="Arial"/>
                <w:b/>
                <w:bCs/>
                <w:color w:val="000000"/>
                <w:sz w:val="18"/>
                <w:szCs w:val="18"/>
                <w:lang w:eastAsia="pl-PL"/>
              </w:rPr>
              <w:t>Kategoria</w:t>
            </w:r>
            <w:proofErr w:type="spellEnd"/>
            <w:r w:rsidRPr="005A1FE4">
              <w:rPr>
                <w:rFonts w:eastAsia="Times New Roman" w:cs="Arial"/>
                <w:b/>
                <w:bCs/>
                <w:color w:val="000000"/>
                <w:sz w:val="18"/>
                <w:szCs w:val="18"/>
                <w:lang w:eastAsia="pl-PL"/>
              </w:rPr>
              <w:t xml:space="preserve"> </w:t>
            </w:r>
            <w:proofErr w:type="spellStart"/>
            <w:r w:rsidRPr="005A1FE4">
              <w:rPr>
                <w:rFonts w:eastAsia="Times New Roman" w:cs="Arial"/>
                <w:b/>
                <w:bCs/>
                <w:color w:val="000000"/>
                <w:sz w:val="18"/>
                <w:szCs w:val="18"/>
                <w:lang w:eastAsia="pl-PL"/>
              </w:rPr>
              <w:t>wiekowa</w:t>
            </w:r>
            <w:proofErr w:type="spellEnd"/>
          </w:p>
        </w:tc>
        <w:tc>
          <w:tcPr>
            <w:tcW w:w="3402" w:type="dxa"/>
            <w:noWrap/>
            <w:vAlign w:val="center"/>
            <w:hideMark/>
          </w:tcPr>
          <w:p w14:paraId="7A3F7705" w14:textId="77777777" w:rsidR="003C08E8" w:rsidRPr="005A1FE4" w:rsidRDefault="003C08E8" w:rsidP="005A1FE4">
            <w:pPr>
              <w:keepNext/>
              <w:spacing w:before="0" w:line="240" w:lineRule="auto"/>
              <w:ind w:firstLine="0"/>
              <w:jc w:val="center"/>
              <w:rPr>
                <w:rFonts w:eastAsia="Times New Roman" w:cs="Arial"/>
                <w:b/>
                <w:bCs/>
                <w:color w:val="000000"/>
                <w:sz w:val="18"/>
                <w:szCs w:val="18"/>
                <w:lang w:val="pl-PL" w:eastAsia="pl-PL"/>
              </w:rPr>
            </w:pPr>
            <w:r w:rsidRPr="005A1FE4">
              <w:rPr>
                <w:rFonts w:eastAsia="Times New Roman" w:cs="Arial"/>
                <w:b/>
                <w:bCs/>
                <w:color w:val="000000"/>
                <w:sz w:val="18"/>
                <w:szCs w:val="18"/>
                <w:lang w:val="pl-PL" w:eastAsia="pl-PL"/>
              </w:rPr>
              <w:t>Liczba ludności Polski w 2020 r. w ramach kategorii wiekowej</w:t>
            </w:r>
          </w:p>
        </w:tc>
        <w:tc>
          <w:tcPr>
            <w:tcW w:w="4253" w:type="dxa"/>
            <w:vAlign w:val="center"/>
          </w:tcPr>
          <w:p w14:paraId="6FC5EE6E" w14:textId="666ADEA6" w:rsidR="003C08E8" w:rsidRPr="005A1FE4" w:rsidRDefault="003C08E8" w:rsidP="005A1FE4">
            <w:pPr>
              <w:keepNext/>
              <w:spacing w:before="0" w:line="240" w:lineRule="auto"/>
              <w:ind w:firstLine="0"/>
              <w:jc w:val="center"/>
              <w:rPr>
                <w:rFonts w:eastAsia="Times New Roman" w:cs="Arial"/>
                <w:b/>
                <w:bCs/>
                <w:color w:val="000000"/>
                <w:sz w:val="18"/>
                <w:szCs w:val="18"/>
                <w:lang w:val="pl-PL" w:eastAsia="pl-PL"/>
              </w:rPr>
            </w:pPr>
            <w:r w:rsidRPr="005A1FE4">
              <w:rPr>
                <w:rFonts w:eastAsia="Times New Roman" w:cs="Arial"/>
                <w:b/>
                <w:bCs/>
                <w:color w:val="000000"/>
                <w:sz w:val="18"/>
                <w:szCs w:val="18"/>
                <w:lang w:val="pl-PL" w:eastAsia="pl-PL"/>
              </w:rPr>
              <w:t>Udział liczby ludności kategorii wiekowej w liczbie ludności Polski w wieku powyżej 18</w:t>
            </w:r>
            <w:r w:rsidR="005A1FE4">
              <w:rPr>
                <w:rFonts w:eastAsia="Times New Roman" w:cs="Arial"/>
                <w:b/>
                <w:bCs/>
                <w:color w:val="000000"/>
                <w:sz w:val="18"/>
                <w:szCs w:val="18"/>
                <w:lang w:val="pl-PL" w:eastAsia="pl-PL"/>
              </w:rPr>
              <w:t> </w:t>
            </w:r>
            <w:r w:rsidRPr="005A1FE4">
              <w:rPr>
                <w:rFonts w:eastAsia="Times New Roman" w:cs="Arial"/>
                <w:b/>
                <w:bCs/>
                <w:color w:val="000000"/>
                <w:sz w:val="18"/>
                <w:szCs w:val="18"/>
                <w:lang w:val="pl-PL" w:eastAsia="pl-PL"/>
              </w:rPr>
              <w:t>lat</w:t>
            </w:r>
          </w:p>
        </w:tc>
      </w:tr>
      <w:tr w:rsidR="003C08E8" w:rsidRPr="00E13812" w14:paraId="253443ED" w14:textId="77777777" w:rsidTr="00035BCA">
        <w:trPr>
          <w:cantSplit/>
          <w:trHeight w:val="285"/>
        </w:trPr>
        <w:tc>
          <w:tcPr>
            <w:tcW w:w="1418" w:type="dxa"/>
            <w:noWrap/>
            <w:hideMark/>
          </w:tcPr>
          <w:p w14:paraId="4621B71D"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 xml:space="preserve">pow. 65 </w:t>
            </w:r>
            <w:proofErr w:type="spellStart"/>
            <w:r w:rsidRPr="005A1FE4">
              <w:rPr>
                <w:rFonts w:eastAsia="Times New Roman" w:cs="Arial"/>
                <w:color w:val="000000"/>
                <w:sz w:val="18"/>
                <w:szCs w:val="18"/>
                <w:lang w:eastAsia="pl-PL"/>
              </w:rPr>
              <w:t>lat</w:t>
            </w:r>
            <w:proofErr w:type="spellEnd"/>
          </w:p>
        </w:tc>
        <w:tc>
          <w:tcPr>
            <w:tcW w:w="3402" w:type="dxa"/>
            <w:noWrap/>
            <w:hideMark/>
          </w:tcPr>
          <w:p w14:paraId="167AB266"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6 580 294</w:t>
            </w:r>
          </w:p>
        </w:tc>
        <w:tc>
          <w:tcPr>
            <w:tcW w:w="4253" w:type="dxa"/>
          </w:tcPr>
          <w:p w14:paraId="7C1AA4E1"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21,26%</w:t>
            </w:r>
          </w:p>
        </w:tc>
      </w:tr>
      <w:tr w:rsidR="003C08E8" w:rsidRPr="00E13812" w14:paraId="53FA410B" w14:textId="77777777" w:rsidTr="00035BCA">
        <w:trPr>
          <w:cantSplit/>
          <w:trHeight w:val="285"/>
        </w:trPr>
        <w:tc>
          <w:tcPr>
            <w:tcW w:w="1418" w:type="dxa"/>
            <w:noWrap/>
            <w:hideMark/>
          </w:tcPr>
          <w:p w14:paraId="611E9C0F"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56</w:t>
            </w:r>
            <w:r w:rsidRPr="005A1FE4">
              <w:rPr>
                <w:sz w:val="18"/>
                <w:szCs w:val="18"/>
              </w:rPr>
              <w:t>–</w:t>
            </w:r>
            <w:r w:rsidRPr="005A1FE4">
              <w:rPr>
                <w:rFonts w:eastAsia="Times New Roman" w:cs="Arial"/>
                <w:color w:val="000000"/>
                <w:sz w:val="18"/>
                <w:szCs w:val="18"/>
                <w:lang w:eastAsia="pl-PL"/>
              </w:rPr>
              <w:t xml:space="preserve">65 </w:t>
            </w:r>
            <w:proofErr w:type="spellStart"/>
            <w:r w:rsidRPr="005A1FE4">
              <w:rPr>
                <w:rFonts w:eastAsia="Times New Roman" w:cs="Arial"/>
                <w:color w:val="000000"/>
                <w:sz w:val="18"/>
                <w:szCs w:val="18"/>
                <w:lang w:eastAsia="pl-PL"/>
              </w:rPr>
              <w:t>lat</w:t>
            </w:r>
            <w:proofErr w:type="spellEnd"/>
          </w:p>
        </w:tc>
        <w:tc>
          <w:tcPr>
            <w:tcW w:w="3402" w:type="dxa"/>
            <w:noWrap/>
            <w:hideMark/>
          </w:tcPr>
          <w:p w14:paraId="6E55D7CB"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5 093 382</w:t>
            </w:r>
          </w:p>
        </w:tc>
        <w:tc>
          <w:tcPr>
            <w:tcW w:w="4253" w:type="dxa"/>
          </w:tcPr>
          <w:p w14:paraId="6E44799C"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16,45%</w:t>
            </w:r>
          </w:p>
        </w:tc>
      </w:tr>
      <w:tr w:rsidR="003C08E8" w:rsidRPr="00E13812" w14:paraId="64E3FA31" w14:textId="77777777" w:rsidTr="00035BCA">
        <w:trPr>
          <w:cantSplit/>
          <w:trHeight w:val="285"/>
        </w:trPr>
        <w:tc>
          <w:tcPr>
            <w:tcW w:w="1418" w:type="dxa"/>
            <w:noWrap/>
            <w:hideMark/>
          </w:tcPr>
          <w:p w14:paraId="429E2813"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46</w:t>
            </w:r>
            <w:r w:rsidRPr="005A1FE4">
              <w:rPr>
                <w:sz w:val="18"/>
                <w:szCs w:val="18"/>
              </w:rPr>
              <w:t>–</w:t>
            </w:r>
            <w:r w:rsidRPr="005A1FE4">
              <w:rPr>
                <w:rFonts w:eastAsia="Times New Roman" w:cs="Arial"/>
                <w:color w:val="000000"/>
                <w:sz w:val="18"/>
                <w:szCs w:val="18"/>
                <w:lang w:eastAsia="pl-PL"/>
              </w:rPr>
              <w:t xml:space="preserve">55 </w:t>
            </w:r>
            <w:proofErr w:type="spellStart"/>
            <w:r w:rsidRPr="005A1FE4">
              <w:rPr>
                <w:rFonts w:eastAsia="Times New Roman" w:cs="Arial"/>
                <w:color w:val="000000"/>
                <w:sz w:val="18"/>
                <w:szCs w:val="18"/>
                <w:lang w:eastAsia="pl-PL"/>
              </w:rPr>
              <w:t>lat</w:t>
            </w:r>
            <w:proofErr w:type="spellEnd"/>
          </w:p>
        </w:tc>
        <w:tc>
          <w:tcPr>
            <w:tcW w:w="3402" w:type="dxa"/>
            <w:noWrap/>
            <w:hideMark/>
          </w:tcPr>
          <w:p w14:paraId="48743C04"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4 842 506</w:t>
            </w:r>
          </w:p>
        </w:tc>
        <w:tc>
          <w:tcPr>
            <w:tcW w:w="4253" w:type="dxa"/>
          </w:tcPr>
          <w:p w14:paraId="2E2F3A80"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15,64%</w:t>
            </w:r>
          </w:p>
        </w:tc>
      </w:tr>
      <w:tr w:rsidR="003C08E8" w:rsidRPr="00E13812" w14:paraId="47FDE76E" w14:textId="77777777" w:rsidTr="00035BCA">
        <w:trPr>
          <w:cantSplit/>
          <w:trHeight w:val="285"/>
        </w:trPr>
        <w:tc>
          <w:tcPr>
            <w:tcW w:w="1418" w:type="dxa"/>
            <w:noWrap/>
            <w:hideMark/>
          </w:tcPr>
          <w:p w14:paraId="190224C3"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36</w:t>
            </w:r>
            <w:r w:rsidRPr="005A1FE4">
              <w:rPr>
                <w:sz w:val="18"/>
                <w:szCs w:val="18"/>
              </w:rPr>
              <w:t>–</w:t>
            </w:r>
            <w:r w:rsidRPr="005A1FE4">
              <w:rPr>
                <w:rFonts w:eastAsia="Times New Roman" w:cs="Arial"/>
                <w:color w:val="000000"/>
                <w:sz w:val="18"/>
                <w:szCs w:val="18"/>
                <w:lang w:eastAsia="pl-PL"/>
              </w:rPr>
              <w:t xml:space="preserve">45 </w:t>
            </w:r>
            <w:proofErr w:type="spellStart"/>
            <w:r w:rsidRPr="005A1FE4">
              <w:rPr>
                <w:rFonts w:eastAsia="Times New Roman" w:cs="Arial"/>
                <w:color w:val="000000"/>
                <w:sz w:val="18"/>
                <w:szCs w:val="18"/>
                <w:lang w:eastAsia="pl-PL"/>
              </w:rPr>
              <w:t>lat</w:t>
            </w:r>
            <w:proofErr w:type="spellEnd"/>
          </w:p>
        </w:tc>
        <w:tc>
          <w:tcPr>
            <w:tcW w:w="3402" w:type="dxa"/>
            <w:noWrap/>
            <w:hideMark/>
          </w:tcPr>
          <w:p w14:paraId="02490318"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6 251 278</w:t>
            </w:r>
          </w:p>
        </w:tc>
        <w:tc>
          <w:tcPr>
            <w:tcW w:w="4253" w:type="dxa"/>
          </w:tcPr>
          <w:p w14:paraId="46085050"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20,19%</w:t>
            </w:r>
          </w:p>
        </w:tc>
      </w:tr>
      <w:tr w:rsidR="003C08E8" w:rsidRPr="00E13812" w14:paraId="29D1B3FE" w14:textId="77777777" w:rsidTr="00035BCA">
        <w:trPr>
          <w:cantSplit/>
          <w:trHeight w:val="285"/>
        </w:trPr>
        <w:tc>
          <w:tcPr>
            <w:tcW w:w="1418" w:type="dxa"/>
            <w:noWrap/>
            <w:hideMark/>
          </w:tcPr>
          <w:p w14:paraId="72A433AF"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26</w:t>
            </w:r>
            <w:r w:rsidRPr="005A1FE4">
              <w:rPr>
                <w:sz w:val="18"/>
                <w:szCs w:val="18"/>
              </w:rPr>
              <w:t>–</w:t>
            </w:r>
            <w:r w:rsidRPr="005A1FE4">
              <w:rPr>
                <w:rFonts w:eastAsia="Times New Roman" w:cs="Arial"/>
                <w:color w:val="000000"/>
                <w:sz w:val="18"/>
                <w:szCs w:val="18"/>
                <w:lang w:eastAsia="pl-PL"/>
              </w:rPr>
              <w:t xml:space="preserve">35 </w:t>
            </w:r>
            <w:proofErr w:type="spellStart"/>
            <w:r w:rsidRPr="005A1FE4">
              <w:rPr>
                <w:rFonts w:eastAsia="Times New Roman" w:cs="Arial"/>
                <w:color w:val="000000"/>
                <w:sz w:val="18"/>
                <w:szCs w:val="18"/>
                <w:lang w:eastAsia="pl-PL"/>
              </w:rPr>
              <w:t>lat</w:t>
            </w:r>
            <w:proofErr w:type="spellEnd"/>
          </w:p>
        </w:tc>
        <w:tc>
          <w:tcPr>
            <w:tcW w:w="3402" w:type="dxa"/>
            <w:noWrap/>
            <w:hideMark/>
          </w:tcPr>
          <w:p w14:paraId="205FC0C7"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5 421 695</w:t>
            </w:r>
          </w:p>
        </w:tc>
        <w:tc>
          <w:tcPr>
            <w:tcW w:w="4253" w:type="dxa"/>
          </w:tcPr>
          <w:p w14:paraId="1473640B" w14:textId="77777777" w:rsidR="003C08E8" w:rsidRPr="005A1FE4" w:rsidRDefault="003C08E8" w:rsidP="00035BCA">
            <w:pPr>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17,51%</w:t>
            </w:r>
          </w:p>
        </w:tc>
      </w:tr>
      <w:tr w:rsidR="003C08E8" w:rsidRPr="00E13812" w14:paraId="2597CE96" w14:textId="77777777" w:rsidTr="00035BCA">
        <w:trPr>
          <w:cantSplit/>
          <w:trHeight w:val="285"/>
        </w:trPr>
        <w:tc>
          <w:tcPr>
            <w:tcW w:w="1418" w:type="dxa"/>
            <w:noWrap/>
            <w:hideMark/>
          </w:tcPr>
          <w:p w14:paraId="6CF2E160" w14:textId="77777777" w:rsidR="003C08E8" w:rsidRPr="005A1FE4" w:rsidRDefault="003C08E8" w:rsidP="005A1FE4">
            <w:pPr>
              <w:keepNext/>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19</w:t>
            </w:r>
            <w:r w:rsidRPr="005A1FE4">
              <w:rPr>
                <w:sz w:val="18"/>
                <w:szCs w:val="18"/>
              </w:rPr>
              <w:t>–</w:t>
            </w:r>
            <w:r w:rsidRPr="005A1FE4">
              <w:rPr>
                <w:rFonts w:eastAsia="Times New Roman" w:cs="Arial"/>
                <w:color w:val="000000"/>
                <w:sz w:val="18"/>
                <w:szCs w:val="18"/>
                <w:lang w:eastAsia="pl-PL"/>
              </w:rPr>
              <w:t xml:space="preserve">25 </w:t>
            </w:r>
            <w:proofErr w:type="spellStart"/>
            <w:r w:rsidRPr="005A1FE4">
              <w:rPr>
                <w:rFonts w:eastAsia="Times New Roman" w:cs="Arial"/>
                <w:color w:val="000000"/>
                <w:sz w:val="18"/>
                <w:szCs w:val="18"/>
                <w:lang w:eastAsia="pl-PL"/>
              </w:rPr>
              <w:t>lat</w:t>
            </w:r>
            <w:proofErr w:type="spellEnd"/>
          </w:p>
        </w:tc>
        <w:tc>
          <w:tcPr>
            <w:tcW w:w="3402" w:type="dxa"/>
            <w:noWrap/>
            <w:hideMark/>
          </w:tcPr>
          <w:p w14:paraId="3CBD125E" w14:textId="77777777" w:rsidR="003C08E8" w:rsidRPr="005A1FE4" w:rsidRDefault="003C08E8" w:rsidP="005A1FE4">
            <w:pPr>
              <w:keepNext/>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3 229 968</w:t>
            </w:r>
          </w:p>
        </w:tc>
        <w:tc>
          <w:tcPr>
            <w:tcW w:w="4253" w:type="dxa"/>
          </w:tcPr>
          <w:p w14:paraId="3C76689B" w14:textId="77777777" w:rsidR="003C08E8" w:rsidRPr="005A1FE4" w:rsidRDefault="003C08E8" w:rsidP="005A1FE4">
            <w:pPr>
              <w:keepNext/>
              <w:spacing w:before="0" w:line="240" w:lineRule="auto"/>
              <w:ind w:firstLine="0"/>
              <w:jc w:val="center"/>
              <w:rPr>
                <w:rFonts w:eastAsia="Times New Roman" w:cs="Arial"/>
                <w:color w:val="000000"/>
                <w:sz w:val="18"/>
                <w:szCs w:val="18"/>
                <w:lang w:eastAsia="pl-PL"/>
              </w:rPr>
            </w:pPr>
            <w:r w:rsidRPr="005A1FE4">
              <w:rPr>
                <w:rFonts w:eastAsia="Times New Roman" w:cs="Arial"/>
                <w:color w:val="000000"/>
                <w:sz w:val="18"/>
                <w:szCs w:val="18"/>
                <w:lang w:eastAsia="pl-PL"/>
              </w:rPr>
              <w:t>10,43%</w:t>
            </w:r>
          </w:p>
        </w:tc>
      </w:tr>
    </w:tbl>
    <w:p w14:paraId="4BDD26E2" w14:textId="48A26E42" w:rsidR="003C08E8" w:rsidRDefault="003C08E8" w:rsidP="007770AA">
      <w:pPr>
        <w:pStyle w:val="rdo"/>
      </w:pPr>
      <w:r>
        <w:t xml:space="preserve">Źródło: opracowanie własne na podstawie </w:t>
      </w:r>
      <w:r>
        <w:fldChar w:fldCharType="begin" w:fldLock="1"/>
      </w:r>
      <w:r w:rsidR="001A2624">
        <w:instrText>ADDIN CSL_CITATION {"citationItems":[{"id":"ITEM-1","itemData":{"abstract":",,Rocznik Demograficzny 2014’’ składa się z czterech działów: ,,Stan i struktura ludności’’ (bieżące bilanse ludności, wybrane wyniki spisów ludności oraz prognoza), ,,Ruch naturalny ludności’’ (małżeństwa, separacje, rozwody, urodzenia, zgony i trwanie życia), ,,Migracje ludności’’ (wewnętrzne — stałe i czasowe oraz zagraniczne — dane z bieżących badań i źródeł pozastatystycznych, a także wybrane wyniki spisów ludności) oraz ,,Przegląd międzynarodowy’’ (stan i struktura ludności, ruch naturalny oraz migracje zagraniczne w wybranych krajach). Każdy z działów poprzedzony jest uwagami metodologicznymi zawierającymi podstawowe definicje oraz zasady prezentowania danych","author":[{"dropping-particle":"","family":"GUS","given":"","non-dropping-particle":"","parse-names":false,"suffix":""}],"id":"ITEM-1","issued":{"date-parts":[["2021"]]},"number-of-pages":"1-530","title":"Rocznik Demograficzny","type":"report"},"uris":["http://www.mendeley.com/documents/?uuid=635d2def-6d44-4972-bdda-d8b99860e16d"]}],"mendeley":{"formattedCitation":"(GUS, 2021a)","plainTextFormattedCitation":"(GUS, 2021a)","previouslyFormattedCitation":"(GUS, 2021a)"},"properties":{"noteIndex":0},"schema":"https://github.com/citation-style-language/schema/raw/master/csl-citation.json"}</w:instrText>
      </w:r>
      <w:r>
        <w:fldChar w:fldCharType="separate"/>
      </w:r>
      <w:r w:rsidR="00921CC1" w:rsidRPr="00921CC1">
        <w:rPr>
          <w:noProof/>
        </w:rPr>
        <w:t>(GUS, 2021a)</w:t>
      </w:r>
      <w:r>
        <w:fldChar w:fldCharType="end"/>
      </w:r>
    </w:p>
    <w:p w14:paraId="7E29967F" w14:textId="210741FD" w:rsidR="003C08E8" w:rsidRDefault="003C08E8" w:rsidP="003C08E8">
      <w:r>
        <w:t xml:space="preserve">Ze względu na to, iż populacja badana nie jest tożsama z populacją Polski wśród osób dorosłych, to na podstawie analogicznego porównania nie można wyciągnąć jednoznacznego wniosku o nadreprezentacji grup wiekowych 26–35 lat oraz 36–45 lat w badaniu kwestionariuszowym. Aby dokonać nieco lepszego oszacowania liczebności populacji badanej (interesariusze uczelni wyższych), należałoby posłużyć się informacjami o liczbie osób z wykształceniem wyższym w Polsce. Ze względu na to, iż takie informacje nie są przypisane do bazy danych PESEL, dostęp do nich jest bardziej ograniczony niż do danych demograficznych. Natomiast na podstawie wstępnych wyników Narodowego Spisu Ludności 2021 można stwierdzić, że osoby z wyższym wykształceniem w Polsce to niemal 20% całej populacji (7,6 mln z 38,4 mln), natomiast udział studentów (1,2 mln) to ok. 3% </w:t>
      </w:r>
      <w:r>
        <w:fldChar w:fldCharType="begin" w:fldLock="1"/>
      </w:r>
      <w:r w:rsidR="001A2624">
        <w:instrText>ADDIN CSL_CITATION {"citationItems":[{"id":"ITEM-1","itemData":{"author":[{"dropping-particle":"","family":"GUS","given":"","non-dropping-particle":"","parse-names":false,"suffix":""}],"id":"ITEM-1","issued":{"date-parts":[["2022"]]},"number-of-pages":"1-8","title":"Ludność według cech społecznych – wyniki wstępne NSP 2021","type":"report"},"uris":["http://www.mendeley.com/documents/?uuid=4f7984b9-a5f0-4603-ba4a-b89352726786"]}],"mendeley":{"formattedCitation":"(GUS, 2022a)","plainTextFormattedCitation":"(GUS, 2022a)","previouslyFormattedCitation":"(GUS, 2022a)"},"properties":{"noteIndex":0},"schema":"https://github.com/citation-style-language/schema/raw/master/csl-citation.json"}</w:instrText>
      </w:r>
      <w:r>
        <w:fldChar w:fldCharType="separate"/>
      </w:r>
      <w:r w:rsidR="00921CC1" w:rsidRPr="00921CC1">
        <w:rPr>
          <w:noProof/>
        </w:rPr>
        <w:t>(GUS, 2022a)</w:t>
      </w:r>
      <w:r>
        <w:fldChar w:fldCharType="end"/>
      </w:r>
      <w:r>
        <w:t>. Zatem wśród osób w wieku powyżej 25 lat udział osób z wyższym wykształceniem w przybliżeniu wynosi 27% (7,6 mln z 28,2 mln). Na tej podstawie oszacowano strukturę wiekową populacji badanej w zakresie grup studentów i absolwentów. Wyniki tego oszacowania przedstawiono w tabeli po</w:t>
      </w:r>
      <w:r>
        <w:fldChar w:fldCharType="begin"/>
      </w:r>
      <w:r>
        <w:instrText xml:space="preserve"> REF _Ref134898325 \p \h </w:instrText>
      </w:r>
      <w:r>
        <w:fldChar w:fldCharType="separate"/>
      </w:r>
      <w:r w:rsidR="009E351C">
        <w:t>niżej</w:t>
      </w:r>
      <w:r>
        <w:fldChar w:fldCharType="end"/>
      </w:r>
      <w:r>
        <w:t xml:space="preserve"> (</w:t>
      </w:r>
      <w:r>
        <w:fldChar w:fldCharType="begin"/>
      </w:r>
      <w:r>
        <w:instrText xml:space="preserve"> REF _Ref134898333 \h </w:instrText>
      </w:r>
      <w:r>
        <w:fldChar w:fldCharType="separate"/>
      </w:r>
      <w:r w:rsidR="009E351C">
        <w:t xml:space="preserve">Tabela </w:t>
      </w:r>
      <w:r w:rsidR="009E351C">
        <w:rPr>
          <w:noProof/>
        </w:rPr>
        <w:t>65</w:t>
      </w:r>
      <w:r>
        <w:fldChar w:fldCharType="end"/>
      </w:r>
      <w:r>
        <w:t>).</w:t>
      </w:r>
    </w:p>
    <w:p w14:paraId="1C7F83A5" w14:textId="2BEF1CEE" w:rsidR="003C08E8" w:rsidRDefault="003C08E8" w:rsidP="003C08E8">
      <w:pPr>
        <w:pStyle w:val="Tytutabeli"/>
      </w:pPr>
      <w:bookmarkStart w:id="17" w:name="_Ref134898333"/>
      <w:bookmarkStart w:id="18" w:name="_Ref134898325"/>
      <w:bookmarkStart w:id="19" w:name="_Toc163576354"/>
      <w:r>
        <w:t xml:space="preserve">Tabela </w:t>
      </w:r>
      <w:r>
        <w:fldChar w:fldCharType="begin"/>
      </w:r>
      <w:r>
        <w:instrText xml:space="preserve"> SEQ Tabela \* ARABIC </w:instrText>
      </w:r>
      <w:r>
        <w:fldChar w:fldCharType="separate"/>
      </w:r>
      <w:r w:rsidR="00DA2A4D">
        <w:rPr>
          <w:noProof/>
        </w:rPr>
        <w:t>65</w:t>
      </w:r>
      <w:r>
        <w:rPr>
          <w:noProof/>
        </w:rPr>
        <w:fldChar w:fldCharType="end"/>
      </w:r>
      <w:bookmarkEnd w:id="17"/>
      <w:r>
        <w:t xml:space="preserve"> </w:t>
      </w:r>
      <w:r w:rsidRPr="008541D0">
        <w:t>Oszacowanie struktury populacji badanej absolwentów i studentów wg wybranych grup wiekowych</w:t>
      </w:r>
      <w:bookmarkEnd w:id="18"/>
      <w:bookmarkEnd w:id="19"/>
    </w:p>
    <w:tbl>
      <w:tblPr>
        <w:tblStyle w:val="Tabela-Siatka"/>
        <w:tblW w:w="8787" w:type="dxa"/>
        <w:tblLook w:val="04A0" w:firstRow="1" w:lastRow="0" w:firstColumn="1" w:lastColumn="0" w:noHBand="0" w:noVBand="1"/>
      </w:tblPr>
      <w:tblGrid>
        <w:gridCol w:w="1417"/>
        <w:gridCol w:w="3685"/>
        <w:gridCol w:w="3685"/>
      </w:tblGrid>
      <w:tr w:rsidR="003C08E8" w:rsidRPr="008541D0" w14:paraId="668C03A4" w14:textId="77777777" w:rsidTr="005A1FE4">
        <w:trPr>
          <w:trHeight w:val="285"/>
        </w:trPr>
        <w:tc>
          <w:tcPr>
            <w:tcW w:w="1417" w:type="dxa"/>
            <w:noWrap/>
            <w:vAlign w:val="center"/>
          </w:tcPr>
          <w:p w14:paraId="62EA0E02" w14:textId="77777777" w:rsidR="003C08E8" w:rsidRPr="000574A6" w:rsidRDefault="003C08E8" w:rsidP="005A1FE4">
            <w:pPr>
              <w:keepNext/>
              <w:spacing w:before="0" w:line="240" w:lineRule="auto"/>
              <w:ind w:firstLine="0"/>
              <w:jc w:val="center"/>
              <w:rPr>
                <w:rFonts w:eastAsia="Times New Roman" w:cs="Arial"/>
                <w:b/>
                <w:bCs/>
                <w:color w:val="000000"/>
                <w:sz w:val="18"/>
                <w:szCs w:val="18"/>
                <w:lang w:eastAsia="pl-PL"/>
              </w:rPr>
            </w:pPr>
            <w:proofErr w:type="spellStart"/>
            <w:r w:rsidRPr="000574A6">
              <w:rPr>
                <w:rFonts w:eastAsia="Times New Roman" w:cs="Arial"/>
                <w:b/>
                <w:bCs/>
                <w:color w:val="000000"/>
                <w:sz w:val="18"/>
                <w:szCs w:val="18"/>
                <w:lang w:eastAsia="pl-PL"/>
              </w:rPr>
              <w:t>Kategoria</w:t>
            </w:r>
            <w:proofErr w:type="spellEnd"/>
            <w:r w:rsidRPr="000574A6">
              <w:rPr>
                <w:rFonts w:eastAsia="Times New Roman" w:cs="Arial"/>
                <w:b/>
                <w:bCs/>
                <w:color w:val="000000"/>
                <w:sz w:val="18"/>
                <w:szCs w:val="18"/>
                <w:lang w:eastAsia="pl-PL"/>
              </w:rPr>
              <w:t xml:space="preserve"> </w:t>
            </w:r>
            <w:proofErr w:type="spellStart"/>
            <w:r w:rsidRPr="000574A6">
              <w:rPr>
                <w:rFonts w:eastAsia="Times New Roman" w:cs="Arial"/>
                <w:b/>
                <w:bCs/>
                <w:color w:val="000000"/>
                <w:sz w:val="18"/>
                <w:szCs w:val="18"/>
                <w:lang w:eastAsia="pl-PL"/>
              </w:rPr>
              <w:t>wiekowa</w:t>
            </w:r>
            <w:proofErr w:type="spellEnd"/>
          </w:p>
        </w:tc>
        <w:tc>
          <w:tcPr>
            <w:tcW w:w="3685" w:type="dxa"/>
            <w:noWrap/>
            <w:vAlign w:val="center"/>
          </w:tcPr>
          <w:p w14:paraId="48283DFD" w14:textId="260BFBA1" w:rsidR="003C08E8" w:rsidRPr="000574A6" w:rsidRDefault="003C08E8" w:rsidP="005A1FE4">
            <w:pPr>
              <w:keepNext/>
              <w:spacing w:before="0" w:line="240" w:lineRule="auto"/>
              <w:ind w:firstLine="0"/>
              <w:jc w:val="center"/>
              <w:rPr>
                <w:rFonts w:eastAsia="Times New Roman" w:cs="Arial"/>
                <w:b/>
                <w:bCs/>
                <w:color w:val="000000"/>
                <w:sz w:val="18"/>
                <w:szCs w:val="18"/>
                <w:lang w:val="pl-PL" w:eastAsia="pl-PL"/>
              </w:rPr>
            </w:pPr>
            <w:r w:rsidRPr="000574A6">
              <w:rPr>
                <w:rFonts w:eastAsia="Times New Roman" w:cs="Arial"/>
                <w:b/>
                <w:bCs/>
                <w:color w:val="000000"/>
                <w:sz w:val="18"/>
                <w:szCs w:val="18"/>
                <w:lang w:val="pl-PL" w:eastAsia="pl-PL"/>
              </w:rPr>
              <w:t xml:space="preserve">Oszacowana liczebność grupy </w:t>
            </w:r>
            <w:r w:rsidRPr="000574A6">
              <w:rPr>
                <w:rFonts w:eastAsia="Times New Roman" w:cs="Arial"/>
                <w:b/>
                <w:bCs/>
                <w:color w:val="000000"/>
                <w:sz w:val="18"/>
                <w:szCs w:val="18"/>
                <w:lang w:val="pl-PL" w:eastAsia="pl-PL"/>
              </w:rPr>
              <w:br/>
              <w:t xml:space="preserve">wiekowej populacji badanej wśród </w:t>
            </w:r>
            <w:r w:rsidR="000574A6">
              <w:rPr>
                <w:rFonts w:eastAsia="Times New Roman" w:cs="Arial"/>
                <w:b/>
                <w:bCs/>
                <w:color w:val="000000"/>
                <w:sz w:val="18"/>
                <w:szCs w:val="18"/>
                <w:lang w:val="pl-PL" w:eastAsia="pl-PL"/>
              </w:rPr>
              <w:br/>
            </w:r>
            <w:r w:rsidRPr="000574A6">
              <w:rPr>
                <w:rFonts w:eastAsia="Times New Roman" w:cs="Arial"/>
                <w:b/>
                <w:bCs/>
                <w:color w:val="000000"/>
                <w:sz w:val="18"/>
                <w:szCs w:val="18"/>
                <w:lang w:val="pl-PL" w:eastAsia="pl-PL"/>
              </w:rPr>
              <w:t>studentów i absolwentów</w:t>
            </w:r>
          </w:p>
        </w:tc>
        <w:tc>
          <w:tcPr>
            <w:tcW w:w="3685" w:type="dxa"/>
            <w:noWrap/>
            <w:vAlign w:val="center"/>
          </w:tcPr>
          <w:p w14:paraId="4ADEF5E4" w14:textId="34C1292E" w:rsidR="003C08E8" w:rsidRPr="000574A6" w:rsidRDefault="003C08E8" w:rsidP="005A1FE4">
            <w:pPr>
              <w:keepNext/>
              <w:spacing w:before="0" w:line="240" w:lineRule="auto"/>
              <w:ind w:firstLine="0"/>
              <w:jc w:val="center"/>
              <w:rPr>
                <w:rFonts w:eastAsia="Times New Roman" w:cs="Arial"/>
                <w:b/>
                <w:bCs/>
                <w:color w:val="000000"/>
                <w:sz w:val="18"/>
                <w:szCs w:val="18"/>
                <w:lang w:val="pl-PL" w:eastAsia="pl-PL"/>
              </w:rPr>
            </w:pPr>
            <w:r w:rsidRPr="000574A6">
              <w:rPr>
                <w:rFonts w:eastAsia="Times New Roman" w:cs="Arial"/>
                <w:b/>
                <w:bCs/>
                <w:color w:val="000000"/>
                <w:sz w:val="18"/>
                <w:szCs w:val="18"/>
                <w:lang w:val="pl-PL" w:eastAsia="pl-PL"/>
              </w:rPr>
              <w:t xml:space="preserve">Udział liczby osób z kategorii wiekowej w całkowitej liczbie oszacowanej </w:t>
            </w:r>
            <w:r w:rsidR="000574A6">
              <w:rPr>
                <w:rFonts w:eastAsia="Times New Roman" w:cs="Arial"/>
                <w:b/>
                <w:bCs/>
                <w:color w:val="000000"/>
                <w:sz w:val="18"/>
                <w:szCs w:val="18"/>
                <w:lang w:val="pl-PL" w:eastAsia="pl-PL"/>
              </w:rPr>
              <w:br/>
            </w:r>
            <w:r w:rsidRPr="000574A6">
              <w:rPr>
                <w:rFonts w:eastAsia="Times New Roman" w:cs="Arial"/>
                <w:b/>
                <w:bCs/>
                <w:color w:val="000000"/>
                <w:sz w:val="18"/>
                <w:szCs w:val="18"/>
                <w:lang w:val="pl-PL" w:eastAsia="pl-PL"/>
              </w:rPr>
              <w:t>populacji</w:t>
            </w:r>
          </w:p>
        </w:tc>
      </w:tr>
      <w:tr w:rsidR="003C08E8" w:rsidRPr="008541D0" w14:paraId="0ED60558" w14:textId="77777777" w:rsidTr="00035BCA">
        <w:trPr>
          <w:trHeight w:val="285"/>
        </w:trPr>
        <w:tc>
          <w:tcPr>
            <w:tcW w:w="1417" w:type="dxa"/>
            <w:noWrap/>
            <w:hideMark/>
          </w:tcPr>
          <w:p w14:paraId="2474A649"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 xml:space="preserve">pow. 65 </w:t>
            </w:r>
            <w:proofErr w:type="spellStart"/>
            <w:r w:rsidRPr="000574A6">
              <w:rPr>
                <w:rFonts w:eastAsia="Times New Roman" w:cs="Arial"/>
                <w:color w:val="000000"/>
                <w:sz w:val="18"/>
                <w:szCs w:val="18"/>
                <w:lang w:eastAsia="pl-PL"/>
              </w:rPr>
              <w:t>lat</w:t>
            </w:r>
            <w:proofErr w:type="spellEnd"/>
          </w:p>
        </w:tc>
        <w:tc>
          <w:tcPr>
            <w:tcW w:w="3685" w:type="dxa"/>
            <w:noWrap/>
            <w:hideMark/>
          </w:tcPr>
          <w:p w14:paraId="2A1C1417"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1 776 679</w:t>
            </w:r>
          </w:p>
        </w:tc>
        <w:tc>
          <w:tcPr>
            <w:tcW w:w="3685" w:type="dxa"/>
            <w:noWrap/>
            <w:hideMark/>
          </w:tcPr>
          <w:p w14:paraId="123B7A78"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20,25%</w:t>
            </w:r>
          </w:p>
        </w:tc>
      </w:tr>
      <w:tr w:rsidR="003C08E8" w:rsidRPr="008541D0" w14:paraId="2C89606D" w14:textId="77777777" w:rsidTr="00035BCA">
        <w:trPr>
          <w:trHeight w:val="285"/>
        </w:trPr>
        <w:tc>
          <w:tcPr>
            <w:tcW w:w="1417" w:type="dxa"/>
            <w:noWrap/>
            <w:hideMark/>
          </w:tcPr>
          <w:p w14:paraId="4397B9D7"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56</w:t>
            </w:r>
            <w:r w:rsidRPr="000574A6">
              <w:rPr>
                <w:sz w:val="18"/>
                <w:szCs w:val="18"/>
              </w:rPr>
              <w:t>–</w:t>
            </w:r>
            <w:r w:rsidRPr="000574A6">
              <w:rPr>
                <w:rFonts w:eastAsia="Times New Roman" w:cs="Arial"/>
                <w:color w:val="000000"/>
                <w:sz w:val="18"/>
                <w:szCs w:val="18"/>
                <w:lang w:eastAsia="pl-PL"/>
              </w:rPr>
              <w:t xml:space="preserve">65 </w:t>
            </w:r>
            <w:proofErr w:type="spellStart"/>
            <w:r w:rsidRPr="000574A6">
              <w:rPr>
                <w:rFonts w:eastAsia="Times New Roman" w:cs="Arial"/>
                <w:color w:val="000000"/>
                <w:sz w:val="18"/>
                <w:szCs w:val="18"/>
                <w:lang w:eastAsia="pl-PL"/>
              </w:rPr>
              <w:t>lat</w:t>
            </w:r>
            <w:proofErr w:type="spellEnd"/>
          </w:p>
        </w:tc>
        <w:tc>
          <w:tcPr>
            <w:tcW w:w="3685" w:type="dxa"/>
            <w:noWrap/>
            <w:hideMark/>
          </w:tcPr>
          <w:p w14:paraId="2EC141C7"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1 375 213</w:t>
            </w:r>
          </w:p>
        </w:tc>
        <w:tc>
          <w:tcPr>
            <w:tcW w:w="3685" w:type="dxa"/>
            <w:noWrap/>
            <w:hideMark/>
          </w:tcPr>
          <w:p w14:paraId="47052C82"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15,67%</w:t>
            </w:r>
          </w:p>
        </w:tc>
      </w:tr>
      <w:tr w:rsidR="003C08E8" w:rsidRPr="008541D0" w14:paraId="4D79CB38" w14:textId="77777777" w:rsidTr="00035BCA">
        <w:trPr>
          <w:trHeight w:val="285"/>
        </w:trPr>
        <w:tc>
          <w:tcPr>
            <w:tcW w:w="1417" w:type="dxa"/>
            <w:noWrap/>
            <w:hideMark/>
          </w:tcPr>
          <w:p w14:paraId="2D451056"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46</w:t>
            </w:r>
            <w:r w:rsidRPr="000574A6">
              <w:rPr>
                <w:sz w:val="18"/>
                <w:szCs w:val="18"/>
              </w:rPr>
              <w:t>–</w:t>
            </w:r>
            <w:r w:rsidRPr="000574A6">
              <w:rPr>
                <w:rFonts w:eastAsia="Times New Roman" w:cs="Arial"/>
                <w:color w:val="000000"/>
                <w:sz w:val="18"/>
                <w:szCs w:val="18"/>
                <w:lang w:eastAsia="pl-PL"/>
              </w:rPr>
              <w:t xml:space="preserve">55 </w:t>
            </w:r>
            <w:proofErr w:type="spellStart"/>
            <w:r w:rsidRPr="000574A6">
              <w:rPr>
                <w:rFonts w:eastAsia="Times New Roman" w:cs="Arial"/>
                <w:color w:val="000000"/>
                <w:sz w:val="18"/>
                <w:szCs w:val="18"/>
                <w:lang w:eastAsia="pl-PL"/>
              </w:rPr>
              <w:t>lat</w:t>
            </w:r>
            <w:proofErr w:type="spellEnd"/>
          </w:p>
        </w:tc>
        <w:tc>
          <w:tcPr>
            <w:tcW w:w="3685" w:type="dxa"/>
            <w:noWrap/>
            <w:hideMark/>
          </w:tcPr>
          <w:p w14:paraId="4D908BCF"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1 307 476</w:t>
            </w:r>
          </w:p>
        </w:tc>
        <w:tc>
          <w:tcPr>
            <w:tcW w:w="3685" w:type="dxa"/>
            <w:noWrap/>
            <w:hideMark/>
          </w:tcPr>
          <w:p w14:paraId="3D505280"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14,90%</w:t>
            </w:r>
          </w:p>
        </w:tc>
      </w:tr>
      <w:tr w:rsidR="003C08E8" w:rsidRPr="008541D0" w14:paraId="0D1A1CAD" w14:textId="77777777" w:rsidTr="00035BCA">
        <w:trPr>
          <w:trHeight w:val="285"/>
        </w:trPr>
        <w:tc>
          <w:tcPr>
            <w:tcW w:w="1417" w:type="dxa"/>
            <w:noWrap/>
            <w:hideMark/>
          </w:tcPr>
          <w:p w14:paraId="54761190"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36</w:t>
            </w:r>
            <w:r w:rsidRPr="000574A6">
              <w:rPr>
                <w:sz w:val="18"/>
                <w:szCs w:val="18"/>
              </w:rPr>
              <w:t>–</w:t>
            </w:r>
            <w:r w:rsidRPr="000574A6">
              <w:rPr>
                <w:rFonts w:eastAsia="Times New Roman" w:cs="Arial"/>
                <w:color w:val="000000"/>
                <w:sz w:val="18"/>
                <w:szCs w:val="18"/>
                <w:lang w:eastAsia="pl-PL"/>
              </w:rPr>
              <w:t xml:space="preserve">45 </w:t>
            </w:r>
            <w:proofErr w:type="spellStart"/>
            <w:r w:rsidRPr="000574A6">
              <w:rPr>
                <w:rFonts w:eastAsia="Times New Roman" w:cs="Arial"/>
                <w:color w:val="000000"/>
                <w:sz w:val="18"/>
                <w:szCs w:val="18"/>
                <w:lang w:eastAsia="pl-PL"/>
              </w:rPr>
              <w:t>lat</w:t>
            </w:r>
            <w:proofErr w:type="spellEnd"/>
          </w:p>
        </w:tc>
        <w:tc>
          <w:tcPr>
            <w:tcW w:w="3685" w:type="dxa"/>
            <w:noWrap/>
            <w:hideMark/>
          </w:tcPr>
          <w:p w14:paraId="508CA292"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1 687 845</w:t>
            </w:r>
          </w:p>
        </w:tc>
        <w:tc>
          <w:tcPr>
            <w:tcW w:w="3685" w:type="dxa"/>
            <w:noWrap/>
            <w:hideMark/>
          </w:tcPr>
          <w:p w14:paraId="3E458C09"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19,24%</w:t>
            </w:r>
          </w:p>
        </w:tc>
      </w:tr>
      <w:tr w:rsidR="003C08E8" w:rsidRPr="008541D0" w14:paraId="0FE72E59" w14:textId="77777777" w:rsidTr="00035BCA">
        <w:trPr>
          <w:trHeight w:val="285"/>
        </w:trPr>
        <w:tc>
          <w:tcPr>
            <w:tcW w:w="1417" w:type="dxa"/>
            <w:noWrap/>
            <w:hideMark/>
          </w:tcPr>
          <w:p w14:paraId="3DCABF70"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26</w:t>
            </w:r>
            <w:r w:rsidRPr="000574A6">
              <w:rPr>
                <w:sz w:val="18"/>
                <w:szCs w:val="18"/>
              </w:rPr>
              <w:t>–</w:t>
            </w:r>
            <w:r w:rsidRPr="000574A6">
              <w:rPr>
                <w:rFonts w:eastAsia="Times New Roman" w:cs="Arial"/>
                <w:color w:val="000000"/>
                <w:sz w:val="18"/>
                <w:szCs w:val="18"/>
                <w:lang w:eastAsia="pl-PL"/>
              </w:rPr>
              <w:t xml:space="preserve">35 </w:t>
            </w:r>
            <w:proofErr w:type="spellStart"/>
            <w:r w:rsidRPr="000574A6">
              <w:rPr>
                <w:rFonts w:eastAsia="Times New Roman" w:cs="Arial"/>
                <w:color w:val="000000"/>
                <w:sz w:val="18"/>
                <w:szCs w:val="18"/>
                <w:lang w:eastAsia="pl-PL"/>
              </w:rPr>
              <w:t>lat</w:t>
            </w:r>
            <w:proofErr w:type="spellEnd"/>
          </w:p>
        </w:tc>
        <w:tc>
          <w:tcPr>
            <w:tcW w:w="3685" w:type="dxa"/>
            <w:noWrap/>
            <w:hideMark/>
          </w:tcPr>
          <w:p w14:paraId="261EF412"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1 463 857</w:t>
            </w:r>
          </w:p>
        </w:tc>
        <w:tc>
          <w:tcPr>
            <w:tcW w:w="3685" w:type="dxa"/>
            <w:noWrap/>
            <w:hideMark/>
          </w:tcPr>
          <w:p w14:paraId="0C861BDA" w14:textId="77777777" w:rsidR="003C08E8" w:rsidRPr="000574A6" w:rsidRDefault="003C08E8" w:rsidP="00035BCA">
            <w:pPr>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16,68%</w:t>
            </w:r>
          </w:p>
        </w:tc>
      </w:tr>
      <w:tr w:rsidR="003C08E8" w:rsidRPr="008541D0" w14:paraId="06985E72" w14:textId="77777777" w:rsidTr="00035BCA">
        <w:trPr>
          <w:trHeight w:val="285"/>
        </w:trPr>
        <w:tc>
          <w:tcPr>
            <w:tcW w:w="1417" w:type="dxa"/>
            <w:noWrap/>
            <w:hideMark/>
          </w:tcPr>
          <w:p w14:paraId="32E9CFFE" w14:textId="77777777" w:rsidR="003C08E8" w:rsidRPr="000574A6" w:rsidRDefault="003C08E8" w:rsidP="005A1FE4">
            <w:pPr>
              <w:keepNext/>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19</w:t>
            </w:r>
            <w:r w:rsidRPr="000574A6">
              <w:rPr>
                <w:sz w:val="18"/>
                <w:szCs w:val="18"/>
              </w:rPr>
              <w:t>–</w:t>
            </w:r>
            <w:r w:rsidRPr="000574A6">
              <w:rPr>
                <w:rFonts w:eastAsia="Times New Roman" w:cs="Arial"/>
                <w:color w:val="000000"/>
                <w:sz w:val="18"/>
                <w:szCs w:val="18"/>
                <w:lang w:eastAsia="pl-PL"/>
              </w:rPr>
              <w:t xml:space="preserve">25 </w:t>
            </w:r>
            <w:proofErr w:type="spellStart"/>
            <w:r w:rsidRPr="000574A6">
              <w:rPr>
                <w:rFonts w:eastAsia="Times New Roman" w:cs="Arial"/>
                <w:color w:val="000000"/>
                <w:sz w:val="18"/>
                <w:szCs w:val="18"/>
                <w:lang w:eastAsia="pl-PL"/>
              </w:rPr>
              <w:t>lat</w:t>
            </w:r>
            <w:proofErr w:type="spellEnd"/>
          </w:p>
        </w:tc>
        <w:tc>
          <w:tcPr>
            <w:tcW w:w="3685" w:type="dxa"/>
            <w:noWrap/>
            <w:hideMark/>
          </w:tcPr>
          <w:p w14:paraId="4EDD1DF0" w14:textId="77777777" w:rsidR="003C08E8" w:rsidRPr="000574A6" w:rsidRDefault="003C08E8" w:rsidP="005A1FE4">
            <w:pPr>
              <w:keepNext/>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1 162 788</w:t>
            </w:r>
          </w:p>
        </w:tc>
        <w:tc>
          <w:tcPr>
            <w:tcW w:w="3685" w:type="dxa"/>
            <w:noWrap/>
            <w:hideMark/>
          </w:tcPr>
          <w:p w14:paraId="13D251CA" w14:textId="77777777" w:rsidR="003C08E8" w:rsidRPr="000574A6" w:rsidRDefault="003C08E8" w:rsidP="005A1FE4">
            <w:pPr>
              <w:keepNext/>
              <w:spacing w:before="0" w:line="240" w:lineRule="auto"/>
              <w:ind w:firstLine="0"/>
              <w:jc w:val="center"/>
              <w:rPr>
                <w:rFonts w:eastAsia="Times New Roman" w:cs="Arial"/>
                <w:color w:val="000000"/>
                <w:sz w:val="18"/>
                <w:szCs w:val="18"/>
                <w:lang w:eastAsia="pl-PL"/>
              </w:rPr>
            </w:pPr>
            <w:r w:rsidRPr="000574A6">
              <w:rPr>
                <w:rFonts w:eastAsia="Times New Roman" w:cs="Arial"/>
                <w:color w:val="000000"/>
                <w:sz w:val="18"/>
                <w:szCs w:val="18"/>
                <w:lang w:eastAsia="pl-PL"/>
              </w:rPr>
              <w:t>13,25%</w:t>
            </w:r>
          </w:p>
        </w:tc>
      </w:tr>
    </w:tbl>
    <w:p w14:paraId="1E6BE766" w14:textId="1C04B966" w:rsidR="003C08E8" w:rsidRDefault="003C08E8" w:rsidP="007770AA">
      <w:pPr>
        <w:pStyle w:val="rdo"/>
      </w:pPr>
      <w:r>
        <w:t xml:space="preserve">Źródło: opracowanie własne na podstawie </w:t>
      </w:r>
      <w:r>
        <w:fldChar w:fldCharType="begin" w:fldLock="1"/>
      </w:r>
      <w:r w:rsidR="001A2624">
        <w:instrText>ADDIN CSL_CITATION {"citationItems":[{"id":"ITEM-1","itemData":{"abstract":",,Rocznik Demograficzny 2014’’ składa się z czterech działów: ,,Stan i struktura ludności’’ (bieżące bilanse ludności, wybrane wyniki spisów ludności oraz prognoza), ,,Ruch naturalny ludności’’ (małżeństwa, separacje, rozwody, urodzenia, zgony i trwanie życia), ,,Migracje ludności’’ (wewnętrzne — stałe i czasowe oraz zagraniczne — dane z bieżących badań i źródeł pozastatystycznych, a także wybrane wyniki spisów ludności) oraz ,,Przegląd międzynarodowy’’ (stan i struktura ludności, ruch naturalny oraz migracje zagraniczne w wybranych krajach). Każdy z działów poprzedzony jest uwagami metodologicznymi zawierającymi podstawowe definicje oraz zasady prezentowania danych","author":[{"dropping-particle":"","family":"GUS","given":"","non-dropping-particle":"","parse-names":false,"suffix":""}],"id":"ITEM-1","issued":{"date-parts":[["2021"]]},"number-of-pages":"1-530","title":"Rocznik Demograficzny","type":"report"},"uris":["http://www.mendeley.com/documents/?uuid=635d2def-6d44-4972-bdda-d8b99860e16d"]},{"id":"ITEM-2","itemData":{"author":[{"dropping-particle":"","family":"GUS","given":"","non-dropping-particle":"","parse-names":false,"suffix":""}],"id":"ITEM-2","issued":{"date-parts":[["2022"]]},"number-of-pages":"1-8","title":"Ludność według cech społecznych – wyniki wstępne NSP 2021","type":"report"},"uris":["http://www.mendeley.com/documents/?uuid=4f7984b9-a5f0-4603-ba4a-b89352726786"]}],"mendeley":{"formattedCitation":"(GUS, 2021a, 2022a)","plainTextFormattedCitation":"(GUS, 2021a, 2022a)","previouslyFormattedCitation":"(GUS, 2021a, 2022a)"},"properties":{"noteIndex":0},"schema":"https://github.com/citation-style-language/schema/raw/master/csl-citation.json"}</w:instrText>
      </w:r>
      <w:r>
        <w:fldChar w:fldCharType="separate"/>
      </w:r>
      <w:r w:rsidR="00921CC1" w:rsidRPr="00921CC1">
        <w:rPr>
          <w:noProof/>
        </w:rPr>
        <w:t>(GUS, 2021a, 2022a)</w:t>
      </w:r>
      <w:r>
        <w:fldChar w:fldCharType="end"/>
      </w:r>
    </w:p>
    <w:p w14:paraId="2C98FF6F" w14:textId="7E22C5CF" w:rsidR="003C08E8" w:rsidRDefault="003C08E8" w:rsidP="003C08E8">
      <w:r>
        <w:t>Wartości oszacowań przedstawione w tabeli po</w:t>
      </w:r>
      <w:r>
        <w:fldChar w:fldCharType="begin"/>
      </w:r>
      <w:r>
        <w:instrText xml:space="preserve"> REF _Ref134898325 \p \h </w:instrText>
      </w:r>
      <w:r>
        <w:fldChar w:fldCharType="separate"/>
      </w:r>
      <w:r w:rsidR="009E351C">
        <w:t>wyżej</w:t>
      </w:r>
      <w:r>
        <w:fldChar w:fldCharType="end"/>
      </w:r>
      <w:r>
        <w:t xml:space="preserve"> (</w:t>
      </w:r>
      <w:r>
        <w:fldChar w:fldCharType="begin"/>
      </w:r>
      <w:r>
        <w:instrText xml:space="preserve"> REF _Ref134898333 \h </w:instrText>
      </w:r>
      <w:r>
        <w:fldChar w:fldCharType="separate"/>
      </w:r>
      <w:r w:rsidR="009E351C">
        <w:t xml:space="preserve">Tabela </w:t>
      </w:r>
      <w:r w:rsidR="009E351C">
        <w:rPr>
          <w:noProof/>
        </w:rPr>
        <w:t>65</w:t>
      </w:r>
      <w:r>
        <w:fldChar w:fldCharType="end"/>
      </w:r>
      <w:r>
        <w:t xml:space="preserve">) dotyczące grup z kategorii wiekowych w zakresie powyżej 25 lat wynikają z przyjętej proporcji liczbowej osób z wykształceniem wyższym do ogółu populacji na poziomie 27%. Natomiast dla grupy wiekowej 19–25 lat, która głównie reprezentuje studentów, przyjęto do oszacowania wartość współczynnika </w:t>
      </w:r>
      <w:proofErr w:type="spellStart"/>
      <w:r>
        <w:t>skolaryzacji</w:t>
      </w:r>
      <w:proofErr w:type="spellEnd"/>
      <w:r>
        <w:t xml:space="preserve"> netto (zob. rozdział </w:t>
      </w:r>
      <w:r>
        <w:fldChar w:fldCharType="begin"/>
      </w:r>
      <w:r>
        <w:instrText xml:space="preserve"> PAGEREF _Ref66874449 \h </w:instrText>
      </w:r>
      <w:r>
        <w:fldChar w:fldCharType="separate"/>
      </w:r>
      <w:r w:rsidR="009E351C">
        <w:rPr>
          <w:noProof/>
        </w:rPr>
        <w:t>25</w:t>
      </w:r>
      <w:r>
        <w:fldChar w:fldCharType="end"/>
      </w:r>
      <w:r>
        <w:fldChar w:fldCharType="begin"/>
      </w:r>
      <w:r>
        <w:instrText xml:space="preserve"> REF _Ref66874449 \n \h </w:instrText>
      </w:r>
      <w:r>
        <w:fldChar w:fldCharType="separate"/>
      </w:r>
      <w:r w:rsidR="009E351C">
        <w:t>1.1.3</w:t>
      </w:r>
      <w:r>
        <w:fldChar w:fldCharType="end"/>
      </w:r>
      <w:r>
        <w:t xml:space="preserve">) na poziomie 36%. Porównując oszacowaną strukturę wiekową populacji badanej w zakresie grup studentów i absolwentów uczelni ze strukturą wiekową grupy badawczej również można zauważyć rozbieżności. Najbardziej znaczącą są one w grupach wiekowych między 26 a 45 lat, gdyż w przedstawionym oszacowaniu łączny udział tych grup wynosi niecałe 26%, co jest znacznie niższą </w:t>
      </w:r>
      <w:r>
        <w:lastRenderedPageBreak/>
        <w:t xml:space="preserve">wartością niż ok. 69% dla grupy badawczej (por. </w:t>
      </w:r>
      <w:r>
        <w:fldChar w:fldCharType="begin"/>
      </w:r>
      <w:r>
        <w:instrText xml:space="preserve"> REF _Ref134900397 \h </w:instrText>
      </w:r>
      <w:r>
        <w:fldChar w:fldCharType="separate"/>
      </w:r>
      <w:r w:rsidR="009E351C">
        <w:t xml:space="preserve">Rysunek </w:t>
      </w:r>
      <w:r w:rsidR="009E351C">
        <w:rPr>
          <w:noProof/>
        </w:rPr>
        <w:t>31</w:t>
      </w:r>
      <w:r>
        <w:fldChar w:fldCharType="end"/>
      </w:r>
      <w:r>
        <w:t xml:space="preserve">). Na tej podstawie można z dość dużym prawdopodobieństwem wnioskować o nadreprezentacji w grupach wiekowych 26–45 lat oraz o </w:t>
      </w:r>
      <w:proofErr w:type="spellStart"/>
      <w:r>
        <w:t>niedoreprezentowaniu</w:t>
      </w:r>
      <w:proofErr w:type="spellEnd"/>
      <w:r>
        <w:t xml:space="preserve"> pozostałych grup wiekowych w grupie badawczej, jednak należy pamiętać, że populacja z oszacowania przedstawionego w tabeli po</w:t>
      </w:r>
      <w:r>
        <w:fldChar w:fldCharType="begin"/>
      </w:r>
      <w:r>
        <w:instrText xml:space="preserve"> REF _Ref134898325 \p \h </w:instrText>
      </w:r>
      <w:r>
        <w:fldChar w:fldCharType="separate"/>
      </w:r>
      <w:r w:rsidR="009E351C">
        <w:t>wyżej</w:t>
      </w:r>
      <w:r>
        <w:fldChar w:fldCharType="end"/>
      </w:r>
      <w:r>
        <w:t xml:space="preserve"> (</w:t>
      </w:r>
      <w:r>
        <w:fldChar w:fldCharType="begin"/>
      </w:r>
      <w:r>
        <w:instrText xml:space="preserve"> REF _Ref134898333 \h </w:instrText>
      </w:r>
      <w:r>
        <w:fldChar w:fldCharType="separate"/>
      </w:r>
      <w:r w:rsidR="009E351C">
        <w:t xml:space="preserve">Tabela </w:t>
      </w:r>
      <w:r w:rsidR="009E351C">
        <w:rPr>
          <w:noProof/>
        </w:rPr>
        <w:t>65</w:t>
      </w:r>
      <w:r>
        <w:fldChar w:fldCharType="end"/>
      </w:r>
      <w:r>
        <w:t>) nie obejmuje tych grup interesariuszy z populacji badanej, którzy nie należą ani do grupy studentów, ani do grupy absolwentów. Jakkolwiek można się spodziewać, że w badanej populacji liczba osób z najniższej grupy wiekowej (poniżej 26 lat) nie różni się znacząco od liczby studentów w tej kategorii wiekowej, a grupa pracowników naukowych i akademickich oraz władz uczelni w pełni zawiera się w składzie grupy absolwentów, o tyle dla grupy przedsiębiorców oraz rodziców absolwentów raczej należy się spodziewać większych rozbieżności. Rozbieżności te są trudne do wiarygodnego oszacowania na podstawie dostępnych danych.</w:t>
      </w:r>
    </w:p>
    <w:p w14:paraId="048C14D4" w14:textId="50BC7998" w:rsidR="003C08E8" w:rsidRDefault="003C08E8" w:rsidP="003C08E8">
      <w:r>
        <w:t>Następnie przeanalizowano strukturę grupy badawczej pod względem miejscowości pochodzenia. Respondenci odpowiadali na pytanie w formie zamkniętej, ściśle wybierając jedną ze zdefiniowanych w kwestionariuszu kategorii określających wielkość i rolę miejscowości w regionie. Wyniki tej analizy przedstawiono na wykresie po</w:t>
      </w:r>
      <w:r>
        <w:fldChar w:fldCharType="begin"/>
      </w:r>
      <w:r>
        <w:instrText xml:space="preserve"> REF _Ref134900450 \p \h </w:instrText>
      </w:r>
      <w:r>
        <w:fldChar w:fldCharType="separate"/>
      </w:r>
      <w:r w:rsidR="009E351C">
        <w:t>niżej</w:t>
      </w:r>
      <w:r>
        <w:fldChar w:fldCharType="end"/>
      </w:r>
      <w:r>
        <w:t xml:space="preserve"> (</w:t>
      </w:r>
      <w:r>
        <w:fldChar w:fldCharType="begin"/>
      </w:r>
      <w:r>
        <w:instrText xml:space="preserve"> REF _Ref134900457 \h </w:instrText>
      </w:r>
      <w:r>
        <w:fldChar w:fldCharType="separate"/>
      </w:r>
      <w:r w:rsidR="009E351C" w:rsidRPr="00375829">
        <w:t xml:space="preserve">Rysunek </w:t>
      </w:r>
      <w:r w:rsidR="009E351C">
        <w:rPr>
          <w:noProof/>
        </w:rPr>
        <w:t>32</w:t>
      </w:r>
      <w:r>
        <w:fldChar w:fldCharType="end"/>
      </w:r>
      <w:r>
        <w:t>).</w:t>
      </w:r>
    </w:p>
    <w:p w14:paraId="0D07B1C8" w14:textId="77777777" w:rsidR="003C08E8" w:rsidRDefault="003C08E8" w:rsidP="003C08E8">
      <w:pPr>
        <w:keepNext/>
      </w:pPr>
      <w:r>
        <w:rPr>
          <w:noProof/>
        </w:rPr>
        <w:drawing>
          <wp:inline distT="0" distB="0" distL="0" distR="0" wp14:anchorId="7F7F7E60" wp14:editId="59201A04">
            <wp:extent cx="4680000" cy="2519680"/>
            <wp:effectExtent l="0" t="0" r="6350" b="13970"/>
            <wp:docPr id="1577586702" name="Wykres 1577586702">
              <a:extLst xmlns:a="http://schemas.openxmlformats.org/drawingml/2006/main">
                <a:ext uri="{FF2B5EF4-FFF2-40B4-BE49-F238E27FC236}">
                  <a16:creationId xmlns:a16="http://schemas.microsoft.com/office/drawing/2014/main" id="{7FD474BA-60C7-4500-9100-A9AD9C519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3BF1F0" w14:textId="0B15B8F7" w:rsidR="003C08E8" w:rsidRDefault="003C08E8" w:rsidP="003C08E8">
      <w:pPr>
        <w:pStyle w:val="Rysunek"/>
      </w:pPr>
      <w:bookmarkStart w:id="20" w:name="_Ref134900457"/>
      <w:bookmarkStart w:id="21" w:name="_Ref134900450"/>
      <w:bookmarkStart w:id="22" w:name="_Toc157755571"/>
      <w:r w:rsidRPr="00375829">
        <w:t xml:space="preserve">Rysunek </w:t>
      </w:r>
      <w:r>
        <w:fldChar w:fldCharType="begin"/>
      </w:r>
      <w:r>
        <w:instrText xml:space="preserve"> SEQ Rysunek \* ARABIC </w:instrText>
      </w:r>
      <w:r>
        <w:fldChar w:fldCharType="separate"/>
      </w:r>
      <w:r w:rsidR="009E351C">
        <w:rPr>
          <w:noProof/>
        </w:rPr>
        <w:t>32</w:t>
      </w:r>
      <w:r>
        <w:rPr>
          <w:noProof/>
        </w:rPr>
        <w:fldChar w:fldCharType="end"/>
      </w:r>
      <w:bookmarkEnd w:id="20"/>
      <w:r w:rsidRPr="00375829">
        <w:t xml:space="preserve"> Struktura respondentów badania kwestionariuszowego wg kryterium kategorii i wielkości </w:t>
      </w:r>
      <w:r w:rsidRPr="00375829">
        <w:br/>
      </w:r>
      <w:r>
        <w:t>miejscowości pochodzenia</w:t>
      </w:r>
      <w:bookmarkEnd w:id="21"/>
      <w:bookmarkEnd w:id="22"/>
    </w:p>
    <w:p w14:paraId="45BD6B70" w14:textId="77777777" w:rsidR="003C08E8" w:rsidRDefault="003C08E8" w:rsidP="007770AA">
      <w:pPr>
        <w:pStyle w:val="rdo"/>
      </w:pPr>
      <w:r>
        <w:t>Źródło: opracowanie własne</w:t>
      </w:r>
    </w:p>
    <w:p w14:paraId="0ECF8D38" w14:textId="046A513C" w:rsidR="003C08E8" w:rsidRDefault="003C08E8" w:rsidP="003C08E8">
      <w:r>
        <w:t xml:space="preserve">Podsumowując, warto zwrócić uwagę to fakt, iż udział respondentów pochodzących z terenów wiejskich w badaniu wyniósł ok. 14%, a respondentów pochodzących z miast o różnych wielkościach ok. 86%. Wg GUS wśród studentów osoby zamieszkujące na terenach wiejskich stanowią ok. 1/3 wszystkich studentów </w:t>
      </w:r>
      <w:r>
        <w:fldChar w:fldCharType="begin" w:fldLock="1"/>
      </w:r>
      <w:r w:rsidR="001A2624">
        <w:instrText>ADDIN CSL_CITATION {"citationItems":[{"id":"ITEM-1","itemData":{"author":[{"dropping-particle":"","family":"GUS","given":"","non-dropping-particle":"","parse-names":false,"suffix":""}],"id":"ITEM-1","issued":{"date-parts":[["2019"]]},"publisher-place":"Warszawa","title":"Szkoły wyższe i ich finanse w 2018 r.","type":"report"},"locator":"15","uris":["http://www.mendeley.com/documents/?uuid=671052a9-31da-4f14-a31c-b285af3f57d6"]}],"mendeley":{"formattedCitation":"(GUS, 2019b, s. 15)","plainTextFormattedCitation":"(GUS, 2019b, s. 15)","previouslyFormattedCitation":"(GUS, 2019b, s. 15)"},"properties":{"noteIndex":0},"schema":"https://github.com/citation-style-language/schema/raw/master/csl-citation.json"}</w:instrText>
      </w:r>
      <w:r>
        <w:fldChar w:fldCharType="separate"/>
      </w:r>
      <w:r w:rsidR="00921CC1" w:rsidRPr="00921CC1">
        <w:rPr>
          <w:noProof/>
        </w:rPr>
        <w:t>(GUS, 2019b, s. 15)</w:t>
      </w:r>
      <w:r>
        <w:fldChar w:fldCharType="end"/>
      </w:r>
      <w:r>
        <w:t>. Na tej podstawie można z dość dużym prawdopodobieństwem stwierdzić, że w badanej próbie grupa osób pochodzących z miejscowości na terenach wiejskich jest niedoreprezentowana. Natomiast należy zwrócić uwagę, że informacja odniesienia dotyczy jedynie grupy studentów, która stanowi tylko pewną część populacji badanej, a ponadto w raporcie GUS dot. szkolnictwa wyższego z 2018 jest to informacja podana jako szacunkowa. W nowszych raportach tego rodzaju GUS już takiej informacji nie podaje.</w:t>
      </w:r>
    </w:p>
    <w:p w14:paraId="4B69558A" w14:textId="2D36707A" w:rsidR="003C08E8" w:rsidRDefault="003C08E8" w:rsidP="003C08E8">
      <w:r>
        <w:lastRenderedPageBreak/>
        <w:t>Następnym etapem analizy było podsumowanie ilościowe respondentów wg grup interesariuszy jakie reprezentują. Należy podkreślić, że każdy respondent miał techniczną możliwość wyboru każdej z grup interesariuszy przedstawionych na wykresie po</w:t>
      </w:r>
      <w:r>
        <w:fldChar w:fldCharType="begin"/>
      </w:r>
      <w:r>
        <w:instrText xml:space="preserve"> REF _Ref134900476 \p \h </w:instrText>
      </w:r>
      <w:r>
        <w:fldChar w:fldCharType="separate"/>
      </w:r>
      <w:r w:rsidR="009E351C">
        <w:t>niżej</w:t>
      </w:r>
      <w:r>
        <w:fldChar w:fldCharType="end"/>
      </w:r>
      <w:r>
        <w:t xml:space="preserve"> (</w:t>
      </w:r>
      <w:r>
        <w:fldChar w:fldCharType="begin"/>
      </w:r>
      <w:r>
        <w:instrText xml:space="preserve"> REF _Ref134900483 \h </w:instrText>
      </w:r>
      <w:r>
        <w:fldChar w:fldCharType="separate"/>
      </w:r>
      <w:r w:rsidR="009E351C" w:rsidRPr="0031651A">
        <w:t xml:space="preserve">Rysunek </w:t>
      </w:r>
      <w:r w:rsidR="009E351C">
        <w:rPr>
          <w:noProof/>
        </w:rPr>
        <w:t>33</w:t>
      </w:r>
      <w:r>
        <w:fldChar w:fldCharType="end"/>
      </w:r>
      <w:r>
        <w:t>), natomiast dla większości z nich musiał wybrać tylko jedną uczelnię do oceny.</w:t>
      </w:r>
    </w:p>
    <w:p w14:paraId="230371D1" w14:textId="77777777" w:rsidR="003C08E8" w:rsidRDefault="003C08E8" w:rsidP="003C08E8">
      <w:pPr>
        <w:keepNext/>
        <w:ind w:firstLine="0"/>
      </w:pPr>
      <w:r>
        <w:rPr>
          <w:noProof/>
        </w:rPr>
        <w:drawing>
          <wp:inline distT="0" distB="0" distL="0" distR="0" wp14:anchorId="3F92F015" wp14:editId="03112D4D">
            <wp:extent cx="5760720" cy="2468880"/>
            <wp:effectExtent l="0" t="0" r="11430" b="7620"/>
            <wp:docPr id="1910414315" name="Wykres 1910414315">
              <a:extLst xmlns:a="http://schemas.openxmlformats.org/drawingml/2006/main">
                <a:ext uri="{FF2B5EF4-FFF2-40B4-BE49-F238E27FC236}">
                  <a16:creationId xmlns:a16="http://schemas.microsoft.com/office/drawing/2014/main" id="{9EADF44C-8D2A-17DD-8B4A-3D8DCB257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321ADE" w14:textId="0572A93C" w:rsidR="003C08E8" w:rsidRPr="0031651A" w:rsidRDefault="003C08E8" w:rsidP="003C08E8">
      <w:pPr>
        <w:pStyle w:val="Rysunek"/>
      </w:pPr>
      <w:bookmarkStart w:id="23" w:name="_Ref134900483"/>
      <w:bookmarkStart w:id="24" w:name="_Ref134900476"/>
      <w:bookmarkStart w:id="25" w:name="_Ref134900494"/>
      <w:bookmarkStart w:id="26" w:name="_Ref134900512"/>
      <w:bookmarkStart w:id="27" w:name="_Toc157755572"/>
      <w:r w:rsidRPr="0031651A">
        <w:t xml:space="preserve">Rysunek </w:t>
      </w:r>
      <w:r>
        <w:fldChar w:fldCharType="begin"/>
      </w:r>
      <w:r>
        <w:instrText xml:space="preserve"> SEQ Rysunek \* ARABIC </w:instrText>
      </w:r>
      <w:r>
        <w:fldChar w:fldCharType="separate"/>
      </w:r>
      <w:r w:rsidR="009E351C">
        <w:rPr>
          <w:noProof/>
        </w:rPr>
        <w:t>33</w:t>
      </w:r>
      <w:r>
        <w:rPr>
          <w:noProof/>
        </w:rPr>
        <w:fldChar w:fldCharType="end"/>
      </w:r>
      <w:bookmarkEnd w:id="23"/>
      <w:r w:rsidRPr="0031651A">
        <w:t xml:space="preserve"> Struktura respondentów badania kwestionariuszowego wg przynależności do grup interesariuszy</w:t>
      </w:r>
      <w:bookmarkEnd w:id="24"/>
      <w:bookmarkEnd w:id="25"/>
      <w:bookmarkEnd w:id="26"/>
      <w:bookmarkEnd w:id="27"/>
    </w:p>
    <w:p w14:paraId="5B3D9C7A" w14:textId="77777777" w:rsidR="003C08E8" w:rsidRDefault="003C08E8" w:rsidP="007770AA">
      <w:pPr>
        <w:pStyle w:val="rdo"/>
      </w:pPr>
      <w:r>
        <w:t>Źródło: opracowanie własne</w:t>
      </w:r>
    </w:p>
    <w:p w14:paraId="65A8C863" w14:textId="15AA79EE" w:rsidR="003C08E8" w:rsidRDefault="003C08E8" w:rsidP="003C08E8">
      <w:r>
        <w:t>Ze względu na to, iż wielu spośród respondentów oceniało uczelnie z perspektywy więcej niż jednej grupy interesariuszy, to liczności poszczególnych grup przedstawionych na wykresie po</w:t>
      </w:r>
      <w:r>
        <w:fldChar w:fldCharType="begin"/>
      </w:r>
      <w:r>
        <w:instrText xml:space="preserve"> REF _Ref134900494 \p \h </w:instrText>
      </w:r>
      <w:r>
        <w:fldChar w:fldCharType="separate"/>
      </w:r>
      <w:r w:rsidR="009E351C">
        <w:t>wyżej</w:t>
      </w:r>
      <w:r>
        <w:fldChar w:fldCharType="end"/>
      </w:r>
      <w:r>
        <w:t xml:space="preserve"> (</w:t>
      </w:r>
      <w:r>
        <w:fldChar w:fldCharType="begin"/>
      </w:r>
      <w:r>
        <w:instrText xml:space="preserve"> REF _Ref134900483 \h </w:instrText>
      </w:r>
      <w:r>
        <w:fldChar w:fldCharType="separate"/>
      </w:r>
      <w:r w:rsidR="009E351C" w:rsidRPr="0031651A">
        <w:t xml:space="preserve">Rysunek </w:t>
      </w:r>
      <w:r w:rsidR="009E351C">
        <w:rPr>
          <w:noProof/>
        </w:rPr>
        <w:t>33</w:t>
      </w:r>
      <w:r>
        <w:fldChar w:fldCharType="end"/>
      </w:r>
      <w:r>
        <w:t>) sumują się do liczby znacznie wyższej niż liczba respondentów badania ilościowego. Uwagę zwraca znaczna przewaga liczebna grupy absolwentów, ale należy podkreślić, że to najczęściej reprezentanci tej grupy reprezentują wiele z pozostałych grup interesariuszy. Udział pozostałych badanych grup interesariuszy wraz z informacją o stopniu, w jakim dana grupa jest reprezentowana przez grupę badanych absolwentów uczelni, został zaprezentowany na wykresie po</w:t>
      </w:r>
      <w:r>
        <w:fldChar w:fldCharType="begin"/>
      </w:r>
      <w:r>
        <w:instrText xml:space="preserve"> REF _Ref134900512 \p \h </w:instrText>
      </w:r>
      <w:r>
        <w:fldChar w:fldCharType="separate"/>
      </w:r>
      <w:r w:rsidR="009E351C">
        <w:t>wyżej</w:t>
      </w:r>
      <w:r>
        <w:fldChar w:fldCharType="end"/>
      </w:r>
      <w:r>
        <w:t xml:space="preserve"> (</w:t>
      </w:r>
      <w:r>
        <w:fldChar w:fldCharType="begin"/>
      </w:r>
      <w:r>
        <w:instrText xml:space="preserve"> REF _Ref134900483 \h </w:instrText>
      </w:r>
      <w:r>
        <w:fldChar w:fldCharType="separate"/>
      </w:r>
      <w:r w:rsidR="009E351C" w:rsidRPr="0031651A">
        <w:t xml:space="preserve">Rysunek </w:t>
      </w:r>
      <w:r w:rsidR="009E351C">
        <w:rPr>
          <w:noProof/>
        </w:rPr>
        <w:t>33</w:t>
      </w:r>
      <w:r>
        <w:fldChar w:fldCharType="end"/>
      </w:r>
      <w:r>
        <w:t>).</w:t>
      </w:r>
    </w:p>
    <w:p w14:paraId="171C7687" w14:textId="77777777" w:rsidR="003C08E8" w:rsidRDefault="003C08E8" w:rsidP="003C08E8">
      <w:pPr>
        <w:pStyle w:val="Rysunek"/>
      </w:pPr>
      <w:r>
        <w:rPr>
          <w:noProof/>
        </w:rPr>
        <w:lastRenderedPageBreak/>
        <w:drawing>
          <wp:inline distT="0" distB="0" distL="0" distR="0" wp14:anchorId="45038404" wp14:editId="712B5316">
            <wp:extent cx="5760720" cy="2948305"/>
            <wp:effectExtent l="0" t="0" r="0" b="0"/>
            <wp:docPr id="265110579" name="Wykres 265110579">
              <a:extLst xmlns:a="http://schemas.openxmlformats.org/drawingml/2006/main">
                <a:ext uri="{FF2B5EF4-FFF2-40B4-BE49-F238E27FC236}">
                  <a16:creationId xmlns:a16="http://schemas.microsoft.com/office/drawing/2014/main" id="{58398AAE-5D6C-403A-F68E-259CE92DD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FBD67C" w14:textId="228147BA" w:rsidR="003C08E8" w:rsidRDefault="003C08E8" w:rsidP="003C08E8">
      <w:pPr>
        <w:pStyle w:val="Rysunek"/>
      </w:pPr>
      <w:bookmarkStart w:id="28" w:name="_Ref134900542"/>
      <w:bookmarkStart w:id="29" w:name="_Ref134900535"/>
      <w:bookmarkStart w:id="30" w:name="_Toc157755573"/>
      <w:r w:rsidRPr="002D2DF1">
        <w:rPr>
          <w:rStyle w:val="TytutabeliZnak"/>
          <w:rFonts w:eastAsia="Calibri"/>
        </w:rPr>
        <w:t xml:space="preserve">Rysunek </w:t>
      </w:r>
      <w:r w:rsidRPr="002D2DF1">
        <w:rPr>
          <w:rStyle w:val="TytutabeliZnak"/>
          <w:rFonts w:eastAsia="Calibri"/>
        </w:rPr>
        <w:fldChar w:fldCharType="begin"/>
      </w:r>
      <w:r w:rsidRPr="002D2DF1">
        <w:rPr>
          <w:rStyle w:val="TytutabeliZnak"/>
          <w:rFonts w:eastAsia="Calibri"/>
        </w:rPr>
        <w:instrText xml:space="preserve"> SEQ Rysunek \* ARABIC </w:instrText>
      </w:r>
      <w:r w:rsidRPr="002D2DF1">
        <w:rPr>
          <w:rStyle w:val="TytutabeliZnak"/>
          <w:rFonts w:eastAsia="Calibri"/>
        </w:rPr>
        <w:fldChar w:fldCharType="separate"/>
      </w:r>
      <w:r w:rsidR="009E351C">
        <w:rPr>
          <w:rStyle w:val="TytutabeliZnak"/>
          <w:rFonts w:eastAsia="Calibri"/>
          <w:noProof/>
        </w:rPr>
        <w:t>34</w:t>
      </w:r>
      <w:r w:rsidRPr="002D2DF1">
        <w:rPr>
          <w:rStyle w:val="TytutabeliZnak"/>
          <w:rFonts w:eastAsia="Calibri"/>
        </w:rPr>
        <w:fldChar w:fldCharType="end"/>
      </w:r>
      <w:bookmarkEnd w:id="28"/>
      <w:r w:rsidRPr="002D2DF1">
        <w:rPr>
          <w:rStyle w:val="TytutabeliZnak"/>
          <w:rFonts w:eastAsia="Calibri"/>
        </w:rPr>
        <w:t xml:space="preserve"> Udział wybranych grup interesariuszy w badaniu kwestionariuszowym wśród grupy</w:t>
      </w:r>
      <w:r>
        <w:t xml:space="preserve"> badanych absolwentów</w:t>
      </w:r>
      <w:r>
        <w:rPr>
          <w:rStyle w:val="Odwoanieprzypisudolnego"/>
        </w:rPr>
        <w:footnoteReference w:id="4"/>
      </w:r>
      <w:bookmarkEnd w:id="29"/>
      <w:bookmarkEnd w:id="30"/>
    </w:p>
    <w:p w14:paraId="0D602ACB" w14:textId="77777777" w:rsidR="003C08E8" w:rsidRDefault="003C08E8" w:rsidP="007770AA">
      <w:pPr>
        <w:pStyle w:val="rdo"/>
      </w:pPr>
      <w:r>
        <w:t>Źródło: opracowanie własne</w:t>
      </w:r>
    </w:p>
    <w:p w14:paraId="3D5655C2" w14:textId="77566568" w:rsidR="003C08E8" w:rsidRDefault="003C08E8" w:rsidP="003C08E8">
      <w:r>
        <w:t>Analizując wykres przedstawiony po</w:t>
      </w:r>
      <w:r>
        <w:fldChar w:fldCharType="begin"/>
      </w:r>
      <w:r>
        <w:instrText xml:space="preserve"> REF _Ref134900535 \p \h </w:instrText>
      </w:r>
      <w:r>
        <w:fldChar w:fldCharType="separate"/>
      </w:r>
      <w:r w:rsidR="009E351C">
        <w:t>wyżej</w:t>
      </w:r>
      <w:r>
        <w:fldChar w:fldCharType="end"/>
      </w:r>
      <w:r>
        <w:t xml:space="preserve"> (</w:t>
      </w:r>
      <w:r>
        <w:fldChar w:fldCharType="begin"/>
      </w:r>
      <w:r>
        <w:instrText xml:space="preserve"> REF _Ref134900542 \h </w:instrText>
      </w:r>
      <w:r>
        <w:fldChar w:fldCharType="separate"/>
      </w:r>
      <w:r w:rsidR="009E351C" w:rsidRPr="002D2DF1">
        <w:rPr>
          <w:rStyle w:val="TytutabeliZnak"/>
          <w:rFonts w:eastAsia="Calibri"/>
        </w:rPr>
        <w:t xml:space="preserve">Rysunek </w:t>
      </w:r>
      <w:r w:rsidR="009E351C">
        <w:rPr>
          <w:rStyle w:val="TytutabeliZnak"/>
          <w:rFonts w:eastAsia="Calibri"/>
          <w:noProof/>
        </w:rPr>
        <w:t>34</w:t>
      </w:r>
      <w:r>
        <w:fldChar w:fldCharType="end"/>
      </w:r>
      <w:r>
        <w:t xml:space="preserve">) warto zwrócić uwagę, że całość populacji badanej z grup rodziców, władz samorządowych, a także władz i pracowników administracyjnych uczelni jednocześnie należała do grupy absolwentów. Biorąc pod uwagę fakt, iż raczej trudno zostać pracownikiem naukowym lub dydaktycznym uczelni, nie będąc absolwentem jakiejkolwiek uczelni, należy uzasadnić brak 100% zawierania się populacji badanych pracowników naukowych lub dydaktycznych w populacji badanych absolwentów indywidualną decyzją niektórych respondentów, by nie wypełniać części kwestionariusza dotyczącej grupy absolwentów. Narzędzie badawcze pozwalało na taką możliwość i prawdopodobnie tak właśnie się wydarzyło. Największe grupy badane wśród absolwentów pod względem liczności to grupy rodziców, przedsiębiorców oraz pracowników naukowych lub dydaktycznych. Jednocześnie są to również trzy najliczniej reprezentowane grupy respondentów po najliczniejszej grupie jaką są absolwenci (por. </w:t>
      </w:r>
      <w:r>
        <w:fldChar w:fldCharType="begin"/>
      </w:r>
      <w:r>
        <w:instrText xml:space="preserve"> REF _Ref134900483 \h </w:instrText>
      </w:r>
      <w:r>
        <w:fldChar w:fldCharType="separate"/>
      </w:r>
      <w:r w:rsidR="009E351C" w:rsidRPr="0031651A">
        <w:t xml:space="preserve">Rysunek </w:t>
      </w:r>
      <w:r w:rsidR="009E351C">
        <w:rPr>
          <w:noProof/>
        </w:rPr>
        <w:t>33</w:t>
      </w:r>
      <w:r>
        <w:fldChar w:fldCharType="end"/>
      </w:r>
      <w:r>
        <w:t xml:space="preserve">). Wśród absolwentów proporcje pomiędzy kobietami i mężczyznami są bliskie równych, choć występuje pewna niewielka przewaga kobiet nad mężczyznami (zob. </w:t>
      </w:r>
      <w:r>
        <w:fldChar w:fldCharType="begin"/>
      </w:r>
      <w:r>
        <w:instrText xml:space="preserve"> REF _Ref134900561 \h </w:instrText>
      </w:r>
      <w:r>
        <w:fldChar w:fldCharType="separate"/>
      </w:r>
      <w:r w:rsidR="009E351C">
        <w:t xml:space="preserve">Rysunek </w:t>
      </w:r>
      <w:r w:rsidR="009E351C">
        <w:rPr>
          <w:noProof/>
        </w:rPr>
        <w:t>35</w:t>
      </w:r>
      <w:r>
        <w:fldChar w:fldCharType="end"/>
      </w:r>
      <w:r>
        <w:t xml:space="preserve">), a więc w porównaniu z całkowitą populacją respondentów występuje pewna różnica (por. </w:t>
      </w:r>
      <w:r>
        <w:fldChar w:fldCharType="begin"/>
      </w:r>
      <w:r>
        <w:instrText xml:space="preserve"> REF _Ref134900359 \h </w:instrText>
      </w:r>
      <w:r>
        <w:fldChar w:fldCharType="separate"/>
      </w:r>
      <w:r w:rsidR="009E351C">
        <w:t xml:space="preserve">Rysunek </w:t>
      </w:r>
      <w:r w:rsidR="009E351C">
        <w:rPr>
          <w:noProof/>
        </w:rPr>
        <w:t>30</w:t>
      </w:r>
      <w:r>
        <w:fldChar w:fldCharType="end"/>
      </w:r>
      <w:r>
        <w:t>).</w:t>
      </w:r>
    </w:p>
    <w:p w14:paraId="3424CD2B" w14:textId="77777777" w:rsidR="003C08E8" w:rsidRDefault="003C08E8" w:rsidP="003C08E8">
      <w:pPr>
        <w:pStyle w:val="Rysunek"/>
      </w:pPr>
      <w:r>
        <w:rPr>
          <w:noProof/>
        </w:rPr>
        <w:lastRenderedPageBreak/>
        <w:drawing>
          <wp:inline distT="0" distB="0" distL="0" distR="0" wp14:anchorId="32DBEA11" wp14:editId="39AF6A43">
            <wp:extent cx="2880000" cy="2160000"/>
            <wp:effectExtent l="0" t="0" r="15875" b="12065"/>
            <wp:docPr id="1751217311" name="Wykres 1751217311">
              <a:extLst xmlns:a="http://schemas.openxmlformats.org/drawingml/2006/main">
                <a:ext uri="{FF2B5EF4-FFF2-40B4-BE49-F238E27FC236}">
                  <a16:creationId xmlns:a16="http://schemas.microsoft.com/office/drawing/2014/main" id="{A160921B-47B8-44E1-ABAF-CE6CD8478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FAE5C" w14:textId="56104289" w:rsidR="003C08E8" w:rsidRDefault="003C08E8" w:rsidP="003C08E8">
      <w:pPr>
        <w:pStyle w:val="Rysunek"/>
      </w:pPr>
      <w:bookmarkStart w:id="31" w:name="_Ref134900561"/>
      <w:bookmarkStart w:id="32" w:name="_Ref137806801"/>
      <w:bookmarkStart w:id="33" w:name="_Toc157755574"/>
      <w:r>
        <w:t xml:space="preserve">Rysunek </w:t>
      </w:r>
      <w:r>
        <w:fldChar w:fldCharType="begin"/>
      </w:r>
      <w:r>
        <w:instrText xml:space="preserve"> SEQ Rysunek \* ARABIC </w:instrText>
      </w:r>
      <w:r>
        <w:fldChar w:fldCharType="separate"/>
      </w:r>
      <w:r w:rsidR="009E351C">
        <w:rPr>
          <w:noProof/>
        </w:rPr>
        <w:t>35</w:t>
      </w:r>
      <w:r>
        <w:rPr>
          <w:noProof/>
        </w:rPr>
        <w:fldChar w:fldCharType="end"/>
      </w:r>
      <w:bookmarkEnd w:id="31"/>
      <w:r>
        <w:t xml:space="preserve"> Struktura respondentów badania kwestionariuszowego z grupy absolwentów uczelni wg płci</w:t>
      </w:r>
      <w:bookmarkEnd w:id="32"/>
      <w:bookmarkEnd w:id="33"/>
    </w:p>
    <w:p w14:paraId="5A30BAB0" w14:textId="77777777" w:rsidR="003C08E8" w:rsidRDefault="003C08E8" w:rsidP="007770AA">
      <w:pPr>
        <w:pStyle w:val="rdo"/>
      </w:pPr>
      <w:r>
        <w:t>Źródło: opracowanie własne</w:t>
      </w:r>
    </w:p>
    <w:p w14:paraId="1A76E5C8" w14:textId="346BDB91" w:rsidR="003C08E8" w:rsidRDefault="003C08E8" w:rsidP="003C08E8">
      <w:r>
        <w:t>Pod względem struktury płci w grupie absolwentów – respondentów badania kwestionariuszowego (wyniki przedstawione na wykresie po</w:t>
      </w:r>
      <w:r w:rsidR="000574A6">
        <w:fldChar w:fldCharType="begin"/>
      </w:r>
      <w:r w:rsidR="000574A6">
        <w:instrText xml:space="preserve"> REF _Ref137806801 \p \h </w:instrText>
      </w:r>
      <w:r w:rsidR="000574A6">
        <w:fldChar w:fldCharType="separate"/>
      </w:r>
      <w:r w:rsidR="009E351C">
        <w:t>wyżej</w:t>
      </w:r>
      <w:r w:rsidR="000574A6">
        <w:fldChar w:fldCharType="end"/>
      </w:r>
      <w:r>
        <w:t>) oraz w całej populacji badania występuje podobieństwo tak jak i pod względem struktury wieku przedstawionej na wykresie po</w:t>
      </w:r>
      <w:r>
        <w:fldChar w:fldCharType="begin"/>
      </w:r>
      <w:r>
        <w:instrText xml:space="preserve"> REF _Ref134900615 \p \h </w:instrText>
      </w:r>
      <w:r>
        <w:fldChar w:fldCharType="separate"/>
      </w:r>
      <w:r w:rsidR="009E351C">
        <w:t>niżej</w:t>
      </w:r>
      <w:r>
        <w:fldChar w:fldCharType="end"/>
      </w:r>
      <w:r>
        <w:t xml:space="preserve"> (por. </w:t>
      </w:r>
      <w:r>
        <w:fldChar w:fldCharType="begin"/>
      </w:r>
      <w:r>
        <w:instrText xml:space="preserve"> REF _Ref134900397 \h </w:instrText>
      </w:r>
      <w:r>
        <w:fldChar w:fldCharType="separate"/>
      </w:r>
      <w:r w:rsidR="009E351C">
        <w:t xml:space="preserve">Rysunek </w:t>
      </w:r>
      <w:r w:rsidR="009E351C">
        <w:rPr>
          <w:noProof/>
        </w:rPr>
        <w:t>31</w:t>
      </w:r>
      <w:r>
        <w:fldChar w:fldCharType="end"/>
      </w:r>
      <w:r>
        <w:t>). Niewątpliwie wynika to z faktu, że absolwenci stanowią znaczną większość spośród ogółu respondentów badania.</w:t>
      </w:r>
    </w:p>
    <w:p w14:paraId="5E59ED17" w14:textId="77777777" w:rsidR="003C08E8" w:rsidRDefault="003C08E8" w:rsidP="003C08E8">
      <w:pPr>
        <w:pStyle w:val="Rysunek"/>
      </w:pPr>
      <w:r>
        <w:rPr>
          <w:noProof/>
        </w:rPr>
        <w:drawing>
          <wp:inline distT="0" distB="0" distL="0" distR="0" wp14:anchorId="198C6F3F" wp14:editId="3B9494BC">
            <wp:extent cx="3960000" cy="2520000"/>
            <wp:effectExtent l="0" t="0" r="2540" b="13970"/>
            <wp:docPr id="2074504712" name="Wykres 2074504712">
              <a:extLst xmlns:a="http://schemas.openxmlformats.org/drawingml/2006/main">
                <a:ext uri="{FF2B5EF4-FFF2-40B4-BE49-F238E27FC236}">
                  <a16:creationId xmlns:a16="http://schemas.microsoft.com/office/drawing/2014/main" id="{D45EBB2D-E6E2-45CA-A5FD-DEE52624B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E9777A" w14:textId="242FDF5B" w:rsidR="003C08E8" w:rsidRDefault="003C08E8" w:rsidP="003C08E8">
      <w:pPr>
        <w:pStyle w:val="Rysunek"/>
      </w:pPr>
      <w:bookmarkStart w:id="34" w:name="_Ref134900651"/>
      <w:bookmarkStart w:id="35" w:name="_Ref134900615"/>
      <w:bookmarkStart w:id="36" w:name="_Ref134900644"/>
      <w:bookmarkStart w:id="37" w:name="_Ref137806762"/>
      <w:bookmarkStart w:id="38" w:name="_Toc157755575"/>
      <w:r>
        <w:t xml:space="preserve">Rysunek </w:t>
      </w:r>
      <w:r>
        <w:fldChar w:fldCharType="begin"/>
      </w:r>
      <w:r>
        <w:instrText xml:space="preserve"> SEQ Rysunek \* ARABIC </w:instrText>
      </w:r>
      <w:r>
        <w:fldChar w:fldCharType="separate"/>
      </w:r>
      <w:r w:rsidR="009E351C">
        <w:rPr>
          <w:noProof/>
        </w:rPr>
        <w:t>36</w:t>
      </w:r>
      <w:r>
        <w:rPr>
          <w:noProof/>
        </w:rPr>
        <w:fldChar w:fldCharType="end"/>
      </w:r>
      <w:bookmarkEnd w:id="34"/>
      <w:r>
        <w:t xml:space="preserve"> Struktura respondentów badania kwestionariuszowego z grupy absolwentów uczelni wg kategorii wiekowych</w:t>
      </w:r>
      <w:bookmarkEnd w:id="35"/>
      <w:bookmarkEnd w:id="36"/>
      <w:bookmarkEnd w:id="37"/>
      <w:bookmarkEnd w:id="38"/>
    </w:p>
    <w:p w14:paraId="29996148" w14:textId="77777777" w:rsidR="003C08E8" w:rsidRDefault="003C08E8" w:rsidP="007770AA">
      <w:pPr>
        <w:pStyle w:val="rdo"/>
      </w:pPr>
      <w:r>
        <w:t>Źródło: opracowanie własne</w:t>
      </w:r>
    </w:p>
    <w:p w14:paraId="7C35D873" w14:textId="5AD8B7D3" w:rsidR="003C08E8" w:rsidRDefault="003C08E8" w:rsidP="003C08E8">
      <w:r>
        <w:t>Przedstawiona na rysunku po</w:t>
      </w:r>
      <w:r>
        <w:fldChar w:fldCharType="begin"/>
      </w:r>
      <w:r>
        <w:instrText xml:space="preserve"> REF _Ref134900644 \p \h </w:instrText>
      </w:r>
      <w:r>
        <w:fldChar w:fldCharType="separate"/>
      </w:r>
      <w:r w:rsidR="009E351C">
        <w:t>wyżej</w:t>
      </w:r>
      <w:r>
        <w:fldChar w:fldCharType="end"/>
      </w:r>
      <w:r>
        <w:t xml:space="preserve"> (</w:t>
      </w:r>
      <w:r>
        <w:fldChar w:fldCharType="begin"/>
      </w:r>
      <w:r>
        <w:instrText xml:space="preserve"> REF _Ref134900651 \h </w:instrText>
      </w:r>
      <w:r>
        <w:fldChar w:fldCharType="separate"/>
      </w:r>
      <w:r w:rsidR="009E351C">
        <w:t xml:space="preserve">Rysunek </w:t>
      </w:r>
      <w:r w:rsidR="009E351C">
        <w:rPr>
          <w:noProof/>
        </w:rPr>
        <w:t>36</w:t>
      </w:r>
      <w:r>
        <w:fldChar w:fldCharType="end"/>
      </w:r>
      <w:r>
        <w:t xml:space="preserve">) struktura wieku absolwentów wykazuje duże podobieństwa do struktury wieku ogółu respondentów badania kwestionariuszowego pod wieloma względami. Podobnie jak dla całej populacji respondentów badania kwestionariuszowego również w grupie absolwentów osoby w wieku 26–45 lat stanowią ponad 2/3 liczności grupy. Również liczność w grupie wiekowej 46–55 lat jest niższa niż kolejnej grupie 56–65 lat. Natomiast najistotniejszą różnicą w </w:t>
      </w:r>
      <w:r>
        <w:lastRenderedPageBreak/>
        <w:t>porównaniu do struktury wiekowej całej populacji respondentów jest udział najniższej grupy wiekowej, poniżej 26 lat. Wśród respondentów należących do absolwentów jest on istotnie niższy niż w całej populacji respondentów. Niewątpliwie wynika to z faktu, iż stosunkowo rzadko interesariusze uczelni wyższych będący absolwentami są w wieku poniżej 26 lat. Należy zwrócić uwagę, że wśród absolwentów z najniższej grupy wiekowej mogły się znaleźć osoby będące absolwentami studiów pierwszego stopnia (licencjackie, inżynierskie). Narzędzie badawcze pozwalało bowiem osobom deklarującym przynależność do takiej grupy na ocenę ukończonej uczelni. Następnym parametrem dotyczącym grupy absolwentów wśród respondentów badania ilościowego była kategoria ukończonej uczelni. Ze względu na to, że pytanie w kwestionariuszu pozwalało na wpisanie nazwy uczelni, konieczne było ujednolicenie sposobu zapisu nazwy ocenianych uczelni tak, by ta sama uczelnia miała tę samą nazwę do dalszych analiz ilościowych. Pewnym wyzwaniem w tym zakresie było zidentyfikowanie poprawnych, lecz nieaktualnych nazw uczelni, wpisywanych przez absolwentów, którzy przywoływali nazwę uczelni obowiązującą w czasie ich studiów. Na podstawie odpowiedzi respondentów przyjęto wstępny, bardzo ogólny podział na kategorie uczelni wg rodzaju formy prawnej oraz faktu znajdowania się na terenie Rzeczypospolitej. Wybrane kategorie oraz strukturę respondentów badania będących absolwentami przedstawiono na rysunku po</w:t>
      </w:r>
      <w:r>
        <w:fldChar w:fldCharType="begin"/>
      </w:r>
      <w:r>
        <w:instrText xml:space="preserve"> REF _Ref134900676 \p \h </w:instrText>
      </w:r>
      <w:r>
        <w:fldChar w:fldCharType="separate"/>
      </w:r>
      <w:r w:rsidR="009E351C">
        <w:t>niżej</w:t>
      </w:r>
      <w:r>
        <w:fldChar w:fldCharType="end"/>
      </w:r>
      <w:r>
        <w:t xml:space="preserve"> (</w:t>
      </w:r>
      <w:r>
        <w:fldChar w:fldCharType="begin"/>
      </w:r>
      <w:r>
        <w:instrText xml:space="preserve"> REF _Ref134900684 \h </w:instrText>
      </w:r>
      <w:r>
        <w:fldChar w:fldCharType="separate"/>
      </w:r>
      <w:r w:rsidR="009E351C">
        <w:t xml:space="preserve">Rysunek </w:t>
      </w:r>
      <w:r w:rsidR="009E351C">
        <w:rPr>
          <w:noProof/>
        </w:rPr>
        <w:t>37</w:t>
      </w:r>
      <w:r>
        <w:fldChar w:fldCharType="end"/>
      </w:r>
      <w:r>
        <w:t>).</w:t>
      </w:r>
    </w:p>
    <w:p w14:paraId="38BDB70D" w14:textId="77777777" w:rsidR="003C08E8" w:rsidRDefault="003C08E8" w:rsidP="003C08E8">
      <w:pPr>
        <w:pStyle w:val="Rysunek"/>
      </w:pPr>
      <w:r>
        <w:rPr>
          <w:noProof/>
        </w:rPr>
        <w:drawing>
          <wp:inline distT="0" distB="0" distL="0" distR="0" wp14:anchorId="4E1AC9C3" wp14:editId="74BB1308">
            <wp:extent cx="4572000" cy="2160000"/>
            <wp:effectExtent l="0" t="0" r="0" b="12065"/>
            <wp:docPr id="258591228" name="Wykres 258591228">
              <a:extLst xmlns:a="http://schemas.openxmlformats.org/drawingml/2006/main">
                <a:ext uri="{FF2B5EF4-FFF2-40B4-BE49-F238E27FC236}">
                  <a16:creationId xmlns:a16="http://schemas.microsoft.com/office/drawing/2014/main" id="{2B126BDD-6CD9-A2F7-D72C-7EFFB94A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24508D" w14:textId="6E7D9866" w:rsidR="003C08E8" w:rsidRDefault="003C08E8" w:rsidP="003C08E8">
      <w:pPr>
        <w:pStyle w:val="Rysunek"/>
      </w:pPr>
      <w:bookmarkStart w:id="39" w:name="_Ref134900684"/>
      <w:bookmarkStart w:id="40" w:name="_Ref134900676"/>
      <w:bookmarkStart w:id="41" w:name="_Ref134900706"/>
      <w:bookmarkStart w:id="42" w:name="_Toc157755576"/>
      <w:r>
        <w:t xml:space="preserve">Rysunek </w:t>
      </w:r>
      <w:r>
        <w:fldChar w:fldCharType="begin"/>
      </w:r>
      <w:r>
        <w:instrText xml:space="preserve"> SEQ Rysunek \* ARABIC </w:instrText>
      </w:r>
      <w:r>
        <w:fldChar w:fldCharType="separate"/>
      </w:r>
      <w:r w:rsidR="009E351C">
        <w:rPr>
          <w:noProof/>
        </w:rPr>
        <w:t>37</w:t>
      </w:r>
      <w:r>
        <w:rPr>
          <w:noProof/>
        </w:rPr>
        <w:fldChar w:fldCharType="end"/>
      </w:r>
      <w:bookmarkEnd w:id="39"/>
      <w:r>
        <w:t xml:space="preserve"> Struktura respondentów badania kwestionariuszowego należących do grupy absolwentów wg rodzaju ukończonej uczelni.</w:t>
      </w:r>
      <w:bookmarkEnd w:id="40"/>
      <w:bookmarkEnd w:id="41"/>
      <w:bookmarkEnd w:id="42"/>
    </w:p>
    <w:p w14:paraId="49332177" w14:textId="6A44CFD2" w:rsidR="003C08E8" w:rsidRDefault="003C08E8" w:rsidP="003C08E8">
      <w:r>
        <w:t>Na podstawie analizy struktury respondentów absolwentów wg rodzaju ukończonej uczelni przedstawionej na wykresie po</w:t>
      </w:r>
      <w:r>
        <w:fldChar w:fldCharType="begin"/>
      </w:r>
      <w:r>
        <w:instrText xml:space="preserve"> REF _Ref134900706 \p \h </w:instrText>
      </w:r>
      <w:r>
        <w:fldChar w:fldCharType="separate"/>
      </w:r>
      <w:r w:rsidR="009E351C">
        <w:t>wyżej</w:t>
      </w:r>
      <w:r>
        <w:fldChar w:fldCharType="end"/>
      </w:r>
      <w:r>
        <w:t xml:space="preserve"> (</w:t>
      </w:r>
      <w:r>
        <w:fldChar w:fldCharType="begin"/>
      </w:r>
      <w:r>
        <w:instrText xml:space="preserve"> REF _Ref134900684 \h </w:instrText>
      </w:r>
      <w:r>
        <w:fldChar w:fldCharType="separate"/>
      </w:r>
      <w:r w:rsidR="009E351C">
        <w:t xml:space="preserve">Rysunek </w:t>
      </w:r>
      <w:r w:rsidR="009E351C">
        <w:rPr>
          <w:noProof/>
        </w:rPr>
        <w:t>37</w:t>
      </w:r>
      <w:r>
        <w:fldChar w:fldCharType="end"/>
      </w:r>
      <w:r>
        <w:t xml:space="preserve">) można stwierdzić, że wśród respondentów absolwentów występuje wyraźna nadreprezentacja absolwentów uczelni publicznych. Ponieważ trudno jest uzyskać dostęp do wiarygodnych badań na temat struktury populacji badanej pod względem rodzaju ukończonej uczelni przez absolwentów, można przypuszczać na podstawie danych publikowanych od wielu lat przez GUS nt. różnic w liczności studentów uczelni publicznych i niepublicznych, że proporcje pomiędzy liczbą absolwentów uczelni publicznych i niepublicznych w Polsce powinny być podobne. A zatem udział liczby absolwentów szkół niepublicznych w liczbie absolwentów szkół publicznych w populacji badanej (5,3%) znacznie odbiega od wartości szacowanych dla populacji badanej na poziomie pomiędzy 30%–50% (por. </w:t>
      </w:r>
      <w:r>
        <w:fldChar w:fldCharType="begin"/>
      </w:r>
      <w:r>
        <w:instrText xml:space="preserve"> REF _Ref134899462 \h </w:instrText>
      </w:r>
      <w:r>
        <w:fldChar w:fldCharType="separate"/>
      </w:r>
      <w:r w:rsidR="009E351C" w:rsidRPr="00233788">
        <w:t xml:space="preserve">Rysunek </w:t>
      </w:r>
      <w:r w:rsidR="009E351C">
        <w:rPr>
          <w:noProof/>
        </w:rPr>
        <w:t>5</w:t>
      </w:r>
      <w:r>
        <w:fldChar w:fldCharType="end"/>
      </w:r>
      <w:r>
        <w:t xml:space="preserve">). Z dużym prawdopodobieństwem można stwierdzić, że potwierdza to nielosowość grupy respondentów, czego przyczyną niewątpliwie jest wybór metody kuli </w:t>
      </w:r>
      <w:r>
        <w:lastRenderedPageBreak/>
        <w:t>śnieżnej do doboru grupy badawczej. Jeśli przypatrzymy się strukturze respondentów – absolwentów ze względu na nazwę ocenianej uczelni przedstawioną na wykresie po</w:t>
      </w:r>
      <w:r>
        <w:fldChar w:fldCharType="begin"/>
      </w:r>
      <w:r>
        <w:instrText xml:space="preserve"> REF _Ref134895603 \p \h </w:instrText>
      </w:r>
      <w:r>
        <w:fldChar w:fldCharType="separate"/>
      </w:r>
      <w:r w:rsidR="009E351C">
        <w:t>niżej</w:t>
      </w:r>
      <w:r>
        <w:fldChar w:fldCharType="end"/>
      </w:r>
      <w:r>
        <w:t xml:space="preserve"> (</w:t>
      </w:r>
      <w:r>
        <w:fldChar w:fldCharType="begin"/>
      </w:r>
      <w:r>
        <w:instrText xml:space="preserve"> REF _Ref134895617 \h </w:instrText>
      </w:r>
      <w:r>
        <w:fldChar w:fldCharType="separate"/>
      </w:r>
      <w:r w:rsidR="009E351C">
        <w:t xml:space="preserve">Rysunek </w:t>
      </w:r>
      <w:r w:rsidR="009E351C">
        <w:rPr>
          <w:noProof/>
        </w:rPr>
        <w:t>38</w:t>
      </w:r>
      <w:r>
        <w:fldChar w:fldCharType="end"/>
      </w:r>
      <w:r>
        <w:t>) ten wniosek stanie się jeszcze mocniejszy.</w:t>
      </w:r>
    </w:p>
    <w:p w14:paraId="4997AFD1" w14:textId="77777777" w:rsidR="003C08E8" w:rsidRDefault="003C08E8" w:rsidP="003C08E8">
      <w:pPr>
        <w:pStyle w:val="Rysunek"/>
      </w:pPr>
      <w:commentRangeStart w:id="43"/>
      <w:r>
        <w:rPr>
          <w:noProof/>
        </w:rPr>
        <w:drawing>
          <wp:inline distT="0" distB="0" distL="0" distR="0" wp14:anchorId="47D607E7" wp14:editId="78F9F544">
            <wp:extent cx="5760000" cy="6120000"/>
            <wp:effectExtent l="0" t="0" r="12700" b="14605"/>
            <wp:docPr id="1414273492" name="Wykres 1414273492">
              <a:extLst xmlns:a="http://schemas.openxmlformats.org/drawingml/2006/main">
                <a:ext uri="{FF2B5EF4-FFF2-40B4-BE49-F238E27FC236}">
                  <a16:creationId xmlns:a16="http://schemas.microsoft.com/office/drawing/2014/main" id="{AE1EFB0A-3389-C171-42C1-0BB0575B8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43"/>
      <w:r>
        <w:rPr>
          <w:rStyle w:val="Odwoaniedokomentarza"/>
          <w:rFonts w:ascii="Times New Roman" w:eastAsia="Times New Roman" w:hAnsi="Times New Roman"/>
          <w:szCs w:val="20"/>
          <w:lang w:eastAsia="pl-PL"/>
        </w:rPr>
        <w:commentReference w:id="43"/>
      </w:r>
    </w:p>
    <w:p w14:paraId="5B40B9BE" w14:textId="73C0AF93" w:rsidR="003C08E8" w:rsidRDefault="003C08E8" w:rsidP="003C08E8">
      <w:pPr>
        <w:pStyle w:val="Rysunek"/>
      </w:pPr>
      <w:bookmarkStart w:id="44" w:name="_Ref134895617"/>
      <w:bookmarkStart w:id="45" w:name="_Ref134895603"/>
      <w:bookmarkStart w:id="46" w:name="_Toc157755577"/>
      <w:r>
        <w:t xml:space="preserve">Rysunek </w:t>
      </w:r>
      <w:r>
        <w:fldChar w:fldCharType="begin"/>
      </w:r>
      <w:r>
        <w:instrText xml:space="preserve"> SEQ Rysunek \* ARABIC </w:instrText>
      </w:r>
      <w:r>
        <w:fldChar w:fldCharType="separate"/>
      </w:r>
      <w:r w:rsidR="009E351C">
        <w:rPr>
          <w:noProof/>
        </w:rPr>
        <w:t>38</w:t>
      </w:r>
      <w:r>
        <w:rPr>
          <w:noProof/>
        </w:rPr>
        <w:fldChar w:fldCharType="end"/>
      </w:r>
      <w:bookmarkEnd w:id="44"/>
      <w:r>
        <w:t xml:space="preserve"> Struktura grupy absolwentów respondentów badania kwestionariuszowego ze względu na ocenianą uczelnię</w:t>
      </w:r>
      <w:bookmarkEnd w:id="45"/>
      <w:bookmarkEnd w:id="46"/>
    </w:p>
    <w:p w14:paraId="5D229F8A" w14:textId="77777777" w:rsidR="003C08E8" w:rsidRDefault="003C08E8" w:rsidP="007770AA">
      <w:pPr>
        <w:pStyle w:val="rdo"/>
      </w:pPr>
      <w:r>
        <w:t>Źródło: opracowanie własne</w:t>
      </w:r>
    </w:p>
    <w:p w14:paraId="144F5218" w14:textId="686CC307" w:rsidR="003C08E8" w:rsidRDefault="005A1FE4" w:rsidP="003C08E8">
      <w:r>
        <w:t>Analiza informacji</w:t>
      </w:r>
      <w:r w:rsidR="003C08E8">
        <w:t xml:space="preserve"> przedstawionych na wykresie po</w:t>
      </w:r>
      <w:r w:rsidR="003C08E8">
        <w:fldChar w:fldCharType="begin"/>
      </w:r>
      <w:r w:rsidR="003C08E8">
        <w:instrText xml:space="preserve"> REF _Ref134895603 \p \h </w:instrText>
      </w:r>
      <w:r w:rsidR="003C08E8">
        <w:fldChar w:fldCharType="separate"/>
      </w:r>
      <w:r w:rsidR="009E351C">
        <w:t>wyżej</w:t>
      </w:r>
      <w:r w:rsidR="003C08E8">
        <w:fldChar w:fldCharType="end"/>
      </w:r>
      <w:r w:rsidR="003C08E8">
        <w:t xml:space="preserve"> (</w:t>
      </w:r>
      <w:r w:rsidR="003C08E8">
        <w:fldChar w:fldCharType="begin"/>
      </w:r>
      <w:r w:rsidR="003C08E8">
        <w:instrText xml:space="preserve"> REF _Ref134895617 \h </w:instrText>
      </w:r>
      <w:r w:rsidR="003C08E8">
        <w:fldChar w:fldCharType="separate"/>
      </w:r>
      <w:r w:rsidR="009E351C">
        <w:t xml:space="preserve">Rysunek </w:t>
      </w:r>
      <w:r w:rsidR="009E351C">
        <w:rPr>
          <w:noProof/>
        </w:rPr>
        <w:t>38</w:t>
      </w:r>
      <w:r w:rsidR="003C08E8">
        <w:fldChar w:fldCharType="end"/>
      </w:r>
      <w:r w:rsidR="003C08E8">
        <w:t xml:space="preserve">) wskazuje na znaczną nadreprezentację respondentów pomorskich uczelni w grupie badawczej. Stanowią oni 47% liczby respondentów absolwentów. Najsilniej reprezentowaną uczelnią w tej grupie jest Politechnika Gdańska. Wynika to prawdopodobnie z tego, że grupą, do której szczególnie badanie było skierowane, była </w:t>
      </w:r>
      <w:r w:rsidR="003C08E8">
        <w:lastRenderedPageBreak/>
        <w:t xml:space="preserve">grupa interesariuszy uczelni technicznych, co uwidoczniło się w koncepcji wykorzystania metody kuli śnieżnej do doboru grupy badawczej, gdzie pierwszą grupą respondentów, do których kierowano prośby o wzięcie udziału w badaniu, byli interesariusze uczelni technicznych. Dopiero kolejni respondenci należeli do interesariuszy uczelni nietechnicznych, a dobór polegał głównie na przekazywaniu informacji z linkiem do ankiety następnym osobom. Analizując dalej, studenci uczelni technicznych wśród ogółu respondentów z grupy absolwentów stanowią ok. 43% całej populacji. Ten wynik w porównaniu z danymi GUS za 2018 rok wskazuje również na silną nadreprezentację tej grupy w populacji badanej, gdyż w Polsce na uczelniach technicznych studiuje ok. 20% całej liczby studentów uczelni wyższych </w:t>
      </w:r>
      <w:r w:rsidR="003C08E8">
        <w:fldChar w:fldCharType="begin" w:fldLock="1"/>
      </w:r>
      <w:r w:rsidR="001A2624">
        <w:instrText>ADDIN CSL_CITATION {"citationItems":[{"id":"ITEM-1","itemData":{"author":[{"dropping-particle":"","family":"GUS","given":"","non-dropping-particle":"","parse-names":false,"suffix":""}],"id":"ITEM-1","issued":{"date-parts":[["2019"]]},"publisher-place":"Warszawa","title":"Szkoły wyższe i ich finanse w 2018 r.","type":"report"},"locator":"213","uris":["http://www.mendeley.com/documents/?uuid=671052a9-31da-4f14-a31c-b285af3f57d6"]}],"mendeley":{"formattedCitation":"(GUS, 2019b, s. 213)","plainTextFormattedCitation":"(GUS, 2019b, s. 213)","previouslyFormattedCitation":"(GUS, 2019b, s. 213)"},"properties":{"noteIndex":0},"schema":"https://github.com/citation-style-language/schema/raw/master/csl-citation.json"}</w:instrText>
      </w:r>
      <w:r w:rsidR="003C08E8">
        <w:fldChar w:fldCharType="separate"/>
      </w:r>
      <w:r w:rsidR="00921CC1" w:rsidRPr="00921CC1">
        <w:rPr>
          <w:noProof/>
        </w:rPr>
        <w:t>(GUS, 2019b, s. 213)</w:t>
      </w:r>
      <w:r w:rsidR="003C08E8">
        <w:fldChar w:fldCharType="end"/>
      </w:r>
      <w:r w:rsidR="003C08E8">
        <w:t>. Oczywiście należy mieć na uwadze, że szacowanie udziału grupy absolwentów uczelni technicznych w ogóle populacji absolwentów uczelni jest dalekie od ideału, niemniej przy tak dużych rozbieżnościach z dużym prawdopodobieństwem można przyjąć, że wskazana powyżej rozbieżność występuje. Na pewno niemożliwą do wiarygodnego oszacowania na podstawie tak ograniczonego zestawu informacji jest skala tej rozbieżności.</w:t>
      </w:r>
    </w:p>
    <w:p w14:paraId="420D17D8" w14:textId="77777777" w:rsidR="003C08E8" w:rsidRDefault="003C08E8" w:rsidP="003C08E8">
      <w:r>
        <w:t xml:space="preserve">Podsumowując, można stwierdzić, że grupa badawcza, zarówno jako cała populacja respondentów badania ilościowego, jak i grupa absolwentów, wykazuje cechy </w:t>
      </w:r>
      <w:proofErr w:type="spellStart"/>
      <w:r>
        <w:t>nadreprezentatywności</w:t>
      </w:r>
      <w:proofErr w:type="spellEnd"/>
      <w:r>
        <w:t xml:space="preserve"> pewnych grup w porównaniu do spodziewanej struktury populacji badanej. Przede wszystkim składają się na to różnice w strukturze wiekowej i miejscowości pochodzenia zarówno ogółu respondentów w stosunku do populacji badanej, jak i grupy absolwentów w obu tych populacjach. Dodatkowo dla absolwentów występuje również istotna </w:t>
      </w:r>
      <w:proofErr w:type="spellStart"/>
      <w:r>
        <w:t>nadreprezentatywność</w:t>
      </w:r>
      <w:proofErr w:type="spellEnd"/>
      <w:r>
        <w:t xml:space="preserve"> zarówno w kategorii uczelni z województwa pomorskiego, jak i uczelni technicznych.</w:t>
      </w:r>
    </w:p>
    <w:p w14:paraId="0B588AFF" w14:textId="6F23C3C9" w:rsidR="003C08E8" w:rsidRDefault="003C08E8" w:rsidP="003C08E8">
      <w:r>
        <w:t>Biorąc pod uwagę pozostałe grupy interesariuszy wśród respondentów, a także fakt, iż większość z nich jednocześnie reprezentuje grupę absolwentów, analizowanie struktury każdej z tych grup wydaje się mało istotne. Tym bardziej, że każda z pozostałych grup jest reprezentowana w liczebnościach nie przekraczających 20 respondentów. To w połączeniu z faktem nielosowego doboru grupy badawczej oraz a także potwierdzonymi dla ogółu respondentów istotnymi rozbieżnościami w zakresie różnych wymiarów struktury w porównaniu do populacji badanej sprawia, że z dużym prawdopodobieństwem można przyjąć, iż wnioski z badania</w:t>
      </w:r>
      <w:r w:rsidR="00847F16">
        <w:t xml:space="preserve"> w zakresie analizy rezultatów odpowiedzi w grupach innych niż absolwenci</w:t>
      </w:r>
      <w:r>
        <w:t xml:space="preserve"> nie mogą być wiarygodnie uogólniane na całą populację.</w:t>
      </w:r>
    </w:p>
    <w:p w14:paraId="2D5CB575" w14:textId="77777777" w:rsidR="000574A6" w:rsidRPr="00B61EC4" w:rsidRDefault="000574A6" w:rsidP="00B61EC4">
      <w:pPr>
        <w:pStyle w:val="Nagwek3"/>
        <w:rPr>
          <w:rStyle w:val="Nagwek3Znak"/>
        </w:rPr>
      </w:pPr>
      <w:bookmarkStart w:id="47" w:name="_Ref437093143"/>
      <w:bookmarkStart w:id="48" w:name="_Ref437093160"/>
      <w:bookmarkStart w:id="49" w:name="_Ref437181714"/>
      <w:bookmarkStart w:id="50" w:name="_Toc157667016"/>
      <w:r w:rsidRPr="00847F16">
        <w:t xml:space="preserve">Pomiar satysfakcji interesariuszy uczelni wyższych technicznych jako efektu działań </w:t>
      </w:r>
      <w:r w:rsidRPr="00B61EC4">
        <w:rPr>
          <w:rStyle w:val="Nagwek3Znak"/>
        </w:rPr>
        <w:t>uczelni</w:t>
      </w:r>
      <w:bookmarkEnd w:id="47"/>
      <w:bookmarkEnd w:id="48"/>
      <w:bookmarkEnd w:id="49"/>
      <w:bookmarkEnd w:id="50"/>
    </w:p>
    <w:p w14:paraId="73BC533B" w14:textId="3581BBD2" w:rsidR="00847F16" w:rsidRDefault="00847F16" w:rsidP="00847F16">
      <w:r>
        <w:t>Ze względu na jeden z celów pracy, jakim jest przedstawienie metodologii postępowania przy obliczaniu wskaźnika satysfakcji interesariuszy (SSI), a dalej zastosowania informacji płynących z tego pomiaru w doskonaleniu systemów zarządzania jakością (SZJ) uczelni technicznych, w niniejszym rozdziale zostaną przedstawione kroki postępowania konieczne do wyliczenia ww. wskaźnika przy wykorzystaniu wyników przeprowadzonych badań ilościowych. Ze względu na ograniczenia badania wyliczenia zostaną przeprowadzone na podstawie całej grupy respondentów, choć oczywiście do celów zastosowania do działań doskonalących SZJ wyniki te powinny być opracowywane jedynie dla poszczególnych uczelni lub organizacji zrzeszających uczelnie mających wspólny system zarządzania jakością.</w:t>
      </w:r>
    </w:p>
    <w:p w14:paraId="1AD1EE74" w14:textId="7E2EC1C9" w:rsidR="00847F16" w:rsidRDefault="00847F16" w:rsidP="00847F16">
      <w:r>
        <w:lastRenderedPageBreak/>
        <w:t xml:space="preserve">Pierwszym etapem jest wyliczenie wskaźnika satysfakcji dla poszczególnych grup interesariuszy. Dane w badaniu jakościowym w zakresie tego parametru pozyskiwane były za pomocą pytania zamkniętego z wykorzystaniem 7-stopniowej słownej skali </w:t>
      </w:r>
      <w:proofErr w:type="spellStart"/>
      <w:r>
        <w:t>Likerta</w:t>
      </w:r>
      <w:proofErr w:type="spellEnd"/>
      <w:r>
        <w:t xml:space="preserve"> </w:t>
      </w:r>
      <w:r>
        <w:fldChar w:fldCharType="begin" w:fldLock="1"/>
      </w:r>
      <w:r w:rsidR="001A2624">
        <w:instrText>ADDIN CSL_CITATION {"citationItems":[{"id":"ITEM-1","itemData":{"abstract":"The aim of this article measuring service quality in education is increasingly important for attracting and retaining tuition-based revenues. The objectives of this paper are two folds: first, to identify the service quality factors. Second, describe research undertaken to assess the quality of service provided by a university in Iran. In this research we used two Questionnaires with 22 questions with seven-point Likert scale was used to measure the perceptions and expectations of perceived quality were distributed. Factor analysis used for validity of the constructs for the subsequent analyses. Scale items were retained for testing reliability and construct validity. These findings were then tested using a survey study The results show that gap between student`s perceptions and student`s expectations exist.","author":[{"dropping-particle":"","family":"Khodayari","given":"Faranak","non-dropping-particle":"","parse-names":false,"suffix":""},{"dropping-particle":"","family":"Khodayari","given":"Behnaz","non-dropping-particle":"","parse-names":false,"suffix":""}],"container-title":"Interdisciplinary Journal of Research in Business","id":"ITEM-1","issue":"9","issued":{"date-parts":[["2011"]]},"page":"38-46","title":"Service Quality in Higher Education (Case study: Measuring service quality of Islamic Azad University, Firoozkooh branch)","type":"article-journal","volume":"1"},"prefix":"por. ","uris":["http://www.mendeley.com/documents/?uuid=0fe5d132-2ea1-43a6-b93f-a3051c786df2"]},{"id":"ITEM-2","itemData":{"author":[{"dropping-particle":"","family":"Likert","given":"Renesis","non-dropping-particle":"","parse-names":false,"suffix":""}],"container-title":"Archives of Psychology","id":"ITEM-2","issue":"140","issued":{"date-parts":[["1932"]]},"title":"Technique for the Measurement of Attitudes","type":"article-journal","volume":"22"},"uris":["http://www.mendeley.com/documents/?uuid=78c99cfd-de66-4400-bd02-94c1a87878a2"]},{"id":"ITEM-3","itemData":{"DOI":"10.1108/IJEM-09-2015-0121","ISSN":"0951354X","abstract":"Purpose: This paper focuses on students’ perceptions of the quality of non-academic services received in higher education. While the important role played by expectations and perceptions in students’ evaluations of such services has been discussed in much of the service quality literature, there is insufficient work in the private tertiary educational sector (PTES). Thus, the purpose of this paper is to examine the relationships between service quality, student satisfaction, and behavioural intentions in the PTES, using Singapore as a case study. Design/methodology/approach: This study adopted quantitative research to address the research questions. Primary data were collected from 324 valid responses from a survey conducted in two private tertiary educational institutes (PTEIs) in Singapore. Findings: The results suggested that perceived service quality is positively correlated to satisfaction; perceived service quality and satisfaction are positively correlated to favourable behavioural intentions; and the relationships among perceived service quality and loyalty and paying more for a service are mediated by satisfaction. Originality/value: This study is significant as the results provide better insights for Singaporean administrators in PTEIs, which is an under-researched area. Generally, the results will have far-reaching implications for all stakeholders in the delivery and consumption of education services in PTEIs, within and beyond Singapore.","author":[{"dropping-particle":"","family":"Khoo","given":"Susie","non-dropping-particle":"","parse-names":false,"suffix":""},{"dropping-particle":"","family":"Ha","given":"Huong","non-dropping-particle":"","parse-names":false,"suffix":""},{"dropping-particle":"","family":"McGregor","given":"Sue L.T. T","non-dropping-particle":"","parse-names":false,"suffix":""}],"container-title":"International Journal of Educational Management","id":"ITEM-3","issue":"4","issued":{"date-parts":[["2017"]]},"page":"430-444","publisher":"EMERALD GROUP PUBLISHING LTD","publisher-place":"HOWARD HOUSE, WAGON LANE, BINGLEY BD16 1WA, W YORKSHIRE, ENGLAND","title":"Service quality and student/customer satisfaction in the private tertiary education sector in Singapore","type":"article-journal","volume":"31"},"uris":["http://www.mendeley.com/documents/?uuid=4999e05b-b363-47ae-b5b1-383e8b45b72b"]},{"id":"ITEM-4","itemData":{"DOI":"10.1016/S0022-4359(96)90014-7","ISSN":"00224359","abstract":"Perceived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Retailing","id":"ITEM-4","issue":"2","issued":{"date-parts":[["1996"]]},"page":"201-214","title":"An empirical examination of a model of perceived service quality and satisfaction","type":"article-journal","volume":"72"},"uris":["http://www.mendeley.com/documents/?uuid=34f0fa0a-57c4-4328-be2e-c34043ca4343"]}],"mendeley":{"formattedCitation":"(por. Khodayari &amp; Khodayari, 2011; Khoo i in., 2017; Likert, 1932; Spreng &amp; Mackoy, 1996)","plainTextFormattedCitation":"(por. Khodayari &amp; Khodayari, 2011; Khoo i in., 2017; Likert, 1932; Spreng &amp; Mackoy, 1996)","previouslyFormattedCitation":"(por. Khodayari &amp; Khodayari, 2011; Khoo i in., 2017; Likert, 1932; Spreng &amp; Mackoy, 1996)"},"properties":{"noteIndex":0},"schema":"https://github.com/citation-style-language/schema/raw/master/csl-citation.json"}</w:instrText>
      </w:r>
      <w:r>
        <w:fldChar w:fldCharType="separate"/>
      </w:r>
      <w:r w:rsidR="00921CC1" w:rsidRPr="00921CC1">
        <w:rPr>
          <w:noProof/>
        </w:rPr>
        <w:t>(por. Khodayari &amp; Khodayari, 2011; Khoo i in., 2017; Likert, 1932; Spreng &amp; Mackoy, 1996)</w:t>
      </w:r>
      <w:r>
        <w:fldChar w:fldCharType="end"/>
      </w:r>
      <w:r w:rsidRPr="00921CC1">
        <w:t xml:space="preserve">. </w:t>
      </w:r>
      <w:r>
        <w:t>Respondenci byli proszeni o wskazanie stopnia, w jakim zgadzają ze stwierdzeniami dotyczącymi ich satysfakcji z usług ocenianej uczelni. Zastosowana skala pozwalała na wybór spośród następujących odpowiedzi: „zdecydowanie się zgadzam”, „zgadzam się”, „raczej się zgadzam”, „ani się zgadzam, ani nie zgadzam”, „raczej się nie zgadzam”, „nie zgadzam się”, „zdecydowanie się nie zgadzam”. Dla niektórych stwierdzeń była również dopuszczona odpowiedź „nie dotyczy”. W ramach analizy wyników badania każdej z możliwych odpowiedzi przypisano punktację w skali od 7 dla „zdecydowanie się zgadzam” do 1 dla „zdecydowanie się nie zgadzam”. W przypadku wystąpienia odpowiedzi „nie dotyczy” taki wynik był pomijany w ramach analizy dla danej grupy.</w:t>
      </w:r>
    </w:p>
    <w:p w14:paraId="02B5A0E6" w14:textId="746268BE" w:rsidR="00847F16" w:rsidRDefault="00847F16" w:rsidP="00847F16">
      <w:r>
        <w:t>Wśród respondentów należących do grupy studentów odpowiedzi na pytanie dotyczące satysfakcji z usług ocenianej uczelni odpowiedziało 14 osób. Rozkład tych odpowiedzi został przedstawiony na wykresie po</w:t>
      </w:r>
      <w:r>
        <w:fldChar w:fldCharType="begin"/>
      </w:r>
      <w:r>
        <w:instrText xml:space="preserve"> REF _Ref134900820 \p \h </w:instrText>
      </w:r>
      <w:r>
        <w:fldChar w:fldCharType="separate"/>
      </w:r>
      <w:r w:rsidR="009E351C">
        <w:t>niżej</w:t>
      </w:r>
      <w:r>
        <w:fldChar w:fldCharType="end"/>
      </w:r>
      <w:r>
        <w:t xml:space="preserve"> (</w:t>
      </w:r>
      <w:r>
        <w:fldChar w:fldCharType="begin"/>
      </w:r>
      <w:r>
        <w:instrText xml:space="preserve"> REF _Ref134900831 \h </w:instrText>
      </w:r>
      <w:r>
        <w:fldChar w:fldCharType="separate"/>
      </w:r>
      <w:r w:rsidR="009E351C">
        <w:t xml:space="preserve">Rysunek </w:t>
      </w:r>
      <w:r w:rsidR="009E351C">
        <w:rPr>
          <w:noProof/>
        </w:rPr>
        <w:t>39</w:t>
      </w:r>
      <w:r>
        <w:fldChar w:fldCharType="end"/>
      </w:r>
      <w:r>
        <w:t>).</w:t>
      </w:r>
    </w:p>
    <w:p w14:paraId="0CEA5958" w14:textId="77777777" w:rsidR="00847F16" w:rsidRDefault="00847F16" w:rsidP="00847F16">
      <w:pPr>
        <w:pStyle w:val="Rysunek"/>
      </w:pPr>
      <w:commentRangeStart w:id="51"/>
      <w:r>
        <w:rPr>
          <w:noProof/>
        </w:rPr>
        <w:drawing>
          <wp:inline distT="0" distB="0" distL="0" distR="0" wp14:anchorId="253F829F" wp14:editId="1082DE03">
            <wp:extent cx="4488657" cy="1804988"/>
            <wp:effectExtent l="0" t="0" r="7620" b="5080"/>
            <wp:docPr id="1725536875" name="Wykres 1725536875">
              <a:extLst xmlns:a="http://schemas.openxmlformats.org/drawingml/2006/main">
                <a:ext uri="{FF2B5EF4-FFF2-40B4-BE49-F238E27FC236}">
                  <a16:creationId xmlns:a16="http://schemas.microsoft.com/office/drawing/2014/main" id="{11C8D2ED-7266-6F13-D5BF-CADF5389B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51"/>
      <w:r>
        <w:rPr>
          <w:rStyle w:val="Odwoaniedokomentarza"/>
          <w:rFonts w:ascii="Times New Roman" w:eastAsia="Times New Roman" w:hAnsi="Times New Roman"/>
          <w:szCs w:val="20"/>
          <w:lang w:eastAsia="pl-PL"/>
        </w:rPr>
        <w:commentReference w:id="51"/>
      </w:r>
      <w:r>
        <w:t xml:space="preserve"> </w:t>
      </w:r>
    </w:p>
    <w:p w14:paraId="15724AE2" w14:textId="78D00374" w:rsidR="00847F16" w:rsidRDefault="00847F16" w:rsidP="00847F16">
      <w:pPr>
        <w:pStyle w:val="Rysunek"/>
      </w:pPr>
      <w:bookmarkStart w:id="52" w:name="_Ref134900831"/>
      <w:bookmarkStart w:id="53" w:name="_Ref134900820"/>
      <w:bookmarkStart w:id="54" w:name="_Toc157755578"/>
      <w:r>
        <w:t xml:space="preserve">Rysunek </w:t>
      </w:r>
      <w:r>
        <w:fldChar w:fldCharType="begin"/>
      </w:r>
      <w:r>
        <w:instrText xml:space="preserve"> SEQ Rysunek \* ARABIC </w:instrText>
      </w:r>
      <w:r>
        <w:fldChar w:fldCharType="separate"/>
      </w:r>
      <w:r w:rsidR="009E351C">
        <w:rPr>
          <w:noProof/>
        </w:rPr>
        <w:t>39</w:t>
      </w:r>
      <w:r>
        <w:rPr>
          <w:noProof/>
        </w:rPr>
        <w:fldChar w:fldCharType="end"/>
      </w:r>
      <w:bookmarkEnd w:id="52"/>
      <w:r>
        <w:t xml:space="preserve"> Podsumowanie odpowiedzi respondentów z grupy studentów na pytanie: „</w:t>
      </w:r>
      <w:r w:rsidRPr="008D0629">
        <w:t>Moja satysfakcja z usług edukacyjnych ocenianej uczelni jest wysoka</w:t>
      </w:r>
      <w:r>
        <w:t>”; N=14 ; X</w:t>
      </w:r>
      <w:r>
        <w:rPr>
          <w:rFonts w:cs="Arial"/>
        </w:rPr>
        <w:t>̅</w:t>
      </w:r>
      <w:r>
        <w:t xml:space="preserve"> = 5,071, SD</w:t>
      </w:r>
      <w:r w:rsidRPr="00005EF4">
        <w:rPr>
          <w:vertAlign w:val="superscript"/>
        </w:rPr>
        <w:t>2</w:t>
      </w:r>
      <w:r>
        <w:t xml:space="preserve"> = 2,225; SD = 1,492</w:t>
      </w:r>
      <w:bookmarkEnd w:id="53"/>
      <w:bookmarkEnd w:id="54"/>
    </w:p>
    <w:p w14:paraId="5CAF7644" w14:textId="77777777" w:rsidR="00847F16" w:rsidRDefault="00847F16" w:rsidP="007770AA">
      <w:pPr>
        <w:pStyle w:val="rdo"/>
      </w:pPr>
      <w:r>
        <w:t>Źródło: opracowanie własne na podstawie wyników badania kwestionariuszowego</w:t>
      </w:r>
    </w:p>
    <w:p w14:paraId="5258E5CE" w14:textId="17B91B4B" w:rsidR="00847F16" w:rsidRPr="00021A96" w:rsidRDefault="00847F16" w:rsidP="00847F16">
      <w:r>
        <w:t>Średnia ocena satysfakcji respondentów z grupy studentów wyliczona na podstawie odpowiedzi na pytanie „</w:t>
      </w:r>
      <w:r w:rsidRPr="00B46686">
        <w:t>Moja satysfakcja z usług edukacyjnych ocenianej uczelni jest wysoka”</w:t>
      </w:r>
      <w:r>
        <w:t xml:space="preserve"> przedstawionych na wykresie po</w:t>
      </w:r>
      <w:r>
        <w:fldChar w:fldCharType="begin"/>
      </w:r>
      <w:r>
        <w:instrText xml:space="preserve"> REF _Ref134900820 \p \h </w:instrText>
      </w:r>
      <w:r>
        <w:fldChar w:fldCharType="separate"/>
      </w:r>
      <w:r w:rsidR="009E351C">
        <w:t>wyżej</w:t>
      </w:r>
      <w:r>
        <w:fldChar w:fldCharType="end"/>
      </w:r>
      <w:r>
        <w:t xml:space="preserve"> (</w:t>
      </w:r>
      <w:r>
        <w:fldChar w:fldCharType="begin"/>
      </w:r>
      <w:r>
        <w:instrText xml:space="preserve"> REF _Ref134900831 \h </w:instrText>
      </w:r>
      <w:r>
        <w:fldChar w:fldCharType="separate"/>
      </w:r>
      <w:r w:rsidR="009E351C">
        <w:t xml:space="preserve">Rysunek </w:t>
      </w:r>
      <w:r w:rsidR="009E351C">
        <w:rPr>
          <w:noProof/>
        </w:rPr>
        <w:t>39</w:t>
      </w:r>
      <w:r>
        <w:fldChar w:fldCharType="end"/>
      </w:r>
      <w:r>
        <w:t>) uplasowała się na poziomie bardzo zbliżonym do stwierdzenia „raczej się zgadzam” (5,071). Odchylenie standardowe wartości odpowiedzi wyniosło SD=1,492 punktu odpowiedzi. Dla uzyskanych odpowiedzi wyliczono przedział ufności dla wartości oczekiwanej badanej populacji na poziomie istotności 0,05 o wartościach granicy dolnej 4,210 i granicy górnej 5,932. Przeprowadzono też test zgodności odpowiedzi z rozkładem normalnym przy wykorzystaniu testu Chi</w:t>
      </w:r>
      <w:r w:rsidRPr="00021A96">
        <w:rPr>
          <w:vertAlign w:val="superscript"/>
        </w:rPr>
        <w:t>2</w:t>
      </w:r>
      <w:r>
        <w:t>. Uzyskana wartość Chi</w:t>
      </w:r>
      <w:r w:rsidRPr="00021A96">
        <w:rPr>
          <w:vertAlign w:val="superscript"/>
        </w:rPr>
        <w:t>2</w:t>
      </w:r>
      <w:r>
        <w:t xml:space="preserve"> wyniosła 2,70 wobec wartości granicznej 9,49, co oznacza, że nie ma podstaw do odrzucenia hipotezy zerowej, więc można przyjąć z prawdopodobieństwem na poziomie 95%, że rozkład uzyskanych odpowiedzi jest zgodny z rozkładem normalnym.</w:t>
      </w:r>
    </w:p>
    <w:p w14:paraId="377502ED" w14:textId="7A306738" w:rsidR="00847F16" w:rsidRDefault="00847F16" w:rsidP="00847F16">
      <w:r>
        <w:lastRenderedPageBreak/>
        <w:t>Wśród respondentów należących do grupy absolwentów odpowiedzi na pytanie dotyczące satysfakcji z usług ocenianej uczelni odpowiedziało 120 osób. Rozkład tych odpowiedzi został przedstawiony na wykresie po</w:t>
      </w:r>
      <w:r>
        <w:fldChar w:fldCharType="begin"/>
      </w:r>
      <w:r>
        <w:instrText xml:space="preserve"> REF _Ref134900864 \p \h </w:instrText>
      </w:r>
      <w:r>
        <w:fldChar w:fldCharType="separate"/>
      </w:r>
      <w:r w:rsidR="009E351C">
        <w:t>niżej</w:t>
      </w:r>
      <w:r>
        <w:fldChar w:fldCharType="end"/>
      </w:r>
      <w:r>
        <w:t xml:space="preserve"> (</w:t>
      </w:r>
      <w:r>
        <w:fldChar w:fldCharType="begin"/>
      </w:r>
      <w:r>
        <w:instrText xml:space="preserve"> REF _Ref134900872 \h </w:instrText>
      </w:r>
      <w:r>
        <w:fldChar w:fldCharType="separate"/>
      </w:r>
      <w:r w:rsidR="009E351C">
        <w:t xml:space="preserve">Rysunek </w:t>
      </w:r>
      <w:r w:rsidR="009E351C">
        <w:rPr>
          <w:noProof/>
        </w:rPr>
        <w:t>40</w:t>
      </w:r>
      <w:r>
        <w:fldChar w:fldCharType="end"/>
      </w:r>
      <w:r>
        <w:t>).</w:t>
      </w:r>
    </w:p>
    <w:p w14:paraId="1EFE17F0" w14:textId="77777777" w:rsidR="00847F16" w:rsidRDefault="00847F16" w:rsidP="00847F16">
      <w:pPr>
        <w:pStyle w:val="Rysunek"/>
      </w:pPr>
      <w:commentRangeStart w:id="55"/>
      <w:r>
        <w:rPr>
          <w:noProof/>
        </w:rPr>
        <w:drawing>
          <wp:inline distT="0" distB="0" distL="0" distR="0" wp14:anchorId="078BE12D" wp14:editId="1C4A24C9">
            <wp:extent cx="4488657" cy="1804988"/>
            <wp:effectExtent l="0" t="0" r="7620" b="5080"/>
            <wp:docPr id="1544577264" name="Wykres 1544577264">
              <a:extLst xmlns:a="http://schemas.openxmlformats.org/drawingml/2006/main">
                <a:ext uri="{FF2B5EF4-FFF2-40B4-BE49-F238E27FC236}">
                  <a16:creationId xmlns:a16="http://schemas.microsoft.com/office/drawing/2014/main" id="{B4AF1E45-CF5F-47D9-ACDB-06D57947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commentRangeEnd w:id="55"/>
      <w:r>
        <w:rPr>
          <w:rStyle w:val="Odwoaniedokomentarza"/>
          <w:rFonts w:ascii="Times New Roman" w:eastAsia="Times New Roman" w:hAnsi="Times New Roman"/>
          <w:szCs w:val="20"/>
          <w:lang w:eastAsia="pl-PL"/>
        </w:rPr>
        <w:commentReference w:id="55"/>
      </w:r>
    </w:p>
    <w:p w14:paraId="14E923DD" w14:textId="705F825C" w:rsidR="00847F16" w:rsidRDefault="00847F16" w:rsidP="00847F16">
      <w:pPr>
        <w:pStyle w:val="Rysunek"/>
      </w:pPr>
      <w:bookmarkStart w:id="56" w:name="_Ref134900872"/>
      <w:bookmarkStart w:id="57" w:name="_Ref134900864"/>
      <w:bookmarkStart w:id="58" w:name="_Ref134901075"/>
      <w:bookmarkStart w:id="59" w:name="_Toc157755579"/>
      <w:r>
        <w:t xml:space="preserve">Rysunek </w:t>
      </w:r>
      <w:r>
        <w:fldChar w:fldCharType="begin"/>
      </w:r>
      <w:r>
        <w:instrText xml:space="preserve"> SEQ Rysunek \* ARABIC </w:instrText>
      </w:r>
      <w:r>
        <w:fldChar w:fldCharType="separate"/>
      </w:r>
      <w:r w:rsidR="009E351C">
        <w:rPr>
          <w:noProof/>
        </w:rPr>
        <w:t>40</w:t>
      </w:r>
      <w:r>
        <w:rPr>
          <w:noProof/>
        </w:rPr>
        <w:fldChar w:fldCharType="end"/>
      </w:r>
      <w:bookmarkEnd w:id="56"/>
      <w:r>
        <w:t xml:space="preserve"> Podsumowanie odpowiedzi respondentów z grupy absolwentów na pytanie: „</w:t>
      </w:r>
      <w:r w:rsidRPr="00C41DD6">
        <w:t>Moja satysfakcja z (efektów) usług edukacyjnych ocenianej uczelni jest wysoka</w:t>
      </w:r>
      <w:r>
        <w:t>”; N= 120 ; X</w:t>
      </w:r>
      <w:r>
        <w:rPr>
          <w:rFonts w:cs="Arial"/>
        </w:rPr>
        <w:t>̅</w:t>
      </w:r>
      <w:r>
        <w:t xml:space="preserve"> = 5,193; SD</w:t>
      </w:r>
      <w:r w:rsidRPr="00005EF4">
        <w:rPr>
          <w:vertAlign w:val="superscript"/>
        </w:rPr>
        <w:t>2</w:t>
      </w:r>
      <w:r>
        <w:t xml:space="preserve"> = 1,971; SD = 1,404</w:t>
      </w:r>
      <w:bookmarkEnd w:id="57"/>
      <w:bookmarkEnd w:id="58"/>
      <w:bookmarkEnd w:id="59"/>
    </w:p>
    <w:p w14:paraId="4F118850" w14:textId="77777777" w:rsidR="00847F16" w:rsidRPr="00C41DD6" w:rsidRDefault="00847F16" w:rsidP="007770AA">
      <w:pPr>
        <w:pStyle w:val="rdo"/>
      </w:pPr>
      <w:r w:rsidRPr="00C41DD6">
        <w:t>Źródło: opracowanie własne na podstawie wyników badania kwestionariuszowego</w:t>
      </w:r>
    </w:p>
    <w:p w14:paraId="6EA73349" w14:textId="102AD65A" w:rsidR="00847F16" w:rsidRDefault="00847F16" w:rsidP="00847F16">
      <w:r>
        <w:t>Średnia ocena satysfakcji respondentów z grupy absolwentów wyliczona na podstawie odpowiedzi na pytanie „</w:t>
      </w:r>
      <w:r w:rsidRPr="00021A96">
        <w:t>Moja satysfakcja z (efektów) usług edukacyjnych ocenianej uczelni jest wysoka</w:t>
      </w:r>
      <w:r w:rsidRPr="00B46686">
        <w:t>”</w:t>
      </w:r>
      <w:r>
        <w:t xml:space="preserve"> przedstawionych na wykresie po</w:t>
      </w:r>
      <w:r>
        <w:fldChar w:fldCharType="begin"/>
      </w:r>
      <w:r>
        <w:instrText xml:space="preserve"> REF _Ref134901075 \p \h </w:instrText>
      </w:r>
      <w:r>
        <w:fldChar w:fldCharType="separate"/>
      </w:r>
      <w:r w:rsidR="009E351C">
        <w:t>wyżej</w:t>
      </w:r>
      <w:r>
        <w:fldChar w:fldCharType="end"/>
      </w:r>
      <w:r>
        <w:t xml:space="preserve"> (</w:t>
      </w:r>
      <w:r>
        <w:fldChar w:fldCharType="begin"/>
      </w:r>
      <w:r>
        <w:instrText xml:space="preserve"> REF _Ref134900872 \h </w:instrText>
      </w:r>
      <w:r>
        <w:fldChar w:fldCharType="separate"/>
      </w:r>
      <w:r w:rsidR="009E351C">
        <w:t xml:space="preserve">Rysunek </w:t>
      </w:r>
      <w:r w:rsidR="009E351C">
        <w:rPr>
          <w:noProof/>
        </w:rPr>
        <w:t>40</w:t>
      </w:r>
      <w:r>
        <w:fldChar w:fldCharType="end"/>
      </w:r>
      <w:r>
        <w:t>) uplasowała się na poziomie bardzo zbliżonym do stwierdzenia „raczej się zgadzam” (5,193). Odchylenie standardowe wartości odpowiedzi wyniosło SD=1,971 punktu odpowiedzi, co wydaje się wartością dość znaczną. Dla zestawu otrzymanych odpowiedzi wyliczono przedział ufności dla wartości oczekiwanej badanej populacji na poziomie istotności 0,05 o wartościach granicy dolnej 4,938 i granicy górnej 5,448. Są to wartości o istotnie mniejszej rozpiętości niż dla grupy respondentów studentów. Natomiast po przeprowadzeniu testu zgodności odpowiedzi z rozkładem normalnym uzyskano wartość Chi</w:t>
      </w:r>
      <w:r w:rsidRPr="00021A96">
        <w:rPr>
          <w:vertAlign w:val="superscript"/>
        </w:rPr>
        <w:t>2</w:t>
      </w:r>
      <w:r>
        <w:t xml:space="preserve"> równą 19,94 wobec wartości granicznej 9,49, co oznacza, że należy odrzucić hipotezę zerową, więc można przyjąć z prawdopodobieństwem na poziomie 95%, że rozkład uzyskanych odpowiedzi nie jest zgodny z rozkładem normalnym. Taki rezultat nie pozwala na uzyskanie wiarygodnych odpowiedzi przy pomocy analiz rozkładu zakładających zgodność z rozkładem normalnym.</w:t>
      </w:r>
    </w:p>
    <w:p w14:paraId="1F6769A3" w14:textId="244D750A" w:rsidR="00847F16" w:rsidRDefault="00847F16" w:rsidP="00847F16">
      <w:r>
        <w:t>Wśród respondentów należących do grupy rodziców lub opiekunów uzyskano 23 odpowiedzi na pytanie dotyczące satysfakcji z usług ocenianej uczelni. Rozkład tych odpowiedzi został przedstawiony na wykresie po</w:t>
      </w:r>
      <w:r>
        <w:fldChar w:fldCharType="begin"/>
      </w:r>
      <w:r>
        <w:instrText xml:space="preserve"> REF _Ref134901095 \p \h </w:instrText>
      </w:r>
      <w:r>
        <w:fldChar w:fldCharType="separate"/>
      </w:r>
      <w:r w:rsidR="009E351C">
        <w:t>niżej</w:t>
      </w:r>
      <w:r>
        <w:fldChar w:fldCharType="end"/>
      </w:r>
      <w:r>
        <w:t xml:space="preserve"> (</w:t>
      </w:r>
      <w:r>
        <w:fldChar w:fldCharType="begin"/>
      </w:r>
      <w:r>
        <w:instrText xml:space="preserve"> REF _Ref134901104 \h </w:instrText>
      </w:r>
      <w:r>
        <w:fldChar w:fldCharType="separate"/>
      </w:r>
      <w:r w:rsidR="009E351C">
        <w:t xml:space="preserve">Rysunek </w:t>
      </w:r>
      <w:r w:rsidR="009E351C">
        <w:rPr>
          <w:noProof/>
        </w:rPr>
        <w:t>41</w:t>
      </w:r>
      <w:r>
        <w:fldChar w:fldCharType="end"/>
      </w:r>
      <w:r>
        <w:t>).</w:t>
      </w:r>
    </w:p>
    <w:p w14:paraId="5D4C5E44" w14:textId="77777777" w:rsidR="00847F16" w:rsidRDefault="00847F16" w:rsidP="00847F16">
      <w:pPr>
        <w:pStyle w:val="Rysunek"/>
      </w:pPr>
      <w:commentRangeStart w:id="60"/>
      <w:r>
        <w:rPr>
          <w:noProof/>
        </w:rPr>
        <w:lastRenderedPageBreak/>
        <w:drawing>
          <wp:inline distT="0" distB="0" distL="0" distR="0" wp14:anchorId="6371F7A7" wp14:editId="2636AA32">
            <wp:extent cx="4488180" cy="1721181"/>
            <wp:effectExtent l="0" t="0" r="7620" b="12700"/>
            <wp:docPr id="495763042" name="Wykres 495763042">
              <a:extLst xmlns:a="http://schemas.openxmlformats.org/drawingml/2006/main">
                <a:ext uri="{FF2B5EF4-FFF2-40B4-BE49-F238E27FC236}">
                  <a16:creationId xmlns:a16="http://schemas.microsoft.com/office/drawing/2014/main" id="{B6329370-0640-4F49-9D18-66CDFE912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commentRangeEnd w:id="60"/>
      <w:r>
        <w:rPr>
          <w:rStyle w:val="Odwoaniedokomentarza"/>
          <w:rFonts w:ascii="Times New Roman" w:eastAsia="Times New Roman" w:hAnsi="Times New Roman"/>
          <w:szCs w:val="20"/>
          <w:lang w:eastAsia="pl-PL"/>
        </w:rPr>
        <w:commentReference w:id="60"/>
      </w:r>
    </w:p>
    <w:p w14:paraId="55C93E8D" w14:textId="71895518" w:rsidR="00847F16" w:rsidRDefault="00847F16" w:rsidP="00847F16">
      <w:pPr>
        <w:pStyle w:val="Tytutabeli"/>
      </w:pPr>
      <w:bookmarkStart w:id="61" w:name="_Ref134901104"/>
      <w:bookmarkStart w:id="62" w:name="_Ref134901095"/>
      <w:bookmarkStart w:id="63" w:name="_Ref134901141"/>
      <w:bookmarkStart w:id="64" w:name="_Toc157755580"/>
      <w:r>
        <w:t xml:space="preserve">Rysunek </w:t>
      </w:r>
      <w:r>
        <w:fldChar w:fldCharType="begin"/>
      </w:r>
      <w:r>
        <w:instrText xml:space="preserve"> SEQ Rysunek \* ARABIC </w:instrText>
      </w:r>
      <w:r>
        <w:fldChar w:fldCharType="separate"/>
      </w:r>
      <w:r w:rsidR="009E351C">
        <w:rPr>
          <w:noProof/>
        </w:rPr>
        <w:t>41</w:t>
      </w:r>
      <w:r>
        <w:rPr>
          <w:noProof/>
        </w:rPr>
        <w:fldChar w:fldCharType="end"/>
      </w:r>
      <w:bookmarkEnd w:id="61"/>
      <w:r>
        <w:t xml:space="preserve"> Podsumowanie odpowiedzi respondentów z grupy rodziców lub opiekunów na pytanie: „</w:t>
      </w:r>
      <w:r w:rsidRPr="00C41DD6">
        <w:t>Moja satysfakcja z (efektów) usług edukacyjnych ocenianej uczelni jest wysoka</w:t>
      </w:r>
      <w:r>
        <w:t>”; N = 23; X</w:t>
      </w:r>
      <w:r>
        <w:rPr>
          <w:rFonts w:cs="Arial"/>
        </w:rPr>
        <w:t>̅</w:t>
      </w:r>
      <w:r>
        <w:t xml:space="preserve"> = 5,696; SD</w:t>
      </w:r>
      <w:r>
        <w:rPr>
          <w:vertAlign w:val="superscript"/>
        </w:rPr>
        <w:t>2</w:t>
      </w:r>
      <w:r>
        <w:t xml:space="preserve"> = 1,858; SD = 1,363</w:t>
      </w:r>
      <w:bookmarkEnd w:id="62"/>
      <w:bookmarkEnd w:id="63"/>
      <w:bookmarkEnd w:id="64"/>
    </w:p>
    <w:p w14:paraId="24719DFC" w14:textId="77777777" w:rsidR="00847F16" w:rsidRDefault="00847F16" w:rsidP="007770AA">
      <w:pPr>
        <w:pStyle w:val="rdo"/>
      </w:pPr>
      <w:r>
        <w:t>Źródło: opracowanie własne na podstawie wyników badania kwestionariuszowego</w:t>
      </w:r>
    </w:p>
    <w:p w14:paraId="35C6A291" w14:textId="0DF8D7C2" w:rsidR="00847F16" w:rsidRDefault="00847F16" w:rsidP="00847F16">
      <w:r>
        <w:t>Średnia ocena satysfakcji respondentów z grupy rodziców wyliczona na podstawie odpowiedzi na pytanie „</w:t>
      </w:r>
      <w:r w:rsidRPr="00021A96">
        <w:t>Moja satysfakcja z (efektów) usług edukacyjnych ocenianej uczelni jest wysoka</w:t>
      </w:r>
      <w:r w:rsidRPr="00B46686">
        <w:t>”</w:t>
      </w:r>
      <w:r>
        <w:t xml:space="preserve"> przedstawionych na wykresie po</w:t>
      </w:r>
      <w:r>
        <w:fldChar w:fldCharType="begin"/>
      </w:r>
      <w:r>
        <w:instrText xml:space="preserve"> REF _Ref134901141 \p \h </w:instrText>
      </w:r>
      <w:r>
        <w:fldChar w:fldCharType="separate"/>
      </w:r>
      <w:r w:rsidR="009E351C">
        <w:t>wyżej</w:t>
      </w:r>
      <w:r>
        <w:fldChar w:fldCharType="end"/>
      </w:r>
      <w:r>
        <w:t xml:space="preserve"> (</w:t>
      </w:r>
      <w:r>
        <w:fldChar w:fldCharType="begin"/>
      </w:r>
      <w:r>
        <w:instrText xml:space="preserve"> REF _Ref134901104 \h </w:instrText>
      </w:r>
      <w:r>
        <w:fldChar w:fldCharType="separate"/>
      </w:r>
      <w:r w:rsidR="009E351C">
        <w:t xml:space="preserve">Rysunek </w:t>
      </w:r>
      <w:r w:rsidR="009E351C">
        <w:rPr>
          <w:noProof/>
        </w:rPr>
        <w:t>41</w:t>
      </w:r>
      <w:r>
        <w:fldChar w:fldCharType="end"/>
      </w:r>
      <w:r>
        <w:t>) uplasowała się na poziomie bardzo zbliżonym do stwierdzenia „zgadzam się” (5,696). Odchylenie standardowe wartości odpowiedzi wyniosło SD=1,363 punktu odpowiedzi, co wydaje się wartością dość znaczną. Dla zestawu otrzymanych odpowiedzi wyliczono przedział ufności dla wartości oczekiwanej badanej populacji na poziomie istotności 0,05 o wartościach granicy dolnej 4,969 i granicy górnej 6,422. Są to wartości o nieco mniejszej rozpiętości niż dla grupy respondentów studentów, natomiast o znacznie większej rozpiętości niż dla grupy absolwentów. Natomiast po przeprowadzeniu testu zgodności odpowiedzi z rozkładem normalnym uzyskano wartość Chi</w:t>
      </w:r>
      <w:r w:rsidRPr="00021A96">
        <w:rPr>
          <w:vertAlign w:val="superscript"/>
        </w:rPr>
        <w:t>2</w:t>
      </w:r>
      <w:r>
        <w:t xml:space="preserve"> równą 7,35 wobec wartości granicznej 9,49, co oznacza, że nie ma podstaw do odrzucenia hipotezy zerowej, więc można przyjąć z prawdopodobieństwem na poziomie 95%, że rozkład uzyskanych odpowiedzi jest zgodny z rozkładem normalnym. Należy tu jednak zauważyć, że wobec niewielkiej liczby odpowiedzi powyższa analiza jest obciążona pewnym ograniczeniem, gdyż każdy z respondentów w tej grupie (rodzice) miał możliwość dokonania oceny maksymalnie 3 uczelni. Z jednej strony w niektórych przypadkach powodowało to konieczność wyboru tylko niektórych z możliwych do oceny uczelni (przy większej liczbie podopiecznych niż 3). Natomiast istotniejsze może być, że do wyliczenia powyższych statystyk nie wprowadzono rozróżnienia między uczelniami, ani rozróżnienia pomiędzy pierwszą i kolejnymi ocenianymi uczelniami przez jednego respondenta. To przypuszczenie jest tym silniejsze, że na podstawie analizy jednostkowych odpowiedzi zauważono, iż zazwyczaj respondenci jako pierwszą oceniali uczelnię, o której mieli lepszą opinię niż o pozostałych. W przyszłych badaniach niewątpliwie należałoby uwzględnić możliwość zaistnienia takiego zjawiska już na etapie ustalania szczegółowej procedury badawczej. Dodatkowo należałoby uwzględnić możliwość zaistnienia efektu projekcji </w:t>
      </w:r>
      <w:r>
        <w:fldChar w:fldCharType="begin" w:fldLock="1"/>
      </w:r>
      <w:r w:rsidR="001A2624">
        <w:instrText>ADDIN CSL_CITATION {"citationItems":[{"id":"ITEM-1","itemData":{"author":[{"dropping-particle":"","family":"Bukowski","given":"Sławomir","non-dropping-particle":"","parse-names":false,"suffix":""},{"dropping-particle":"","family":"Kosmala","given":"Barbara","non-dropping-particle":"","parse-names":false,"suffix":""}],"container-title":"Psychoterapia","id":"ITEM-1","issue":"143","issued":{"date-parts":[["2007"]]},"page":"37-44","title":"Techniki projekcyjne w identyfikacji przekonań","type":"article-journal","volume":"4"},"locator":"3","uris":["http://www.mendeley.com/documents/?uuid=9a13658f-391a-495f-8bd7-19dee6135174"]}],"mendeley":{"formattedCitation":"(Bukowski &amp; Kosmala, 2007, s. 3)","plainTextFormattedCitation":"(Bukowski &amp; Kosmala, 2007, s. 3)","previouslyFormattedCitation":"(Bukowski &amp; Kosmala, 2007, s. 3)"},"properties":{"noteIndex":0},"schema":"https://github.com/citation-style-language/schema/raw/master/csl-citation.json"}</w:instrText>
      </w:r>
      <w:r>
        <w:fldChar w:fldCharType="separate"/>
      </w:r>
      <w:r w:rsidR="00921CC1" w:rsidRPr="00921CC1">
        <w:rPr>
          <w:noProof/>
        </w:rPr>
        <w:t>(Bukowski &amp; Kosmala, 2007, s. 3)</w:t>
      </w:r>
      <w:r>
        <w:fldChar w:fldCharType="end"/>
      </w:r>
      <w:r>
        <w:t xml:space="preserve"> na oceny wszystkich ocenianych uczelni. To znaczy konkretny respondent oceniający więcej niż jedną uczelnię z perspektywy rodzica może w pewien sposób kształtować swoją opinię na temat efektów edukacji swoich podopiecznych na podstawie własnych wcześniejszych opinii o konkretnej uczelni lub swojego ogólnego poziomu satysfakcji z usług wszystkich uczelni łącznie. Z drugiej strony ta opinia może też być w znacznym stopniu </w:t>
      </w:r>
      <w:r>
        <w:lastRenderedPageBreak/>
        <w:t>kształtowana przez indywidualne sukcesy poszczególnych podopiecznych, zaistniałe bez korelacji z otrzymanymi usługami.</w:t>
      </w:r>
    </w:p>
    <w:p w14:paraId="20575C3C" w14:textId="10901D23" w:rsidR="00847F16" w:rsidRDefault="00847F16" w:rsidP="00847F16">
      <w:r>
        <w:t>Wśród respondentów należących do grupy pracowników administracyjnych uczelni odpowiedzi na pytanie dotyczące satysfakcji z pracy na ocenianej uczelni odpowiedziały 4 osoby. Rozkład tych odpowiedzi został przedstawiony na wykresie po</w:t>
      </w:r>
      <w:r>
        <w:fldChar w:fldCharType="begin"/>
      </w:r>
      <w:r>
        <w:instrText xml:space="preserve"> REF _Ref134901176 \p \h </w:instrText>
      </w:r>
      <w:r>
        <w:fldChar w:fldCharType="separate"/>
      </w:r>
      <w:r w:rsidR="009E351C">
        <w:t>niżej</w:t>
      </w:r>
      <w:r>
        <w:fldChar w:fldCharType="end"/>
      </w:r>
      <w:r>
        <w:t xml:space="preserve"> (</w:t>
      </w:r>
      <w:r>
        <w:fldChar w:fldCharType="begin"/>
      </w:r>
      <w:r>
        <w:instrText xml:space="preserve"> REF _Ref134901184 \h </w:instrText>
      </w:r>
      <w:r>
        <w:fldChar w:fldCharType="separate"/>
      </w:r>
      <w:r w:rsidR="009E351C">
        <w:t xml:space="preserve">Rysunek </w:t>
      </w:r>
      <w:r w:rsidR="009E351C">
        <w:rPr>
          <w:noProof/>
        </w:rPr>
        <w:t>42</w:t>
      </w:r>
      <w:r>
        <w:fldChar w:fldCharType="end"/>
      </w:r>
      <w:r>
        <w:t>).</w:t>
      </w:r>
    </w:p>
    <w:p w14:paraId="527A2F2E" w14:textId="77777777" w:rsidR="00847F16" w:rsidRDefault="00847F16" w:rsidP="00847F16">
      <w:pPr>
        <w:pStyle w:val="Rysunek"/>
      </w:pPr>
      <w:commentRangeStart w:id="65"/>
      <w:r>
        <w:rPr>
          <w:noProof/>
        </w:rPr>
        <w:drawing>
          <wp:inline distT="0" distB="0" distL="0" distR="0" wp14:anchorId="1A2C028E" wp14:editId="256AB284">
            <wp:extent cx="4488657" cy="1804988"/>
            <wp:effectExtent l="0" t="0" r="7620" b="5080"/>
            <wp:docPr id="845546439" name="Wykres 845546439">
              <a:extLst xmlns:a="http://schemas.openxmlformats.org/drawingml/2006/main">
                <a:ext uri="{FF2B5EF4-FFF2-40B4-BE49-F238E27FC236}">
                  <a16:creationId xmlns:a16="http://schemas.microsoft.com/office/drawing/2014/main" id="{F6B376AB-C44A-49A9-8E42-060CBE962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commentRangeEnd w:id="65"/>
      <w:r>
        <w:rPr>
          <w:rStyle w:val="Odwoaniedokomentarza"/>
          <w:rFonts w:ascii="Times New Roman" w:eastAsia="Times New Roman" w:hAnsi="Times New Roman"/>
          <w:szCs w:val="20"/>
          <w:lang w:eastAsia="pl-PL"/>
        </w:rPr>
        <w:commentReference w:id="65"/>
      </w:r>
    </w:p>
    <w:p w14:paraId="3470D932" w14:textId="59B625A8" w:rsidR="00847F16" w:rsidRDefault="00847F16" w:rsidP="00847F16">
      <w:pPr>
        <w:pStyle w:val="Tytutabeli"/>
      </w:pPr>
      <w:bookmarkStart w:id="66" w:name="_Ref134901184"/>
      <w:bookmarkStart w:id="67" w:name="_Ref134901176"/>
      <w:bookmarkStart w:id="68" w:name="_Toc157755581"/>
      <w:r>
        <w:t xml:space="preserve">Rysunek </w:t>
      </w:r>
      <w:r>
        <w:fldChar w:fldCharType="begin"/>
      </w:r>
      <w:r>
        <w:instrText xml:space="preserve"> SEQ Rysunek \* ARABIC </w:instrText>
      </w:r>
      <w:r>
        <w:fldChar w:fldCharType="separate"/>
      </w:r>
      <w:r w:rsidR="009E351C">
        <w:rPr>
          <w:noProof/>
        </w:rPr>
        <w:t>42</w:t>
      </w:r>
      <w:r>
        <w:rPr>
          <w:noProof/>
        </w:rPr>
        <w:fldChar w:fldCharType="end"/>
      </w:r>
      <w:bookmarkEnd w:id="66"/>
      <w:r>
        <w:t xml:space="preserve"> Podsumowanie odpowiedzi respondentów z grupy pracowników administracyjnych na pytanie: </w:t>
      </w:r>
      <w:r w:rsidRPr="003C435C">
        <w:t>Moja satysfakcja z pracy na ocenianej uczelni jest wysoka</w:t>
      </w:r>
      <w:r>
        <w:t>; N = 4; X</w:t>
      </w:r>
      <w:r>
        <w:rPr>
          <w:rFonts w:cs="Arial"/>
        </w:rPr>
        <w:t>̅</w:t>
      </w:r>
      <w:r>
        <w:t xml:space="preserve"> = 6,750; SD</w:t>
      </w:r>
      <w:r>
        <w:rPr>
          <w:vertAlign w:val="superscript"/>
        </w:rPr>
        <w:t>2</w:t>
      </w:r>
      <w:r>
        <w:t xml:space="preserve"> = 0,250; SD = 0,500</w:t>
      </w:r>
      <w:bookmarkEnd w:id="67"/>
      <w:bookmarkEnd w:id="68"/>
    </w:p>
    <w:p w14:paraId="684912B3" w14:textId="77777777" w:rsidR="00847F16" w:rsidRDefault="00847F16" w:rsidP="007770AA">
      <w:pPr>
        <w:pStyle w:val="rdo"/>
      </w:pPr>
      <w:r>
        <w:t>Źródło: opracowanie własne na podstawie wyników badania kwestionariuszowego</w:t>
      </w:r>
    </w:p>
    <w:p w14:paraId="565F5E6D" w14:textId="6817756A" w:rsidR="00847F16" w:rsidRDefault="00847F16" w:rsidP="00847F16">
      <w:r>
        <w:t>Średnia ocena satysfakcji respondentów z grupy pracowników administracyjnych wyliczona na podstawie odpowiedzi na pytanie „</w:t>
      </w:r>
      <w:r w:rsidRPr="003C435C">
        <w:t>Moja satysfakcja z pracy na ocenianej uczelni jest wysoka</w:t>
      </w:r>
      <w:r w:rsidRPr="00B46686">
        <w:t>”</w:t>
      </w:r>
      <w:r>
        <w:t xml:space="preserve"> przedstawionych na wykresie po</w:t>
      </w:r>
      <w:r>
        <w:fldChar w:fldCharType="begin"/>
      </w:r>
      <w:r>
        <w:instrText xml:space="preserve"> REF _Ref134901176 \p \h </w:instrText>
      </w:r>
      <w:r>
        <w:fldChar w:fldCharType="separate"/>
      </w:r>
      <w:r w:rsidR="009E351C">
        <w:t>wyżej</w:t>
      </w:r>
      <w:r>
        <w:fldChar w:fldCharType="end"/>
      </w:r>
      <w:r>
        <w:t xml:space="preserve"> (</w:t>
      </w:r>
      <w:r>
        <w:fldChar w:fldCharType="begin"/>
      </w:r>
      <w:r>
        <w:instrText xml:space="preserve"> REF _Ref134901184 \h </w:instrText>
      </w:r>
      <w:r>
        <w:fldChar w:fldCharType="separate"/>
      </w:r>
      <w:r w:rsidR="009E351C">
        <w:t xml:space="preserve">Rysunek </w:t>
      </w:r>
      <w:r w:rsidR="009E351C">
        <w:rPr>
          <w:noProof/>
        </w:rPr>
        <w:t>42</w:t>
      </w:r>
      <w:r>
        <w:fldChar w:fldCharType="end"/>
      </w:r>
      <w:r>
        <w:t>) uplasowała się na poziomie bardzo zbliżonym do stwierdzenia „zdecydowanie się zgadzam” (6,750). Odchylenie standardowe wartości odpowiedzi wyniosło SD=0,500 punktu odpowiedzi, co wskazuje dość dużą zgodność odpowiedzi respondentów. Dla zestawu otrzymanych odpowiedzi wyliczono przedział ufności dla wartości oczekiwanej badanej populacji na poziomie istotności 0,05 o wartościach granicy dolnej 5,954 i granicy górnej 7,546. Należy tu jednak zauważyć, że wobec bardzo małej liczby odpowiedzi powyższa analiza jest obciążona istotnymi ograniczeniami. Wskazuje na to choćby wartość górnej granicy istotnie powyżej zakresu skali oceny. W celu zilustrowania metody obliczania zagregowanego indeksu SSI do dalszych opisów i analiz zostanie uwzględniona jedynie wartość średnia obliczona dla odpowiedzi uzyskanych dla tej grupy respondentów.</w:t>
      </w:r>
    </w:p>
    <w:p w14:paraId="23B6700A" w14:textId="3C843333" w:rsidR="00847F16" w:rsidRDefault="00847F16" w:rsidP="00847F16">
      <w:r>
        <w:t>Wśród respondentów należących do grupy pracowników naukowych lub dydaktycznych uczelni odpowiedzi na pytanie dotyczące satysfakcji z pracy na ocenianej uczelni odpowiedziało 16 osób. Rozkład tych odpowiedzi został przedstawiony na wykresie po</w:t>
      </w:r>
      <w:r>
        <w:fldChar w:fldCharType="begin"/>
      </w:r>
      <w:r>
        <w:instrText xml:space="preserve"> REF _Ref134901227 \p \h </w:instrText>
      </w:r>
      <w:r>
        <w:fldChar w:fldCharType="separate"/>
      </w:r>
      <w:r w:rsidR="009E351C">
        <w:t>niżej</w:t>
      </w:r>
      <w:r>
        <w:fldChar w:fldCharType="end"/>
      </w:r>
      <w:r>
        <w:t xml:space="preserve"> (</w:t>
      </w:r>
      <w:r>
        <w:fldChar w:fldCharType="begin"/>
      </w:r>
      <w:r>
        <w:instrText xml:space="preserve"> REF _Ref134901235 \h </w:instrText>
      </w:r>
      <w:r>
        <w:fldChar w:fldCharType="separate"/>
      </w:r>
      <w:r w:rsidR="009E351C">
        <w:t xml:space="preserve">Rysunek </w:t>
      </w:r>
      <w:r w:rsidR="009E351C">
        <w:rPr>
          <w:noProof/>
        </w:rPr>
        <w:t>43</w:t>
      </w:r>
      <w:r>
        <w:fldChar w:fldCharType="end"/>
      </w:r>
      <w:r>
        <w:t>).</w:t>
      </w:r>
    </w:p>
    <w:p w14:paraId="28F4ED73" w14:textId="77777777" w:rsidR="00847F16" w:rsidRDefault="00847F16" w:rsidP="00847F16">
      <w:pPr>
        <w:pStyle w:val="Rysunek"/>
      </w:pPr>
      <w:commentRangeStart w:id="69"/>
      <w:r>
        <w:rPr>
          <w:noProof/>
        </w:rPr>
        <w:lastRenderedPageBreak/>
        <w:drawing>
          <wp:inline distT="0" distB="0" distL="0" distR="0" wp14:anchorId="094F3CE3" wp14:editId="3FDF7627">
            <wp:extent cx="4488657" cy="1804988"/>
            <wp:effectExtent l="0" t="0" r="7620" b="5080"/>
            <wp:docPr id="62188375" name="Wykres 62188375">
              <a:extLst xmlns:a="http://schemas.openxmlformats.org/drawingml/2006/main">
                <a:ext uri="{FF2B5EF4-FFF2-40B4-BE49-F238E27FC236}">
                  <a16:creationId xmlns:a16="http://schemas.microsoft.com/office/drawing/2014/main" id="{56604E74-D7CF-400D-A343-E592D5641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commentRangeEnd w:id="69"/>
      <w:r>
        <w:rPr>
          <w:rStyle w:val="Odwoaniedokomentarza"/>
          <w:rFonts w:ascii="Times New Roman" w:eastAsia="Times New Roman" w:hAnsi="Times New Roman"/>
          <w:szCs w:val="20"/>
          <w:lang w:eastAsia="pl-PL"/>
        </w:rPr>
        <w:commentReference w:id="69"/>
      </w:r>
    </w:p>
    <w:p w14:paraId="574628FF" w14:textId="149E7B35" w:rsidR="00847F16" w:rsidRDefault="00847F16" w:rsidP="00847F16">
      <w:pPr>
        <w:pStyle w:val="Tytutabeli"/>
      </w:pPr>
      <w:bookmarkStart w:id="70" w:name="_Ref134901235"/>
      <w:bookmarkStart w:id="71" w:name="_Ref134901227"/>
      <w:bookmarkStart w:id="72" w:name="_Toc157755582"/>
      <w:r>
        <w:t xml:space="preserve">Rysunek </w:t>
      </w:r>
      <w:r>
        <w:fldChar w:fldCharType="begin"/>
      </w:r>
      <w:r>
        <w:instrText xml:space="preserve"> SEQ Rysunek \* ARABIC </w:instrText>
      </w:r>
      <w:r>
        <w:fldChar w:fldCharType="separate"/>
      </w:r>
      <w:r w:rsidR="009E351C">
        <w:rPr>
          <w:noProof/>
        </w:rPr>
        <w:t>43</w:t>
      </w:r>
      <w:r>
        <w:rPr>
          <w:noProof/>
        </w:rPr>
        <w:fldChar w:fldCharType="end"/>
      </w:r>
      <w:bookmarkEnd w:id="70"/>
      <w:r>
        <w:t xml:space="preserve"> Podsumowanie odpowiedzi respondentów z grupy pracowników naukowych lub dydaktycznych na pytanie: „</w:t>
      </w:r>
      <w:r w:rsidRPr="003C435C">
        <w:t>Moja satysfakcja z pracy na ocenianej uczelni jest wysoka</w:t>
      </w:r>
      <w:r>
        <w:t>”; N = 16; X</w:t>
      </w:r>
      <w:r>
        <w:rPr>
          <w:rFonts w:cs="Arial"/>
        </w:rPr>
        <w:t>̅</w:t>
      </w:r>
      <w:r>
        <w:t xml:space="preserve"> = 6,000; SD</w:t>
      </w:r>
      <w:r>
        <w:rPr>
          <w:vertAlign w:val="superscript"/>
        </w:rPr>
        <w:t>2</w:t>
      </w:r>
      <w:r>
        <w:t xml:space="preserve"> = 2,267; SD = 1,506</w:t>
      </w:r>
      <w:bookmarkEnd w:id="71"/>
      <w:bookmarkEnd w:id="72"/>
    </w:p>
    <w:p w14:paraId="399F9EC5" w14:textId="77777777" w:rsidR="00847F16" w:rsidRDefault="00847F16" w:rsidP="007770AA">
      <w:pPr>
        <w:pStyle w:val="rdo"/>
      </w:pPr>
      <w:r>
        <w:t>Źródło: opracowanie własne na podstawie wyników badania kwestionariuszowego</w:t>
      </w:r>
    </w:p>
    <w:p w14:paraId="3B9AC721" w14:textId="64272FA5" w:rsidR="00847F16" w:rsidRDefault="00847F16" w:rsidP="00847F16">
      <w:r>
        <w:t>Średnia ocena satysfakcji respondentów z grupy pracowników naukowych lub dydaktycznych wyliczona na podstawie odpowiedzi na pytanie „</w:t>
      </w:r>
      <w:r w:rsidRPr="003C435C">
        <w:t>Moja satysfakcja z pracy na ocenianej uczelni jest wysoka</w:t>
      </w:r>
      <w:r w:rsidRPr="00B46686">
        <w:t>”</w:t>
      </w:r>
      <w:r>
        <w:t xml:space="preserve"> przedstawionych na wykresie po</w:t>
      </w:r>
      <w:r>
        <w:fldChar w:fldCharType="begin"/>
      </w:r>
      <w:r>
        <w:instrText xml:space="preserve"> REF _Ref134901227 \p \h </w:instrText>
      </w:r>
      <w:r>
        <w:fldChar w:fldCharType="separate"/>
      </w:r>
      <w:r w:rsidR="009E351C">
        <w:t>wyżej</w:t>
      </w:r>
      <w:r>
        <w:fldChar w:fldCharType="end"/>
      </w:r>
      <w:r>
        <w:t xml:space="preserve"> (</w:t>
      </w:r>
      <w:r>
        <w:fldChar w:fldCharType="begin"/>
      </w:r>
      <w:r>
        <w:instrText xml:space="preserve"> REF _Ref134901235 \h </w:instrText>
      </w:r>
      <w:r>
        <w:fldChar w:fldCharType="separate"/>
      </w:r>
      <w:r w:rsidR="009E351C">
        <w:t xml:space="preserve">Rysunek </w:t>
      </w:r>
      <w:r w:rsidR="009E351C">
        <w:rPr>
          <w:noProof/>
        </w:rPr>
        <w:t>43</w:t>
      </w:r>
      <w:r>
        <w:fldChar w:fldCharType="end"/>
      </w:r>
      <w:r>
        <w:t>) uplasowała się na poziomie bardzo zbliżonym do stwierdzenia „zgadzam się” (6,000). Odchylenie standardowe wartości odpowiedzi wyniosło SD=1,506 punktu odpowiedzi, co wydaje się wartością dość znaczną. Dla zestawu otrzymanych odpowiedzi wyliczono przedział ufności dla wartości oczekiwanej badanej populacji na poziomie istotności 0,05 o wartościach granicy dolnej 5,198 i granicy górnej 6,802. Są to wartości o zbliżonej rozpiętości w porównaniu do wyników dla grupy respondentów studentów. Natomiast po przeprowadzeniu testu zgodności odpowiedzi z rozkładem normalnym uzyskano wartość Chi</w:t>
      </w:r>
      <w:r w:rsidRPr="00021A96">
        <w:rPr>
          <w:vertAlign w:val="superscript"/>
        </w:rPr>
        <w:t>2</w:t>
      </w:r>
      <w:r>
        <w:t xml:space="preserve"> równą 27,39 wobec wartości granicznej 9,49, co oznacza, że należy odrzucić hipotezę zerową, więc można przyjąć z prawdopodobieństwem na poziomie 95%, że rozkład uzyskanych odpowiedzi nie jest zgodny z rozkładem normalnym. Taki rezultat nie pozwala na uzyskanie wiarygodnych odpowiedzi przy pomocy analiz rozkładu zakładających zgodność z rozkładem normalnym.</w:t>
      </w:r>
    </w:p>
    <w:p w14:paraId="3BD6157B" w14:textId="030BB9C0" w:rsidR="00847F16" w:rsidRDefault="00847F16" w:rsidP="00847F16">
      <w:r>
        <w:t>Wśród respondentów należących do grupy władz uczelni odpowiedzi na pytanie dotyczące satysfakcji z usług ocenianej uczelni odpowiedziało 5 osób. Rozkład tych odpowiedzi został przedstawiony na wykresie po</w:t>
      </w:r>
      <w:r>
        <w:fldChar w:fldCharType="begin"/>
      </w:r>
      <w:r>
        <w:instrText xml:space="preserve"> REF _Ref134901286 \p \h </w:instrText>
      </w:r>
      <w:r>
        <w:fldChar w:fldCharType="separate"/>
      </w:r>
      <w:r w:rsidR="009E351C">
        <w:t>niżej</w:t>
      </w:r>
      <w:r>
        <w:fldChar w:fldCharType="end"/>
      </w:r>
      <w:r>
        <w:t xml:space="preserve"> (</w:t>
      </w:r>
      <w:r>
        <w:fldChar w:fldCharType="begin"/>
      </w:r>
      <w:r>
        <w:instrText xml:space="preserve"> REF _Ref134901293 \h </w:instrText>
      </w:r>
      <w:r>
        <w:fldChar w:fldCharType="separate"/>
      </w:r>
      <w:r w:rsidR="009E351C">
        <w:t xml:space="preserve">Rysunek </w:t>
      </w:r>
      <w:r w:rsidR="009E351C">
        <w:rPr>
          <w:noProof/>
        </w:rPr>
        <w:t>44</w:t>
      </w:r>
      <w:r>
        <w:fldChar w:fldCharType="end"/>
      </w:r>
      <w:r>
        <w:t>.</w:t>
      </w:r>
    </w:p>
    <w:p w14:paraId="1F02D705" w14:textId="77777777" w:rsidR="00847F16" w:rsidRDefault="00847F16" w:rsidP="00847F16">
      <w:pPr>
        <w:pStyle w:val="Rysunek"/>
      </w:pPr>
      <w:commentRangeStart w:id="73"/>
      <w:commentRangeStart w:id="74"/>
      <w:commentRangeStart w:id="75"/>
      <w:r>
        <w:rPr>
          <w:noProof/>
        </w:rPr>
        <w:lastRenderedPageBreak/>
        <w:drawing>
          <wp:inline distT="0" distB="0" distL="0" distR="0" wp14:anchorId="7AC49E04" wp14:editId="63EEF636">
            <wp:extent cx="4488657" cy="1804988"/>
            <wp:effectExtent l="0" t="0" r="7620" b="5080"/>
            <wp:docPr id="755748927" name="Wykres 755748927">
              <a:extLst xmlns:a="http://schemas.openxmlformats.org/drawingml/2006/main">
                <a:ext uri="{FF2B5EF4-FFF2-40B4-BE49-F238E27FC236}">
                  <a16:creationId xmlns:a16="http://schemas.microsoft.com/office/drawing/2014/main" id="{3AA03D05-CC1C-4592-82E6-E3ACC0AF8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commentRangeEnd w:id="73"/>
      <w:r>
        <w:rPr>
          <w:rStyle w:val="Odwoaniedokomentarza"/>
          <w:rFonts w:ascii="Times New Roman" w:eastAsia="Times New Roman" w:hAnsi="Times New Roman"/>
          <w:szCs w:val="20"/>
          <w:lang w:eastAsia="pl-PL"/>
        </w:rPr>
        <w:commentReference w:id="73"/>
      </w:r>
      <w:commentRangeEnd w:id="74"/>
      <w:r>
        <w:rPr>
          <w:rStyle w:val="Odwoaniedokomentarza"/>
          <w:rFonts w:ascii="Times New Roman" w:eastAsia="Times New Roman" w:hAnsi="Times New Roman"/>
          <w:szCs w:val="20"/>
          <w:lang w:eastAsia="pl-PL"/>
        </w:rPr>
        <w:commentReference w:id="74"/>
      </w:r>
      <w:commentRangeEnd w:id="75"/>
      <w:r>
        <w:rPr>
          <w:rStyle w:val="Odwoaniedokomentarza"/>
          <w:rFonts w:ascii="Times New Roman" w:eastAsia="Times New Roman" w:hAnsi="Times New Roman"/>
          <w:szCs w:val="20"/>
          <w:lang w:eastAsia="pl-PL"/>
        </w:rPr>
        <w:commentReference w:id="75"/>
      </w:r>
    </w:p>
    <w:p w14:paraId="4AFF8B4B" w14:textId="774FB7D8" w:rsidR="00847F16" w:rsidRDefault="00847F16" w:rsidP="00847F16">
      <w:pPr>
        <w:pStyle w:val="Tytutabeli"/>
      </w:pPr>
      <w:bookmarkStart w:id="76" w:name="_Ref134901293"/>
      <w:bookmarkStart w:id="77" w:name="_Ref134901286"/>
      <w:bookmarkStart w:id="78" w:name="_Toc157755583"/>
      <w:r>
        <w:t xml:space="preserve">Rysunek </w:t>
      </w:r>
      <w:r>
        <w:fldChar w:fldCharType="begin"/>
      </w:r>
      <w:r>
        <w:instrText xml:space="preserve"> SEQ Rysunek \* ARABIC </w:instrText>
      </w:r>
      <w:r>
        <w:fldChar w:fldCharType="separate"/>
      </w:r>
      <w:r w:rsidR="009E351C">
        <w:rPr>
          <w:noProof/>
        </w:rPr>
        <w:t>44</w:t>
      </w:r>
      <w:r>
        <w:rPr>
          <w:noProof/>
        </w:rPr>
        <w:fldChar w:fldCharType="end"/>
      </w:r>
      <w:bookmarkEnd w:id="76"/>
      <w:r>
        <w:t xml:space="preserve"> Podsumowanie odpowiedzi respondentów z grupy władz uczelni na pytanie: „Ogólny poziom mojej satysfakcji z jakości usług edukacyjnych ocenianej uczelni jest wysoki”; N = 5; X</w:t>
      </w:r>
      <w:r>
        <w:rPr>
          <w:rFonts w:cs="Arial"/>
        </w:rPr>
        <w:t>̅</w:t>
      </w:r>
      <w:r>
        <w:t xml:space="preserve"> = 5,800; SD</w:t>
      </w:r>
      <w:r>
        <w:rPr>
          <w:vertAlign w:val="superscript"/>
        </w:rPr>
        <w:t>2</w:t>
      </w:r>
      <w:r>
        <w:t xml:space="preserve"> = 0,700; SD = 0,837</w:t>
      </w:r>
      <w:bookmarkEnd w:id="77"/>
      <w:bookmarkEnd w:id="78"/>
    </w:p>
    <w:p w14:paraId="488FAA17" w14:textId="77777777" w:rsidR="00847F16" w:rsidRDefault="00847F16" w:rsidP="007770AA">
      <w:pPr>
        <w:pStyle w:val="rdo"/>
      </w:pPr>
      <w:r>
        <w:t>Źródło: opracowanie własne na podstawie wyników badania kwestionariuszowego</w:t>
      </w:r>
    </w:p>
    <w:p w14:paraId="4A7D1922" w14:textId="5E9D84F2" w:rsidR="00847F16" w:rsidRDefault="00847F16" w:rsidP="00847F16">
      <w:r>
        <w:t>Średnia ocena satysfakcji respondentów z grupy władz uczelni wyliczona na podstawie odpowiedzi na pytanie „Ogólny poziom mojej satysfakcji z jakości usług edukacyjnych ocenianej uczelni jest wysoki” przedstawionych na wykresie po</w:t>
      </w:r>
      <w:r>
        <w:fldChar w:fldCharType="begin"/>
      </w:r>
      <w:r>
        <w:instrText xml:space="preserve"> REF _Ref134901286 \p \h </w:instrText>
      </w:r>
      <w:r>
        <w:fldChar w:fldCharType="separate"/>
      </w:r>
      <w:r w:rsidR="009E351C">
        <w:t>wyżej</w:t>
      </w:r>
      <w:r>
        <w:fldChar w:fldCharType="end"/>
      </w:r>
      <w:r>
        <w:t xml:space="preserve"> (</w:t>
      </w:r>
      <w:r>
        <w:fldChar w:fldCharType="begin"/>
      </w:r>
      <w:r>
        <w:instrText xml:space="preserve"> REF _Ref134901293 \h </w:instrText>
      </w:r>
      <w:r>
        <w:fldChar w:fldCharType="separate"/>
      </w:r>
      <w:r w:rsidR="009E351C">
        <w:t xml:space="preserve">Rysunek </w:t>
      </w:r>
      <w:r w:rsidR="009E351C">
        <w:rPr>
          <w:noProof/>
        </w:rPr>
        <w:t>44</w:t>
      </w:r>
      <w:r>
        <w:fldChar w:fldCharType="end"/>
      </w:r>
      <w:r>
        <w:t>) uplasowała się na poziomie bardzo zbliżonym do stwierdzenia „zgadzam się” (5,800). Odchylenie standardowe wartości odpowiedzi wyniosło SD=0,837 punktu odpowiedzi, co jest wartością istotnie mniejszą niż dla wyników uzyskanych w liczniejszych grupach respondentów absolwentów i rodziców. Dla zestawu otrzymanych odpowiedzi wyliczono przedział ufności dla wartości oczekiwanej badanej populacji na poziomie istotności 0,05 o wartościach granicy dolnej 4,761 i granicy górnej 6,839. Należy tu jednak zauważyć, że wobec bardzo małej liczby odpowiedzi powyższa analiza jest obciążona istotnymi ograniczeniami. W celu zilustrowania metody obliczania zagregowanego indeksu SSI do dalszych opisów i analiz zostanie uwzględniona jedynie wartość średnia obliczona dla odpowiedzi uzyskanych dla tej grupy respondentów.</w:t>
      </w:r>
    </w:p>
    <w:p w14:paraId="3C3A12F4" w14:textId="31F5EDF1" w:rsidR="00847F16" w:rsidRDefault="00847F16" w:rsidP="00847F16">
      <w:r>
        <w:t>Wśród respondentów należących do grupy przedsiębiorców uzyskano 20 odpowiedzi na pytanie dotyczące satysfakcji z usług ocenianej uczelni. Rozkład tych odpowiedzi został przedstawiony na wykresie po</w:t>
      </w:r>
      <w:r>
        <w:fldChar w:fldCharType="begin"/>
      </w:r>
      <w:r>
        <w:instrText xml:space="preserve"> REF _Ref134901363 \p \h </w:instrText>
      </w:r>
      <w:r>
        <w:fldChar w:fldCharType="separate"/>
      </w:r>
      <w:r w:rsidR="009E351C">
        <w:t>niżej</w:t>
      </w:r>
      <w:r>
        <w:fldChar w:fldCharType="end"/>
      </w:r>
      <w:r>
        <w:t xml:space="preserve"> (</w:t>
      </w:r>
      <w:r>
        <w:fldChar w:fldCharType="begin"/>
      </w:r>
      <w:r>
        <w:instrText xml:space="preserve"> REF _Ref134901370 \h </w:instrText>
      </w:r>
      <w:r>
        <w:fldChar w:fldCharType="separate"/>
      </w:r>
      <w:r w:rsidR="009E351C">
        <w:t xml:space="preserve">Rysunek </w:t>
      </w:r>
      <w:r w:rsidR="009E351C">
        <w:rPr>
          <w:noProof/>
        </w:rPr>
        <w:t>45</w:t>
      </w:r>
      <w:r>
        <w:fldChar w:fldCharType="end"/>
      </w:r>
      <w:r>
        <w:t>).</w:t>
      </w:r>
    </w:p>
    <w:p w14:paraId="1AF6002C" w14:textId="77777777" w:rsidR="00847F16" w:rsidRDefault="00847F16" w:rsidP="00847F16">
      <w:pPr>
        <w:pStyle w:val="Rysunek"/>
      </w:pPr>
      <w:commentRangeStart w:id="79"/>
      <w:r>
        <w:rPr>
          <w:noProof/>
        </w:rPr>
        <w:lastRenderedPageBreak/>
        <w:drawing>
          <wp:inline distT="0" distB="0" distL="0" distR="0" wp14:anchorId="61687212" wp14:editId="7EED116C">
            <wp:extent cx="4488657" cy="1804988"/>
            <wp:effectExtent l="0" t="0" r="7620" b="5080"/>
            <wp:docPr id="1528273190" name="Wykres 1528273190">
              <a:extLst xmlns:a="http://schemas.openxmlformats.org/drawingml/2006/main">
                <a:ext uri="{FF2B5EF4-FFF2-40B4-BE49-F238E27FC236}">
                  <a16:creationId xmlns:a16="http://schemas.microsoft.com/office/drawing/2014/main" id="{B980E97B-173C-4822-AC61-86F2B9558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commentRangeEnd w:id="79"/>
      <w:r>
        <w:rPr>
          <w:rStyle w:val="Odwoaniedokomentarza"/>
          <w:rFonts w:ascii="Times New Roman" w:eastAsia="Times New Roman" w:hAnsi="Times New Roman"/>
          <w:szCs w:val="20"/>
          <w:lang w:eastAsia="pl-PL"/>
        </w:rPr>
        <w:commentReference w:id="79"/>
      </w:r>
    </w:p>
    <w:p w14:paraId="6A71502E" w14:textId="50C45120" w:rsidR="00847F16" w:rsidRDefault="00847F16" w:rsidP="00847F16">
      <w:pPr>
        <w:pStyle w:val="Tytutabeli"/>
      </w:pPr>
      <w:bookmarkStart w:id="80" w:name="_Ref134901370"/>
      <w:bookmarkStart w:id="81" w:name="_Ref134901363"/>
      <w:bookmarkStart w:id="82" w:name="_Toc157755584"/>
      <w:r>
        <w:t xml:space="preserve">Rysunek </w:t>
      </w:r>
      <w:r>
        <w:fldChar w:fldCharType="begin"/>
      </w:r>
      <w:r>
        <w:instrText xml:space="preserve"> SEQ Rysunek \* ARABIC </w:instrText>
      </w:r>
      <w:r>
        <w:fldChar w:fldCharType="separate"/>
      </w:r>
      <w:r w:rsidR="009E351C">
        <w:rPr>
          <w:noProof/>
        </w:rPr>
        <w:t>45</w:t>
      </w:r>
      <w:r>
        <w:rPr>
          <w:noProof/>
        </w:rPr>
        <w:fldChar w:fldCharType="end"/>
      </w:r>
      <w:bookmarkEnd w:id="80"/>
      <w:r>
        <w:t xml:space="preserve"> Podsumowanie odpowiedzi respondentów z grupy przedsiębiorców na pytanie: „</w:t>
      </w:r>
      <w:r w:rsidRPr="00BC333F">
        <w:t>Moja satysfakcja z (efektów) usług edukacyjnych na ocenianej uczelni jest wysoka</w:t>
      </w:r>
      <w:r>
        <w:t>”; N = 20; X</w:t>
      </w:r>
      <w:r>
        <w:rPr>
          <w:rFonts w:cs="Arial"/>
        </w:rPr>
        <w:t>̅</w:t>
      </w:r>
      <w:r>
        <w:t xml:space="preserve"> = 4,800; SD</w:t>
      </w:r>
      <w:r>
        <w:rPr>
          <w:vertAlign w:val="superscript"/>
        </w:rPr>
        <w:t>2</w:t>
      </w:r>
      <w:r>
        <w:t xml:space="preserve"> = 3,747; SD = 1,936</w:t>
      </w:r>
      <w:bookmarkEnd w:id="81"/>
      <w:bookmarkEnd w:id="82"/>
    </w:p>
    <w:p w14:paraId="181DD765" w14:textId="77777777" w:rsidR="00847F16" w:rsidRDefault="00847F16" w:rsidP="007770AA">
      <w:pPr>
        <w:pStyle w:val="rdo"/>
      </w:pPr>
      <w:r>
        <w:t>Źródło: opracowanie własne na podstawie wyników badania kwestionariuszowego</w:t>
      </w:r>
    </w:p>
    <w:p w14:paraId="4BDCF9A2" w14:textId="7824AF9F" w:rsidR="00847F16" w:rsidRDefault="00847F16" w:rsidP="00847F16">
      <w:r>
        <w:t>Średnia ocena satysfakcji respondentów z grupy przedsiębiorców wyliczona na podstawie odpowiedzi na pytanie „</w:t>
      </w:r>
      <w:r w:rsidRPr="00021A96">
        <w:t xml:space="preserve">Moja satysfakcja z (efektów) usług edukacyjnych </w:t>
      </w:r>
      <w:r>
        <w:t xml:space="preserve">na </w:t>
      </w:r>
      <w:r w:rsidRPr="00021A96">
        <w:t>ocenianej uczelni jest wysoka</w:t>
      </w:r>
      <w:r w:rsidRPr="00B46686">
        <w:t>”</w:t>
      </w:r>
      <w:r>
        <w:t xml:space="preserve"> przedstawionych na wykresie po</w:t>
      </w:r>
      <w:r>
        <w:fldChar w:fldCharType="begin"/>
      </w:r>
      <w:r>
        <w:instrText xml:space="preserve"> REF _Ref134901363 \p \h </w:instrText>
      </w:r>
      <w:r>
        <w:fldChar w:fldCharType="separate"/>
      </w:r>
      <w:r w:rsidR="009E351C">
        <w:t>wyżej</w:t>
      </w:r>
      <w:r>
        <w:fldChar w:fldCharType="end"/>
      </w:r>
      <w:r>
        <w:t xml:space="preserve"> (</w:t>
      </w:r>
      <w:r>
        <w:fldChar w:fldCharType="begin"/>
      </w:r>
      <w:r>
        <w:instrText xml:space="preserve"> REF _Ref134901370 \h </w:instrText>
      </w:r>
      <w:r>
        <w:fldChar w:fldCharType="separate"/>
      </w:r>
      <w:r w:rsidR="009E351C">
        <w:t xml:space="preserve">Rysunek </w:t>
      </w:r>
      <w:r w:rsidR="009E351C">
        <w:rPr>
          <w:noProof/>
        </w:rPr>
        <w:t>45</w:t>
      </w:r>
      <w:r>
        <w:fldChar w:fldCharType="end"/>
      </w:r>
      <w:r>
        <w:t>) uplasowała się na poziomie bardzo zbliżonym do stwierdzenia „raczej się zgadzam” (4,800). Odchylenie standardowe wartości odpowiedzi wyniosło SD=1,936 punktu odpowiedzi, co jest najwyższą wartością spośród wszystkich badanych grup respondentów. Dla zestawu otrzymanych odpowiedzi wyliczono przedział ufności dla wartości oczekiwanej badanej populacji na poziomie istotności 0,05 o wartościach granicy dolnej 3,805 i granicy górnej 5,795. Są to wartości o jednej z największych rozpiętości spośród wszystkich badanych grup respondentów. Natomiast po przeprowadzeniu testu zgodności odpowiedzi z rozkładem normalnym uzyskano wartość Chi</w:t>
      </w:r>
      <w:r w:rsidRPr="00021A96">
        <w:rPr>
          <w:vertAlign w:val="superscript"/>
        </w:rPr>
        <w:t>2</w:t>
      </w:r>
      <w:r>
        <w:t xml:space="preserve"> równą 10,63 wobec wartości granicznej 9,49, co oznacza, że należy odrzucić hipotezę zerową, więc można przyjąć z prawdopodobieństwem na poziomie 95%, że rozkład uzyskanych odpowiedzi nie jest zgodny z rozkładem normalnym. Taki rezultat nie pozwala na uzyskanie wiarygodnych odpowiedzi przy pomocy analiz rozkładu zakładających zgodność z rozkładem normalnym. Należy tu jednak zauważyć, że powyższa analiza jest obciążona pewnymi ograniczeniami. Każdy z respondentów w tej grupie (przedsiębiorcy) miał możliwość dokonania oceny maksymalnie 3 uczelni. Z jednej strony w niektórych przypadkach powodowało to konieczność wyboru tylko niektórych z możliwych do oceny uczelni (przy zatrudnianiu absolwentów więcej niż 3 uczelni). Również istotnym może być, że do wyliczenia powyższych statystyk nie wprowadzono rozróżnienia między uczelniami, ani rozróżnienia pomiędzy pierwszą i kolejnymi ocenianymi uczelniami przez jednego respondenta.</w:t>
      </w:r>
    </w:p>
    <w:p w14:paraId="7761A1AD" w14:textId="5D70326A" w:rsidR="00847F16" w:rsidRDefault="00847F16" w:rsidP="00847F16">
      <w:r>
        <w:t>Wśród respondentów należących do grupy władz samorządowych uzyskano 2 odpowiedzi na pytanie dotyczące satysfakcji z usług ocenianej uczelni. Rozkład tych odpowiedzi został przedstawiony na wykresie po</w:t>
      </w:r>
      <w:r>
        <w:fldChar w:fldCharType="begin"/>
      </w:r>
      <w:r>
        <w:instrText xml:space="preserve"> REF _Ref134901416 \p \h </w:instrText>
      </w:r>
      <w:r>
        <w:fldChar w:fldCharType="separate"/>
      </w:r>
      <w:r w:rsidR="009E351C">
        <w:t>niżej</w:t>
      </w:r>
      <w:r>
        <w:fldChar w:fldCharType="end"/>
      </w:r>
      <w:r>
        <w:t xml:space="preserve"> (</w:t>
      </w:r>
      <w:r>
        <w:fldChar w:fldCharType="begin"/>
      </w:r>
      <w:r>
        <w:instrText xml:space="preserve"> REF _Ref134901424 \h </w:instrText>
      </w:r>
      <w:r>
        <w:fldChar w:fldCharType="separate"/>
      </w:r>
      <w:r w:rsidR="009E351C">
        <w:t xml:space="preserve">Rysunek </w:t>
      </w:r>
      <w:r w:rsidR="009E351C">
        <w:rPr>
          <w:noProof/>
        </w:rPr>
        <w:t>46</w:t>
      </w:r>
      <w:r>
        <w:fldChar w:fldCharType="end"/>
      </w:r>
      <w:r>
        <w:t>).</w:t>
      </w:r>
    </w:p>
    <w:p w14:paraId="77846447" w14:textId="77777777" w:rsidR="00847F16" w:rsidRDefault="00847F16" w:rsidP="00847F16">
      <w:pPr>
        <w:pStyle w:val="Rysunek"/>
      </w:pPr>
      <w:commentRangeStart w:id="83"/>
      <w:r>
        <w:rPr>
          <w:noProof/>
        </w:rPr>
        <w:lastRenderedPageBreak/>
        <w:drawing>
          <wp:inline distT="0" distB="0" distL="0" distR="0" wp14:anchorId="67C26A39" wp14:editId="2871EEA4">
            <wp:extent cx="4488657" cy="1804988"/>
            <wp:effectExtent l="0" t="0" r="7620" b="5080"/>
            <wp:docPr id="525402159" name="Wykres 525402159">
              <a:extLst xmlns:a="http://schemas.openxmlformats.org/drawingml/2006/main">
                <a:ext uri="{FF2B5EF4-FFF2-40B4-BE49-F238E27FC236}">
                  <a16:creationId xmlns:a16="http://schemas.microsoft.com/office/drawing/2014/main" id="{8FC35950-5CD1-4BD6-A0A4-12697758B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commentRangeEnd w:id="83"/>
      <w:r>
        <w:rPr>
          <w:rStyle w:val="Odwoaniedokomentarza"/>
          <w:rFonts w:ascii="Times New Roman" w:eastAsia="Times New Roman" w:hAnsi="Times New Roman"/>
          <w:szCs w:val="20"/>
          <w:lang w:eastAsia="pl-PL"/>
        </w:rPr>
        <w:commentReference w:id="83"/>
      </w:r>
    </w:p>
    <w:p w14:paraId="2D07F081" w14:textId="4FAA251B" w:rsidR="00847F16" w:rsidRDefault="00847F16" w:rsidP="00847F16">
      <w:pPr>
        <w:pStyle w:val="Tytutabeli"/>
      </w:pPr>
      <w:bookmarkStart w:id="84" w:name="_Ref134901424"/>
      <w:bookmarkStart w:id="85" w:name="_Ref134901416"/>
      <w:bookmarkStart w:id="86" w:name="_Toc157755585"/>
      <w:r>
        <w:t xml:space="preserve">Rysunek </w:t>
      </w:r>
      <w:r>
        <w:fldChar w:fldCharType="begin"/>
      </w:r>
      <w:r>
        <w:instrText xml:space="preserve"> SEQ Rysunek \* ARABIC </w:instrText>
      </w:r>
      <w:r>
        <w:fldChar w:fldCharType="separate"/>
      </w:r>
      <w:r w:rsidR="009E351C">
        <w:rPr>
          <w:noProof/>
        </w:rPr>
        <w:t>46</w:t>
      </w:r>
      <w:r>
        <w:rPr>
          <w:noProof/>
        </w:rPr>
        <w:fldChar w:fldCharType="end"/>
      </w:r>
      <w:bookmarkEnd w:id="84"/>
      <w:r>
        <w:t xml:space="preserve"> Podsumowanie odpowiedzi respondentów z grupy władz samorządowych na pytanie: „</w:t>
      </w:r>
      <w:r w:rsidRPr="00BC333F">
        <w:t>Ogólny poziom mojej satysfakcji z jakości usług edukacyjnych ocenianej uczelni jest wysoki</w:t>
      </w:r>
      <w:r>
        <w:t>”; N = 2; X</w:t>
      </w:r>
      <w:r>
        <w:rPr>
          <w:rFonts w:cs="Arial"/>
        </w:rPr>
        <w:t>̅</w:t>
      </w:r>
      <w:r>
        <w:t xml:space="preserve"> = 6,500; SD</w:t>
      </w:r>
      <w:r>
        <w:rPr>
          <w:vertAlign w:val="superscript"/>
        </w:rPr>
        <w:t>2</w:t>
      </w:r>
      <w:r>
        <w:t xml:space="preserve"> = 0,500; SD = 0,707</w:t>
      </w:r>
      <w:bookmarkEnd w:id="85"/>
      <w:bookmarkEnd w:id="86"/>
    </w:p>
    <w:p w14:paraId="24A25051" w14:textId="77777777" w:rsidR="00847F16" w:rsidRDefault="00847F16" w:rsidP="007770AA">
      <w:pPr>
        <w:pStyle w:val="rdo"/>
      </w:pPr>
      <w:r>
        <w:t>Źródło: opracowanie własne na podstawie wyników badania kwestionariuszowego</w:t>
      </w:r>
    </w:p>
    <w:p w14:paraId="01F009E6" w14:textId="3A8DF680" w:rsidR="00847F16" w:rsidRDefault="00847F16" w:rsidP="00847F16">
      <w:r>
        <w:t>Średnia ocena satysfakcji respondentów z grupy władz samorządowych wyliczona na podstawie odpowiedzi na pytanie „</w:t>
      </w:r>
      <w:r w:rsidRPr="00BC333F">
        <w:t>Ogólny poziom mojej satysfakcji z jakości usług edukacyjnych ocenianej uczelni jest wysoki</w:t>
      </w:r>
      <w:r w:rsidRPr="00B46686">
        <w:t>”</w:t>
      </w:r>
      <w:r>
        <w:t xml:space="preserve"> przedstawionych na wykresie po</w:t>
      </w:r>
      <w:r>
        <w:fldChar w:fldCharType="begin"/>
      </w:r>
      <w:r>
        <w:instrText xml:space="preserve"> REF _Ref134901416 \p \h </w:instrText>
      </w:r>
      <w:r>
        <w:fldChar w:fldCharType="separate"/>
      </w:r>
      <w:r w:rsidR="009E351C">
        <w:t>wyżej</w:t>
      </w:r>
      <w:r>
        <w:fldChar w:fldCharType="end"/>
      </w:r>
      <w:r>
        <w:t xml:space="preserve"> (</w:t>
      </w:r>
      <w:r>
        <w:fldChar w:fldCharType="begin"/>
      </w:r>
      <w:r>
        <w:instrText xml:space="preserve"> REF _Ref134901424 \h </w:instrText>
      </w:r>
      <w:r>
        <w:fldChar w:fldCharType="separate"/>
      </w:r>
      <w:r w:rsidR="009E351C">
        <w:t xml:space="preserve">Rysunek </w:t>
      </w:r>
      <w:r w:rsidR="009E351C">
        <w:rPr>
          <w:noProof/>
        </w:rPr>
        <w:t>46</w:t>
      </w:r>
      <w:r>
        <w:fldChar w:fldCharType="end"/>
      </w:r>
      <w:r>
        <w:t>) uplasowała się na poziomie bardzo zbliżonym do stwierdzenia „zdecydowanie się zgadzam” (6,500). Odchylenie standardowe wartości odpowiedzi wyniosło SD=0,707 punktu odpowiedzi, co wskazuje na dość dużą zgodność odpowiedzi respondentów. Wobec bardzo małej liczby odpowiedzi powyższa analiza jest obciążona istotnymi ograniczeniami. W celu zilustrowania metody obliczania zagregowanego indeksu SSI do dalszych opisów i analiz zostanie uwzględniona jedynie wartość średnia obliczona dla odpowiedzi uzyskanych dla tej grupy respondentów.</w:t>
      </w:r>
    </w:p>
    <w:p w14:paraId="70B86131" w14:textId="0D6A270C" w:rsidR="00847F16" w:rsidRDefault="00847F16" w:rsidP="00847F16">
      <w:r>
        <w:t>Po przeanalizowaniu wyników uzyskanych odpowiedzi w poszczególnych grupach respondentów można zauważyć pewne podobieństwa i różnice pomiędzy rezultatami uzyskanymi dla różnych grup respondentów, co prezentuje zestawienie przedstawione w tabeli po</w:t>
      </w:r>
      <w:r>
        <w:fldChar w:fldCharType="begin"/>
      </w:r>
      <w:r>
        <w:instrText xml:space="preserve"> REF _Ref134898408 \p \h </w:instrText>
      </w:r>
      <w:r>
        <w:fldChar w:fldCharType="separate"/>
      </w:r>
      <w:r w:rsidR="009E351C">
        <w:t>niżej</w:t>
      </w:r>
      <w:r>
        <w:fldChar w:fldCharType="end"/>
      </w:r>
      <w:r>
        <w:t xml:space="preserve"> (</w:t>
      </w:r>
      <w:r>
        <w:fldChar w:fldCharType="begin"/>
      </w:r>
      <w:r>
        <w:instrText xml:space="preserve"> REF _Ref134898419 \h </w:instrText>
      </w:r>
      <w:r>
        <w:fldChar w:fldCharType="separate"/>
      </w:r>
      <w:r w:rsidR="009E351C">
        <w:t xml:space="preserve">Tabela </w:t>
      </w:r>
      <w:r w:rsidR="009E351C">
        <w:rPr>
          <w:noProof/>
        </w:rPr>
        <w:t>66</w:t>
      </w:r>
      <w:r>
        <w:fldChar w:fldCharType="end"/>
      </w:r>
      <w:r>
        <w:t>).</w:t>
      </w:r>
    </w:p>
    <w:p w14:paraId="6C758E2F" w14:textId="6C432BCB" w:rsidR="00847F16" w:rsidRDefault="00847F16" w:rsidP="00847F16">
      <w:pPr>
        <w:pStyle w:val="Tytutabeli"/>
      </w:pPr>
      <w:bookmarkStart w:id="87" w:name="_Ref134898419"/>
      <w:bookmarkStart w:id="88" w:name="_Ref134898408"/>
      <w:bookmarkStart w:id="89" w:name="_Ref134898474"/>
      <w:bookmarkStart w:id="90" w:name="_Toc163576355"/>
      <w:r>
        <w:t xml:space="preserve">Tabela </w:t>
      </w:r>
      <w:r>
        <w:fldChar w:fldCharType="begin"/>
      </w:r>
      <w:r>
        <w:instrText xml:space="preserve"> SEQ Tabela \* ARABIC </w:instrText>
      </w:r>
      <w:r>
        <w:fldChar w:fldCharType="separate"/>
      </w:r>
      <w:r w:rsidR="00DA2A4D">
        <w:rPr>
          <w:noProof/>
        </w:rPr>
        <w:t>66</w:t>
      </w:r>
      <w:r>
        <w:rPr>
          <w:noProof/>
        </w:rPr>
        <w:fldChar w:fldCharType="end"/>
      </w:r>
      <w:bookmarkEnd w:id="87"/>
      <w:r>
        <w:t xml:space="preserve"> Zestawienie wyników odpowiedzi na pytania dotyczące satysfakcji z usług uczelni w ramach różnych grup respondentów badania kwestionariuszowego</w:t>
      </w:r>
      <w:bookmarkEnd w:id="88"/>
      <w:bookmarkEnd w:id="89"/>
      <w:bookmarkEnd w:id="90"/>
    </w:p>
    <w:tbl>
      <w:tblPr>
        <w:tblStyle w:val="Tabela-Siatka"/>
        <w:tblW w:w="9072" w:type="dxa"/>
        <w:tblLook w:val="04A0" w:firstRow="1" w:lastRow="0" w:firstColumn="1" w:lastColumn="0" w:noHBand="0" w:noVBand="1"/>
      </w:tblPr>
      <w:tblGrid>
        <w:gridCol w:w="3266"/>
        <w:gridCol w:w="1932"/>
        <w:gridCol w:w="1919"/>
        <w:gridCol w:w="1955"/>
      </w:tblGrid>
      <w:tr w:rsidR="00847F16" w:rsidRPr="00101EAE" w14:paraId="560DB230" w14:textId="77777777" w:rsidTr="009324B6">
        <w:trPr>
          <w:cantSplit/>
          <w:tblHeader/>
        </w:trPr>
        <w:tc>
          <w:tcPr>
            <w:tcW w:w="3266" w:type="dxa"/>
            <w:vAlign w:val="center"/>
          </w:tcPr>
          <w:p w14:paraId="74DC9BE1" w14:textId="77777777" w:rsidR="00847F16" w:rsidRPr="00101EAE" w:rsidRDefault="00847F16" w:rsidP="005A1FE4">
            <w:pPr>
              <w:keepNext/>
              <w:ind w:firstLine="0"/>
              <w:jc w:val="left"/>
              <w:rPr>
                <w:b/>
                <w:bCs/>
                <w:sz w:val="18"/>
                <w:szCs w:val="18"/>
                <w:lang w:val="pl-PL"/>
              </w:rPr>
            </w:pPr>
            <w:r w:rsidRPr="00101EAE">
              <w:rPr>
                <w:b/>
                <w:bCs/>
                <w:sz w:val="18"/>
                <w:szCs w:val="18"/>
                <w:lang w:val="pl-PL"/>
              </w:rPr>
              <w:t>Nazwa grupy respondentów</w:t>
            </w:r>
          </w:p>
        </w:tc>
        <w:tc>
          <w:tcPr>
            <w:tcW w:w="1932" w:type="dxa"/>
            <w:vAlign w:val="center"/>
          </w:tcPr>
          <w:p w14:paraId="4E54FBDA" w14:textId="77777777" w:rsidR="00847F16" w:rsidRPr="00101EAE" w:rsidRDefault="00847F16" w:rsidP="005A1FE4">
            <w:pPr>
              <w:keepNext/>
              <w:ind w:firstLine="0"/>
              <w:jc w:val="left"/>
              <w:rPr>
                <w:b/>
                <w:bCs/>
                <w:sz w:val="18"/>
                <w:szCs w:val="18"/>
                <w:lang w:val="pl-PL"/>
              </w:rPr>
            </w:pPr>
            <w:r w:rsidRPr="00101EAE">
              <w:rPr>
                <w:b/>
                <w:bCs/>
                <w:sz w:val="18"/>
                <w:szCs w:val="18"/>
                <w:lang w:val="pl-PL"/>
              </w:rPr>
              <w:t>X</w:t>
            </w:r>
            <w:r w:rsidRPr="00101EAE">
              <w:rPr>
                <w:rFonts w:cs="Arial"/>
                <w:b/>
                <w:bCs/>
                <w:sz w:val="18"/>
                <w:szCs w:val="18"/>
                <w:lang w:val="pl-PL"/>
              </w:rPr>
              <w:t>̅ [średnia]</w:t>
            </w:r>
          </w:p>
        </w:tc>
        <w:tc>
          <w:tcPr>
            <w:tcW w:w="1919" w:type="dxa"/>
            <w:vAlign w:val="center"/>
          </w:tcPr>
          <w:p w14:paraId="2D4EB070" w14:textId="77777777" w:rsidR="00847F16" w:rsidRPr="00101EAE" w:rsidRDefault="00847F16" w:rsidP="005A1FE4">
            <w:pPr>
              <w:keepNext/>
              <w:ind w:firstLine="0"/>
              <w:jc w:val="left"/>
              <w:rPr>
                <w:b/>
                <w:bCs/>
                <w:sz w:val="18"/>
                <w:szCs w:val="18"/>
                <w:lang w:val="pl-PL"/>
              </w:rPr>
            </w:pPr>
            <w:r w:rsidRPr="00101EAE">
              <w:rPr>
                <w:b/>
                <w:bCs/>
                <w:sz w:val="18"/>
                <w:szCs w:val="18"/>
                <w:lang w:val="pl-PL"/>
              </w:rPr>
              <w:t>SD</w:t>
            </w:r>
            <w:r w:rsidRPr="00101EAE">
              <w:rPr>
                <w:b/>
                <w:bCs/>
                <w:sz w:val="18"/>
                <w:szCs w:val="18"/>
                <w:vertAlign w:val="superscript"/>
                <w:lang w:val="pl-PL"/>
              </w:rPr>
              <w:t>2</w:t>
            </w:r>
            <w:r w:rsidRPr="00101EAE">
              <w:rPr>
                <w:b/>
                <w:bCs/>
                <w:sz w:val="18"/>
                <w:szCs w:val="18"/>
                <w:lang w:val="pl-PL"/>
              </w:rPr>
              <w:t xml:space="preserve"> [wariancja]</w:t>
            </w:r>
          </w:p>
        </w:tc>
        <w:tc>
          <w:tcPr>
            <w:tcW w:w="1955" w:type="dxa"/>
            <w:vAlign w:val="center"/>
          </w:tcPr>
          <w:p w14:paraId="3ED39526" w14:textId="77777777" w:rsidR="00847F16" w:rsidRPr="00101EAE" w:rsidRDefault="00847F16" w:rsidP="005A1FE4">
            <w:pPr>
              <w:keepNext/>
              <w:ind w:firstLine="0"/>
              <w:jc w:val="left"/>
              <w:rPr>
                <w:b/>
                <w:bCs/>
                <w:sz w:val="18"/>
                <w:szCs w:val="18"/>
                <w:lang w:val="pl-PL"/>
              </w:rPr>
            </w:pPr>
            <w:r w:rsidRPr="00101EAE">
              <w:rPr>
                <w:b/>
                <w:bCs/>
                <w:sz w:val="18"/>
                <w:szCs w:val="18"/>
                <w:lang w:val="pl-PL"/>
              </w:rPr>
              <w:t>SD [</w:t>
            </w:r>
            <w:proofErr w:type="spellStart"/>
            <w:r w:rsidRPr="00101EAE">
              <w:rPr>
                <w:b/>
                <w:bCs/>
                <w:sz w:val="18"/>
                <w:szCs w:val="18"/>
                <w:lang w:val="pl-PL"/>
              </w:rPr>
              <w:t>odch</w:t>
            </w:r>
            <w:proofErr w:type="spellEnd"/>
            <w:r w:rsidRPr="00101EAE">
              <w:rPr>
                <w:b/>
                <w:bCs/>
                <w:sz w:val="18"/>
                <w:szCs w:val="18"/>
                <w:lang w:val="pl-PL"/>
              </w:rPr>
              <w:t>. stand.]</w:t>
            </w:r>
          </w:p>
        </w:tc>
      </w:tr>
      <w:tr w:rsidR="00847F16" w:rsidRPr="00101EAE" w14:paraId="3D834CD6" w14:textId="77777777" w:rsidTr="009324B6">
        <w:trPr>
          <w:cantSplit/>
        </w:trPr>
        <w:tc>
          <w:tcPr>
            <w:tcW w:w="3266" w:type="dxa"/>
            <w:vAlign w:val="center"/>
          </w:tcPr>
          <w:p w14:paraId="6679BE0B" w14:textId="77777777" w:rsidR="00847F16" w:rsidRPr="00101EAE" w:rsidRDefault="00847F16" w:rsidP="009324B6">
            <w:pPr>
              <w:ind w:firstLine="0"/>
              <w:jc w:val="left"/>
              <w:rPr>
                <w:sz w:val="18"/>
                <w:szCs w:val="18"/>
                <w:lang w:val="pl-PL"/>
              </w:rPr>
            </w:pPr>
            <w:r w:rsidRPr="00101EAE">
              <w:rPr>
                <w:sz w:val="18"/>
                <w:szCs w:val="18"/>
                <w:lang w:val="pl-PL"/>
              </w:rPr>
              <w:t>Studenci</w:t>
            </w:r>
          </w:p>
        </w:tc>
        <w:tc>
          <w:tcPr>
            <w:tcW w:w="1932" w:type="dxa"/>
            <w:vAlign w:val="center"/>
          </w:tcPr>
          <w:p w14:paraId="677C8755" w14:textId="77777777" w:rsidR="00847F16" w:rsidRPr="00101EAE" w:rsidRDefault="00847F16" w:rsidP="009324B6">
            <w:pPr>
              <w:ind w:firstLine="0"/>
              <w:jc w:val="center"/>
              <w:rPr>
                <w:sz w:val="18"/>
                <w:szCs w:val="18"/>
                <w:lang w:val="pl-PL"/>
              </w:rPr>
            </w:pPr>
            <w:r w:rsidRPr="00101EAE">
              <w:rPr>
                <w:sz w:val="18"/>
                <w:szCs w:val="18"/>
              </w:rPr>
              <w:t>5,071</w:t>
            </w:r>
          </w:p>
        </w:tc>
        <w:tc>
          <w:tcPr>
            <w:tcW w:w="1919" w:type="dxa"/>
            <w:vAlign w:val="center"/>
          </w:tcPr>
          <w:p w14:paraId="2F60B1D4" w14:textId="77777777" w:rsidR="00847F16" w:rsidRPr="00101EAE" w:rsidRDefault="00847F16" w:rsidP="009324B6">
            <w:pPr>
              <w:ind w:firstLine="0"/>
              <w:jc w:val="center"/>
              <w:rPr>
                <w:sz w:val="18"/>
                <w:szCs w:val="18"/>
                <w:lang w:val="pl-PL"/>
              </w:rPr>
            </w:pPr>
            <w:r w:rsidRPr="00101EAE">
              <w:rPr>
                <w:sz w:val="18"/>
                <w:szCs w:val="18"/>
              </w:rPr>
              <w:t>2,225</w:t>
            </w:r>
          </w:p>
        </w:tc>
        <w:tc>
          <w:tcPr>
            <w:tcW w:w="1955" w:type="dxa"/>
            <w:vAlign w:val="center"/>
          </w:tcPr>
          <w:p w14:paraId="2B92E5B6" w14:textId="77777777" w:rsidR="00847F16" w:rsidRPr="00101EAE" w:rsidRDefault="00847F16" w:rsidP="009324B6">
            <w:pPr>
              <w:ind w:firstLine="0"/>
              <w:jc w:val="center"/>
              <w:rPr>
                <w:sz w:val="18"/>
                <w:szCs w:val="18"/>
                <w:lang w:val="pl-PL"/>
              </w:rPr>
            </w:pPr>
            <w:r w:rsidRPr="00101EAE">
              <w:rPr>
                <w:sz w:val="18"/>
                <w:szCs w:val="18"/>
              </w:rPr>
              <w:t>1,492</w:t>
            </w:r>
          </w:p>
        </w:tc>
      </w:tr>
      <w:tr w:rsidR="00847F16" w:rsidRPr="00101EAE" w14:paraId="497C47BF" w14:textId="77777777" w:rsidTr="009324B6">
        <w:trPr>
          <w:cantSplit/>
        </w:trPr>
        <w:tc>
          <w:tcPr>
            <w:tcW w:w="3266" w:type="dxa"/>
            <w:vAlign w:val="center"/>
          </w:tcPr>
          <w:p w14:paraId="71277FC9" w14:textId="77777777" w:rsidR="00847F16" w:rsidRPr="00101EAE" w:rsidRDefault="00847F16" w:rsidP="009324B6">
            <w:pPr>
              <w:ind w:firstLine="0"/>
              <w:jc w:val="left"/>
              <w:rPr>
                <w:sz w:val="18"/>
                <w:szCs w:val="18"/>
                <w:lang w:val="pl-PL"/>
              </w:rPr>
            </w:pPr>
            <w:r w:rsidRPr="00101EAE">
              <w:rPr>
                <w:sz w:val="18"/>
                <w:szCs w:val="18"/>
                <w:lang w:val="pl-PL"/>
              </w:rPr>
              <w:t>Absolwenci</w:t>
            </w:r>
          </w:p>
        </w:tc>
        <w:tc>
          <w:tcPr>
            <w:tcW w:w="1932" w:type="dxa"/>
            <w:vAlign w:val="center"/>
          </w:tcPr>
          <w:p w14:paraId="135E3E41" w14:textId="77777777" w:rsidR="00847F16" w:rsidRPr="00101EAE" w:rsidRDefault="00847F16" w:rsidP="009324B6">
            <w:pPr>
              <w:ind w:firstLine="0"/>
              <w:jc w:val="center"/>
              <w:rPr>
                <w:sz w:val="18"/>
                <w:szCs w:val="18"/>
                <w:lang w:val="pl-PL"/>
              </w:rPr>
            </w:pPr>
            <w:r w:rsidRPr="00101EAE">
              <w:rPr>
                <w:sz w:val="18"/>
                <w:szCs w:val="18"/>
              </w:rPr>
              <w:t>5,193</w:t>
            </w:r>
          </w:p>
        </w:tc>
        <w:tc>
          <w:tcPr>
            <w:tcW w:w="1919" w:type="dxa"/>
            <w:vAlign w:val="center"/>
          </w:tcPr>
          <w:p w14:paraId="2186FD63" w14:textId="77777777" w:rsidR="00847F16" w:rsidRPr="00101EAE" w:rsidRDefault="00847F16" w:rsidP="009324B6">
            <w:pPr>
              <w:ind w:firstLine="0"/>
              <w:jc w:val="center"/>
              <w:rPr>
                <w:sz w:val="18"/>
                <w:szCs w:val="18"/>
                <w:lang w:val="pl-PL"/>
              </w:rPr>
            </w:pPr>
            <w:r w:rsidRPr="00101EAE">
              <w:rPr>
                <w:sz w:val="18"/>
                <w:szCs w:val="18"/>
              </w:rPr>
              <w:t>1,971</w:t>
            </w:r>
          </w:p>
        </w:tc>
        <w:tc>
          <w:tcPr>
            <w:tcW w:w="1955" w:type="dxa"/>
            <w:vAlign w:val="center"/>
          </w:tcPr>
          <w:p w14:paraId="52B3742A" w14:textId="77777777" w:rsidR="00847F16" w:rsidRPr="00101EAE" w:rsidRDefault="00847F16" w:rsidP="009324B6">
            <w:pPr>
              <w:ind w:firstLine="0"/>
              <w:jc w:val="center"/>
              <w:rPr>
                <w:sz w:val="18"/>
                <w:szCs w:val="18"/>
                <w:lang w:val="pl-PL"/>
              </w:rPr>
            </w:pPr>
            <w:r w:rsidRPr="00101EAE">
              <w:rPr>
                <w:sz w:val="18"/>
                <w:szCs w:val="18"/>
              </w:rPr>
              <w:t>1,404</w:t>
            </w:r>
          </w:p>
        </w:tc>
      </w:tr>
      <w:tr w:rsidR="00847F16" w:rsidRPr="00101EAE" w14:paraId="1BE748D6" w14:textId="77777777" w:rsidTr="009324B6">
        <w:trPr>
          <w:cantSplit/>
        </w:trPr>
        <w:tc>
          <w:tcPr>
            <w:tcW w:w="3266" w:type="dxa"/>
            <w:vAlign w:val="center"/>
          </w:tcPr>
          <w:p w14:paraId="3FD95815" w14:textId="77777777" w:rsidR="00847F16" w:rsidRPr="00101EAE" w:rsidRDefault="00847F16" w:rsidP="009324B6">
            <w:pPr>
              <w:ind w:firstLine="0"/>
              <w:jc w:val="left"/>
              <w:rPr>
                <w:sz w:val="18"/>
                <w:szCs w:val="18"/>
                <w:lang w:val="pl-PL"/>
              </w:rPr>
            </w:pPr>
            <w:r w:rsidRPr="00101EAE">
              <w:rPr>
                <w:sz w:val="18"/>
                <w:szCs w:val="18"/>
                <w:lang w:val="pl-PL"/>
              </w:rPr>
              <w:t>Rodzice/opiekunowie</w:t>
            </w:r>
          </w:p>
        </w:tc>
        <w:tc>
          <w:tcPr>
            <w:tcW w:w="1932" w:type="dxa"/>
            <w:vAlign w:val="center"/>
          </w:tcPr>
          <w:p w14:paraId="1014F479" w14:textId="77777777" w:rsidR="00847F16" w:rsidRPr="00101EAE" w:rsidRDefault="00847F16" w:rsidP="009324B6">
            <w:pPr>
              <w:ind w:firstLine="0"/>
              <w:jc w:val="center"/>
              <w:rPr>
                <w:sz w:val="18"/>
                <w:szCs w:val="18"/>
                <w:lang w:val="pl-PL"/>
              </w:rPr>
            </w:pPr>
            <w:r w:rsidRPr="00101EAE">
              <w:rPr>
                <w:sz w:val="18"/>
                <w:szCs w:val="18"/>
              </w:rPr>
              <w:t>5,696</w:t>
            </w:r>
          </w:p>
        </w:tc>
        <w:tc>
          <w:tcPr>
            <w:tcW w:w="1919" w:type="dxa"/>
            <w:vAlign w:val="center"/>
          </w:tcPr>
          <w:p w14:paraId="0EF38D71" w14:textId="77777777" w:rsidR="00847F16" w:rsidRPr="00101EAE" w:rsidRDefault="00847F16" w:rsidP="009324B6">
            <w:pPr>
              <w:ind w:firstLine="0"/>
              <w:jc w:val="center"/>
              <w:rPr>
                <w:sz w:val="18"/>
                <w:szCs w:val="18"/>
                <w:lang w:val="pl-PL"/>
              </w:rPr>
            </w:pPr>
            <w:r w:rsidRPr="00101EAE">
              <w:rPr>
                <w:sz w:val="18"/>
                <w:szCs w:val="18"/>
              </w:rPr>
              <w:t>1,858</w:t>
            </w:r>
          </w:p>
        </w:tc>
        <w:tc>
          <w:tcPr>
            <w:tcW w:w="1955" w:type="dxa"/>
            <w:vAlign w:val="center"/>
          </w:tcPr>
          <w:p w14:paraId="3085E678" w14:textId="77777777" w:rsidR="00847F16" w:rsidRPr="00101EAE" w:rsidRDefault="00847F16" w:rsidP="009324B6">
            <w:pPr>
              <w:ind w:firstLine="0"/>
              <w:jc w:val="center"/>
              <w:rPr>
                <w:sz w:val="18"/>
                <w:szCs w:val="18"/>
                <w:lang w:val="pl-PL"/>
              </w:rPr>
            </w:pPr>
            <w:r w:rsidRPr="00101EAE">
              <w:rPr>
                <w:sz w:val="18"/>
                <w:szCs w:val="18"/>
              </w:rPr>
              <w:t>1,363</w:t>
            </w:r>
          </w:p>
        </w:tc>
      </w:tr>
      <w:tr w:rsidR="00847F16" w:rsidRPr="00101EAE" w14:paraId="7E3BD5FB" w14:textId="77777777" w:rsidTr="009324B6">
        <w:trPr>
          <w:cantSplit/>
        </w:trPr>
        <w:tc>
          <w:tcPr>
            <w:tcW w:w="3266" w:type="dxa"/>
            <w:vAlign w:val="center"/>
          </w:tcPr>
          <w:p w14:paraId="12E1F8E9" w14:textId="77777777" w:rsidR="00847F16" w:rsidRPr="00101EAE" w:rsidRDefault="00847F16" w:rsidP="009324B6">
            <w:pPr>
              <w:ind w:firstLine="0"/>
              <w:jc w:val="left"/>
              <w:rPr>
                <w:sz w:val="18"/>
                <w:szCs w:val="18"/>
                <w:lang w:val="pl-PL"/>
              </w:rPr>
            </w:pPr>
            <w:r w:rsidRPr="00101EAE">
              <w:rPr>
                <w:sz w:val="18"/>
                <w:szCs w:val="18"/>
                <w:lang w:val="pl-PL"/>
              </w:rPr>
              <w:t>Pracownicy administracyjni</w:t>
            </w:r>
          </w:p>
        </w:tc>
        <w:tc>
          <w:tcPr>
            <w:tcW w:w="1932" w:type="dxa"/>
            <w:vAlign w:val="center"/>
          </w:tcPr>
          <w:p w14:paraId="0216BAD8" w14:textId="77777777" w:rsidR="00847F16" w:rsidRPr="00101EAE" w:rsidRDefault="00847F16" w:rsidP="009324B6">
            <w:pPr>
              <w:ind w:firstLine="0"/>
              <w:jc w:val="center"/>
              <w:rPr>
                <w:sz w:val="18"/>
                <w:szCs w:val="18"/>
                <w:lang w:val="pl-PL"/>
              </w:rPr>
            </w:pPr>
            <w:r w:rsidRPr="00101EAE">
              <w:rPr>
                <w:sz w:val="18"/>
                <w:szCs w:val="18"/>
              </w:rPr>
              <w:t>6,750</w:t>
            </w:r>
          </w:p>
        </w:tc>
        <w:tc>
          <w:tcPr>
            <w:tcW w:w="1919" w:type="dxa"/>
            <w:vAlign w:val="center"/>
          </w:tcPr>
          <w:p w14:paraId="3D0AACC9" w14:textId="77777777" w:rsidR="00847F16" w:rsidRPr="00101EAE" w:rsidRDefault="00847F16" w:rsidP="009324B6">
            <w:pPr>
              <w:ind w:firstLine="0"/>
              <w:jc w:val="center"/>
              <w:rPr>
                <w:sz w:val="18"/>
                <w:szCs w:val="18"/>
                <w:lang w:val="pl-PL"/>
              </w:rPr>
            </w:pPr>
            <w:r w:rsidRPr="00101EAE">
              <w:rPr>
                <w:sz w:val="18"/>
                <w:szCs w:val="18"/>
              </w:rPr>
              <w:t>0,250</w:t>
            </w:r>
          </w:p>
        </w:tc>
        <w:tc>
          <w:tcPr>
            <w:tcW w:w="1955" w:type="dxa"/>
            <w:vAlign w:val="center"/>
          </w:tcPr>
          <w:p w14:paraId="5D937D54" w14:textId="77777777" w:rsidR="00847F16" w:rsidRPr="00101EAE" w:rsidRDefault="00847F16" w:rsidP="009324B6">
            <w:pPr>
              <w:ind w:firstLine="0"/>
              <w:jc w:val="center"/>
              <w:rPr>
                <w:sz w:val="18"/>
                <w:szCs w:val="18"/>
                <w:lang w:val="pl-PL"/>
              </w:rPr>
            </w:pPr>
            <w:r w:rsidRPr="00101EAE">
              <w:rPr>
                <w:sz w:val="18"/>
                <w:szCs w:val="18"/>
              </w:rPr>
              <w:t>0,500</w:t>
            </w:r>
          </w:p>
        </w:tc>
      </w:tr>
      <w:tr w:rsidR="00847F16" w:rsidRPr="00101EAE" w14:paraId="4E8F8FAA" w14:textId="77777777" w:rsidTr="009324B6">
        <w:trPr>
          <w:cantSplit/>
        </w:trPr>
        <w:tc>
          <w:tcPr>
            <w:tcW w:w="3266" w:type="dxa"/>
            <w:vAlign w:val="center"/>
          </w:tcPr>
          <w:p w14:paraId="588CEF8D" w14:textId="77777777" w:rsidR="00847F16" w:rsidRPr="00101EAE" w:rsidRDefault="00847F16" w:rsidP="009324B6">
            <w:pPr>
              <w:ind w:firstLine="0"/>
              <w:jc w:val="left"/>
              <w:rPr>
                <w:sz w:val="18"/>
                <w:szCs w:val="18"/>
                <w:lang w:val="pl-PL"/>
              </w:rPr>
            </w:pPr>
            <w:r w:rsidRPr="00101EAE">
              <w:rPr>
                <w:sz w:val="18"/>
                <w:szCs w:val="18"/>
                <w:lang w:val="pl-PL"/>
              </w:rPr>
              <w:t xml:space="preserve">Pracownicy naukowi </w:t>
            </w:r>
            <w:r w:rsidRPr="00101EAE">
              <w:rPr>
                <w:sz w:val="18"/>
                <w:szCs w:val="18"/>
                <w:lang w:val="pl-PL"/>
              </w:rPr>
              <w:br/>
              <w:t>lub dydaktyczni</w:t>
            </w:r>
          </w:p>
        </w:tc>
        <w:tc>
          <w:tcPr>
            <w:tcW w:w="1932" w:type="dxa"/>
            <w:vAlign w:val="center"/>
          </w:tcPr>
          <w:p w14:paraId="31CEC752" w14:textId="77777777" w:rsidR="00847F16" w:rsidRPr="00101EAE" w:rsidRDefault="00847F16" w:rsidP="009324B6">
            <w:pPr>
              <w:ind w:firstLine="0"/>
              <w:jc w:val="center"/>
              <w:rPr>
                <w:sz w:val="18"/>
                <w:szCs w:val="18"/>
                <w:lang w:val="pl-PL"/>
              </w:rPr>
            </w:pPr>
            <w:r w:rsidRPr="00101EAE">
              <w:rPr>
                <w:sz w:val="18"/>
                <w:szCs w:val="18"/>
              </w:rPr>
              <w:t>6,000</w:t>
            </w:r>
          </w:p>
        </w:tc>
        <w:tc>
          <w:tcPr>
            <w:tcW w:w="1919" w:type="dxa"/>
            <w:vAlign w:val="center"/>
          </w:tcPr>
          <w:p w14:paraId="64C1591F" w14:textId="77777777" w:rsidR="00847F16" w:rsidRPr="00101EAE" w:rsidRDefault="00847F16" w:rsidP="009324B6">
            <w:pPr>
              <w:ind w:firstLine="0"/>
              <w:jc w:val="center"/>
              <w:rPr>
                <w:sz w:val="18"/>
                <w:szCs w:val="18"/>
                <w:lang w:val="pl-PL"/>
              </w:rPr>
            </w:pPr>
            <w:r w:rsidRPr="00101EAE">
              <w:rPr>
                <w:sz w:val="18"/>
                <w:szCs w:val="18"/>
              </w:rPr>
              <w:t>2,267</w:t>
            </w:r>
          </w:p>
        </w:tc>
        <w:tc>
          <w:tcPr>
            <w:tcW w:w="1955" w:type="dxa"/>
            <w:vAlign w:val="center"/>
          </w:tcPr>
          <w:p w14:paraId="6884ED46" w14:textId="77777777" w:rsidR="00847F16" w:rsidRPr="00101EAE" w:rsidRDefault="00847F16" w:rsidP="009324B6">
            <w:pPr>
              <w:ind w:firstLine="0"/>
              <w:jc w:val="center"/>
              <w:rPr>
                <w:sz w:val="18"/>
                <w:szCs w:val="18"/>
                <w:lang w:val="pl-PL"/>
              </w:rPr>
            </w:pPr>
            <w:r w:rsidRPr="00101EAE">
              <w:rPr>
                <w:sz w:val="18"/>
                <w:szCs w:val="18"/>
              </w:rPr>
              <w:t>1,506</w:t>
            </w:r>
          </w:p>
        </w:tc>
      </w:tr>
      <w:tr w:rsidR="00847F16" w:rsidRPr="00101EAE" w14:paraId="41DF12AF" w14:textId="77777777" w:rsidTr="009324B6">
        <w:trPr>
          <w:cantSplit/>
        </w:trPr>
        <w:tc>
          <w:tcPr>
            <w:tcW w:w="3266" w:type="dxa"/>
            <w:vAlign w:val="center"/>
          </w:tcPr>
          <w:p w14:paraId="7487428C" w14:textId="77777777" w:rsidR="00847F16" w:rsidRPr="00101EAE" w:rsidRDefault="00847F16" w:rsidP="009324B6">
            <w:pPr>
              <w:ind w:firstLine="0"/>
              <w:jc w:val="left"/>
              <w:rPr>
                <w:sz w:val="18"/>
                <w:szCs w:val="18"/>
                <w:lang w:val="pl-PL"/>
              </w:rPr>
            </w:pPr>
            <w:r w:rsidRPr="00101EAE">
              <w:rPr>
                <w:sz w:val="18"/>
                <w:szCs w:val="18"/>
                <w:lang w:val="pl-PL"/>
              </w:rPr>
              <w:t>Władze uczelni</w:t>
            </w:r>
          </w:p>
        </w:tc>
        <w:tc>
          <w:tcPr>
            <w:tcW w:w="1932" w:type="dxa"/>
            <w:vAlign w:val="center"/>
          </w:tcPr>
          <w:p w14:paraId="0410F43E" w14:textId="77777777" w:rsidR="00847F16" w:rsidRPr="00101EAE" w:rsidRDefault="00847F16" w:rsidP="009324B6">
            <w:pPr>
              <w:ind w:firstLine="0"/>
              <w:jc w:val="center"/>
              <w:rPr>
                <w:sz w:val="18"/>
                <w:szCs w:val="18"/>
                <w:lang w:val="pl-PL"/>
              </w:rPr>
            </w:pPr>
            <w:r w:rsidRPr="00101EAE">
              <w:rPr>
                <w:sz w:val="18"/>
                <w:szCs w:val="18"/>
              </w:rPr>
              <w:t>5,800</w:t>
            </w:r>
          </w:p>
        </w:tc>
        <w:tc>
          <w:tcPr>
            <w:tcW w:w="1919" w:type="dxa"/>
            <w:vAlign w:val="center"/>
          </w:tcPr>
          <w:p w14:paraId="197699E9" w14:textId="77777777" w:rsidR="00847F16" w:rsidRPr="00101EAE" w:rsidRDefault="00847F16" w:rsidP="009324B6">
            <w:pPr>
              <w:ind w:firstLine="0"/>
              <w:jc w:val="center"/>
              <w:rPr>
                <w:sz w:val="18"/>
                <w:szCs w:val="18"/>
                <w:lang w:val="pl-PL"/>
              </w:rPr>
            </w:pPr>
            <w:r w:rsidRPr="00101EAE">
              <w:rPr>
                <w:sz w:val="18"/>
                <w:szCs w:val="18"/>
              </w:rPr>
              <w:t>0,700</w:t>
            </w:r>
          </w:p>
        </w:tc>
        <w:tc>
          <w:tcPr>
            <w:tcW w:w="1955" w:type="dxa"/>
            <w:vAlign w:val="center"/>
          </w:tcPr>
          <w:p w14:paraId="75FB39A3" w14:textId="77777777" w:rsidR="00847F16" w:rsidRPr="00101EAE" w:rsidRDefault="00847F16" w:rsidP="009324B6">
            <w:pPr>
              <w:ind w:firstLine="0"/>
              <w:jc w:val="center"/>
              <w:rPr>
                <w:sz w:val="18"/>
                <w:szCs w:val="18"/>
                <w:lang w:val="pl-PL"/>
              </w:rPr>
            </w:pPr>
            <w:r w:rsidRPr="00101EAE">
              <w:rPr>
                <w:sz w:val="18"/>
                <w:szCs w:val="18"/>
              </w:rPr>
              <w:t>0,837</w:t>
            </w:r>
          </w:p>
        </w:tc>
      </w:tr>
      <w:tr w:rsidR="00847F16" w:rsidRPr="00101EAE" w14:paraId="68AD5B14" w14:textId="77777777" w:rsidTr="009324B6">
        <w:trPr>
          <w:cantSplit/>
        </w:trPr>
        <w:tc>
          <w:tcPr>
            <w:tcW w:w="3266" w:type="dxa"/>
            <w:vAlign w:val="center"/>
          </w:tcPr>
          <w:p w14:paraId="25DC8FC7" w14:textId="77777777" w:rsidR="00847F16" w:rsidRPr="00101EAE" w:rsidRDefault="00847F16" w:rsidP="009324B6">
            <w:pPr>
              <w:ind w:firstLine="0"/>
              <w:jc w:val="left"/>
              <w:rPr>
                <w:sz w:val="18"/>
                <w:szCs w:val="18"/>
                <w:lang w:val="pl-PL"/>
              </w:rPr>
            </w:pPr>
            <w:r w:rsidRPr="00101EAE">
              <w:rPr>
                <w:sz w:val="18"/>
                <w:szCs w:val="18"/>
                <w:lang w:val="pl-PL"/>
              </w:rPr>
              <w:t>Przedsiębiorcy</w:t>
            </w:r>
          </w:p>
        </w:tc>
        <w:tc>
          <w:tcPr>
            <w:tcW w:w="1932" w:type="dxa"/>
            <w:vAlign w:val="center"/>
          </w:tcPr>
          <w:p w14:paraId="198494B8" w14:textId="77777777" w:rsidR="00847F16" w:rsidRPr="00101EAE" w:rsidRDefault="00847F16" w:rsidP="009324B6">
            <w:pPr>
              <w:ind w:firstLine="0"/>
              <w:jc w:val="center"/>
              <w:rPr>
                <w:sz w:val="18"/>
                <w:szCs w:val="18"/>
                <w:lang w:val="pl-PL"/>
              </w:rPr>
            </w:pPr>
            <w:r w:rsidRPr="00101EAE">
              <w:rPr>
                <w:sz w:val="18"/>
                <w:szCs w:val="18"/>
              </w:rPr>
              <w:t>4,800</w:t>
            </w:r>
          </w:p>
        </w:tc>
        <w:tc>
          <w:tcPr>
            <w:tcW w:w="1919" w:type="dxa"/>
            <w:vAlign w:val="center"/>
          </w:tcPr>
          <w:p w14:paraId="0E4A1F01" w14:textId="77777777" w:rsidR="00847F16" w:rsidRPr="00101EAE" w:rsidRDefault="00847F16" w:rsidP="009324B6">
            <w:pPr>
              <w:ind w:firstLine="0"/>
              <w:jc w:val="center"/>
              <w:rPr>
                <w:sz w:val="18"/>
                <w:szCs w:val="18"/>
                <w:lang w:val="pl-PL"/>
              </w:rPr>
            </w:pPr>
            <w:r w:rsidRPr="00101EAE">
              <w:rPr>
                <w:sz w:val="18"/>
                <w:szCs w:val="18"/>
              </w:rPr>
              <w:t>3,747</w:t>
            </w:r>
          </w:p>
        </w:tc>
        <w:tc>
          <w:tcPr>
            <w:tcW w:w="1955" w:type="dxa"/>
            <w:vAlign w:val="center"/>
          </w:tcPr>
          <w:p w14:paraId="4C9419C4" w14:textId="77777777" w:rsidR="00847F16" w:rsidRPr="00101EAE" w:rsidRDefault="00847F16" w:rsidP="009324B6">
            <w:pPr>
              <w:ind w:firstLine="0"/>
              <w:jc w:val="center"/>
              <w:rPr>
                <w:sz w:val="18"/>
                <w:szCs w:val="18"/>
                <w:lang w:val="pl-PL"/>
              </w:rPr>
            </w:pPr>
            <w:r w:rsidRPr="00101EAE">
              <w:rPr>
                <w:sz w:val="18"/>
                <w:szCs w:val="18"/>
              </w:rPr>
              <w:t>1,936</w:t>
            </w:r>
          </w:p>
        </w:tc>
      </w:tr>
      <w:tr w:rsidR="00847F16" w:rsidRPr="00101EAE" w14:paraId="1718C2E9" w14:textId="77777777" w:rsidTr="009324B6">
        <w:trPr>
          <w:cantSplit/>
        </w:trPr>
        <w:tc>
          <w:tcPr>
            <w:tcW w:w="3266" w:type="dxa"/>
            <w:vAlign w:val="center"/>
          </w:tcPr>
          <w:p w14:paraId="5D8BF72A" w14:textId="77777777" w:rsidR="00847F16" w:rsidRPr="00101EAE" w:rsidRDefault="00847F16" w:rsidP="009324B6">
            <w:pPr>
              <w:keepNext/>
              <w:ind w:firstLine="0"/>
              <w:jc w:val="left"/>
              <w:rPr>
                <w:sz w:val="18"/>
                <w:szCs w:val="18"/>
                <w:lang w:val="pl-PL"/>
              </w:rPr>
            </w:pPr>
            <w:r w:rsidRPr="00101EAE">
              <w:rPr>
                <w:sz w:val="18"/>
                <w:szCs w:val="18"/>
                <w:lang w:val="pl-PL"/>
              </w:rPr>
              <w:lastRenderedPageBreak/>
              <w:t>Władze samorządowe</w:t>
            </w:r>
          </w:p>
        </w:tc>
        <w:tc>
          <w:tcPr>
            <w:tcW w:w="1932" w:type="dxa"/>
            <w:vAlign w:val="center"/>
          </w:tcPr>
          <w:p w14:paraId="5D95EB7C" w14:textId="77777777" w:rsidR="00847F16" w:rsidRPr="00101EAE" w:rsidRDefault="00847F16" w:rsidP="009324B6">
            <w:pPr>
              <w:keepNext/>
              <w:ind w:firstLine="0"/>
              <w:jc w:val="center"/>
              <w:rPr>
                <w:sz w:val="18"/>
                <w:szCs w:val="18"/>
                <w:lang w:val="pl-PL"/>
              </w:rPr>
            </w:pPr>
            <w:r w:rsidRPr="00101EAE">
              <w:rPr>
                <w:sz w:val="18"/>
                <w:szCs w:val="18"/>
              </w:rPr>
              <w:t>6,500</w:t>
            </w:r>
          </w:p>
        </w:tc>
        <w:tc>
          <w:tcPr>
            <w:tcW w:w="1919" w:type="dxa"/>
            <w:vAlign w:val="center"/>
          </w:tcPr>
          <w:p w14:paraId="5B77DD18" w14:textId="77777777" w:rsidR="00847F16" w:rsidRPr="00101EAE" w:rsidRDefault="00847F16" w:rsidP="009324B6">
            <w:pPr>
              <w:keepNext/>
              <w:ind w:firstLine="0"/>
              <w:jc w:val="center"/>
              <w:rPr>
                <w:sz w:val="18"/>
                <w:szCs w:val="18"/>
                <w:lang w:val="pl-PL"/>
              </w:rPr>
            </w:pPr>
            <w:r w:rsidRPr="00101EAE">
              <w:rPr>
                <w:sz w:val="18"/>
                <w:szCs w:val="18"/>
              </w:rPr>
              <w:t>0,500</w:t>
            </w:r>
          </w:p>
        </w:tc>
        <w:tc>
          <w:tcPr>
            <w:tcW w:w="1955" w:type="dxa"/>
            <w:vAlign w:val="center"/>
          </w:tcPr>
          <w:p w14:paraId="2069D4E3" w14:textId="77777777" w:rsidR="00847F16" w:rsidRPr="00101EAE" w:rsidRDefault="00847F16" w:rsidP="009324B6">
            <w:pPr>
              <w:keepNext/>
              <w:ind w:firstLine="0"/>
              <w:jc w:val="center"/>
              <w:rPr>
                <w:sz w:val="18"/>
                <w:szCs w:val="18"/>
                <w:lang w:val="pl-PL"/>
              </w:rPr>
            </w:pPr>
            <w:r w:rsidRPr="00101EAE">
              <w:rPr>
                <w:sz w:val="18"/>
                <w:szCs w:val="18"/>
              </w:rPr>
              <w:t>0,707</w:t>
            </w:r>
          </w:p>
        </w:tc>
      </w:tr>
    </w:tbl>
    <w:p w14:paraId="2BFA3232" w14:textId="77777777" w:rsidR="00847F16" w:rsidRDefault="00847F16" w:rsidP="007770AA">
      <w:pPr>
        <w:pStyle w:val="rdo"/>
      </w:pPr>
      <w:r>
        <w:t>Źródło: opracowanie własne na podstawie wyników badania kwestionariuszowego</w:t>
      </w:r>
    </w:p>
    <w:p w14:paraId="386481EE" w14:textId="09050433" w:rsidR="00847F16" w:rsidRDefault="00847F16" w:rsidP="00847F16">
      <w:r>
        <w:t>Analizując wyniki odpowiedzi respondentów na poziomie zagregowanym do poszczególnych grup interesariuszy przedstawione w tabeli po</w:t>
      </w:r>
      <w:r>
        <w:fldChar w:fldCharType="begin"/>
      </w:r>
      <w:r>
        <w:instrText xml:space="preserve"> REF _Ref134898474 \p \h </w:instrText>
      </w:r>
      <w:r>
        <w:fldChar w:fldCharType="separate"/>
      </w:r>
      <w:r w:rsidR="009E351C">
        <w:t>wyżej</w:t>
      </w:r>
      <w:r>
        <w:fldChar w:fldCharType="end"/>
      </w:r>
      <w:r>
        <w:t xml:space="preserve"> (</w:t>
      </w:r>
      <w:r>
        <w:fldChar w:fldCharType="begin"/>
      </w:r>
      <w:r>
        <w:instrText xml:space="preserve"> REF _Ref134898419 \h </w:instrText>
      </w:r>
      <w:r>
        <w:fldChar w:fldCharType="separate"/>
      </w:r>
      <w:r w:rsidR="009E351C">
        <w:t xml:space="preserve">Tabela </w:t>
      </w:r>
      <w:r w:rsidR="009E351C">
        <w:rPr>
          <w:noProof/>
        </w:rPr>
        <w:t>66</w:t>
      </w:r>
      <w:r>
        <w:fldChar w:fldCharType="end"/>
      </w:r>
      <w:r>
        <w:t>) można zauważyć, że istotnie wyższe średnie poziomy satysfakcji zmierzono w grupach interesariuszy wewnętrznych uczelni (pracownicy, władze uczelni) oraz w grupie rodziców, natomiast najniższe wyniki uzyskano w grupie przedsiębiorców i studentów. Ciekawe jest natomiast to, że rezultaty ogólnego poziomu satysfakcji usług uczelni zmierzono wyższe w grupie absolwentów i niż w grupie studentów. Można przypuszczać na tej podstawie, że średnio absolwenci mający za sobą więcej doświadczeń i możliwość weryfikacji otrzymanej usługi z perspektywy czasu są bardziej usatysfakcjonowani z wartości otrzymanych usług niż studenci, którzy oceniają usługę w trakcie jej otrzymywania. Można przypuszczać, że wpływ na takie zjawisko może mieć wiele czynników, ale wobec wspominanych ograniczeń tego konkretnego badania, należałoby raczej najpierw potwierdzić występowanie takiego zjawiska na podstawie badań większych grup badawczych o potwierdzonej statystycznie reprezentatywności.</w:t>
      </w:r>
    </w:p>
    <w:p w14:paraId="02D9522B" w14:textId="3A681F6B" w:rsidR="00847F16" w:rsidRDefault="00847F16" w:rsidP="00847F16">
      <w:r>
        <w:t xml:space="preserve">Biorąc pod uwagę to że częściowe indeksy SSI są w przypadku uzyskanych wyników tożsame z rezultatem średniej wartości odpowiedzi dotyczącej ogólnego poziomu satysfakcji respondentów można przyjąć, że w tym szczególnym przypadku </w:t>
      </w:r>
      <w:proofErr w:type="spellStart"/>
      <w:r w:rsidRPr="008047ED">
        <w:t>SSI</w:t>
      </w:r>
      <w:r w:rsidRPr="008047ED">
        <w:rPr>
          <w:vertAlign w:val="subscript"/>
        </w:rPr>
        <w:t>a</w:t>
      </w:r>
      <w:proofErr w:type="spellEnd"/>
      <w:r w:rsidRPr="008047ED">
        <w:t xml:space="preserve"> = </w:t>
      </w:r>
      <w:proofErr w:type="spellStart"/>
      <w:r w:rsidRPr="008047ED">
        <w:rPr>
          <w:szCs w:val="20"/>
        </w:rPr>
        <w:t>X</w:t>
      </w:r>
      <w:r w:rsidRPr="008047ED">
        <w:rPr>
          <w:rFonts w:cs="Arial"/>
          <w:szCs w:val="20"/>
        </w:rPr>
        <w:t>̅</w:t>
      </w:r>
      <w:r w:rsidRPr="008047ED">
        <w:rPr>
          <w:rFonts w:cs="Arial"/>
          <w:szCs w:val="20"/>
          <w:vertAlign w:val="subscript"/>
        </w:rPr>
        <w:t>a</w:t>
      </w:r>
      <w:proofErr w:type="spellEnd"/>
      <w:r>
        <w:rPr>
          <w:rFonts w:cs="Arial"/>
          <w:szCs w:val="20"/>
        </w:rPr>
        <w:t xml:space="preserve"> . Taki zestaw wartości pozwala na wyliczenie uproszczonego wskaźnika </w:t>
      </w:r>
      <w:proofErr w:type="spellStart"/>
      <w:r>
        <w:rPr>
          <w:rFonts w:cs="Arial"/>
          <w:szCs w:val="20"/>
        </w:rPr>
        <w:t>SSI</w:t>
      </w:r>
      <w:r w:rsidRPr="00980EB8">
        <w:rPr>
          <w:rFonts w:cs="Arial"/>
          <w:szCs w:val="20"/>
          <w:vertAlign w:val="subscript"/>
        </w:rPr>
        <w:t>upr</w:t>
      </w:r>
      <w:proofErr w:type="spellEnd"/>
      <w:r>
        <w:rPr>
          <w:rFonts w:cs="Arial"/>
          <w:szCs w:val="20"/>
        </w:rPr>
        <w:t xml:space="preserve"> (zob. rozdz. </w:t>
      </w:r>
      <w:r>
        <w:rPr>
          <w:rFonts w:cs="Arial"/>
          <w:szCs w:val="20"/>
        </w:rPr>
        <w:fldChar w:fldCharType="begin"/>
      </w:r>
      <w:r>
        <w:rPr>
          <w:rFonts w:cs="Arial"/>
          <w:szCs w:val="20"/>
        </w:rPr>
        <w:instrText xml:space="preserve"> REF _Ref137319715 \r \h </w:instrText>
      </w:r>
      <w:r>
        <w:rPr>
          <w:rFonts w:cs="Arial"/>
          <w:szCs w:val="20"/>
        </w:rPr>
      </w:r>
      <w:r>
        <w:rPr>
          <w:rFonts w:cs="Arial"/>
          <w:szCs w:val="20"/>
        </w:rPr>
        <w:fldChar w:fldCharType="separate"/>
      </w:r>
      <w:r w:rsidR="009E351C">
        <w:rPr>
          <w:rFonts w:cs="Arial"/>
          <w:szCs w:val="20"/>
        </w:rPr>
        <w:t>1.3.2</w:t>
      </w:r>
      <w:r>
        <w:rPr>
          <w:rFonts w:cs="Arial"/>
          <w:szCs w:val="20"/>
        </w:rPr>
        <w:fldChar w:fldCharType="end"/>
      </w:r>
      <w:r>
        <w:rPr>
          <w:rFonts w:cs="Arial"/>
          <w:szCs w:val="20"/>
        </w:rPr>
        <w:t xml:space="preserve">.). </w:t>
      </w:r>
      <w:r>
        <w:t>Wartość uproszczonego indeksu SSI wynosi 5,726, czyli jest zbliżona do wartości odpowiedzi „zgadzam się”. Można zatem przyjąć, że średnio respondenci zgadzają się ze stwierdzeniem, że ich ogólny poziom satysfakcji jest wysoki.</w:t>
      </w:r>
    </w:p>
    <w:p w14:paraId="6631F2C4" w14:textId="00A538A9" w:rsidR="00847F16" w:rsidRDefault="00847F16" w:rsidP="00847F16">
      <w:r>
        <w:t>Na podstawie rezultatów badania jakościowego i wywiadów z przedstawicielami władz uczelni z całą pewnością można stwierdzić, że z punktu widzenia władz uczelni opinie poszczególnych grup interesariuszy nie są równo istotne, a zatem należałoby wagi przypisać każdej z grup. Możliwych do zastosowania jest wiele metod określania wag dla zagregowanych miar. Natomiast w niniejszym badaniu zastosowano dwa pytania w części dotyczącej badania władz uczelni w celu określenia, które grupy interesariuszy są lub powinny być najistotniejsze do brania pod uwagę przy podejmowaniu decyzji dotyczących uczelni. Na podstawie tych odpowiedzi obliczono uśrednione wagi dla każdej z grup interesariuszy. Wartości tych uśrednionych wag przedstawiono w tabeli po</w:t>
      </w:r>
      <w:r>
        <w:fldChar w:fldCharType="begin"/>
      </w:r>
      <w:r>
        <w:instrText xml:space="preserve"> REF _Ref134898513 \p \h </w:instrText>
      </w:r>
      <w:r>
        <w:fldChar w:fldCharType="separate"/>
      </w:r>
      <w:r w:rsidR="009E351C">
        <w:t>niżej</w:t>
      </w:r>
      <w:r>
        <w:fldChar w:fldCharType="end"/>
      </w:r>
      <w:r>
        <w:t xml:space="preserve"> (</w:t>
      </w:r>
      <w:r>
        <w:fldChar w:fldCharType="begin"/>
      </w:r>
      <w:r>
        <w:instrText xml:space="preserve"> REF _Ref134898522 \h </w:instrText>
      </w:r>
      <w:r>
        <w:fldChar w:fldCharType="separate"/>
      </w:r>
      <w:r w:rsidR="009E351C">
        <w:t xml:space="preserve">Tabela </w:t>
      </w:r>
      <w:r w:rsidR="009E351C">
        <w:rPr>
          <w:noProof/>
        </w:rPr>
        <w:t>67</w:t>
      </w:r>
      <w:r>
        <w:fldChar w:fldCharType="end"/>
      </w:r>
      <w:r>
        <w:t>).</w:t>
      </w:r>
    </w:p>
    <w:p w14:paraId="253B3D6C" w14:textId="5344B12F" w:rsidR="00847F16" w:rsidRDefault="00847F16" w:rsidP="00847F16">
      <w:pPr>
        <w:pStyle w:val="Tytutabeli"/>
      </w:pPr>
      <w:bookmarkStart w:id="91" w:name="_Ref134898522"/>
      <w:bookmarkStart w:id="92" w:name="_Ref134898513"/>
      <w:bookmarkStart w:id="93" w:name="_Ref134898540"/>
      <w:bookmarkStart w:id="94" w:name="_Toc163576356"/>
      <w:r>
        <w:lastRenderedPageBreak/>
        <w:t xml:space="preserve">Tabela </w:t>
      </w:r>
      <w:r>
        <w:fldChar w:fldCharType="begin"/>
      </w:r>
      <w:r>
        <w:instrText xml:space="preserve"> SEQ Tabela \* ARABIC </w:instrText>
      </w:r>
      <w:r>
        <w:fldChar w:fldCharType="separate"/>
      </w:r>
      <w:r w:rsidR="00DA2A4D">
        <w:rPr>
          <w:noProof/>
        </w:rPr>
        <w:t>67</w:t>
      </w:r>
      <w:r>
        <w:rPr>
          <w:noProof/>
        </w:rPr>
        <w:fldChar w:fldCharType="end"/>
      </w:r>
      <w:bookmarkEnd w:id="91"/>
      <w:r>
        <w:t xml:space="preserve"> Uśrednione wagi istotności wpływu na ocenę SSI poszczególnych grup interesariuszy</w:t>
      </w:r>
      <w:bookmarkEnd w:id="92"/>
      <w:bookmarkEnd w:id="93"/>
      <w:bookmarkEnd w:id="94"/>
    </w:p>
    <w:tbl>
      <w:tblPr>
        <w:tblStyle w:val="Tabela-Siatka"/>
        <w:tblW w:w="0" w:type="auto"/>
        <w:tblLook w:val="04A0" w:firstRow="1" w:lastRow="0" w:firstColumn="1" w:lastColumn="0" w:noHBand="0" w:noVBand="1"/>
      </w:tblPr>
      <w:tblGrid>
        <w:gridCol w:w="2265"/>
        <w:gridCol w:w="2265"/>
        <w:gridCol w:w="2266"/>
        <w:gridCol w:w="2266"/>
      </w:tblGrid>
      <w:tr w:rsidR="00847F16" w:rsidRPr="00E34BBC" w14:paraId="5ECFBFAF" w14:textId="77777777" w:rsidTr="005A1FE4">
        <w:trPr>
          <w:cantSplit/>
          <w:tblHeader/>
        </w:trPr>
        <w:tc>
          <w:tcPr>
            <w:tcW w:w="2265" w:type="dxa"/>
            <w:vAlign w:val="center"/>
          </w:tcPr>
          <w:p w14:paraId="6CB01825" w14:textId="77777777" w:rsidR="00847F16" w:rsidRPr="00A256A1" w:rsidRDefault="00847F16" w:rsidP="005A1FE4">
            <w:pPr>
              <w:keepNext/>
              <w:ind w:firstLine="0"/>
              <w:jc w:val="left"/>
              <w:rPr>
                <w:b/>
                <w:bCs/>
                <w:sz w:val="18"/>
                <w:szCs w:val="18"/>
                <w:lang w:val="pl-PL"/>
              </w:rPr>
            </w:pPr>
            <w:r w:rsidRPr="00A256A1">
              <w:rPr>
                <w:b/>
                <w:bCs/>
                <w:sz w:val="18"/>
                <w:szCs w:val="18"/>
                <w:lang w:val="pl-PL"/>
              </w:rPr>
              <w:t>Grupa interesariuszy dla pytania nr 1</w:t>
            </w:r>
            <w:r w:rsidRPr="00A256A1">
              <w:rPr>
                <w:rStyle w:val="Odwoanieprzypisudolnego"/>
                <w:b/>
                <w:bCs/>
                <w:sz w:val="18"/>
                <w:szCs w:val="18"/>
                <w:lang w:val="pl-PL"/>
              </w:rPr>
              <w:footnoteReference w:id="5"/>
            </w:r>
          </w:p>
        </w:tc>
        <w:tc>
          <w:tcPr>
            <w:tcW w:w="2265" w:type="dxa"/>
            <w:vAlign w:val="center"/>
          </w:tcPr>
          <w:p w14:paraId="3A9B4152" w14:textId="77777777" w:rsidR="00847F16" w:rsidRPr="00A256A1" w:rsidRDefault="00847F16" w:rsidP="005A1FE4">
            <w:pPr>
              <w:keepNext/>
              <w:ind w:firstLine="0"/>
              <w:jc w:val="center"/>
              <w:rPr>
                <w:b/>
                <w:bCs/>
                <w:sz w:val="18"/>
                <w:szCs w:val="18"/>
                <w:lang w:val="pl-PL"/>
              </w:rPr>
            </w:pPr>
            <w:r w:rsidRPr="00A256A1">
              <w:rPr>
                <w:b/>
                <w:bCs/>
                <w:sz w:val="18"/>
                <w:szCs w:val="18"/>
                <w:lang w:val="pl-PL"/>
              </w:rPr>
              <w:t>Uśrednione wagi dla pytania nr 1</w:t>
            </w:r>
          </w:p>
        </w:tc>
        <w:tc>
          <w:tcPr>
            <w:tcW w:w="2266" w:type="dxa"/>
            <w:vAlign w:val="center"/>
          </w:tcPr>
          <w:p w14:paraId="7125C69F" w14:textId="77777777" w:rsidR="00847F16" w:rsidRPr="00A256A1" w:rsidRDefault="00847F16" w:rsidP="005A1FE4">
            <w:pPr>
              <w:keepNext/>
              <w:ind w:firstLine="0"/>
              <w:jc w:val="left"/>
              <w:rPr>
                <w:b/>
                <w:bCs/>
                <w:sz w:val="18"/>
                <w:szCs w:val="18"/>
                <w:lang w:val="pl-PL"/>
              </w:rPr>
            </w:pPr>
            <w:r w:rsidRPr="00A256A1">
              <w:rPr>
                <w:b/>
                <w:bCs/>
                <w:sz w:val="18"/>
                <w:szCs w:val="18"/>
                <w:lang w:val="pl-PL"/>
              </w:rPr>
              <w:t>Grupa interesariuszy dla pytania nr 2</w:t>
            </w:r>
            <w:r w:rsidRPr="00A256A1">
              <w:rPr>
                <w:rStyle w:val="Odwoanieprzypisudolnego"/>
                <w:b/>
                <w:bCs/>
                <w:sz w:val="18"/>
                <w:szCs w:val="18"/>
                <w:lang w:val="pl-PL"/>
              </w:rPr>
              <w:footnoteReference w:id="6"/>
            </w:r>
          </w:p>
        </w:tc>
        <w:tc>
          <w:tcPr>
            <w:tcW w:w="2266" w:type="dxa"/>
            <w:vAlign w:val="center"/>
          </w:tcPr>
          <w:p w14:paraId="5141A7D0" w14:textId="77777777" w:rsidR="00847F16" w:rsidRPr="00A256A1" w:rsidRDefault="00847F16" w:rsidP="005A1FE4">
            <w:pPr>
              <w:keepNext/>
              <w:ind w:firstLine="0"/>
              <w:jc w:val="center"/>
              <w:rPr>
                <w:b/>
                <w:bCs/>
                <w:sz w:val="18"/>
                <w:szCs w:val="18"/>
                <w:lang w:val="pl-PL"/>
              </w:rPr>
            </w:pPr>
            <w:r w:rsidRPr="00A256A1">
              <w:rPr>
                <w:b/>
                <w:bCs/>
                <w:sz w:val="18"/>
                <w:szCs w:val="18"/>
                <w:lang w:val="pl-PL"/>
              </w:rPr>
              <w:t>Uśrednione wagi dla pytania nr 2</w:t>
            </w:r>
          </w:p>
        </w:tc>
      </w:tr>
      <w:tr w:rsidR="00847F16" w:rsidRPr="00E34BBC" w14:paraId="67AD3946" w14:textId="77777777" w:rsidTr="009324B6">
        <w:trPr>
          <w:cantSplit/>
        </w:trPr>
        <w:tc>
          <w:tcPr>
            <w:tcW w:w="2265" w:type="dxa"/>
            <w:vAlign w:val="center"/>
          </w:tcPr>
          <w:p w14:paraId="62F996B5" w14:textId="77777777" w:rsidR="00847F16" w:rsidRPr="00A256A1" w:rsidRDefault="00847F16" w:rsidP="009324B6">
            <w:pPr>
              <w:ind w:firstLine="0"/>
              <w:jc w:val="left"/>
              <w:rPr>
                <w:sz w:val="18"/>
                <w:szCs w:val="18"/>
                <w:lang w:val="pl-PL"/>
              </w:rPr>
            </w:pPr>
            <w:proofErr w:type="spellStart"/>
            <w:r w:rsidRPr="00A256A1">
              <w:rPr>
                <w:sz w:val="18"/>
                <w:szCs w:val="18"/>
              </w:rPr>
              <w:t>Studenci</w:t>
            </w:r>
            <w:proofErr w:type="spellEnd"/>
          </w:p>
        </w:tc>
        <w:tc>
          <w:tcPr>
            <w:tcW w:w="2265" w:type="dxa"/>
            <w:vAlign w:val="center"/>
          </w:tcPr>
          <w:p w14:paraId="1C177A71" w14:textId="77777777" w:rsidR="00847F16" w:rsidRPr="00A256A1" w:rsidRDefault="00847F16" w:rsidP="009324B6">
            <w:pPr>
              <w:ind w:firstLine="0"/>
              <w:jc w:val="center"/>
              <w:rPr>
                <w:sz w:val="18"/>
                <w:szCs w:val="18"/>
                <w:lang w:val="pl-PL"/>
              </w:rPr>
            </w:pPr>
            <w:r w:rsidRPr="00A256A1">
              <w:rPr>
                <w:sz w:val="18"/>
                <w:szCs w:val="18"/>
              </w:rPr>
              <w:t>22,00%</w:t>
            </w:r>
          </w:p>
        </w:tc>
        <w:tc>
          <w:tcPr>
            <w:tcW w:w="2266" w:type="dxa"/>
            <w:vAlign w:val="center"/>
          </w:tcPr>
          <w:p w14:paraId="4BC10EFA" w14:textId="77777777" w:rsidR="00847F16" w:rsidRPr="00A256A1" w:rsidRDefault="00847F16" w:rsidP="009324B6">
            <w:pPr>
              <w:ind w:firstLine="0"/>
              <w:jc w:val="left"/>
              <w:rPr>
                <w:sz w:val="18"/>
                <w:szCs w:val="18"/>
                <w:lang w:val="pl-PL"/>
              </w:rPr>
            </w:pPr>
            <w:proofErr w:type="spellStart"/>
            <w:r w:rsidRPr="00A256A1">
              <w:rPr>
                <w:sz w:val="18"/>
                <w:szCs w:val="18"/>
              </w:rPr>
              <w:t>Studenci</w:t>
            </w:r>
            <w:proofErr w:type="spellEnd"/>
          </w:p>
        </w:tc>
        <w:tc>
          <w:tcPr>
            <w:tcW w:w="2266" w:type="dxa"/>
            <w:vAlign w:val="center"/>
          </w:tcPr>
          <w:p w14:paraId="48686310" w14:textId="77777777" w:rsidR="00847F16" w:rsidRPr="00A256A1" w:rsidRDefault="00847F16" w:rsidP="009324B6">
            <w:pPr>
              <w:ind w:firstLine="0"/>
              <w:jc w:val="center"/>
              <w:rPr>
                <w:sz w:val="18"/>
                <w:szCs w:val="18"/>
                <w:lang w:val="pl-PL"/>
              </w:rPr>
            </w:pPr>
            <w:r w:rsidRPr="00A256A1">
              <w:rPr>
                <w:sz w:val="18"/>
                <w:szCs w:val="18"/>
              </w:rPr>
              <w:t>18,00%</w:t>
            </w:r>
          </w:p>
        </w:tc>
      </w:tr>
      <w:tr w:rsidR="00847F16" w:rsidRPr="00E34BBC" w14:paraId="7F575756" w14:textId="77777777" w:rsidTr="009324B6">
        <w:trPr>
          <w:cantSplit/>
        </w:trPr>
        <w:tc>
          <w:tcPr>
            <w:tcW w:w="2265" w:type="dxa"/>
            <w:vAlign w:val="center"/>
          </w:tcPr>
          <w:p w14:paraId="7B7B11CF" w14:textId="77777777" w:rsidR="00847F16" w:rsidRPr="00A256A1" w:rsidRDefault="00847F16" w:rsidP="009324B6">
            <w:pPr>
              <w:ind w:firstLine="0"/>
              <w:jc w:val="left"/>
              <w:rPr>
                <w:sz w:val="18"/>
                <w:szCs w:val="18"/>
                <w:lang w:val="pl-PL"/>
              </w:rPr>
            </w:pPr>
            <w:proofErr w:type="spellStart"/>
            <w:r w:rsidRPr="00A256A1">
              <w:rPr>
                <w:sz w:val="18"/>
                <w:szCs w:val="18"/>
              </w:rPr>
              <w:t>Absolwenci</w:t>
            </w:r>
            <w:proofErr w:type="spellEnd"/>
          </w:p>
        </w:tc>
        <w:tc>
          <w:tcPr>
            <w:tcW w:w="2265" w:type="dxa"/>
            <w:vAlign w:val="center"/>
          </w:tcPr>
          <w:p w14:paraId="3B673B2B" w14:textId="77777777" w:rsidR="00847F16" w:rsidRPr="00A256A1" w:rsidRDefault="00847F16" w:rsidP="009324B6">
            <w:pPr>
              <w:ind w:firstLine="0"/>
              <w:jc w:val="center"/>
              <w:rPr>
                <w:sz w:val="18"/>
                <w:szCs w:val="18"/>
                <w:lang w:val="pl-PL"/>
              </w:rPr>
            </w:pPr>
            <w:r w:rsidRPr="00A256A1">
              <w:rPr>
                <w:sz w:val="18"/>
                <w:szCs w:val="18"/>
              </w:rPr>
              <w:t>24,00%</w:t>
            </w:r>
          </w:p>
        </w:tc>
        <w:tc>
          <w:tcPr>
            <w:tcW w:w="2266" w:type="dxa"/>
            <w:vAlign w:val="center"/>
          </w:tcPr>
          <w:p w14:paraId="0255BBF6" w14:textId="77777777" w:rsidR="00847F16" w:rsidRPr="00A256A1" w:rsidRDefault="00847F16" w:rsidP="009324B6">
            <w:pPr>
              <w:ind w:firstLine="0"/>
              <w:jc w:val="left"/>
              <w:rPr>
                <w:sz w:val="18"/>
                <w:szCs w:val="18"/>
                <w:lang w:val="pl-PL"/>
              </w:rPr>
            </w:pPr>
            <w:proofErr w:type="spellStart"/>
            <w:r w:rsidRPr="00A256A1">
              <w:rPr>
                <w:sz w:val="18"/>
                <w:szCs w:val="18"/>
              </w:rPr>
              <w:t>Absolwenci</w:t>
            </w:r>
            <w:proofErr w:type="spellEnd"/>
          </w:p>
        </w:tc>
        <w:tc>
          <w:tcPr>
            <w:tcW w:w="2266" w:type="dxa"/>
            <w:vAlign w:val="center"/>
          </w:tcPr>
          <w:p w14:paraId="2E188FF4" w14:textId="77777777" w:rsidR="00847F16" w:rsidRPr="00A256A1" w:rsidRDefault="00847F16" w:rsidP="009324B6">
            <w:pPr>
              <w:ind w:firstLine="0"/>
              <w:jc w:val="center"/>
              <w:rPr>
                <w:sz w:val="18"/>
                <w:szCs w:val="18"/>
                <w:lang w:val="pl-PL"/>
              </w:rPr>
            </w:pPr>
            <w:r w:rsidRPr="00A256A1">
              <w:rPr>
                <w:sz w:val="18"/>
                <w:szCs w:val="18"/>
              </w:rPr>
              <w:t>23,00%</w:t>
            </w:r>
          </w:p>
        </w:tc>
      </w:tr>
      <w:tr w:rsidR="00847F16" w:rsidRPr="00E34BBC" w14:paraId="73EAFC07" w14:textId="77777777" w:rsidTr="009324B6">
        <w:trPr>
          <w:cantSplit/>
        </w:trPr>
        <w:tc>
          <w:tcPr>
            <w:tcW w:w="2265" w:type="dxa"/>
            <w:vAlign w:val="center"/>
          </w:tcPr>
          <w:p w14:paraId="54BE6AF6" w14:textId="77777777" w:rsidR="00847F16" w:rsidRPr="00A256A1" w:rsidRDefault="00847F16" w:rsidP="009324B6">
            <w:pPr>
              <w:ind w:firstLine="0"/>
              <w:jc w:val="left"/>
              <w:rPr>
                <w:sz w:val="18"/>
                <w:szCs w:val="18"/>
                <w:lang w:val="pl-PL"/>
              </w:rPr>
            </w:pPr>
            <w:proofErr w:type="spellStart"/>
            <w:r w:rsidRPr="00A256A1">
              <w:rPr>
                <w:sz w:val="18"/>
                <w:szCs w:val="18"/>
              </w:rPr>
              <w:t>Rodzice</w:t>
            </w:r>
            <w:proofErr w:type="spellEnd"/>
            <w:r w:rsidRPr="00A256A1">
              <w:rPr>
                <w:sz w:val="18"/>
                <w:szCs w:val="18"/>
              </w:rPr>
              <w:t>/</w:t>
            </w:r>
            <w:proofErr w:type="spellStart"/>
            <w:r w:rsidRPr="00A256A1">
              <w:rPr>
                <w:sz w:val="18"/>
                <w:szCs w:val="18"/>
              </w:rPr>
              <w:t>opiekunowie</w:t>
            </w:r>
            <w:proofErr w:type="spellEnd"/>
          </w:p>
        </w:tc>
        <w:tc>
          <w:tcPr>
            <w:tcW w:w="2265" w:type="dxa"/>
            <w:vAlign w:val="center"/>
          </w:tcPr>
          <w:p w14:paraId="281A4ECA" w14:textId="77777777" w:rsidR="00847F16" w:rsidRPr="00A256A1" w:rsidRDefault="00847F16" w:rsidP="009324B6">
            <w:pPr>
              <w:ind w:firstLine="0"/>
              <w:jc w:val="center"/>
              <w:rPr>
                <w:sz w:val="18"/>
                <w:szCs w:val="18"/>
                <w:lang w:val="pl-PL"/>
              </w:rPr>
            </w:pPr>
            <w:r w:rsidRPr="00A256A1">
              <w:rPr>
                <w:sz w:val="18"/>
                <w:szCs w:val="18"/>
              </w:rPr>
              <w:t>0,40%</w:t>
            </w:r>
          </w:p>
        </w:tc>
        <w:tc>
          <w:tcPr>
            <w:tcW w:w="2266" w:type="dxa"/>
            <w:vAlign w:val="center"/>
          </w:tcPr>
          <w:p w14:paraId="144D52AF" w14:textId="77777777" w:rsidR="00847F16" w:rsidRPr="00A256A1" w:rsidRDefault="00847F16" w:rsidP="009324B6">
            <w:pPr>
              <w:ind w:firstLine="0"/>
              <w:jc w:val="left"/>
              <w:rPr>
                <w:sz w:val="18"/>
                <w:szCs w:val="18"/>
                <w:lang w:val="pl-PL"/>
              </w:rPr>
            </w:pPr>
            <w:proofErr w:type="spellStart"/>
            <w:r w:rsidRPr="00A256A1">
              <w:rPr>
                <w:sz w:val="18"/>
                <w:szCs w:val="18"/>
              </w:rPr>
              <w:t>Rodzice</w:t>
            </w:r>
            <w:proofErr w:type="spellEnd"/>
            <w:r w:rsidRPr="00A256A1">
              <w:rPr>
                <w:sz w:val="18"/>
                <w:szCs w:val="18"/>
              </w:rPr>
              <w:t>/</w:t>
            </w:r>
            <w:proofErr w:type="spellStart"/>
            <w:r w:rsidRPr="00A256A1">
              <w:rPr>
                <w:sz w:val="18"/>
                <w:szCs w:val="18"/>
              </w:rPr>
              <w:t>opiekunowie</w:t>
            </w:r>
            <w:proofErr w:type="spellEnd"/>
          </w:p>
        </w:tc>
        <w:tc>
          <w:tcPr>
            <w:tcW w:w="2266" w:type="dxa"/>
            <w:vAlign w:val="center"/>
          </w:tcPr>
          <w:p w14:paraId="7569B8FF" w14:textId="77777777" w:rsidR="00847F16" w:rsidRPr="00A256A1" w:rsidRDefault="00847F16" w:rsidP="009324B6">
            <w:pPr>
              <w:ind w:firstLine="0"/>
              <w:jc w:val="center"/>
              <w:rPr>
                <w:sz w:val="18"/>
                <w:szCs w:val="18"/>
                <w:lang w:val="pl-PL"/>
              </w:rPr>
            </w:pPr>
            <w:r w:rsidRPr="00A256A1">
              <w:rPr>
                <w:sz w:val="18"/>
                <w:szCs w:val="18"/>
              </w:rPr>
              <w:t>0,20%</w:t>
            </w:r>
          </w:p>
        </w:tc>
      </w:tr>
      <w:tr w:rsidR="00847F16" w:rsidRPr="00E34BBC" w14:paraId="01094CBD" w14:textId="77777777" w:rsidTr="009324B6">
        <w:trPr>
          <w:cantSplit/>
        </w:trPr>
        <w:tc>
          <w:tcPr>
            <w:tcW w:w="2265" w:type="dxa"/>
            <w:vAlign w:val="center"/>
          </w:tcPr>
          <w:p w14:paraId="18D3A03E" w14:textId="77777777" w:rsidR="00847F16" w:rsidRPr="00A256A1" w:rsidRDefault="00847F16" w:rsidP="009324B6">
            <w:pPr>
              <w:ind w:firstLine="0"/>
              <w:jc w:val="left"/>
              <w:rPr>
                <w:sz w:val="18"/>
                <w:szCs w:val="18"/>
                <w:lang w:val="pl-PL"/>
              </w:rPr>
            </w:pPr>
            <w:proofErr w:type="spellStart"/>
            <w:r w:rsidRPr="00A256A1">
              <w:rPr>
                <w:sz w:val="18"/>
                <w:szCs w:val="18"/>
              </w:rPr>
              <w:t>Pracownicy</w:t>
            </w:r>
            <w:proofErr w:type="spellEnd"/>
            <w:r w:rsidRPr="00A256A1">
              <w:rPr>
                <w:sz w:val="18"/>
                <w:szCs w:val="18"/>
              </w:rPr>
              <w:t xml:space="preserve"> </w:t>
            </w:r>
            <w:r w:rsidRPr="00A256A1">
              <w:rPr>
                <w:sz w:val="18"/>
                <w:szCs w:val="18"/>
              </w:rPr>
              <w:br/>
            </w:r>
            <w:proofErr w:type="spellStart"/>
            <w:r w:rsidRPr="00A256A1">
              <w:rPr>
                <w:sz w:val="18"/>
                <w:szCs w:val="18"/>
              </w:rPr>
              <w:t>administracyjni</w:t>
            </w:r>
            <w:proofErr w:type="spellEnd"/>
          </w:p>
        </w:tc>
        <w:tc>
          <w:tcPr>
            <w:tcW w:w="2265" w:type="dxa"/>
            <w:vAlign w:val="center"/>
          </w:tcPr>
          <w:p w14:paraId="09B71C34" w14:textId="77777777" w:rsidR="00847F16" w:rsidRPr="00A256A1" w:rsidRDefault="00847F16" w:rsidP="009324B6">
            <w:pPr>
              <w:ind w:firstLine="0"/>
              <w:jc w:val="center"/>
              <w:rPr>
                <w:sz w:val="18"/>
                <w:szCs w:val="18"/>
                <w:lang w:val="pl-PL"/>
              </w:rPr>
            </w:pPr>
            <w:r w:rsidRPr="00A256A1">
              <w:rPr>
                <w:sz w:val="18"/>
                <w:szCs w:val="18"/>
              </w:rPr>
              <w:t>12,00%</w:t>
            </w:r>
          </w:p>
        </w:tc>
        <w:tc>
          <w:tcPr>
            <w:tcW w:w="2266" w:type="dxa"/>
            <w:vAlign w:val="center"/>
          </w:tcPr>
          <w:p w14:paraId="50C1BAC6" w14:textId="77777777" w:rsidR="00847F16" w:rsidRPr="00A256A1" w:rsidRDefault="00847F16" w:rsidP="009324B6">
            <w:pPr>
              <w:ind w:firstLine="0"/>
              <w:jc w:val="left"/>
              <w:rPr>
                <w:sz w:val="18"/>
                <w:szCs w:val="18"/>
                <w:lang w:val="pl-PL"/>
              </w:rPr>
            </w:pPr>
            <w:proofErr w:type="spellStart"/>
            <w:r w:rsidRPr="00A256A1">
              <w:rPr>
                <w:sz w:val="18"/>
                <w:szCs w:val="18"/>
              </w:rPr>
              <w:t>Pracownicy</w:t>
            </w:r>
            <w:proofErr w:type="spellEnd"/>
            <w:r w:rsidRPr="00A256A1">
              <w:rPr>
                <w:sz w:val="18"/>
                <w:szCs w:val="18"/>
              </w:rPr>
              <w:t xml:space="preserve"> </w:t>
            </w:r>
            <w:r w:rsidRPr="00A256A1">
              <w:rPr>
                <w:sz w:val="18"/>
                <w:szCs w:val="18"/>
              </w:rPr>
              <w:br/>
            </w:r>
            <w:proofErr w:type="spellStart"/>
            <w:r w:rsidRPr="00A256A1">
              <w:rPr>
                <w:sz w:val="18"/>
                <w:szCs w:val="18"/>
              </w:rPr>
              <w:t>administracyjni</w:t>
            </w:r>
            <w:proofErr w:type="spellEnd"/>
          </w:p>
        </w:tc>
        <w:tc>
          <w:tcPr>
            <w:tcW w:w="2266" w:type="dxa"/>
            <w:vAlign w:val="center"/>
          </w:tcPr>
          <w:p w14:paraId="33272D80" w14:textId="77777777" w:rsidR="00847F16" w:rsidRPr="00A256A1" w:rsidRDefault="00847F16" w:rsidP="009324B6">
            <w:pPr>
              <w:ind w:firstLine="0"/>
              <w:jc w:val="center"/>
              <w:rPr>
                <w:sz w:val="18"/>
                <w:szCs w:val="18"/>
                <w:lang w:val="pl-PL"/>
              </w:rPr>
            </w:pPr>
            <w:r w:rsidRPr="00A256A1">
              <w:rPr>
                <w:sz w:val="18"/>
                <w:szCs w:val="18"/>
              </w:rPr>
              <w:t>9,80%</w:t>
            </w:r>
          </w:p>
        </w:tc>
      </w:tr>
      <w:tr w:rsidR="00847F16" w:rsidRPr="00E34BBC" w14:paraId="18EA205E" w14:textId="77777777" w:rsidTr="009324B6">
        <w:trPr>
          <w:cantSplit/>
        </w:trPr>
        <w:tc>
          <w:tcPr>
            <w:tcW w:w="2265" w:type="dxa"/>
            <w:vAlign w:val="center"/>
          </w:tcPr>
          <w:p w14:paraId="5CD19BD7" w14:textId="77777777" w:rsidR="00847F16" w:rsidRPr="00A256A1" w:rsidRDefault="00847F16" w:rsidP="009324B6">
            <w:pPr>
              <w:ind w:firstLine="0"/>
              <w:jc w:val="left"/>
              <w:rPr>
                <w:sz w:val="18"/>
                <w:szCs w:val="18"/>
                <w:lang w:val="pl-PL"/>
              </w:rPr>
            </w:pPr>
            <w:r w:rsidRPr="00A256A1">
              <w:rPr>
                <w:sz w:val="18"/>
                <w:szCs w:val="18"/>
                <w:lang w:val="pl-PL"/>
              </w:rPr>
              <w:t>Pracownicy naukowi lub dydaktyczni</w:t>
            </w:r>
          </w:p>
        </w:tc>
        <w:tc>
          <w:tcPr>
            <w:tcW w:w="2265" w:type="dxa"/>
            <w:vAlign w:val="center"/>
          </w:tcPr>
          <w:p w14:paraId="70547540" w14:textId="77777777" w:rsidR="00847F16" w:rsidRPr="00A256A1" w:rsidRDefault="00847F16" w:rsidP="009324B6">
            <w:pPr>
              <w:ind w:firstLine="0"/>
              <w:jc w:val="center"/>
              <w:rPr>
                <w:sz w:val="18"/>
                <w:szCs w:val="18"/>
                <w:lang w:val="pl-PL"/>
              </w:rPr>
            </w:pPr>
            <w:r w:rsidRPr="00A256A1">
              <w:rPr>
                <w:sz w:val="18"/>
                <w:szCs w:val="18"/>
              </w:rPr>
              <w:t>17,60%</w:t>
            </w:r>
          </w:p>
        </w:tc>
        <w:tc>
          <w:tcPr>
            <w:tcW w:w="2266" w:type="dxa"/>
            <w:vAlign w:val="center"/>
          </w:tcPr>
          <w:p w14:paraId="7322FE00" w14:textId="77777777" w:rsidR="00847F16" w:rsidRPr="00A256A1" w:rsidRDefault="00847F16" w:rsidP="009324B6">
            <w:pPr>
              <w:ind w:firstLine="0"/>
              <w:jc w:val="left"/>
              <w:rPr>
                <w:sz w:val="18"/>
                <w:szCs w:val="18"/>
                <w:lang w:val="pl-PL"/>
              </w:rPr>
            </w:pPr>
            <w:r w:rsidRPr="00A256A1">
              <w:rPr>
                <w:sz w:val="18"/>
                <w:szCs w:val="18"/>
                <w:lang w:val="pl-PL"/>
              </w:rPr>
              <w:t>Pracownicy naukowi lub dydaktyczni</w:t>
            </w:r>
          </w:p>
        </w:tc>
        <w:tc>
          <w:tcPr>
            <w:tcW w:w="2266" w:type="dxa"/>
            <w:vAlign w:val="center"/>
          </w:tcPr>
          <w:p w14:paraId="2077399E" w14:textId="77777777" w:rsidR="00847F16" w:rsidRPr="00A256A1" w:rsidRDefault="00847F16" w:rsidP="009324B6">
            <w:pPr>
              <w:ind w:firstLine="0"/>
              <w:jc w:val="center"/>
              <w:rPr>
                <w:sz w:val="18"/>
                <w:szCs w:val="18"/>
                <w:lang w:val="pl-PL"/>
              </w:rPr>
            </w:pPr>
            <w:r w:rsidRPr="00A256A1">
              <w:rPr>
                <w:sz w:val="18"/>
                <w:szCs w:val="18"/>
              </w:rPr>
              <w:t>25,00%</w:t>
            </w:r>
          </w:p>
        </w:tc>
      </w:tr>
      <w:tr w:rsidR="00847F16" w:rsidRPr="00E34BBC" w14:paraId="2C4F4C48" w14:textId="77777777" w:rsidTr="009324B6">
        <w:trPr>
          <w:cantSplit/>
        </w:trPr>
        <w:tc>
          <w:tcPr>
            <w:tcW w:w="2265" w:type="dxa"/>
            <w:vAlign w:val="center"/>
          </w:tcPr>
          <w:p w14:paraId="68E871F0" w14:textId="77777777" w:rsidR="00847F16" w:rsidRPr="00A256A1" w:rsidRDefault="00847F16" w:rsidP="009324B6">
            <w:pPr>
              <w:ind w:firstLine="0"/>
              <w:jc w:val="left"/>
              <w:rPr>
                <w:sz w:val="18"/>
                <w:szCs w:val="18"/>
                <w:lang w:val="pl-PL"/>
              </w:rPr>
            </w:pPr>
            <w:proofErr w:type="spellStart"/>
            <w:r w:rsidRPr="00A256A1">
              <w:rPr>
                <w:sz w:val="18"/>
                <w:szCs w:val="18"/>
              </w:rPr>
              <w:t>Przedsiębiorcy</w:t>
            </w:r>
            <w:proofErr w:type="spellEnd"/>
          </w:p>
        </w:tc>
        <w:tc>
          <w:tcPr>
            <w:tcW w:w="2265" w:type="dxa"/>
            <w:vAlign w:val="center"/>
          </w:tcPr>
          <w:p w14:paraId="38680271" w14:textId="77777777" w:rsidR="00847F16" w:rsidRPr="00A256A1" w:rsidRDefault="00847F16" w:rsidP="009324B6">
            <w:pPr>
              <w:ind w:firstLine="0"/>
              <w:jc w:val="center"/>
              <w:rPr>
                <w:sz w:val="18"/>
                <w:szCs w:val="18"/>
                <w:lang w:val="pl-PL"/>
              </w:rPr>
            </w:pPr>
            <w:r w:rsidRPr="00A256A1">
              <w:rPr>
                <w:sz w:val="18"/>
                <w:szCs w:val="18"/>
              </w:rPr>
              <w:t>14,00%</w:t>
            </w:r>
          </w:p>
        </w:tc>
        <w:tc>
          <w:tcPr>
            <w:tcW w:w="2266" w:type="dxa"/>
            <w:vAlign w:val="center"/>
          </w:tcPr>
          <w:p w14:paraId="0932855E" w14:textId="77777777" w:rsidR="00847F16" w:rsidRPr="00A256A1" w:rsidRDefault="00847F16" w:rsidP="009324B6">
            <w:pPr>
              <w:ind w:firstLine="0"/>
              <w:jc w:val="left"/>
              <w:rPr>
                <w:sz w:val="18"/>
                <w:szCs w:val="18"/>
                <w:lang w:val="pl-PL"/>
              </w:rPr>
            </w:pPr>
            <w:proofErr w:type="spellStart"/>
            <w:r w:rsidRPr="00A256A1">
              <w:rPr>
                <w:sz w:val="18"/>
                <w:szCs w:val="18"/>
              </w:rPr>
              <w:t>Przedsiębiorcy</w:t>
            </w:r>
            <w:proofErr w:type="spellEnd"/>
          </w:p>
        </w:tc>
        <w:tc>
          <w:tcPr>
            <w:tcW w:w="2266" w:type="dxa"/>
            <w:vAlign w:val="center"/>
          </w:tcPr>
          <w:p w14:paraId="7233123B" w14:textId="77777777" w:rsidR="00847F16" w:rsidRPr="00A256A1" w:rsidRDefault="00847F16" w:rsidP="009324B6">
            <w:pPr>
              <w:ind w:firstLine="0"/>
              <w:jc w:val="center"/>
              <w:rPr>
                <w:sz w:val="18"/>
                <w:szCs w:val="18"/>
                <w:lang w:val="pl-PL"/>
              </w:rPr>
            </w:pPr>
            <w:r w:rsidRPr="00A256A1">
              <w:rPr>
                <w:sz w:val="18"/>
                <w:szCs w:val="18"/>
              </w:rPr>
              <w:t>12,00%</w:t>
            </w:r>
          </w:p>
        </w:tc>
      </w:tr>
      <w:tr w:rsidR="00847F16" w:rsidRPr="00E34BBC" w14:paraId="3E4FF2F6" w14:textId="77777777" w:rsidTr="009324B6">
        <w:trPr>
          <w:cantSplit/>
        </w:trPr>
        <w:tc>
          <w:tcPr>
            <w:tcW w:w="2265" w:type="dxa"/>
            <w:vAlign w:val="center"/>
          </w:tcPr>
          <w:p w14:paraId="792E40E4" w14:textId="77777777" w:rsidR="00847F16" w:rsidRPr="00A256A1" w:rsidRDefault="00847F16" w:rsidP="005A1FE4">
            <w:pPr>
              <w:keepNext/>
              <w:ind w:firstLine="0"/>
              <w:jc w:val="left"/>
              <w:rPr>
                <w:sz w:val="18"/>
                <w:szCs w:val="18"/>
                <w:lang w:val="pl-PL"/>
              </w:rPr>
            </w:pPr>
            <w:proofErr w:type="spellStart"/>
            <w:r w:rsidRPr="00A256A1">
              <w:rPr>
                <w:sz w:val="18"/>
                <w:szCs w:val="18"/>
              </w:rPr>
              <w:t>Władze</w:t>
            </w:r>
            <w:proofErr w:type="spellEnd"/>
            <w:r w:rsidRPr="00A256A1">
              <w:rPr>
                <w:sz w:val="18"/>
                <w:szCs w:val="18"/>
              </w:rPr>
              <w:t xml:space="preserve"> </w:t>
            </w:r>
            <w:proofErr w:type="spellStart"/>
            <w:r w:rsidRPr="00A256A1">
              <w:rPr>
                <w:sz w:val="18"/>
                <w:szCs w:val="18"/>
              </w:rPr>
              <w:t>samorządowe</w:t>
            </w:r>
            <w:proofErr w:type="spellEnd"/>
          </w:p>
        </w:tc>
        <w:tc>
          <w:tcPr>
            <w:tcW w:w="2265" w:type="dxa"/>
            <w:vAlign w:val="center"/>
          </w:tcPr>
          <w:p w14:paraId="7E7C69C1" w14:textId="77777777" w:rsidR="00847F16" w:rsidRPr="00A256A1" w:rsidRDefault="00847F16" w:rsidP="005A1FE4">
            <w:pPr>
              <w:keepNext/>
              <w:ind w:firstLine="0"/>
              <w:jc w:val="center"/>
              <w:rPr>
                <w:sz w:val="18"/>
                <w:szCs w:val="18"/>
                <w:lang w:val="pl-PL"/>
              </w:rPr>
            </w:pPr>
            <w:r w:rsidRPr="00A256A1">
              <w:rPr>
                <w:sz w:val="18"/>
                <w:szCs w:val="18"/>
              </w:rPr>
              <w:t>10,00%</w:t>
            </w:r>
          </w:p>
        </w:tc>
        <w:tc>
          <w:tcPr>
            <w:tcW w:w="2266" w:type="dxa"/>
            <w:vAlign w:val="center"/>
          </w:tcPr>
          <w:p w14:paraId="05F205EE" w14:textId="77777777" w:rsidR="00847F16" w:rsidRPr="00A256A1" w:rsidRDefault="00847F16" w:rsidP="005A1FE4">
            <w:pPr>
              <w:keepNext/>
              <w:ind w:firstLine="0"/>
              <w:jc w:val="left"/>
              <w:rPr>
                <w:sz w:val="18"/>
                <w:szCs w:val="18"/>
                <w:lang w:val="pl-PL"/>
              </w:rPr>
            </w:pPr>
            <w:proofErr w:type="spellStart"/>
            <w:r w:rsidRPr="00A256A1">
              <w:rPr>
                <w:sz w:val="18"/>
                <w:szCs w:val="18"/>
              </w:rPr>
              <w:t>Władze</w:t>
            </w:r>
            <w:proofErr w:type="spellEnd"/>
            <w:r w:rsidRPr="00A256A1">
              <w:rPr>
                <w:sz w:val="18"/>
                <w:szCs w:val="18"/>
              </w:rPr>
              <w:t xml:space="preserve"> </w:t>
            </w:r>
            <w:proofErr w:type="spellStart"/>
            <w:r w:rsidRPr="00A256A1">
              <w:rPr>
                <w:sz w:val="18"/>
                <w:szCs w:val="18"/>
              </w:rPr>
              <w:t>samorządowe</w:t>
            </w:r>
            <w:proofErr w:type="spellEnd"/>
          </w:p>
        </w:tc>
        <w:tc>
          <w:tcPr>
            <w:tcW w:w="2266" w:type="dxa"/>
            <w:vAlign w:val="center"/>
          </w:tcPr>
          <w:p w14:paraId="30DA35D5" w14:textId="77777777" w:rsidR="00847F16" w:rsidRPr="00A256A1" w:rsidRDefault="00847F16" w:rsidP="005A1FE4">
            <w:pPr>
              <w:keepNext/>
              <w:ind w:firstLine="0"/>
              <w:jc w:val="center"/>
              <w:rPr>
                <w:sz w:val="18"/>
                <w:szCs w:val="18"/>
                <w:lang w:val="pl-PL"/>
              </w:rPr>
            </w:pPr>
            <w:r w:rsidRPr="00A256A1">
              <w:rPr>
                <w:sz w:val="18"/>
                <w:szCs w:val="18"/>
              </w:rPr>
              <w:t>12,00%</w:t>
            </w:r>
          </w:p>
        </w:tc>
      </w:tr>
    </w:tbl>
    <w:p w14:paraId="1C28A541" w14:textId="77777777" w:rsidR="00847F16" w:rsidRPr="00C64CEC" w:rsidRDefault="00847F16" w:rsidP="007770AA">
      <w:pPr>
        <w:pStyle w:val="rdo"/>
      </w:pPr>
      <w:r w:rsidRPr="00C64CEC">
        <w:t>Źródło: opracowanie własne na podstawie wyników badań kwestionariuszowych</w:t>
      </w:r>
    </w:p>
    <w:p w14:paraId="5E5878F1" w14:textId="2587E680" w:rsidR="00847F16" w:rsidRDefault="00847F16" w:rsidP="00847F16">
      <w:pPr>
        <w:ind w:firstLine="0"/>
      </w:pPr>
      <w:r>
        <w:t>Wartości przestawione w tabeli po</w:t>
      </w:r>
      <w:r>
        <w:fldChar w:fldCharType="begin"/>
      </w:r>
      <w:r>
        <w:instrText xml:space="preserve"> REF _Ref134898540 \p \h </w:instrText>
      </w:r>
      <w:r>
        <w:fldChar w:fldCharType="separate"/>
      </w:r>
      <w:r w:rsidR="009E351C">
        <w:t>wyżej</w:t>
      </w:r>
      <w:r>
        <w:fldChar w:fldCharType="end"/>
      </w:r>
      <w:r>
        <w:t xml:space="preserve"> (</w:t>
      </w:r>
      <w:r>
        <w:fldChar w:fldCharType="begin"/>
      </w:r>
      <w:r>
        <w:instrText xml:space="preserve"> REF _Ref134898522 \h </w:instrText>
      </w:r>
      <w:r>
        <w:fldChar w:fldCharType="separate"/>
      </w:r>
      <w:r w:rsidR="009E351C">
        <w:t xml:space="preserve">Tabela </w:t>
      </w:r>
      <w:r w:rsidR="009E351C">
        <w:rPr>
          <w:noProof/>
        </w:rPr>
        <w:t>67</w:t>
      </w:r>
      <w:r>
        <w:fldChar w:fldCharType="end"/>
      </w:r>
      <w:r>
        <w:t xml:space="preserve">) są wyliczone na podstawie odpowiedzi udzielanych przez przedstawicieli władz uczelni. Odpowiedzi miały formę rozdzielenia 100 punktów pomiędzy różne grupy interesariuszy w taki sposób, by odzwierciedlały opinię respondenta co do istotności danej grupy interesariuszy z punktu widzenia procesu doskonalenia usług ocenianej uczelni. Na potrzeby przedstawienia procesu wyliczania ważonego indeksu satysfakcji interesariuszy do wyliczenia wag wykorzystano wszystkie odpowiedzi respondentów niezależnie od tego, jakiej uczelni dotyczyły. Korzystając ze wzoru (2) (por. rozdz. </w:t>
      </w:r>
      <w:r>
        <w:fldChar w:fldCharType="begin"/>
      </w:r>
      <w:r>
        <w:instrText xml:space="preserve"> REF _Ref137319715 \r \h </w:instrText>
      </w:r>
      <w:r>
        <w:fldChar w:fldCharType="separate"/>
      </w:r>
      <w:r w:rsidR="009E351C">
        <w:t>1.3.2</w:t>
      </w:r>
      <w:r>
        <w:fldChar w:fldCharType="end"/>
      </w:r>
      <w:r>
        <w:t>) można wyliczyć indeks satysfakcji interesariuszy na podstawie wybranych wag oraz wartości cząstkowych SSI. Dla niniejszego badania kwestionariuszowego wartości wag cząstkowych zostały przedstawione w tabeli po</w:t>
      </w:r>
      <w:r>
        <w:fldChar w:fldCharType="begin"/>
      </w:r>
      <w:r>
        <w:instrText xml:space="preserve"> REF _Ref134898564 \p \h </w:instrText>
      </w:r>
      <w:r>
        <w:fldChar w:fldCharType="separate"/>
      </w:r>
      <w:r w:rsidR="009E351C">
        <w:t>niżej</w:t>
      </w:r>
      <w:r>
        <w:fldChar w:fldCharType="end"/>
      </w:r>
      <w:r>
        <w:t xml:space="preserve"> (</w:t>
      </w:r>
      <w:r>
        <w:fldChar w:fldCharType="begin"/>
      </w:r>
      <w:r>
        <w:instrText xml:space="preserve"> REF _Ref134898572 \h </w:instrText>
      </w:r>
      <w:r>
        <w:fldChar w:fldCharType="separate"/>
      </w:r>
      <w:r w:rsidR="009E351C">
        <w:t xml:space="preserve">Tabela </w:t>
      </w:r>
      <w:r w:rsidR="009E351C">
        <w:rPr>
          <w:noProof/>
        </w:rPr>
        <w:t>68</w:t>
      </w:r>
      <w:r>
        <w:fldChar w:fldCharType="end"/>
      </w:r>
      <w:r>
        <w:t>).</w:t>
      </w:r>
    </w:p>
    <w:p w14:paraId="03249696" w14:textId="0F67F0F4" w:rsidR="00847F16" w:rsidRDefault="00847F16" w:rsidP="00847F16">
      <w:pPr>
        <w:pStyle w:val="Tytutabeli"/>
      </w:pPr>
      <w:bookmarkStart w:id="95" w:name="_Ref134898572"/>
      <w:bookmarkStart w:id="96" w:name="_Ref134898564"/>
      <w:bookmarkStart w:id="97" w:name="_Ref134898594"/>
      <w:bookmarkStart w:id="98" w:name="_Toc163576357"/>
      <w:r>
        <w:t xml:space="preserve">Tabela </w:t>
      </w:r>
      <w:r>
        <w:fldChar w:fldCharType="begin"/>
      </w:r>
      <w:r>
        <w:instrText xml:space="preserve"> SEQ Tabela \* ARABIC </w:instrText>
      </w:r>
      <w:r>
        <w:fldChar w:fldCharType="separate"/>
      </w:r>
      <w:r w:rsidR="00DA2A4D">
        <w:rPr>
          <w:noProof/>
        </w:rPr>
        <w:t>68</w:t>
      </w:r>
      <w:r>
        <w:rPr>
          <w:noProof/>
        </w:rPr>
        <w:fldChar w:fldCharType="end"/>
      </w:r>
      <w:bookmarkEnd w:id="95"/>
      <w:r>
        <w:t xml:space="preserve"> Wartości cząstkowych SSI dla poszczególnych grup interesariuszy.</w:t>
      </w:r>
      <w:bookmarkEnd w:id="96"/>
      <w:bookmarkEnd w:id="97"/>
      <w:bookmarkEnd w:id="98"/>
    </w:p>
    <w:tbl>
      <w:tblPr>
        <w:tblStyle w:val="Tabela-Siatka"/>
        <w:tblW w:w="7938" w:type="dxa"/>
        <w:tblLook w:val="04A0" w:firstRow="1" w:lastRow="0" w:firstColumn="1" w:lastColumn="0" w:noHBand="0" w:noVBand="1"/>
      </w:tblPr>
      <w:tblGrid>
        <w:gridCol w:w="3969"/>
        <w:gridCol w:w="3969"/>
      </w:tblGrid>
      <w:tr w:rsidR="00847F16" w:rsidRPr="00A8088D" w14:paraId="11F45306" w14:textId="77777777" w:rsidTr="009324B6">
        <w:trPr>
          <w:cantSplit/>
          <w:trHeight w:val="285"/>
          <w:tblHeader/>
        </w:trPr>
        <w:tc>
          <w:tcPr>
            <w:tcW w:w="3969" w:type="dxa"/>
            <w:noWrap/>
            <w:vAlign w:val="center"/>
          </w:tcPr>
          <w:p w14:paraId="2DB1B496" w14:textId="77777777" w:rsidR="00847F16" w:rsidRPr="00A8088D" w:rsidRDefault="00847F16" w:rsidP="004C1815">
            <w:pPr>
              <w:keepNext/>
              <w:spacing w:before="0" w:line="240" w:lineRule="auto"/>
              <w:ind w:firstLine="0"/>
              <w:jc w:val="center"/>
              <w:rPr>
                <w:rFonts w:eastAsia="Times New Roman" w:cs="Arial"/>
                <w:b/>
                <w:bCs/>
                <w:color w:val="000000"/>
                <w:sz w:val="20"/>
                <w:szCs w:val="20"/>
                <w:lang w:eastAsia="pl-PL"/>
              </w:rPr>
            </w:pPr>
            <w:r w:rsidRPr="005A1FE4">
              <w:rPr>
                <w:rFonts w:eastAsia="Times New Roman" w:cs="Arial"/>
                <w:b/>
                <w:bCs/>
                <w:color w:val="000000"/>
                <w:sz w:val="18"/>
                <w:szCs w:val="18"/>
                <w:lang w:eastAsia="pl-PL"/>
              </w:rPr>
              <w:t xml:space="preserve">Nazwa </w:t>
            </w:r>
            <w:proofErr w:type="spellStart"/>
            <w:r w:rsidRPr="005A1FE4">
              <w:rPr>
                <w:rFonts w:eastAsia="Times New Roman" w:cs="Arial"/>
                <w:b/>
                <w:bCs/>
                <w:color w:val="000000"/>
                <w:sz w:val="18"/>
                <w:szCs w:val="18"/>
                <w:lang w:eastAsia="pl-PL"/>
              </w:rPr>
              <w:t>cząstkowego</w:t>
            </w:r>
            <w:proofErr w:type="spellEnd"/>
            <w:r w:rsidRPr="005A1FE4">
              <w:rPr>
                <w:rFonts w:eastAsia="Times New Roman" w:cs="Arial"/>
                <w:b/>
                <w:bCs/>
                <w:color w:val="000000"/>
                <w:sz w:val="18"/>
                <w:szCs w:val="18"/>
                <w:lang w:eastAsia="pl-PL"/>
              </w:rPr>
              <w:t xml:space="preserve"> SSI</w:t>
            </w:r>
          </w:p>
        </w:tc>
        <w:tc>
          <w:tcPr>
            <w:tcW w:w="3969" w:type="dxa"/>
            <w:noWrap/>
            <w:vAlign w:val="center"/>
          </w:tcPr>
          <w:p w14:paraId="1569ABE6" w14:textId="77777777" w:rsidR="00847F16" w:rsidRPr="005A1FE4" w:rsidRDefault="00847F16" w:rsidP="004C1815">
            <w:pPr>
              <w:keepNext/>
              <w:spacing w:before="0" w:line="240" w:lineRule="auto"/>
              <w:ind w:firstLine="0"/>
              <w:jc w:val="center"/>
              <w:rPr>
                <w:rFonts w:eastAsia="Times New Roman" w:cs="Arial"/>
                <w:b/>
                <w:bCs/>
                <w:color w:val="000000"/>
                <w:sz w:val="18"/>
                <w:szCs w:val="18"/>
                <w:lang w:eastAsia="pl-PL"/>
              </w:rPr>
            </w:pPr>
            <w:proofErr w:type="spellStart"/>
            <w:r w:rsidRPr="005A1FE4">
              <w:rPr>
                <w:rFonts w:eastAsia="Times New Roman" w:cs="Arial"/>
                <w:b/>
                <w:bCs/>
                <w:color w:val="000000"/>
                <w:sz w:val="18"/>
                <w:szCs w:val="18"/>
                <w:lang w:eastAsia="pl-PL"/>
              </w:rPr>
              <w:t>Wartość</w:t>
            </w:r>
            <w:proofErr w:type="spellEnd"/>
            <w:r w:rsidRPr="005A1FE4">
              <w:rPr>
                <w:rFonts w:eastAsia="Times New Roman" w:cs="Arial"/>
                <w:b/>
                <w:bCs/>
                <w:color w:val="000000"/>
                <w:sz w:val="18"/>
                <w:szCs w:val="18"/>
                <w:lang w:eastAsia="pl-PL"/>
              </w:rPr>
              <w:t xml:space="preserve"> </w:t>
            </w:r>
            <w:proofErr w:type="spellStart"/>
            <w:r w:rsidRPr="005A1FE4">
              <w:rPr>
                <w:rFonts w:eastAsia="Times New Roman" w:cs="Arial"/>
                <w:b/>
                <w:bCs/>
                <w:color w:val="000000"/>
                <w:sz w:val="18"/>
                <w:szCs w:val="18"/>
                <w:lang w:eastAsia="pl-PL"/>
              </w:rPr>
              <w:t>cząstkowego</w:t>
            </w:r>
            <w:proofErr w:type="spellEnd"/>
            <w:r w:rsidRPr="005A1FE4">
              <w:rPr>
                <w:rFonts w:eastAsia="Times New Roman" w:cs="Arial"/>
                <w:b/>
                <w:bCs/>
                <w:color w:val="000000"/>
                <w:sz w:val="18"/>
                <w:szCs w:val="18"/>
                <w:lang w:eastAsia="pl-PL"/>
              </w:rPr>
              <w:t xml:space="preserve"> SSI</w:t>
            </w:r>
          </w:p>
        </w:tc>
      </w:tr>
      <w:tr w:rsidR="00847F16" w:rsidRPr="00A8088D" w14:paraId="7A268616" w14:textId="77777777" w:rsidTr="009324B6">
        <w:trPr>
          <w:cantSplit/>
          <w:trHeight w:val="285"/>
        </w:trPr>
        <w:tc>
          <w:tcPr>
            <w:tcW w:w="3969" w:type="dxa"/>
            <w:noWrap/>
            <w:vAlign w:val="center"/>
            <w:hideMark/>
          </w:tcPr>
          <w:p w14:paraId="6521D70F"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studenci</w:t>
            </w:r>
            <w:proofErr w:type="spellEnd"/>
          </w:p>
        </w:tc>
        <w:tc>
          <w:tcPr>
            <w:tcW w:w="3969" w:type="dxa"/>
            <w:noWrap/>
            <w:vAlign w:val="center"/>
            <w:hideMark/>
          </w:tcPr>
          <w:p w14:paraId="5E443808"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5,071</w:t>
            </w:r>
          </w:p>
        </w:tc>
      </w:tr>
      <w:tr w:rsidR="00847F16" w:rsidRPr="00A8088D" w14:paraId="70B9B56E" w14:textId="77777777" w:rsidTr="009324B6">
        <w:trPr>
          <w:cantSplit/>
          <w:trHeight w:val="285"/>
        </w:trPr>
        <w:tc>
          <w:tcPr>
            <w:tcW w:w="3969" w:type="dxa"/>
            <w:noWrap/>
            <w:vAlign w:val="center"/>
            <w:hideMark/>
          </w:tcPr>
          <w:p w14:paraId="32F2EB82"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absolwenci</w:t>
            </w:r>
            <w:proofErr w:type="spellEnd"/>
          </w:p>
        </w:tc>
        <w:tc>
          <w:tcPr>
            <w:tcW w:w="3969" w:type="dxa"/>
            <w:noWrap/>
            <w:vAlign w:val="center"/>
            <w:hideMark/>
          </w:tcPr>
          <w:p w14:paraId="2C41BB43"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5,193</w:t>
            </w:r>
          </w:p>
        </w:tc>
      </w:tr>
      <w:tr w:rsidR="00847F16" w:rsidRPr="00A8088D" w14:paraId="505ECADF" w14:textId="77777777" w:rsidTr="009324B6">
        <w:trPr>
          <w:cantSplit/>
          <w:trHeight w:val="285"/>
        </w:trPr>
        <w:tc>
          <w:tcPr>
            <w:tcW w:w="3969" w:type="dxa"/>
            <w:noWrap/>
            <w:vAlign w:val="center"/>
            <w:hideMark/>
          </w:tcPr>
          <w:p w14:paraId="1F7230BA"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rodzice</w:t>
            </w:r>
            <w:proofErr w:type="spellEnd"/>
          </w:p>
        </w:tc>
        <w:tc>
          <w:tcPr>
            <w:tcW w:w="3969" w:type="dxa"/>
            <w:noWrap/>
            <w:vAlign w:val="center"/>
            <w:hideMark/>
          </w:tcPr>
          <w:p w14:paraId="7AC41B78"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5,696</w:t>
            </w:r>
          </w:p>
        </w:tc>
      </w:tr>
      <w:tr w:rsidR="00847F16" w:rsidRPr="00A8088D" w14:paraId="2FE6E1CA" w14:textId="77777777" w:rsidTr="009324B6">
        <w:trPr>
          <w:cantSplit/>
          <w:trHeight w:val="285"/>
        </w:trPr>
        <w:tc>
          <w:tcPr>
            <w:tcW w:w="3969" w:type="dxa"/>
            <w:noWrap/>
            <w:vAlign w:val="center"/>
            <w:hideMark/>
          </w:tcPr>
          <w:p w14:paraId="5F99A5A6"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pracownicyAdm</w:t>
            </w:r>
            <w:proofErr w:type="spellEnd"/>
          </w:p>
        </w:tc>
        <w:tc>
          <w:tcPr>
            <w:tcW w:w="3969" w:type="dxa"/>
            <w:noWrap/>
            <w:vAlign w:val="center"/>
            <w:hideMark/>
          </w:tcPr>
          <w:p w14:paraId="2474CCF0"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6,750</w:t>
            </w:r>
          </w:p>
        </w:tc>
      </w:tr>
      <w:tr w:rsidR="00847F16" w:rsidRPr="00A8088D" w14:paraId="70EB5652" w14:textId="77777777" w:rsidTr="009324B6">
        <w:trPr>
          <w:cantSplit/>
          <w:trHeight w:val="285"/>
        </w:trPr>
        <w:tc>
          <w:tcPr>
            <w:tcW w:w="3969" w:type="dxa"/>
            <w:noWrap/>
            <w:vAlign w:val="center"/>
            <w:hideMark/>
          </w:tcPr>
          <w:p w14:paraId="4770CA9D"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pracownicyNauk</w:t>
            </w:r>
            <w:proofErr w:type="spellEnd"/>
          </w:p>
        </w:tc>
        <w:tc>
          <w:tcPr>
            <w:tcW w:w="3969" w:type="dxa"/>
            <w:noWrap/>
            <w:vAlign w:val="center"/>
            <w:hideMark/>
          </w:tcPr>
          <w:p w14:paraId="4D19C6C5"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6,000</w:t>
            </w:r>
          </w:p>
        </w:tc>
      </w:tr>
      <w:tr w:rsidR="00847F16" w:rsidRPr="00A8088D" w14:paraId="147326A2" w14:textId="77777777" w:rsidTr="009324B6">
        <w:trPr>
          <w:cantSplit/>
          <w:trHeight w:val="285"/>
        </w:trPr>
        <w:tc>
          <w:tcPr>
            <w:tcW w:w="3969" w:type="dxa"/>
            <w:noWrap/>
            <w:vAlign w:val="center"/>
            <w:hideMark/>
          </w:tcPr>
          <w:p w14:paraId="0F5B7111"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władzeUcz</w:t>
            </w:r>
            <w:proofErr w:type="spellEnd"/>
          </w:p>
        </w:tc>
        <w:tc>
          <w:tcPr>
            <w:tcW w:w="3969" w:type="dxa"/>
            <w:noWrap/>
            <w:vAlign w:val="center"/>
            <w:hideMark/>
          </w:tcPr>
          <w:p w14:paraId="420D5498"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5,800</w:t>
            </w:r>
          </w:p>
        </w:tc>
      </w:tr>
      <w:tr w:rsidR="00847F16" w:rsidRPr="00A8088D" w14:paraId="36004127" w14:textId="77777777" w:rsidTr="009324B6">
        <w:trPr>
          <w:cantSplit/>
          <w:trHeight w:val="285"/>
        </w:trPr>
        <w:tc>
          <w:tcPr>
            <w:tcW w:w="3969" w:type="dxa"/>
            <w:noWrap/>
            <w:vAlign w:val="center"/>
            <w:hideMark/>
          </w:tcPr>
          <w:p w14:paraId="209DDF68" w14:textId="77777777" w:rsidR="00847F16" w:rsidRPr="00A8088D" w:rsidRDefault="00847F16" w:rsidP="009324B6">
            <w:pPr>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przedsiębiorcy</w:t>
            </w:r>
            <w:proofErr w:type="spellEnd"/>
          </w:p>
        </w:tc>
        <w:tc>
          <w:tcPr>
            <w:tcW w:w="3969" w:type="dxa"/>
            <w:noWrap/>
            <w:vAlign w:val="center"/>
            <w:hideMark/>
          </w:tcPr>
          <w:p w14:paraId="6390685A" w14:textId="77777777" w:rsidR="00847F16" w:rsidRPr="005A1FE4" w:rsidRDefault="00847F16" w:rsidP="009324B6">
            <w:pPr>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4,800</w:t>
            </w:r>
          </w:p>
        </w:tc>
      </w:tr>
      <w:tr w:rsidR="00847F16" w:rsidRPr="00A8088D" w14:paraId="06AC99F5" w14:textId="77777777" w:rsidTr="009324B6">
        <w:trPr>
          <w:cantSplit/>
          <w:trHeight w:val="285"/>
        </w:trPr>
        <w:tc>
          <w:tcPr>
            <w:tcW w:w="3969" w:type="dxa"/>
            <w:noWrap/>
            <w:vAlign w:val="center"/>
            <w:hideMark/>
          </w:tcPr>
          <w:p w14:paraId="42D043B1" w14:textId="77777777" w:rsidR="00847F16" w:rsidRPr="00A8088D" w:rsidRDefault="00847F16" w:rsidP="004C1815">
            <w:pPr>
              <w:keepNext/>
              <w:spacing w:before="0" w:line="240" w:lineRule="auto"/>
              <w:ind w:firstLine="0"/>
              <w:jc w:val="center"/>
              <w:rPr>
                <w:rFonts w:eastAsia="Times New Roman" w:cs="Arial"/>
                <w:color w:val="000000"/>
                <w:sz w:val="20"/>
                <w:szCs w:val="20"/>
                <w:lang w:eastAsia="pl-PL"/>
              </w:rPr>
            </w:pPr>
            <w:proofErr w:type="spellStart"/>
            <w:r w:rsidRPr="00A8088D">
              <w:rPr>
                <w:rFonts w:eastAsia="Times New Roman" w:cs="Arial"/>
                <w:color w:val="000000"/>
                <w:sz w:val="20"/>
                <w:szCs w:val="20"/>
                <w:lang w:eastAsia="pl-PL"/>
              </w:rPr>
              <w:t>SSI</w:t>
            </w:r>
            <w:r w:rsidRPr="00A8088D">
              <w:rPr>
                <w:rFonts w:eastAsia="Times New Roman" w:cs="Arial"/>
                <w:color w:val="000000"/>
                <w:sz w:val="20"/>
                <w:szCs w:val="20"/>
                <w:vertAlign w:val="subscript"/>
                <w:lang w:eastAsia="pl-PL"/>
              </w:rPr>
              <w:t>władzeSam</w:t>
            </w:r>
            <w:proofErr w:type="spellEnd"/>
          </w:p>
        </w:tc>
        <w:tc>
          <w:tcPr>
            <w:tcW w:w="3969" w:type="dxa"/>
            <w:noWrap/>
            <w:vAlign w:val="center"/>
            <w:hideMark/>
          </w:tcPr>
          <w:p w14:paraId="4AC1C4ED" w14:textId="77777777" w:rsidR="00847F16" w:rsidRPr="005A1FE4" w:rsidRDefault="00847F16" w:rsidP="004C1815">
            <w:pPr>
              <w:keepNext/>
              <w:spacing w:before="0" w:line="240" w:lineRule="auto"/>
              <w:ind w:firstLine="0"/>
              <w:jc w:val="center"/>
              <w:rPr>
                <w:rFonts w:eastAsia="Times New Roman" w:cs="Arial"/>
                <w:color w:val="000000"/>
                <w:sz w:val="20"/>
                <w:szCs w:val="20"/>
                <w:lang w:eastAsia="pl-PL"/>
              </w:rPr>
            </w:pPr>
            <w:r w:rsidRPr="005A1FE4">
              <w:rPr>
                <w:rFonts w:eastAsia="Times New Roman" w:cs="Arial"/>
                <w:color w:val="000000"/>
                <w:sz w:val="20"/>
                <w:szCs w:val="20"/>
                <w:lang w:eastAsia="pl-PL"/>
              </w:rPr>
              <w:t>6,500</w:t>
            </w:r>
          </w:p>
        </w:tc>
      </w:tr>
    </w:tbl>
    <w:p w14:paraId="269B0806" w14:textId="77777777" w:rsidR="00847F16" w:rsidRDefault="00847F16" w:rsidP="007770AA">
      <w:pPr>
        <w:pStyle w:val="rdo"/>
      </w:pPr>
      <w:r>
        <w:t>Źródło: opracowanie własne na podstawie wyników badania kwestionariuszowego.</w:t>
      </w:r>
    </w:p>
    <w:p w14:paraId="248F949D" w14:textId="722A9AA1" w:rsidR="00847F16" w:rsidRPr="00624645" w:rsidRDefault="00847F16" w:rsidP="00847F16">
      <w:r>
        <w:lastRenderedPageBreak/>
        <w:t>Analizując wartości cząstkowe z tabeli po</w:t>
      </w:r>
      <w:r>
        <w:fldChar w:fldCharType="begin"/>
      </w:r>
      <w:r>
        <w:instrText xml:space="preserve"> REF _Ref134898594 \p \h </w:instrText>
      </w:r>
      <w:r>
        <w:fldChar w:fldCharType="separate"/>
      </w:r>
      <w:r w:rsidR="009E351C">
        <w:t>wyżej</w:t>
      </w:r>
      <w:r>
        <w:fldChar w:fldCharType="end"/>
      </w:r>
      <w:r>
        <w:t xml:space="preserve"> (</w:t>
      </w:r>
      <w:r>
        <w:fldChar w:fldCharType="begin"/>
      </w:r>
      <w:r>
        <w:instrText xml:space="preserve"> REF _Ref134898572 \h </w:instrText>
      </w:r>
      <w:r>
        <w:fldChar w:fldCharType="separate"/>
      </w:r>
      <w:r w:rsidR="009E351C">
        <w:t xml:space="preserve">Tabela </w:t>
      </w:r>
      <w:r w:rsidR="009E351C">
        <w:rPr>
          <w:noProof/>
        </w:rPr>
        <w:t>68</w:t>
      </w:r>
      <w:r>
        <w:fldChar w:fldCharType="end"/>
      </w:r>
      <w:r>
        <w:t xml:space="preserve">) w zestawieniu z przedstawionymi wcześniej wartościami wag, należy zauważyć, że wagi uzyskane na podstawie odpowiedzi przedstawicieli uczelni nie uwzględniają opinii tej grupy interesariuszy uczelni. Wynika to z faktu, że ten sposób przypisania wag mają odzwierciedlać utylitarny charakter indeksu SSI z punktu widzenia właśnie władz uczelni. Ma to na celu uwypuklenie roli indeksu SSI jako narzędzia służącego do wspierania procesu podejmowania decyzji dotyczących doskonalenia systemy zarządzania jakością uczelni. Biorąc pod uwagę dwa pytania służące do określania wag, warto zauważyć, że pytanie nr 1 w porównaniu z pytaniem nr 2 (patrz </w:t>
      </w:r>
      <w:r>
        <w:fldChar w:fldCharType="begin"/>
      </w:r>
      <w:r>
        <w:instrText xml:space="preserve"> REF _Ref134898522 \h </w:instrText>
      </w:r>
      <w:r>
        <w:fldChar w:fldCharType="separate"/>
      </w:r>
      <w:r w:rsidR="009E351C">
        <w:t xml:space="preserve">Tabela </w:t>
      </w:r>
      <w:r w:rsidR="009E351C">
        <w:rPr>
          <w:noProof/>
        </w:rPr>
        <w:t>67</w:t>
      </w:r>
      <w:r>
        <w:fldChar w:fldCharType="end"/>
      </w:r>
      <w:r>
        <w:t xml:space="preserve">) odnosi się do postrzegania istotności interesariuszy uczelni w kontekście raczej długoterminowym, kierując uwagę respondenta na pewną ideę postrzegania roli poszczególnych grup interesariuszy. Natomiast pytanie numer 2, wskazując na praktykę uwzględniania opinii interesariuszy </w:t>
      </w:r>
      <w:r w:rsidRPr="00624645">
        <w:rPr>
          <w:i/>
          <w:iCs/>
        </w:rPr>
        <w:t>tu i teraz</w:t>
      </w:r>
      <w:r>
        <w:t xml:space="preserve">, raczej odnosi się do perspektywy krótkoterminowej. Z tego względu zagregowane indeksy SSI zostaną rozróżnione jako </w:t>
      </w:r>
      <w:proofErr w:type="spellStart"/>
      <w:r>
        <w:t>SSI</w:t>
      </w:r>
      <w:r w:rsidRPr="00624645">
        <w:rPr>
          <w:vertAlign w:val="subscript"/>
        </w:rPr>
        <w:t>długoterminowy</w:t>
      </w:r>
      <w:proofErr w:type="spellEnd"/>
      <w:r>
        <w:t xml:space="preserve">, </w:t>
      </w:r>
      <w:proofErr w:type="spellStart"/>
      <w:r>
        <w:t>bedący</w:t>
      </w:r>
      <w:proofErr w:type="spellEnd"/>
      <w:r>
        <w:t xml:space="preserve"> rezultatem obliczeń uwzględniających wagi wyliczone na podstawie pytania nr 1, a także </w:t>
      </w:r>
      <w:proofErr w:type="spellStart"/>
      <w:r>
        <w:t>SSI</w:t>
      </w:r>
      <w:r w:rsidRPr="007B2305">
        <w:rPr>
          <w:vertAlign w:val="subscript"/>
        </w:rPr>
        <w:t>krótkoterminowy</w:t>
      </w:r>
      <w:proofErr w:type="spellEnd"/>
      <w:r>
        <w:t xml:space="preserve">, będący rezultatem obliczeń uwzględniających wagi wyliczone na podstawie pytania nr 2 (patrz </w:t>
      </w:r>
      <w:r>
        <w:fldChar w:fldCharType="begin"/>
      </w:r>
      <w:r>
        <w:instrText xml:space="preserve"> REF _Ref134898522 \h </w:instrText>
      </w:r>
      <w:r>
        <w:fldChar w:fldCharType="separate"/>
      </w:r>
      <w:r w:rsidR="009E351C">
        <w:t xml:space="preserve">Tabela </w:t>
      </w:r>
      <w:r w:rsidR="009E351C">
        <w:rPr>
          <w:noProof/>
        </w:rPr>
        <w:t>67</w:t>
      </w:r>
      <w:r>
        <w:fldChar w:fldCharType="end"/>
      </w:r>
      <w:r>
        <w:t>).</w:t>
      </w:r>
    </w:p>
    <w:p w14:paraId="33451AFC" w14:textId="77777777" w:rsidR="00847F16" w:rsidRDefault="00847F16" w:rsidP="00847F16">
      <w:r>
        <w:t>Wartości zagregowanych ważonych SSI dla przeprowadzonego badania kwestionariuszowego wynoszą odpowiednio:</w:t>
      </w:r>
    </w:p>
    <w:p w14:paraId="7D29081D" w14:textId="77777777" w:rsidR="00847F16" w:rsidRDefault="00847F16" w:rsidP="002D3260">
      <w:pPr>
        <w:pStyle w:val="Akapitzlist"/>
        <w:numPr>
          <w:ilvl w:val="0"/>
          <w:numId w:val="31"/>
        </w:numPr>
      </w:pPr>
      <w:proofErr w:type="spellStart"/>
      <w:r>
        <w:t>SSI</w:t>
      </w:r>
      <w:r w:rsidRPr="00624645">
        <w:rPr>
          <w:vertAlign w:val="subscript"/>
        </w:rPr>
        <w:t>długoterminowy</w:t>
      </w:r>
      <w:proofErr w:type="spellEnd"/>
      <w:r>
        <w:t xml:space="preserve"> = </w:t>
      </w:r>
      <w:r w:rsidRPr="00841864">
        <w:t>5,573</w:t>
      </w:r>
    </w:p>
    <w:p w14:paraId="2A29472F" w14:textId="77777777" w:rsidR="00847F16" w:rsidRDefault="00847F16" w:rsidP="002D3260">
      <w:pPr>
        <w:pStyle w:val="Akapitzlist"/>
        <w:numPr>
          <w:ilvl w:val="0"/>
          <w:numId w:val="31"/>
        </w:numPr>
      </w:pPr>
      <w:proofErr w:type="spellStart"/>
      <w:r>
        <w:t>SSI</w:t>
      </w:r>
      <w:r w:rsidRPr="007B2305">
        <w:rPr>
          <w:vertAlign w:val="subscript"/>
        </w:rPr>
        <w:t>krótkoterminowy</w:t>
      </w:r>
      <w:proofErr w:type="spellEnd"/>
      <w:r>
        <w:t xml:space="preserve"> = </w:t>
      </w:r>
      <w:r w:rsidRPr="00841864">
        <w:t>5,636</w:t>
      </w:r>
      <w:r>
        <w:t>.</w:t>
      </w:r>
    </w:p>
    <w:p w14:paraId="0C9C994A" w14:textId="77777777" w:rsidR="00847F16" w:rsidRDefault="00847F16" w:rsidP="00847F16">
      <w:pPr>
        <w:ind w:firstLine="0"/>
      </w:pPr>
      <w:r>
        <w:t>Można zauważyć, że wartość indeksu SSI krótkoterminowego jest nieznacznie wyższa od wartości indeksu SSI długoterminowego. Występowanie różnicy pomiędzy wartościami obliczonymi na podstawie tych samych odpowiedzi respondentów, ale przy wykorzystaniu różnych wag dla każdej z grup respondentów jest zjawiskiem zupełnie naturalnym. Dzięki analizie takich różnic można lepiej zrozumieć wpływ opinii poszczególnych grup interesariuszy na ogólną wartości wskaźnika SSI, którą można interpretować jako uśredniony poziom satysfakcji interesariuszy uczelni. W przypadku prezentowanego badania najistotniejszy wpływ na różnicę pomiędzy wartościami SSI długoterminowego i SSI krótkoterminowego miała znacznie wyższa waga oceny grupy pracowników naukowych i dydaktycznych w SSI krótkoterminowym niż w SSI krótkoterminowym.</w:t>
      </w:r>
    </w:p>
    <w:p w14:paraId="52FFDDC1" w14:textId="77777777" w:rsidR="004C427B" w:rsidRDefault="00847F16" w:rsidP="004C427B">
      <w:r>
        <w:t>Podsumowując, można stwierdzić, że przeprowadzone badanie kwestionariuszowe zostało obciążone szeregiem czynników wpływających na jego reprezentatywność. Przede wszystkim grupa badawcza była zbyt mało liczna i zbyt zróżnicowana pod względem ocenianych uczelni. Ponadto cechy grupy badawczej w istotny sposób odbiegają od cech populacji, co w znacznym stopniu ogranicza możliwość wnioskowania o całej populacji na podstawie wyników badania. Również przeprowadzone testy na zgodność odpowiedzi wśród poszczególnych grup respondentów z rozkładem normalnych wykazały zróżnicowane wyniki, niezależnie od liczności grup. Natomiast można stwierdzić, że cel jakim było zaprezentowanie procedury badawczej oraz sposobu wyliczania zagregowanego wskaźnika satysfakcji interesariuszy (SSI), został osiągnięty. Chociaż aby to umożliwić, koniecznym było łączne uwzględnienie odpowiedzi wszystkich respondentów w poszczególnych grupach, gdyż ze względu na zbyt mało liczną grupę badawczą nie było możliwe określenie zagregowanego SSI na poziomie poje</w:t>
      </w:r>
      <w:r>
        <w:lastRenderedPageBreak/>
        <w:t>dynczej uczelni.</w:t>
      </w:r>
      <w:r w:rsidR="004C427B">
        <w:t xml:space="preserve"> Ze względu na zidentyfikowane ograniczenia badania nie jest możliwe by zweryfikować hipotezę H1:</w:t>
      </w:r>
    </w:p>
    <w:p w14:paraId="3CEB18EB" w14:textId="77777777" w:rsidR="004C427B" w:rsidRPr="00847F16" w:rsidRDefault="004C427B" w:rsidP="004C427B">
      <w:pPr>
        <w:rPr>
          <w:i/>
          <w:iCs/>
        </w:rPr>
      </w:pPr>
      <w:r w:rsidRPr="00847F16">
        <w:rPr>
          <w:i/>
          <w:iCs/>
        </w:rPr>
        <w:t>Wyniki pomiaru satysfakcji interesariuszy są pozytywnie skorelowane z innymi wynikami jakości usług uczelni</w:t>
      </w:r>
      <w:r>
        <w:rPr>
          <w:i/>
          <w:iCs/>
        </w:rPr>
        <w:t xml:space="preserve"> (m. in. m</w:t>
      </w:r>
      <w:r w:rsidRPr="00847F16">
        <w:rPr>
          <w:i/>
          <w:iCs/>
        </w:rPr>
        <w:t>ożna określić, jakie wartości wskaźników satysfakcji interesariuszy polskich uczelni wyższych technicznych wyróżniają najlepsze spośród tych uczelni).</w:t>
      </w:r>
    </w:p>
    <w:p w14:paraId="6EB15CBC" w14:textId="46D84954" w:rsidR="00847F16" w:rsidRDefault="004C427B" w:rsidP="009873DE">
      <w:pPr>
        <w:ind w:firstLine="0"/>
      </w:pPr>
      <w:r>
        <w:t>Wyniki przeprowadzonych badań nie pozwalają na wyznaczenie wartości satysfakcji interesariuszy (np. obliczenia indeksu SSI) dla różnych uczelni nie tylko ze względu na zbyt mało grupę badawczą. Również zróżnicowanie pod kątem liczby ocenianych uczelni było niedostateczne do przeprowadzenia takich analiz. W kolejnych rozdziałach zostaną omówione relacje pomiarów satysfakcji interesariuszy uczelni i wyników związanych z rynkową wyceną sukcesów absolwentów oraz zostanie podjęta próba weryfikacji kolejny hipotez badawczych postawionych w niniejszej pracy.</w:t>
      </w:r>
    </w:p>
    <w:p w14:paraId="0923B436" w14:textId="1D5C6636" w:rsidR="00B61EC4" w:rsidRDefault="0021443A" w:rsidP="00B61EC4">
      <w:pPr>
        <w:pStyle w:val="Nagwek2"/>
      </w:pPr>
      <w:r>
        <w:t>Możliwości stosowania</w:t>
      </w:r>
      <w:r w:rsidR="00B61EC4">
        <w:t xml:space="preserve"> miar satysfakcji interesariuszy </w:t>
      </w:r>
      <w:r>
        <w:t>w doskonaleniu systemu zarzadzania jakością uczelni</w:t>
      </w:r>
    </w:p>
    <w:p w14:paraId="4CBA93FC" w14:textId="70EC1796" w:rsidR="004629BB" w:rsidRPr="004629BB" w:rsidRDefault="004629BB" w:rsidP="004629BB">
      <w:r>
        <w:t>Poza miarami satysfakcji interesariusz</w:t>
      </w:r>
      <w:r w:rsidR="002D490F">
        <w:t>y</w:t>
      </w:r>
      <w:r>
        <w:t xml:space="preserve">, których sposób wyliczania został przedstawiony we poprzednim rozdziale istnieje szereg możliwości zastosowania innych informacji i mierników wywodzących się od rezultatów badań przez instytucje niezależne od uczelni. Takie miary mają tę zaletę, że zazwyczaj są publicznie dostępne, a więc </w:t>
      </w:r>
      <w:r w:rsidR="002D490F">
        <w:t>ich stosowanie wymaga minimalnych nakładów. Mogą też być uznane za rzetelne, gdyż nieraz wykonywane są przez instytucje dysponujące zasobami do prowadzenia zaawansowanych metodologicznie badań na dużą skalę. Wadą takich badań może być brak lub znacznie ograniczona możliwość określenia miar specyficznych dla konkretnej uczelni, które mogłyby w sposób precyzyjny wskazać na szczegółowe obszary wymagające doskonalenia lub też zweryfikować działania uczelni w odniesieniu do takich obszarów. Natomiast znajomość relacji (i korelacji) zjawisk, które mogą być mierzone przy pomocy różnych wskaźników na podstawie różnych badań może znacznie pomóc w określeniu tego, które wskaźniki warto stosować i w jakich sytuacjach. Szersze omówienie relacji pomiędzy różnymi miarami odnoszącymi się do efektów działań uczelni jest zostało przedstawione w kolejnych rozdziałach.</w:t>
      </w:r>
    </w:p>
    <w:p w14:paraId="779EB52A" w14:textId="18FA0F48" w:rsidR="003016B7" w:rsidRPr="00754915" w:rsidRDefault="009873DE" w:rsidP="00B61EC4">
      <w:pPr>
        <w:pStyle w:val="Nagwek3"/>
      </w:pPr>
      <w:bookmarkStart w:id="99" w:name="_Ref137910300"/>
      <w:bookmarkStart w:id="100" w:name="_Toc157667017"/>
      <w:r>
        <w:t>R</w:t>
      </w:r>
      <w:r w:rsidR="00754915">
        <w:t>elacj</w:t>
      </w:r>
      <w:r>
        <w:t>a</w:t>
      </w:r>
      <w:r w:rsidR="00754915">
        <w:t xml:space="preserve"> między </w:t>
      </w:r>
      <w:r>
        <w:t>s</w:t>
      </w:r>
      <w:r w:rsidR="00754915">
        <w:t xml:space="preserve">atysfakcją interesariuszy a wartościami </w:t>
      </w:r>
      <w:r w:rsidR="003016B7" w:rsidRPr="00754915">
        <w:t>Indeksu Wyceny Rynk</w:t>
      </w:r>
      <w:r w:rsidR="003F2AB0" w:rsidRPr="00754915">
        <w:t>o</w:t>
      </w:r>
      <w:r w:rsidR="003016B7" w:rsidRPr="00754915">
        <w:t>wej Absolwenta</w:t>
      </w:r>
      <w:bookmarkEnd w:id="99"/>
      <w:bookmarkEnd w:id="100"/>
    </w:p>
    <w:p w14:paraId="5E193CF4" w14:textId="558B1AB0" w:rsidR="00754915" w:rsidRDefault="008F15CB" w:rsidP="00754915">
      <w:r>
        <w:t>Kolejną z opisywanych w niniejszej pracy</w:t>
      </w:r>
      <w:r w:rsidR="004C427B">
        <w:t xml:space="preserve"> miar</w:t>
      </w:r>
      <w:r>
        <w:t xml:space="preserve">, która może służyć do oceny wartości wyników pracy uczelni w odniesieniu do absolwentów jest wskaźnik Indeksu Wyceny rynkowej Absolwenta (IWRA – por. rozdz. </w:t>
      </w:r>
      <w:r>
        <w:fldChar w:fldCharType="begin"/>
      </w:r>
      <w:r>
        <w:instrText xml:space="preserve"> REF _Ref137319715 \r \h </w:instrText>
      </w:r>
      <w:r>
        <w:fldChar w:fldCharType="separate"/>
      </w:r>
      <w:r w:rsidR="009E351C">
        <w:t>1.3.2</w:t>
      </w:r>
      <w:r>
        <w:fldChar w:fldCharType="end"/>
      </w:r>
      <w:r>
        <w:t>). W ramach przeprowadzonych badań ankietowych respondenci byli pytani również o poziom zarobków po studiach oraz o czas jaki upłynął od ukończenia studiów do momentu w którym podjęli pracę zawodową</w:t>
      </w:r>
      <w:r w:rsidR="00941963">
        <w:t xml:space="preserve"> (por</w:t>
      </w:r>
      <w:r w:rsidR="00941963" w:rsidRPr="00941963">
        <w:t xml:space="preserve">. </w:t>
      </w:r>
      <w:r w:rsidR="00941963" w:rsidRPr="00941963">
        <w:fldChar w:fldCharType="begin"/>
      </w:r>
      <w:r w:rsidR="00941963" w:rsidRPr="00941963">
        <w:instrText xml:space="preserve"> REF _Ref137642473 \h </w:instrText>
      </w:r>
      <w:r w:rsidR="00941963">
        <w:instrText xml:space="preserve"> \* MERGEFORMAT </w:instrText>
      </w:r>
      <w:r w:rsidR="00941963" w:rsidRPr="00941963">
        <w:fldChar w:fldCharType="separate"/>
      </w:r>
      <w:r w:rsidR="009E351C" w:rsidRPr="00684943">
        <w:t xml:space="preserve">Tabela </w:t>
      </w:r>
      <w:r w:rsidR="009E351C">
        <w:rPr>
          <w:noProof/>
        </w:rPr>
        <w:t>62</w:t>
      </w:r>
      <w:r w:rsidR="00941963" w:rsidRPr="00941963">
        <w:fldChar w:fldCharType="end"/>
      </w:r>
      <w:r w:rsidR="00941963" w:rsidRPr="00941963">
        <w:t>)</w:t>
      </w:r>
      <w:r w:rsidRPr="00941963">
        <w:t>.</w:t>
      </w:r>
      <w:r w:rsidR="00631572">
        <w:t xml:space="preserve"> W badaniu uwzględniono dwa punkty w czasie dla których wyliczono wartości indeksu IWRA – po roku od ukończenia studiów oraz po 3 latach od ukończenia studiów. Wartości stopu zatrudnienia dla każdego z tych punktów zostały określone na podstawie jednego pytania dotyczącego czasu (wyrażanego liczbą miesięcy) jaki upłynął od ukończenia studiów. Wśród możliwych odpowiedzi również były takie, które odnosiły się do sytuacji, gdy dany respondent podjął pracę zawodową jeszcze na studiach lub gdy w ogóle nie podjął pracy. Na podstawie wszystkich odpowiedzi w trakcie analizy przypisywano wartość 1 dla odpowiedzi wskazujących na </w:t>
      </w:r>
      <w:r w:rsidR="00631572">
        <w:lastRenderedPageBreak/>
        <w:t>podjęcie pracy zawodowej do 12 miesięcy oraz do 36 miesięcy od ukończenia studiów. W ten sposób licząc proporcje liczby osób zatrudnionych w określonych punktach w czasie do liczby respondentów ogółem określono wartości stopy zatrudnienia dla każdego z przyjętych punktów.</w:t>
      </w:r>
      <w:r w:rsidR="009E38D0">
        <w:t xml:space="preserve"> Ze względu na ograniczenia badania (por. rozdz. </w:t>
      </w:r>
      <w:r w:rsidR="009E38D0">
        <w:fldChar w:fldCharType="begin"/>
      </w:r>
      <w:r w:rsidR="009E38D0">
        <w:instrText xml:space="preserve"> REF _Ref137647645 \r \h </w:instrText>
      </w:r>
      <w:r w:rsidR="009E38D0">
        <w:fldChar w:fldCharType="separate"/>
      </w:r>
      <w:r w:rsidR="009E351C">
        <w:t>2.2.2</w:t>
      </w:r>
      <w:r w:rsidR="009E38D0">
        <w:fldChar w:fldCharType="end"/>
      </w:r>
      <w:r w:rsidR="009E38D0">
        <w:t>) nie było możliwe porównywanie średnich wartości na poziomie poszczególnych uczelni. Z tego powodu w trakcie analizy wyników określono jedynie wartości dla grupy uczelni technicznych oraz grupy pozostałych uczelni.</w:t>
      </w:r>
      <w:r w:rsidR="002B27E1">
        <w:t xml:space="preserve"> Pod nazwą grupy „uczelni technicznych” rozumiemy uczelnie publiczne o profilu technicznym. Lista uczelni należących do tej kategorii znajduje się w </w:t>
      </w:r>
      <w:commentRangeStart w:id="101"/>
      <w:r w:rsidR="002B27E1">
        <w:t>załączniku 3</w:t>
      </w:r>
      <w:commentRangeEnd w:id="101"/>
      <w:r w:rsidR="002B27E1">
        <w:rPr>
          <w:rStyle w:val="Odwoaniedokomentarza"/>
          <w:rFonts w:ascii="Times New Roman" w:eastAsia="Times New Roman" w:hAnsi="Times New Roman"/>
          <w:szCs w:val="20"/>
          <w:lang w:eastAsia="pl-PL"/>
        </w:rPr>
        <w:commentReference w:id="101"/>
      </w:r>
      <w:r w:rsidR="002B27E1">
        <w:t xml:space="preserve">. </w:t>
      </w:r>
      <w:r w:rsidR="001A6695">
        <w:t>Lista ta jest w dużym stopniu zbieżna z klasyfikacją uczelni technicznych przyjmowaną przez twórców rankingu Perspektywy z wyjątkiem Polsko-Japońskiej Akademii Technik Komputerowych, która spośród pozostałych uczelni wyróżnia się tym ,że jest uczelnią niepubliczną.</w:t>
      </w:r>
      <w:r w:rsidR="00EC12B3">
        <w:t xml:space="preserve"> </w:t>
      </w:r>
      <w:r w:rsidR="00A45F41">
        <w:t xml:space="preserve">Jednocześnie lista ta zawiera wszystkie uczelnie techniczne </w:t>
      </w:r>
      <w:r w:rsidR="00BA3A19">
        <w:t>nadzorowane przez</w:t>
      </w:r>
      <w:r w:rsidR="00A45F41">
        <w:t xml:space="preserve"> MEIN oraz </w:t>
      </w:r>
      <w:r w:rsidR="00BA3A19">
        <w:t xml:space="preserve">Politechnikę Bydgoską (dawniej Uniwersytet Technologiczno-Przyrodniczy) klasyfikowaną przez MEIN jako uczelnia przyrodnicza, a także Wojskową Akademię Techniczną (nadzór MON) oraz </w:t>
      </w:r>
      <w:r w:rsidR="00245930">
        <w:t>Politechnikę</w:t>
      </w:r>
      <w:r w:rsidR="00BA3A19">
        <w:t xml:space="preserve"> Morską w Szczecinie i Uniwersytet Morski w Gdyni (nadzór </w:t>
      </w:r>
      <w:r w:rsidR="00245930">
        <w:t>Ministerstwa Infrastruktury</w:t>
      </w:r>
      <w:r w:rsidR="00245930">
        <w:rPr>
          <w:rStyle w:val="Odwoanieprzypisudolnego"/>
        </w:rPr>
        <w:footnoteReference w:id="7"/>
      </w:r>
      <w:r w:rsidR="00BA3A19">
        <w:t xml:space="preserve">). </w:t>
      </w:r>
      <w:r w:rsidR="00EC12B3">
        <w:t>Drugą składową IWRA jest wartość zarobków w określonym okresie czasu. W przeprowadzonym badaniu respondenci byli pytani o poziom zarobków we wskazanych punktach w czasie po ukończeniu studiów, czyli po roku i po 3 latach od ukończenia studiów. Odpowiedzi na oba pytania były udzielane poprzez wybranie odpowiedniego wskazanego w narzędziu badawczym zakresu zarobków. Zakresy te były zdefiniowane jako obejmujące wartości w przedziale o rozpiętości 1000 zł tak, że pierwszy przedział zawierał wartości poniżej 1 tys. zł, a najwyższy przedział został przypisany dla zarobków powyżej 10 tys. zł. W trakcie analizy wyników każdemu z przedziałów została przypisana wartość środkowa tego przedziału, a dla kategorii najwyższej przypisano wartość 10</w:t>
      </w:r>
      <w:r w:rsidR="00BA3A19">
        <w:t>.</w:t>
      </w:r>
      <w:r w:rsidR="00EC12B3">
        <w:t>500 zł</w:t>
      </w:r>
      <w:r w:rsidR="00297B9E">
        <w:t xml:space="preserve"> (por. rozdz. </w:t>
      </w:r>
      <w:r w:rsidR="00297B9E">
        <w:fldChar w:fldCharType="begin"/>
      </w:r>
      <w:r w:rsidR="00297B9E">
        <w:instrText xml:space="preserve"> REF _Ref138021609 \r \h </w:instrText>
      </w:r>
      <w:r w:rsidR="00297B9E">
        <w:fldChar w:fldCharType="separate"/>
      </w:r>
      <w:r w:rsidR="009E351C">
        <w:t>2.2.1</w:t>
      </w:r>
      <w:r w:rsidR="00297B9E">
        <w:fldChar w:fldCharType="end"/>
      </w:r>
      <w:r w:rsidR="00297B9E">
        <w:t>)</w:t>
      </w:r>
      <w:r w:rsidR="00EC12B3">
        <w:t xml:space="preserve">. Pozwoliło to na oszacowanie przeciętnej wartości zarobków w analizowanych grupach respondentów. Następnie na podstawie odpowiedzi respondentów przypisano </w:t>
      </w:r>
      <w:r w:rsidR="001D17A2">
        <w:t>odpowiednie liczności wystąpień w każdym przedziale z przypisaniem do odpowiednich kategorii. Dzięki temu uzyskano wartości składowe do obliczenia rezultatów wybranych wersji IWRA dla określonych grup respondentów. W tabeli po</w:t>
      </w:r>
      <w:r w:rsidR="00593C10">
        <w:fldChar w:fldCharType="begin"/>
      </w:r>
      <w:r w:rsidR="00593C10">
        <w:instrText xml:space="preserve"> REF _Ref137661439 \p \h </w:instrText>
      </w:r>
      <w:r w:rsidR="00593C10">
        <w:fldChar w:fldCharType="separate"/>
      </w:r>
      <w:r w:rsidR="009E351C">
        <w:t>niżej</w:t>
      </w:r>
      <w:r w:rsidR="00593C10">
        <w:fldChar w:fldCharType="end"/>
      </w:r>
      <w:r w:rsidR="001D17A2">
        <w:t xml:space="preserve"> (</w:t>
      </w:r>
      <w:r w:rsidR="00593C10">
        <w:fldChar w:fldCharType="begin"/>
      </w:r>
      <w:r w:rsidR="00593C10">
        <w:instrText xml:space="preserve"> REF _Ref137661449 \h </w:instrText>
      </w:r>
      <w:r w:rsidR="00593C10">
        <w:fldChar w:fldCharType="separate"/>
      </w:r>
      <w:r w:rsidR="009E351C">
        <w:t xml:space="preserve">Tabela </w:t>
      </w:r>
      <w:r w:rsidR="009E351C">
        <w:rPr>
          <w:noProof/>
        </w:rPr>
        <w:t>69</w:t>
      </w:r>
      <w:r w:rsidR="00593C10">
        <w:fldChar w:fldCharType="end"/>
      </w:r>
      <w:r w:rsidR="001D17A2">
        <w:t>) przedstawiono zestaw wyników badania odnoszących się zarówno do wartości wskaźnika IWRA jak i</w:t>
      </w:r>
      <w:r w:rsidR="00606ADC">
        <w:t> </w:t>
      </w:r>
      <w:r w:rsidR="001D17A2">
        <w:t>do jego elementów składowych w podziale na różne grupy respondentów</w:t>
      </w:r>
      <w:r w:rsidR="00754915">
        <w:t>.</w:t>
      </w:r>
    </w:p>
    <w:p w14:paraId="0D78C46C" w14:textId="2D250611" w:rsidR="004D677F" w:rsidRDefault="004D677F" w:rsidP="004D677F">
      <w:pPr>
        <w:pStyle w:val="Tytutabeli"/>
      </w:pPr>
      <w:bookmarkStart w:id="102" w:name="_Ref137661449"/>
      <w:bookmarkStart w:id="103" w:name="_Ref137661439"/>
      <w:bookmarkStart w:id="104" w:name="_Toc163576358"/>
      <w:r>
        <w:t xml:space="preserve">Tabela </w:t>
      </w:r>
      <w:r>
        <w:fldChar w:fldCharType="begin"/>
      </w:r>
      <w:r>
        <w:instrText xml:space="preserve"> SEQ Tabela \* ARABIC </w:instrText>
      </w:r>
      <w:r>
        <w:fldChar w:fldCharType="separate"/>
      </w:r>
      <w:r w:rsidR="00DA2A4D">
        <w:rPr>
          <w:noProof/>
        </w:rPr>
        <w:t>69</w:t>
      </w:r>
      <w:r>
        <w:rPr>
          <w:noProof/>
        </w:rPr>
        <w:fldChar w:fldCharType="end"/>
      </w:r>
      <w:bookmarkEnd w:id="102"/>
      <w:r>
        <w:t xml:space="preserve"> Wartość parametrów IWRA i </w:t>
      </w:r>
      <w:r w:rsidR="001E1A75">
        <w:t xml:space="preserve">ich </w:t>
      </w:r>
      <w:r w:rsidR="00593C10">
        <w:t>elementów składowych dla wybranych grup respondentów</w:t>
      </w:r>
      <w:r w:rsidR="001E1A75">
        <w:t xml:space="preserve"> </w:t>
      </w:r>
      <w:r w:rsidR="00593C10">
        <w:t>badania kwestionariuszowego</w:t>
      </w:r>
      <w:bookmarkEnd w:id="103"/>
      <w:r w:rsidR="001E1A75">
        <w:t>; N=120</w:t>
      </w:r>
      <w:bookmarkEnd w:id="104"/>
    </w:p>
    <w:tbl>
      <w:tblPr>
        <w:tblStyle w:val="Tabela-Siatka"/>
        <w:tblW w:w="0" w:type="auto"/>
        <w:tblLook w:val="04A0" w:firstRow="1" w:lastRow="0" w:firstColumn="1" w:lastColumn="0" w:noHBand="0" w:noVBand="1"/>
      </w:tblPr>
      <w:tblGrid>
        <w:gridCol w:w="4820"/>
        <w:gridCol w:w="1560"/>
        <w:gridCol w:w="1418"/>
        <w:gridCol w:w="1418"/>
      </w:tblGrid>
      <w:tr w:rsidR="00A61DD9" w:rsidRPr="00A61DD9" w14:paraId="0DFAFBE3" w14:textId="77777777" w:rsidTr="002A77F6">
        <w:trPr>
          <w:cantSplit/>
          <w:tblHeader/>
        </w:trPr>
        <w:tc>
          <w:tcPr>
            <w:tcW w:w="4820" w:type="dxa"/>
          </w:tcPr>
          <w:p w14:paraId="5334CB27" w14:textId="259C2478" w:rsidR="001D17A2" w:rsidRPr="00A61DD9" w:rsidRDefault="001D17A2" w:rsidP="004C1815">
            <w:pPr>
              <w:keepNext/>
              <w:ind w:firstLine="0"/>
              <w:jc w:val="left"/>
              <w:rPr>
                <w:b/>
                <w:bCs/>
                <w:sz w:val="18"/>
                <w:szCs w:val="18"/>
              </w:rPr>
            </w:pPr>
            <w:proofErr w:type="spellStart"/>
            <w:r w:rsidRPr="00A61DD9">
              <w:rPr>
                <w:b/>
                <w:bCs/>
                <w:sz w:val="18"/>
                <w:szCs w:val="18"/>
              </w:rPr>
              <w:t>Parametr</w:t>
            </w:r>
            <w:proofErr w:type="spellEnd"/>
          </w:p>
        </w:tc>
        <w:tc>
          <w:tcPr>
            <w:tcW w:w="1560" w:type="dxa"/>
          </w:tcPr>
          <w:p w14:paraId="2B627B0D" w14:textId="37759B03" w:rsidR="001D17A2" w:rsidRPr="00A61DD9" w:rsidRDefault="001D17A2" w:rsidP="004C1815">
            <w:pPr>
              <w:keepNext/>
              <w:ind w:firstLine="0"/>
              <w:jc w:val="center"/>
              <w:rPr>
                <w:b/>
                <w:bCs/>
                <w:sz w:val="18"/>
                <w:szCs w:val="18"/>
                <w:lang w:val="pl-PL"/>
              </w:rPr>
            </w:pPr>
            <w:r w:rsidRPr="00A61DD9">
              <w:rPr>
                <w:b/>
                <w:bCs/>
                <w:sz w:val="18"/>
                <w:szCs w:val="18"/>
                <w:lang w:val="pl-PL"/>
              </w:rPr>
              <w:t>Nietechniczne</w:t>
            </w:r>
            <w:r w:rsidR="00A61DD9" w:rsidRPr="00A61DD9">
              <w:rPr>
                <w:rStyle w:val="Odwoanieprzypisudolnego"/>
                <w:b/>
                <w:bCs/>
                <w:sz w:val="18"/>
                <w:szCs w:val="18"/>
                <w:lang w:val="pl-PL"/>
              </w:rPr>
              <w:footnoteReference w:id="8"/>
            </w:r>
          </w:p>
        </w:tc>
        <w:tc>
          <w:tcPr>
            <w:tcW w:w="1418" w:type="dxa"/>
          </w:tcPr>
          <w:p w14:paraId="7C175A11" w14:textId="78113918" w:rsidR="001D17A2" w:rsidRPr="00A61DD9" w:rsidRDefault="001D17A2" w:rsidP="004C1815">
            <w:pPr>
              <w:keepNext/>
              <w:ind w:firstLine="0"/>
              <w:jc w:val="center"/>
              <w:rPr>
                <w:b/>
                <w:bCs/>
                <w:sz w:val="18"/>
                <w:szCs w:val="18"/>
                <w:lang w:val="pl-PL"/>
              </w:rPr>
            </w:pPr>
            <w:r w:rsidRPr="00A61DD9">
              <w:rPr>
                <w:b/>
                <w:bCs/>
                <w:sz w:val="18"/>
                <w:szCs w:val="18"/>
                <w:lang w:val="pl-PL"/>
              </w:rPr>
              <w:t>Techniczne</w:t>
            </w:r>
            <w:r w:rsidR="00A61DD9" w:rsidRPr="00A61DD9">
              <w:rPr>
                <w:rStyle w:val="Odwoanieprzypisudolnego"/>
                <w:b/>
                <w:bCs/>
                <w:sz w:val="18"/>
                <w:szCs w:val="18"/>
                <w:lang w:val="pl-PL"/>
              </w:rPr>
              <w:footnoteReference w:id="9"/>
            </w:r>
          </w:p>
        </w:tc>
        <w:tc>
          <w:tcPr>
            <w:tcW w:w="1418" w:type="dxa"/>
          </w:tcPr>
          <w:p w14:paraId="26E72ECB" w14:textId="5C427624" w:rsidR="001D17A2" w:rsidRPr="00A61DD9" w:rsidRDefault="001D17A2" w:rsidP="004C1815">
            <w:pPr>
              <w:keepNext/>
              <w:ind w:firstLine="0"/>
              <w:jc w:val="center"/>
              <w:rPr>
                <w:b/>
                <w:bCs/>
                <w:sz w:val="18"/>
                <w:szCs w:val="18"/>
                <w:lang w:val="pl-PL"/>
              </w:rPr>
            </w:pPr>
            <w:r w:rsidRPr="00A61DD9">
              <w:rPr>
                <w:b/>
                <w:bCs/>
                <w:sz w:val="18"/>
                <w:szCs w:val="18"/>
                <w:lang w:val="pl-PL"/>
              </w:rPr>
              <w:t>Ogółem</w:t>
            </w:r>
          </w:p>
        </w:tc>
      </w:tr>
      <w:tr w:rsidR="002A77F6" w:rsidRPr="00A61DD9" w14:paraId="454F5C42" w14:textId="77777777" w:rsidTr="002A77F6">
        <w:trPr>
          <w:cantSplit/>
        </w:trPr>
        <w:tc>
          <w:tcPr>
            <w:tcW w:w="4820" w:type="dxa"/>
          </w:tcPr>
          <w:p w14:paraId="709DFAA5" w14:textId="2754DBB8" w:rsidR="001D17A2" w:rsidRPr="00A61DD9" w:rsidRDefault="001D17A2" w:rsidP="001D17A2">
            <w:pPr>
              <w:ind w:firstLine="0"/>
              <w:jc w:val="left"/>
              <w:rPr>
                <w:sz w:val="18"/>
                <w:szCs w:val="18"/>
                <w:lang w:val="pl-PL"/>
              </w:rPr>
            </w:pPr>
            <w:r w:rsidRPr="00A61DD9">
              <w:rPr>
                <w:sz w:val="18"/>
                <w:szCs w:val="18"/>
                <w:lang w:val="pl-PL"/>
              </w:rPr>
              <w:t>Stopa zatrudnienia po 1 roku od ukończenia studiów</w:t>
            </w:r>
          </w:p>
        </w:tc>
        <w:tc>
          <w:tcPr>
            <w:tcW w:w="1560" w:type="dxa"/>
          </w:tcPr>
          <w:p w14:paraId="77A57B35" w14:textId="5C311EA7" w:rsidR="001D17A2" w:rsidRPr="00A61DD9" w:rsidRDefault="001D17A2" w:rsidP="001D17A2">
            <w:pPr>
              <w:ind w:firstLine="0"/>
              <w:jc w:val="center"/>
              <w:rPr>
                <w:sz w:val="18"/>
                <w:szCs w:val="18"/>
                <w:lang w:val="pl-PL"/>
              </w:rPr>
            </w:pPr>
            <w:r w:rsidRPr="00A61DD9">
              <w:rPr>
                <w:sz w:val="18"/>
                <w:szCs w:val="18"/>
                <w:lang w:val="pl-PL"/>
              </w:rPr>
              <w:t>97,1%</w:t>
            </w:r>
          </w:p>
        </w:tc>
        <w:tc>
          <w:tcPr>
            <w:tcW w:w="1418" w:type="dxa"/>
          </w:tcPr>
          <w:p w14:paraId="2274966B" w14:textId="73687437" w:rsidR="001D17A2" w:rsidRPr="00A61DD9" w:rsidRDefault="001D17A2" w:rsidP="001D17A2">
            <w:pPr>
              <w:ind w:firstLine="0"/>
              <w:jc w:val="center"/>
              <w:rPr>
                <w:sz w:val="18"/>
                <w:szCs w:val="18"/>
                <w:lang w:val="pl-PL"/>
              </w:rPr>
            </w:pPr>
            <w:r w:rsidRPr="00A61DD9">
              <w:rPr>
                <w:sz w:val="18"/>
                <w:szCs w:val="18"/>
                <w:lang w:val="pl-PL"/>
              </w:rPr>
              <w:t>90,4%</w:t>
            </w:r>
          </w:p>
        </w:tc>
        <w:tc>
          <w:tcPr>
            <w:tcW w:w="1418" w:type="dxa"/>
          </w:tcPr>
          <w:p w14:paraId="6DBB4B94" w14:textId="27566C00" w:rsidR="001D17A2" w:rsidRPr="00A61DD9" w:rsidRDefault="001D17A2" w:rsidP="001D17A2">
            <w:pPr>
              <w:ind w:firstLine="0"/>
              <w:jc w:val="center"/>
              <w:rPr>
                <w:sz w:val="18"/>
                <w:szCs w:val="18"/>
                <w:lang w:val="pl-PL"/>
              </w:rPr>
            </w:pPr>
            <w:r w:rsidRPr="00A61DD9">
              <w:rPr>
                <w:sz w:val="18"/>
                <w:szCs w:val="18"/>
                <w:lang w:val="pl-PL"/>
              </w:rPr>
              <w:t>94,2%</w:t>
            </w:r>
          </w:p>
        </w:tc>
      </w:tr>
      <w:tr w:rsidR="002A77F6" w:rsidRPr="00A61DD9" w14:paraId="53688E55" w14:textId="77777777" w:rsidTr="002A77F6">
        <w:trPr>
          <w:cantSplit/>
        </w:trPr>
        <w:tc>
          <w:tcPr>
            <w:tcW w:w="4820" w:type="dxa"/>
          </w:tcPr>
          <w:p w14:paraId="1093349C" w14:textId="6FB578A4" w:rsidR="001D17A2" w:rsidRPr="00A61DD9" w:rsidRDefault="001D17A2" w:rsidP="001D17A2">
            <w:pPr>
              <w:ind w:firstLine="0"/>
              <w:jc w:val="left"/>
              <w:rPr>
                <w:sz w:val="18"/>
                <w:szCs w:val="18"/>
                <w:lang w:val="pl-PL"/>
              </w:rPr>
            </w:pPr>
            <w:r w:rsidRPr="00A61DD9">
              <w:rPr>
                <w:sz w:val="18"/>
                <w:szCs w:val="18"/>
                <w:lang w:val="pl-PL"/>
              </w:rPr>
              <w:t>Stopa zatrudnienia po 3 latach od ukończenia studiów</w:t>
            </w:r>
          </w:p>
        </w:tc>
        <w:tc>
          <w:tcPr>
            <w:tcW w:w="1560" w:type="dxa"/>
          </w:tcPr>
          <w:p w14:paraId="7A55F5F9" w14:textId="2051C9F5" w:rsidR="001D17A2" w:rsidRPr="00A61DD9" w:rsidRDefault="001D17A2" w:rsidP="001D17A2">
            <w:pPr>
              <w:ind w:firstLine="0"/>
              <w:jc w:val="center"/>
              <w:rPr>
                <w:sz w:val="18"/>
                <w:szCs w:val="18"/>
                <w:lang w:val="pl-PL"/>
              </w:rPr>
            </w:pPr>
            <w:r w:rsidRPr="00A61DD9">
              <w:rPr>
                <w:sz w:val="18"/>
                <w:szCs w:val="18"/>
                <w:lang w:val="pl-PL"/>
              </w:rPr>
              <w:t>97,1%</w:t>
            </w:r>
          </w:p>
        </w:tc>
        <w:tc>
          <w:tcPr>
            <w:tcW w:w="1418" w:type="dxa"/>
          </w:tcPr>
          <w:p w14:paraId="4ECA3F3A" w14:textId="279DECEE" w:rsidR="001D17A2" w:rsidRPr="00A61DD9" w:rsidRDefault="001D17A2" w:rsidP="001D17A2">
            <w:pPr>
              <w:ind w:firstLine="0"/>
              <w:jc w:val="center"/>
              <w:rPr>
                <w:sz w:val="18"/>
                <w:szCs w:val="18"/>
                <w:lang w:val="pl-PL"/>
              </w:rPr>
            </w:pPr>
            <w:r w:rsidRPr="00A61DD9">
              <w:rPr>
                <w:sz w:val="18"/>
                <w:szCs w:val="18"/>
                <w:lang w:val="pl-PL"/>
              </w:rPr>
              <w:t>92,3%</w:t>
            </w:r>
          </w:p>
        </w:tc>
        <w:tc>
          <w:tcPr>
            <w:tcW w:w="1418" w:type="dxa"/>
          </w:tcPr>
          <w:p w14:paraId="3FE871F5" w14:textId="1A8AF774" w:rsidR="001D17A2" w:rsidRPr="00A61DD9" w:rsidRDefault="001D17A2" w:rsidP="001D17A2">
            <w:pPr>
              <w:ind w:firstLine="0"/>
              <w:jc w:val="center"/>
              <w:rPr>
                <w:sz w:val="18"/>
                <w:szCs w:val="18"/>
                <w:lang w:val="pl-PL"/>
              </w:rPr>
            </w:pPr>
            <w:r w:rsidRPr="00A61DD9">
              <w:rPr>
                <w:sz w:val="18"/>
                <w:szCs w:val="18"/>
                <w:lang w:val="pl-PL"/>
              </w:rPr>
              <w:t>95,0%</w:t>
            </w:r>
          </w:p>
        </w:tc>
      </w:tr>
      <w:tr w:rsidR="002A77F6" w:rsidRPr="00A61DD9" w14:paraId="5BCD701F" w14:textId="77777777" w:rsidTr="002A77F6">
        <w:trPr>
          <w:cantSplit/>
        </w:trPr>
        <w:tc>
          <w:tcPr>
            <w:tcW w:w="4820" w:type="dxa"/>
          </w:tcPr>
          <w:p w14:paraId="6D2933E9" w14:textId="51092391" w:rsidR="001D17A2" w:rsidRPr="00A61DD9" w:rsidRDefault="00A61DD9" w:rsidP="001D17A2">
            <w:pPr>
              <w:ind w:firstLine="0"/>
              <w:jc w:val="left"/>
              <w:rPr>
                <w:sz w:val="18"/>
                <w:szCs w:val="18"/>
                <w:lang w:val="pl-PL"/>
              </w:rPr>
            </w:pPr>
            <w:r>
              <w:rPr>
                <w:sz w:val="18"/>
                <w:szCs w:val="18"/>
                <w:lang w:val="pl-PL"/>
              </w:rPr>
              <w:lastRenderedPageBreak/>
              <w:t xml:space="preserve">Przeciętne wynagrodzenie </w:t>
            </w:r>
            <w:r w:rsidRPr="00A61DD9">
              <w:rPr>
                <w:sz w:val="18"/>
                <w:szCs w:val="18"/>
                <w:lang w:val="pl-PL"/>
              </w:rPr>
              <w:t xml:space="preserve">po 1 roku od ukończenia </w:t>
            </w:r>
            <w:r w:rsidR="002A77F6">
              <w:rPr>
                <w:sz w:val="18"/>
                <w:szCs w:val="18"/>
                <w:lang w:val="pl-PL"/>
              </w:rPr>
              <w:br/>
            </w:r>
            <w:r w:rsidRPr="00A61DD9">
              <w:rPr>
                <w:sz w:val="18"/>
                <w:szCs w:val="18"/>
                <w:lang w:val="pl-PL"/>
              </w:rPr>
              <w:t>studiów</w:t>
            </w:r>
          </w:p>
        </w:tc>
        <w:tc>
          <w:tcPr>
            <w:tcW w:w="1560" w:type="dxa"/>
          </w:tcPr>
          <w:p w14:paraId="60B95419" w14:textId="7B9EDE7B" w:rsidR="001D17A2" w:rsidRPr="00A61DD9" w:rsidRDefault="00A61DD9" w:rsidP="001D17A2">
            <w:pPr>
              <w:ind w:firstLine="0"/>
              <w:jc w:val="center"/>
              <w:rPr>
                <w:sz w:val="18"/>
                <w:szCs w:val="18"/>
                <w:lang w:val="pl-PL"/>
              </w:rPr>
            </w:pPr>
            <w:r w:rsidRPr="00A61DD9">
              <w:rPr>
                <w:sz w:val="18"/>
                <w:szCs w:val="18"/>
                <w:lang w:val="pl-PL"/>
              </w:rPr>
              <w:t>1 948,53 zł</w:t>
            </w:r>
          </w:p>
        </w:tc>
        <w:tc>
          <w:tcPr>
            <w:tcW w:w="1418" w:type="dxa"/>
          </w:tcPr>
          <w:p w14:paraId="40DC36FF" w14:textId="2B57772E" w:rsidR="001D17A2" w:rsidRPr="00A61DD9" w:rsidRDefault="00A61DD9" w:rsidP="001D17A2">
            <w:pPr>
              <w:ind w:firstLine="0"/>
              <w:jc w:val="center"/>
              <w:rPr>
                <w:sz w:val="18"/>
                <w:szCs w:val="18"/>
                <w:lang w:val="pl-PL"/>
              </w:rPr>
            </w:pPr>
            <w:r w:rsidRPr="00A61DD9">
              <w:rPr>
                <w:sz w:val="18"/>
                <w:szCs w:val="18"/>
                <w:lang w:val="pl-PL"/>
              </w:rPr>
              <w:t>2 442,31 zł</w:t>
            </w:r>
          </w:p>
        </w:tc>
        <w:tc>
          <w:tcPr>
            <w:tcW w:w="1418" w:type="dxa"/>
          </w:tcPr>
          <w:p w14:paraId="5B36AE66" w14:textId="19AA3298" w:rsidR="001D17A2" w:rsidRPr="00A61DD9" w:rsidRDefault="00A61DD9" w:rsidP="001D17A2">
            <w:pPr>
              <w:ind w:firstLine="0"/>
              <w:jc w:val="center"/>
              <w:rPr>
                <w:sz w:val="18"/>
                <w:szCs w:val="18"/>
                <w:lang w:val="pl-PL"/>
              </w:rPr>
            </w:pPr>
            <w:r w:rsidRPr="00A61DD9">
              <w:rPr>
                <w:sz w:val="18"/>
                <w:szCs w:val="18"/>
                <w:lang w:val="pl-PL"/>
              </w:rPr>
              <w:t>2 380,73 zł</w:t>
            </w:r>
          </w:p>
        </w:tc>
      </w:tr>
      <w:tr w:rsidR="002A77F6" w:rsidRPr="00A61DD9" w14:paraId="5280DBE5" w14:textId="77777777" w:rsidTr="002A77F6">
        <w:trPr>
          <w:cantSplit/>
        </w:trPr>
        <w:tc>
          <w:tcPr>
            <w:tcW w:w="4820" w:type="dxa"/>
          </w:tcPr>
          <w:p w14:paraId="735332C5" w14:textId="66A65BFF" w:rsidR="001D17A2" w:rsidRPr="00A61DD9" w:rsidRDefault="00A61DD9" w:rsidP="001D17A2">
            <w:pPr>
              <w:ind w:firstLine="0"/>
              <w:jc w:val="left"/>
              <w:rPr>
                <w:sz w:val="18"/>
                <w:szCs w:val="18"/>
                <w:lang w:val="pl-PL"/>
              </w:rPr>
            </w:pPr>
            <w:r>
              <w:rPr>
                <w:sz w:val="18"/>
                <w:szCs w:val="18"/>
                <w:lang w:val="pl-PL"/>
              </w:rPr>
              <w:t xml:space="preserve">Przeciętne wynagrodzenie </w:t>
            </w:r>
            <w:r w:rsidRPr="00A61DD9">
              <w:rPr>
                <w:sz w:val="18"/>
                <w:szCs w:val="18"/>
                <w:lang w:val="pl-PL"/>
              </w:rPr>
              <w:t xml:space="preserve">po </w:t>
            </w:r>
            <w:r>
              <w:rPr>
                <w:sz w:val="18"/>
                <w:szCs w:val="18"/>
                <w:lang w:val="pl-PL"/>
              </w:rPr>
              <w:t>3</w:t>
            </w:r>
            <w:r w:rsidRPr="00A61DD9">
              <w:rPr>
                <w:sz w:val="18"/>
                <w:szCs w:val="18"/>
                <w:lang w:val="pl-PL"/>
              </w:rPr>
              <w:t xml:space="preserve"> </w:t>
            </w:r>
            <w:r>
              <w:rPr>
                <w:sz w:val="18"/>
                <w:szCs w:val="18"/>
                <w:lang w:val="pl-PL"/>
              </w:rPr>
              <w:t>latach</w:t>
            </w:r>
            <w:r w:rsidRPr="00A61DD9">
              <w:rPr>
                <w:sz w:val="18"/>
                <w:szCs w:val="18"/>
                <w:lang w:val="pl-PL"/>
              </w:rPr>
              <w:t xml:space="preserve"> od ukończenia </w:t>
            </w:r>
            <w:r w:rsidR="002A77F6">
              <w:rPr>
                <w:sz w:val="18"/>
                <w:szCs w:val="18"/>
                <w:lang w:val="pl-PL"/>
              </w:rPr>
              <w:br/>
            </w:r>
            <w:r w:rsidRPr="00A61DD9">
              <w:rPr>
                <w:sz w:val="18"/>
                <w:szCs w:val="18"/>
                <w:lang w:val="pl-PL"/>
              </w:rPr>
              <w:t>studiów</w:t>
            </w:r>
          </w:p>
        </w:tc>
        <w:tc>
          <w:tcPr>
            <w:tcW w:w="1560" w:type="dxa"/>
          </w:tcPr>
          <w:p w14:paraId="59CFA3C7" w14:textId="017D3C35" w:rsidR="001D17A2" w:rsidRPr="00A61DD9" w:rsidRDefault="00A61DD9" w:rsidP="001D17A2">
            <w:pPr>
              <w:ind w:firstLine="0"/>
              <w:jc w:val="center"/>
              <w:rPr>
                <w:sz w:val="18"/>
                <w:szCs w:val="18"/>
                <w:lang w:val="pl-PL"/>
              </w:rPr>
            </w:pPr>
            <w:r w:rsidRPr="00A61DD9">
              <w:rPr>
                <w:sz w:val="18"/>
                <w:szCs w:val="18"/>
                <w:lang w:val="pl-PL"/>
              </w:rPr>
              <w:t>2 419,12 zł</w:t>
            </w:r>
          </w:p>
        </w:tc>
        <w:tc>
          <w:tcPr>
            <w:tcW w:w="1418" w:type="dxa"/>
          </w:tcPr>
          <w:p w14:paraId="0DCAFF02" w14:textId="5A98A14B" w:rsidR="001D17A2" w:rsidRPr="00A61DD9" w:rsidRDefault="00A61DD9" w:rsidP="001D17A2">
            <w:pPr>
              <w:ind w:firstLine="0"/>
              <w:jc w:val="center"/>
              <w:rPr>
                <w:sz w:val="18"/>
                <w:szCs w:val="18"/>
                <w:lang w:val="pl-PL"/>
              </w:rPr>
            </w:pPr>
            <w:r w:rsidRPr="00A61DD9">
              <w:rPr>
                <w:sz w:val="18"/>
                <w:szCs w:val="18"/>
                <w:lang w:val="pl-PL"/>
              </w:rPr>
              <w:t>3 644,23 zł</w:t>
            </w:r>
          </w:p>
        </w:tc>
        <w:tc>
          <w:tcPr>
            <w:tcW w:w="1418" w:type="dxa"/>
          </w:tcPr>
          <w:p w14:paraId="3FA5B0EA" w14:textId="3B2F4F03" w:rsidR="001D17A2" w:rsidRPr="00A61DD9" w:rsidRDefault="00A61DD9" w:rsidP="001D17A2">
            <w:pPr>
              <w:ind w:firstLine="0"/>
              <w:jc w:val="center"/>
              <w:rPr>
                <w:sz w:val="18"/>
                <w:szCs w:val="18"/>
                <w:lang w:val="pl-PL"/>
              </w:rPr>
            </w:pPr>
            <w:r w:rsidRPr="00A61DD9">
              <w:rPr>
                <w:sz w:val="18"/>
                <w:szCs w:val="18"/>
                <w:lang w:val="pl-PL"/>
              </w:rPr>
              <w:t>3 540,00 zł</w:t>
            </w:r>
          </w:p>
        </w:tc>
      </w:tr>
      <w:tr w:rsidR="002A77F6" w:rsidRPr="00A61DD9" w14:paraId="2D739497" w14:textId="77777777" w:rsidTr="002A77F6">
        <w:trPr>
          <w:cantSplit/>
        </w:trPr>
        <w:tc>
          <w:tcPr>
            <w:tcW w:w="4820" w:type="dxa"/>
          </w:tcPr>
          <w:p w14:paraId="3480C6B2" w14:textId="53BEE139" w:rsidR="001D17A2" w:rsidRPr="00A61DD9" w:rsidRDefault="002A77F6" w:rsidP="001D17A2">
            <w:pPr>
              <w:ind w:firstLine="0"/>
              <w:jc w:val="left"/>
              <w:rPr>
                <w:sz w:val="18"/>
                <w:szCs w:val="18"/>
                <w:lang w:val="pl-PL"/>
              </w:rPr>
            </w:pPr>
            <w:r>
              <w:rPr>
                <w:sz w:val="18"/>
                <w:szCs w:val="18"/>
                <w:lang w:val="pl-PL"/>
              </w:rPr>
              <w:t xml:space="preserve">Wartość IWRA </w:t>
            </w:r>
            <w:r w:rsidRPr="00A61DD9">
              <w:rPr>
                <w:sz w:val="18"/>
                <w:szCs w:val="18"/>
                <w:lang w:val="pl-PL"/>
              </w:rPr>
              <w:t>po 1 roku od ukończenia studiów</w:t>
            </w:r>
          </w:p>
        </w:tc>
        <w:tc>
          <w:tcPr>
            <w:tcW w:w="1560" w:type="dxa"/>
          </w:tcPr>
          <w:p w14:paraId="4B5360B9" w14:textId="20B75856" w:rsidR="001D17A2" w:rsidRPr="00A61DD9" w:rsidRDefault="002A77F6" w:rsidP="001D17A2">
            <w:pPr>
              <w:ind w:firstLine="0"/>
              <w:jc w:val="center"/>
              <w:rPr>
                <w:sz w:val="18"/>
                <w:szCs w:val="18"/>
                <w:lang w:val="pl-PL"/>
              </w:rPr>
            </w:pPr>
            <w:r w:rsidRPr="002A77F6">
              <w:rPr>
                <w:sz w:val="18"/>
                <w:szCs w:val="18"/>
                <w:lang w:val="pl-PL"/>
              </w:rPr>
              <w:t>1 891,22 zł</w:t>
            </w:r>
          </w:p>
        </w:tc>
        <w:tc>
          <w:tcPr>
            <w:tcW w:w="1418" w:type="dxa"/>
          </w:tcPr>
          <w:p w14:paraId="58B26CAD" w14:textId="5689E5E9" w:rsidR="001D17A2" w:rsidRPr="00A61DD9" w:rsidRDefault="002A77F6" w:rsidP="001D17A2">
            <w:pPr>
              <w:ind w:firstLine="0"/>
              <w:jc w:val="center"/>
              <w:rPr>
                <w:sz w:val="18"/>
                <w:szCs w:val="18"/>
                <w:lang w:val="pl-PL"/>
              </w:rPr>
            </w:pPr>
            <w:r w:rsidRPr="002A77F6">
              <w:rPr>
                <w:sz w:val="18"/>
                <w:szCs w:val="18"/>
                <w:lang w:val="pl-PL"/>
              </w:rPr>
              <w:t>2 207,47 zł</w:t>
            </w:r>
          </w:p>
        </w:tc>
        <w:tc>
          <w:tcPr>
            <w:tcW w:w="1418" w:type="dxa"/>
          </w:tcPr>
          <w:p w14:paraId="50001006" w14:textId="7FB9D666" w:rsidR="001D17A2" w:rsidRPr="00A61DD9" w:rsidRDefault="002A77F6" w:rsidP="001D17A2">
            <w:pPr>
              <w:ind w:firstLine="0"/>
              <w:jc w:val="center"/>
              <w:rPr>
                <w:sz w:val="18"/>
                <w:szCs w:val="18"/>
                <w:lang w:val="pl-PL"/>
              </w:rPr>
            </w:pPr>
            <w:r w:rsidRPr="002A77F6">
              <w:rPr>
                <w:sz w:val="18"/>
                <w:szCs w:val="18"/>
                <w:lang w:val="pl-PL"/>
              </w:rPr>
              <w:t>2 241,86 zł</w:t>
            </w:r>
          </w:p>
        </w:tc>
      </w:tr>
      <w:tr w:rsidR="002A77F6" w:rsidRPr="00A61DD9" w14:paraId="37DFE6ED" w14:textId="77777777" w:rsidTr="002A77F6">
        <w:trPr>
          <w:cantSplit/>
        </w:trPr>
        <w:tc>
          <w:tcPr>
            <w:tcW w:w="4820" w:type="dxa"/>
          </w:tcPr>
          <w:p w14:paraId="46183999" w14:textId="4178C422" w:rsidR="002A77F6" w:rsidRPr="00A61DD9" w:rsidRDefault="002A77F6" w:rsidP="00593C10">
            <w:pPr>
              <w:keepNext/>
              <w:ind w:firstLine="0"/>
              <w:jc w:val="left"/>
              <w:rPr>
                <w:sz w:val="18"/>
                <w:szCs w:val="18"/>
                <w:lang w:val="pl-PL"/>
              </w:rPr>
            </w:pPr>
            <w:r>
              <w:rPr>
                <w:sz w:val="18"/>
                <w:szCs w:val="18"/>
                <w:lang w:val="pl-PL"/>
              </w:rPr>
              <w:t xml:space="preserve">Wartość IWRA </w:t>
            </w:r>
            <w:r w:rsidRPr="00A61DD9">
              <w:rPr>
                <w:sz w:val="18"/>
                <w:szCs w:val="18"/>
                <w:lang w:val="pl-PL"/>
              </w:rPr>
              <w:t xml:space="preserve">po </w:t>
            </w:r>
            <w:r>
              <w:rPr>
                <w:sz w:val="18"/>
                <w:szCs w:val="18"/>
                <w:lang w:val="pl-PL"/>
              </w:rPr>
              <w:t>3</w:t>
            </w:r>
            <w:r w:rsidRPr="00A61DD9">
              <w:rPr>
                <w:sz w:val="18"/>
                <w:szCs w:val="18"/>
                <w:lang w:val="pl-PL"/>
              </w:rPr>
              <w:t xml:space="preserve"> </w:t>
            </w:r>
            <w:r>
              <w:rPr>
                <w:sz w:val="18"/>
                <w:szCs w:val="18"/>
                <w:lang w:val="pl-PL"/>
              </w:rPr>
              <w:t>latach</w:t>
            </w:r>
            <w:r w:rsidRPr="00A61DD9">
              <w:rPr>
                <w:sz w:val="18"/>
                <w:szCs w:val="18"/>
                <w:lang w:val="pl-PL"/>
              </w:rPr>
              <w:t xml:space="preserve"> od ukończenia studiów</w:t>
            </w:r>
          </w:p>
        </w:tc>
        <w:tc>
          <w:tcPr>
            <w:tcW w:w="1560" w:type="dxa"/>
          </w:tcPr>
          <w:p w14:paraId="2A668D22" w14:textId="186F85F1" w:rsidR="002A77F6" w:rsidRPr="00A61DD9" w:rsidRDefault="002A77F6" w:rsidP="00593C10">
            <w:pPr>
              <w:keepNext/>
              <w:ind w:firstLine="0"/>
              <w:jc w:val="center"/>
              <w:rPr>
                <w:sz w:val="18"/>
                <w:szCs w:val="18"/>
                <w:lang w:val="pl-PL"/>
              </w:rPr>
            </w:pPr>
            <w:r w:rsidRPr="002A77F6">
              <w:rPr>
                <w:sz w:val="18"/>
                <w:szCs w:val="18"/>
                <w:lang w:val="pl-PL"/>
              </w:rPr>
              <w:t>2 347,97 zł</w:t>
            </w:r>
          </w:p>
        </w:tc>
        <w:tc>
          <w:tcPr>
            <w:tcW w:w="1418" w:type="dxa"/>
          </w:tcPr>
          <w:p w14:paraId="3B411011" w14:textId="701EF488" w:rsidR="002A77F6" w:rsidRPr="00A61DD9" w:rsidRDefault="002A77F6" w:rsidP="00593C10">
            <w:pPr>
              <w:keepNext/>
              <w:ind w:firstLine="0"/>
              <w:jc w:val="center"/>
              <w:rPr>
                <w:sz w:val="18"/>
                <w:szCs w:val="18"/>
                <w:lang w:val="pl-PL"/>
              </w:rPr>
            </w:pPr>
            <w:r w:rsidRPr="002A77F6">
              <w:rPr>
                <w:sz w:val="18"/>
                <w:szCs w:val="18"/>
                <w:lang w:val="pl-PL"/>
              </w:rPr>
              <w:t>3 363,91 zł</w:t>
            </w:r>
          </w:p>
        </w:tc>
        <w:tc>
          <w:tcPr>
            <w:tcW w:w="1418" w:type="dxa"/>
          </w:tcPr>
          <w:p w14:paraId="4A12374A" w14:textId="730A3536" w:rsidR="002A77F6" w:rsidRPr="00A61DD9" w:rsidRDefault="002A77F6" w:rsidP="00593C10">
            <w:pPr>
              <w:keepNext/>
              <w:ind w:firstLine="0"/>
              <w:jc w:val="center"/>
              <w:rPr>
                <w:sz w:val="18"/>
                <w:szCs w:val="18"/>
                <w:lang w:val="pl-PL"/>
              </w:rPr>
            </w:pPr>
            <w:r w:rsidRPr="002A77F6">
              <w:rPr>
                <w:sz w:val="18"/>
                <w:szCs w:val="18"/>
                <w:lang w:val="pl-PL"/>
              </w:rPr>
              <w:t>3 363,00 zł</w:t>
            </w:r>
          </w:p>
        </w:tc>
      </w:tr>
    </w:tbl>
    <w:p w14:paraId="52CA61D6" w14:textId="3F990C48" w:rsidR="008F15CB" w:rsidRDefault="00593C10" w:rsidP="007770AA">
      <w:pPr>
        <w:pStyle w:val="rdo"/>
      </w:pPr>
      <w:r>
        <w:t>Źródło: opracowanie własne na podstawie wyników badania kwestionariuszowego</w:t>
      </w:r>
    </w:p>
    <w:p w14:paraId="617A2FDC" w14:textId="6AE248AB" w:rsidR="001E1A75" w:rsidRDefault="00593C10" w:rsidP="00A85AA1">
      <w:pPr>
        <w:ind w:left="113"/>
      </w:pPr>
      <w:r>
        <w:t>Analizując wartości parametrów przedstawionych w tabeli po</w:t>
      </w:r>
      <w:r>
        <w:fldChar w:fldCharType="begin"/>
      </w:r>
      <w:r>
        <w:instrText xml:space="preserve"> REF _Ref137661439 \p \h </w:instrText>
      </w:r>
      <w:r>
        <w:fldChar w:fldCharType="separate"/>
      </w:r>
      <w:r w:rsidR="009E351C">
        <w:t>wyżej</w:t>
      </w:r>
      <w:r>
        <w:fldChar w:fldCharType="end"/>
      </w:r>
      <w:r>
        <w:t xml:space="preserve"> (</w:t>
      </w:r>
      <w:r>
        <w:fldChar w:fldCharType="begin"/>
      </w:r>
      <w:r>
        <w:instrText xml:space="preserve"> REF _Ref137661449 \h </w:instrText>
      </w:r>
      <w:r>
        <w:fldChar w:fldCharType="separate"/>
      </w:r>
      <w:r w:rsidR="009E351C">
        <w:t xml:space="preserve">Tabela </w:t>
      </w:r>
      <w:r w:rsidR="009E351C">
        <w:rPr>
          <w:noProof/>
        </w:rPr>
        <w:t>69</w:t>
      </w:r>
      <w:r>
        <w:fldChar w:fldCharType="end"/>
      </w:r>
      <w:r>
        <w:t>) można zauważyć, że wartości zarówno indeksu IWRA po roku jak i trzech latach są wyższe w grupie absolwentów uczelni techniczny od tych dla grupy absolwentów uczelni nietechnicznych. Takie wyniki korespondują z odpowiedziami respondentów badania jakościowego, z których wielu wskazywało na to iż absolwenci uczelni lub kierunków technicznych są wyżej cenieni na rynku pracy. Podobnie uczelnie techniczne przeciętnie uzyskują wyższe wartości prestiżu w wielu rankingach. Ten efekt powinien być tym silniejszy, że w grupie uczelni technicznych w niniejszym badaniu znajdują się jedynie uczelnie publiczne natomiast kategoria uczelni nietechnicznych mieści wszystkie pozostałe rodzaje uczelni. Taki podział może dodatkowo wzmacniać różnicę w prestiżu i postrzeganej renomie absolwentów, która charakterystycznie jest wyższa dla dużych ośrodków akademickich, co</w:t>
      </w:r>
      <w:r w:rsidRPr="00593C10">
        <w:t xml:space="preserve"> </w:t>
      </w:r>
      <w:r>
        <w:t>w specyficznych dla Polski uwarunkowaniach</w:t>
      </w:r>
      <w:r w:rsidR="00A85AA1">
        <w:t xml:space="preserve"> oznacza przynależność grupy uczelnie publicznych.</w:t>
      </w:r>
      <w:r>
        <w:t xml:space="preserve"> Natomiast wydaje się </w:t>
      </w:r>
      <w:r w:rsidR="00A85AA1">
        <w:t>zaskakujące</w:t>
      </w:r>
      <w:r>
        <w:t xml:space="preserve">, że </w:t>
      </w:r>
      <w:r w:rsidR="00A85AA1">
        <w:t xml:space="preserve">wartości stopy zatrudnienia są nieznacznie wyższe dla grupy absolwentów uczelni nietechnicznych. </w:t>
      </w:r>
      <w:r w:rsidR="001E1A75">
        <w:t xml:space="preserve">W celu bardziej dogłębnego zrozumienia istotności tego zjawiska obliczono również korelacje </w:t>
      </w:r>
      <w:r w:rsidR="00606ADC">
        <w:t>pomiędzy cechą ukończonej uczeni jaką jest zaklasyfikowanie do grupy uczelni technicznych (przypisana wartość 1</w:t>
      </w:r>
      <w:r w:rsidR="005D59E0">
        <w:t>, dla nietechnicznych - 0</w:t>
      </w:r>
      <w:r w:rsidR="00606ADC">
        <w:t>) oraz zarobkami</w:t>
      </w:r>
      <w:r w:rsidR="005D59E0">
        <w:t xml:space="preserve"> i zatrudnieniem.</w:t>
      </w:r>
      <w:r w:rsidR="009677FC">
        <w:t xml:space="preserve"> Wyniki tych korelacji przedstawiono w tabeli po</w:t>
      </w:r>
      <w:r w:rsidR="00343FEC">
        <w:fldChar w:fldCharType="begin"/>
      </w:r>
      <w:r w:rsidR="00343FEC">
        <w:instrText xml:space="preserve"> REF _Ref137715835 \p \h </w:instrText>
      </w:r>
      <w:r w:rsidR="00343FEC">
        <w:fldChar w:fldCharType="separate"/>
      </w:r>
      <w:r w:rsidR="009E351C">
        <w:t>niżej</w:t>
      </w:r>
      <w:r w:rsidR="00343FEC">
        <w:fldChar w:fldCharType="end"/>
      </w:r>
      <w:r w:rsidR="00343FEC">
        <w:t xml:space="preserve"> </w:t>
      </w:r>
      <w:r w:rsidR="009677FC">
        <w:t>(</w:t>
      </w:r>
      <w:r w:rsidR="00343FEC">
        <w:fldChar w:fldCharType="begin"/>
      </w:r>
      <w:r w:rsidR="00343FEC">
        <w:instrText xml:space="preserve"> REF _Ref137715854 \h </w:instrText>
      </w:r>
      <w:r w:rsidR="00343FEC">
        <w:fldChar w:fldCharType="separate"/>
      </w:r>
      <w:r w:rsidR="009E351C">
        <w:t xml:space="preserve">Tabela </w:t>
      </w:r>
      <w:r w:rsidR="009E351C">
        <w:rPr>
          <w:noProof/>
        </w:rPr>
        <w:t>70</w:t>
      </w:r>
      <w:r w:rsidR="00343FEC">
        <w:fldChar w:fldCharType="end"/>
      </w:r>
      <w:r w:rsidR="009677FC">
        <w:t>).</w:t>
      </w:r>
    </w:p>
    <w:p w14:paraId="0C3B3202" w14:textId="79A49B05" w:rsidR="009677FC" w:rsidRDefault="009677FC" w:rsidP="009677FC">
      <w:pPr>
        <w:pStyle w:val="Tytutabeli"/>
      </w:pPr>
      <w:bookmarkStart w:id="105" w:name="_Ref137715854"/>
      <w:bookmarkStart w:id="106" w:name="_Ref137715835"/>
      <w:bookmarkStart w:id="107" w:name="_Toc163576359"/>
      <w:r>
        <w:t xml:space="preserve">Tabela </w:t>
      </w:r>
      <w:r>
        <w:fldChar w:fldCharType="begin"/>
      </w:r>
      <w:r>
        <w:instrText xml:space="preserve"> SEQ Tabela \* ARABIC </w:instrText>
      </w:r>
      <w:r>
        <w:fldChar w:fldCharType="separate"/>
      </w:r>
      <w:r w:rsidR="00DA2A4D">
        <w:rPr>
          <w:noProof/>
        </w:rPr>
        <w:t>70</w:t>
      </w:r>
      <w:r>
        <w:rPr>
          <w:noProof/>
        </w:rPr>
        <w:fldChar w:fldCharType="end"/>
      </w:r>
      <w:bookmarkEnd w:id="105"/>
      <w:r>
        <w:t xml:space="preserve"> Korelacje pomiędzy klasyfikowaniem uczelni jako techniczną, a wynagrodzeniem i zatrudnieniem absolwentów po roku i po 3 latach od ukończenia studiów.</w:t>
      </w:r>
      <w:bookmarkEnd w:id="106"/>
      <w:bookmarkEnd w:id="107"/>
    </w:p>
    <w:tbl>
      <w:tblPr>
        <w:tblStyle w:val="Tabela-Siatka"/>
        <w:tblW w:w="0" w:type="auto"/>
        <w:tblInd w:w="113" w:type="dxa"/>
        <w:tblLook w:val="04A0" w:firstRow="1" w:lastRow="0" w:firstColumn="1" w:lastColumn="0" w:noHBand="0" w:noVBand="1"/>
      </w:tblPr>
      <w:tblGrid>
        <w:gridCol w:w="4536"/>
        <w:gridCol w:w="2268"/>
        <w:gridCol w:w="2268"/>
      </w:tblGrid>
      <w:tr w:rsidR="005D59E0" w:rsidRPr="005D59E0" w14:paraId="0F7706D5" w14:textId="77777777" w:rsidTr="009677FC">
        <w:trPr>
          <w:cantSplit/>
          <w:tblHeader/>
        </w:trPr>
        <w:tc>
          <w:tcPr>
            <w:tcW w:w="4536" w:type="dxa"/>
            <w:vAlign w:val="center"/>
          </w:tcPr>
          <w:p w14:paraId="564F9E1E" w14:textId="40366DEC" w:rsidR="005D59E0" w:rsidRPr="005D59E0" w:rsidRDefault="005D59E0" w:rsidP="004C1815">
            <w:pPr>
              <w:keepNext/>
              <w:ind w:firstLine="0"/>
              <w:jc w:val="left"/>
              <w:rPr>
                <w:b/>
                <w:bCs/>
                <w:sz w:val="18"/>
                <w:szCs w:val="18"/>
              </w:rPr>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2268" w:type="dxa"/>
            <w:vAlign w:val="center"/>
          </w:tcPr>
          <w:p w14:paraId="4771BA3E" w14:textId="2E3DC84E" w:rsidR="005D59E0" w:rsidRPr="005D59E0" w:rsidRDefault="005D59E0"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korelacji</w:t>
            </w:r>
            <w:proofErr w:type="spellEnd"/>
            <w:r w:rsidRPr="005D59E0">
              <w:rPr>
                <w:b/>
                <w:bCs/>
                <w:sz w:val="18"/>
                <w:szCs w:val="18"/>
              </w:rPr>
              <w:t xml:space="preserve"> r-</w:t>
            </w:r>
            <w:proofErr w:type="spellStart"/>
            <w:r w:rsidRPr="005D59E0">
              <w:rPr>
                <w:b/>
                <w:bCs/>
                <w:sz w:val="18"/>
                <w:szCs w:val="18"/>
              </w:rPr>
              <w:t>Pearsona</w:t>
            </w:r>
            <w:proofErr w:type="spellEnd"/>
          </w:p>
        </w:tc>
        <w:tc>
          <w:tcPr>
            <w:tcW w:w="2268" w:type="dxa"/>
            <w:vAlign w:val="center"/>
          </w:tcPr>
          <w:p w14:paraId="7102B217" w14:textId="04965252" w:rsidR="005D59E0" w:rsidRPr="005D59E0" w:rsidRDefault="005D59E0"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istotności</w:t>
            </w:r>
            <w:proofErr w:type="spellEnd"/>
            <w:r>
              <w:rPr>
                <w:b/>
                <w:bCs/>
                <w:sz w:val="18"/>
                <w:szCs w:val="18"/>
              </w:rPr>
              <w:t xml:space="preserve"> </w:t>
            </w:r>
            <w:proofErr w:type="spellStart"/>
            <w:r>
              <w:rPr>
                <w:b/>
                <w:bCs/>
                <w:sz w:val="18"/>
                <w:szCs w:val="18"/>
              </w:rPr>
              <w:t>statystycznej</w:t>
            </w:r>
            <w:proofErr w:type="spellEnd"/>
            <w:r w:rsidRPr="005D59E0">
              <w:rPr>
                <w:b/>
                <w:bCs/>
                <w:sz w:val="18"/>
                <w:szCs w:val="18"/>
              </w:rPr>
              <w:t xml:space="preserve"> p</w:t>
            </w:r>
          </w:p>
        </w:tc>
      </w:tr>
      <w:tr w:rsidR="005D59E0" w:rsidRPr="005D59E0" w14:paraId="6F887FA3" w14:textId="77777777" w:rsidTr="009677FC">
        <w:trPr>
          <w:cantSplit/>
        </w:trPr>
        <w:tc>
          <w:tcPr>
            <w:tcW w:w="4536" w:type="dxa"/>
            <w:vAlign w:val="center"/>
          </w:tcPr>
          <w:p w14:paraId="644DD133" w14:textId="0203DE11" w:rsidR="005D59E0" w:rsidRPr="005D59E0" w:rsidRDefault="009677FC" w:rsidP="005D59E0">
            <w:pPr>
              <w:ind w:firstLine="0"/>
              <w:jc w:val="left"/>
              <w:rPr>
                <w:sz w:val="18"/>
                <w:szCs w:val="18"/>
                <w:lang w:val="pl-PL"/>
              </w:rPr>
            </w:pPr>
            <w:r>
              <w:rPr>
                <w:sz w:val="18"/>
                <w:szCs w:val="18"/>
                <w:lang w:val="pl-PL"/>
              </w:rPr>
              <w:t>T</w:t>
            </w:r>
            <w:r w:rsidR="005D59E0" w:rsidRPr="005D59E0">
              <w:rPr>
                <w:sz w:val="18"/>
                <w:szCs w:val="18"/>
                <w:lang w:val="pl-PL"/>
              </w:rPr>
              <w:t>echniczna vs zarobki po 1 roku</w:t>
            </w:r>
          </w:p>
        </w:tc>
        <w:tc>
          <w:tcPr>
            <w:tcW w:w="2268" w:type="dxa"/>
            <w:vAlign w:val="center"/>
          </w:tcPr>
          <w:p w14:paraId="185F77BB" w14:textId="6F6DAE69" w:rsidR="005D59E0" w:rsidRPr="009677FC" w:rsidRDefault="005D59E0" w:rsidP="005D59E0">
            <w:pPr>
              <w:ind w:firstLine="0"/>
              <w:jc w:val="center"/>
              <w:rPr>
                <w:b/>
                <w:bCs/>
                <w:sz w:val="18"/>
                <w:szCs w:val="18"/>
                <w:lang w:val="pl-PL"/>
              </w:rPr>
            </w:pPr>
            <w:r w:rsidRPr="009677FC">
              <w:rPr>
                <w:b/>
                <w:bCs/>
                <w:sz w:val="18"/>
                <w:szCs w:val="18"/>
                <w:lang w:val="pl-PL"/>
              </w:rPr>
              <w:t>0,1852</w:t>
            </w:r>
          </w:p>
        </w:tc>
        <w:tc>
          <w:tcPr>
            <w:tcW w:w="2268" w:type="dxa"/>
            <w:vAlign w:val="center"/>
          </w:tcPr>
          <w:p w14:paraId="2181117C" w14:textId="64B779FF" w:rsidR="005D59E0" w:rsidRPr="009677FC" w:rsidRDefault="005D59E0" w:rsidP="005D59E0">
            <w:pPr>
              <w:ind w:firstLine="0"/>
              <w:jc w:val="center"/>
              <w:rPr>
                <w:i/>
                <w:iCs/>
                <w:sz w:val="18"/>
                <w:szCs w:val="18"/>
                <w:lang w:val="pl-PL"/>
              </w:rPr>
            </w:pPr>
            <w:r w:rsidRPr="009677FC">
              <w:rPr>
                <w:i/>
                <w:iCs/>
                <w:sz w:val="18"/>
                <w:szCs w:val="18"/>
                <w:lang w:val="pl-PL"/>
              </w:rPr>
              <w:t>0,0429</w:t>
            </w:r>
          </w:p>
        </w:tc>
      </w:tr>
      <w:tr w:rsidR="005D59E0" w:rsidRPr="005D59E0" w14:paraId="06DD27CE" w14:textId="77777777" w:rsidTr="009677FC">
        <w:trPr>
          <w:cantSplit/>
        </w:trPr>
        <w:tc>
          <w:tcPr>
            <w:tcW w:w="4536" w:type="dxa"/>
            <w:vAlign w:val="center"/>
          </w:tcPr>
          <w:p w14:paraId="629575E4" w14:textId="579E8E11" w:rsidR="005D59E0" w:rsidRPr="005D59E0" w:rsidRDefault="009677FC" w:rsidP="005D59E0">
            <w:pPr>
              <w:ind w:firstLine="0"/>
              <w:jc w:val="left"/>
              <w:rPr>
                <w:sz w:val="18"/>
                <w:szCs w:val="18"/>
                <w:lang w:val="pl-PL"/>
              </w:rPr>
            </w:pPr>
            <w:r w:rsidRPr="005D59E0">
              <w:rPr>
                <w:sz w:val="18"/>
                <w:szCs w:val="18"/>
                <w:lang w:val="pl-PL"/>
              </w:rPr>
              <w:t xml:space="preserve">Techniczna </w:t>
            </w:r>
            <w:r w:rsidR="005D59E0" w:rsidRPr="005D59E0">
              <w:rPr>
                <w:sz w:val="18"/>
                <w:szCs w:val="18"/>
                <w:lang w:val="pl-PL"/>
              </w:rPr>
              <w:t>vs zatrudnienie po 1 roku</w:t>
            </w:r>
          </w:p>
        </w:tc>
        <w:tc>
          <w:tcPr>
            <w:tcW w:w="2268" w:type="dxa"/>
            <w:vAlign w:val="center"/>
          </w:tcPr>
          <w:p w14:paraId="1AD89867" w14:textId="2D9681B3" w:rsidR="005D59E0" w:rsidRPr="005D59E0" w:rsidRDefault="005D59E0" w:rsidP="005D59E0">
            <w:pPr>
              <w:ind w:firstLine="0"/>
              <w:jc w:val="center"/>
              <w:rPr>
                <w:sz w:val="18"/>
                <w:szCs w:val="18"/>
                <w:lang w:val="pl-PL"/>
              </w:rPr>
            </w:pPr>
            <w:r w:rsidRPr="005D59E0">
              <w:rPr>
                <w:sz w:val="18"/>
                <w:szCs w:val="18"/>
                <w:lang w:val="pl-PL"/>
              </w:rPr>
              <w:t>-0,1411</w:t>
            </w:r>
          </w:p>
        </w:tc>
        <w:tc>
          <w:tcPr>
            <w:tcW w:w="2268" w:type="dxa"/>
            <w:vAlign w:val="center"/>
          </w:tcPr>
          <w:p w14:paraId="025B6277" w14:textId="36B5BEEB" w:rsidR="005D59E0" w:rsidRPr="009677FC" w:rsidRDefault="005D59E0" w:rsidP="005D59E0">
            <w:pPr>
              <w:ind w:firstLine="0"/>
              <w:jc w:val="center"/>
              <w:rPr>
                <w:i/>
                <w:iCs/>
                <w:sz w:val="18"/>
                <w:szCs w:val="18"/>
                <w:lang w:val="pl-PL"/>
              </w:rPr>
            </w:pPr>
            <w:r w:rsidRPr="009677FC">
              <w:rPr>
                <w:i/>
                <w:iCs/>
                <w:sz w:val="18"/>
                <w:szCs w:val="18"/>
                <w:lang w:val="pl-PL"/>
              </w:rPr>
              <w:t>0,1242</w:t>
            </w:r>
          </w:p>
        </w:tc>
      </w:tr>
      <w:tr w:rsidR="005D59E0" w:rsidRPr="005D59E0" w14:paraId="505A878C" w14:textId="77777777" w:rsidTr="009677FC">
        <w:trPr>
          <w:cantSplit/>
        </w:trPr>
        <w:tc>
          <w:tcPr>
            <w:tcW w:w="4536" w:type="dxa"/>
            <w:vAlign w:val="center"/>
          </w:tcPr>
          <w:p w14:paraId="6D4CC2A2" w14:textId="47014ECB" w:rsidR="005D59E0" w:rsidRPr="005D59E0" w:rsidRDefault="009677FC" w:rsidP="005D59E0">
            <w:pPr>
              <w:ind w:firstLine="0"/>
              <w:jc w:val="left"/>
              <w:rPr>
                <w:sz w:val="18"/>
                <w:szCs w:val="18"/>
                <w:lang w:val="pl-PL"/>
              </w:rPr>
            </w:pPr>
            <w:r w:rsidRPr="005D59E0">
              <w:rPr>
                <w:sz w:val="18"/>
                <w:szCs w:val="18"/>
                <w:lang w:val="pl-PL"/>
              </w:rPr>
              <w:t xml:space="preserve">Techniczna </w:t>
            </w:r>
            <w:r w:rsidR="005D59E0" w:rsidRPr="005D59E0">
              <w:rPr>
                <w:sz w:val="18"/>
                <w:szCs w:val="18"/>
                <w:lang w:val="pl-PL"/>
              </w:rPr>
              <w:t>vs zarobki po 3 latach</w:t>
            </w:r>
          </w:p>
        </w:tc>
        <w:tc>
          <w:tcPr>
            <w:tcW w:w="2268" w:type="dxa"/>
            <w:vAlign w:val="center"/>
          </w:tcPr>
          <w:p w14:paraId="34D3A58C" w14:textId="3D6F27D9" w:rsidR="005D59E0" w:rsidRPr="009677FC" w:rsidRDefault="005D59E0" w:rsidP="005D59E0">
            <w:pPr>
              <w:ind w:firstLine="0"/>
              <w:jc w:val="center"/>
              <w:rPr>
                <w:b/>
                <w:bCs/>
                <w:sz w:val="18"/>
                <w:szCs w:val="18"/>
                <w:lang w:val="pl-PL"/>
              </w:rPr>
            </w:pPr>
            <w:r w:rsidRPr="009677FC">
              <w:rPr>
                <w:b/>
                <w:bCs/>
                <w:sz w:val="18"/>
                <w:szCs w:val="18"/>
                <w:lang w:val="pl-PL"/>
              </w:rPr>
              <w:t>0,2977</w:t>
            </w:r>
          </w:p>
        </w:tc>
        <w:tc>
          <w:tcPr>
            <w:tcW w:w="2268" w:type="dxa"/>
            <w:vAlign w:val="center"/>
          </w:tcPr>
          <w:p w14:paraId="3682BB5C" w14:textId="665F342B" w:rsidR="005D59E0" w:rsidRPr="009677FC" w:rsidRDefault="005D59E0" w:rsidP="005D59E0">
            <w:pPr>
              <w:ind w:firstLine="0"/>
              <w:jc w:val="center"/>
              <w:rPr>
                <w:i/>
                <w:iCs/>
                <w:sz w:val="18"/>
                <w:szCs w:val="18"/>
                <w:lang w:val="pl-PL"/>
              </w:rPr>
            </w:pPr>
            <w:r w:rsidRPr="009677FC">
              <w:rPr>
                <w:i/>
                <w:iCs/>
                <w:sz w:val="18"/>
                <w:szCs w:val="18"/>
                <w:lang w:val="pl-PL"/>
              </w:rPr>
              <w:t>0,0010</w:t>
            </w:r>
          </w:p>
        </w:tc>
      </w:tr>
      <w:tr w:rsidR="005D59E0" w:rsidRPr="005D59E0" w14:paraId="29265EA2" w14:textId="77777777" w:rsidTr="009677FC">
        <w:trPr>
          <w:cantSplit/>
        </w:trPr>
        <w:tc>
          <w:tcPr>
            <w:tcW w:w="4536" w:type="dxa"/>
            <w:vAlign w:val="center"/>
          </w:tcPr>
          <w:p w14:paraId="3C0ED881" w14:textId="4F50D42E" w:rsidR="005D59E0" w:rsidRPr="005D59E0" w:rsidRDefault="009677FC" w:rsidP="00343FEC">
            <w:pPr>
              <w:keepNext/>
              <w:ind w:firstLine="0"/>
              <w:jc w:val="left"/>
              <w:rPr>
                <w:sz w:val="18"/>
                <w:szCs w:val="18"/>
                <w:lang w:val="pl-PL"/>
              </w:rPr>
            </w:pPr>
            <w:r w:rsidRPr="005D59E0">
              <w:rPr>
                <w:sz w:val="18"/>
                <w:szCs w:val="18"/>
                <w:lang w:val="pl-PL"/>
              </w:rPr>
              <w:t xml:space="preserve">Techniczna </w:t>
            </w:r>
            <w:r w:rsidR="005D59E0" w:rsidRPr="005D59E0">
              <w:rPr>
                <w:sz w:val="18"/>
                <w:szCs w:val="18"/>
                <w:lang w:val="pl-PL"/>
              </w:rPr>
              <w:t>vs zatrudnienie po 3 latach</w:t>
            </w:r>
          </w:p>
        </w:tc>
        <w:tc>
          <w:tcPr>
            <w:tcW w:w="2268" w:type="dxa"/>
            <w:vAlign w:val="center"/>
          </w:tcPr>
          <w:p w14:paraId="2094B41E" w14:textId="161D8B20" w:rsidR="005D59E0" w:rsidRPr="005D59E0" w:rsidRDefault="005D59E0" w:rsidP="00343FEC">
            <w:pPr>
              <w:keepNext/>
              <w:ind w:firstLine="0"/>
              <w:jc w:val="center"/>
              <w:rPr>
                <w:sz w:val="18"/>
                <w:szCs w:val="18"/>
                <w:lang w:val="pl-PL"/>
              </w:rPr>
            </w:pPr>
            <w:r w:rsidRPr="005D59E0">
              <w:rPr>
                <w:sz w:val="18"/>
                <w:szCs w:val="18"/>
                <w:lang w:val="pl-PL"/>
              </w:rPr>
              <w:t>-0,1080</w:t>
            </w:r>
          </w:p>
        </w:tc>
        <w:tc>
          <w:tcPr>
            <w:tcW w:w="2268" w:type="dxa"/>
            <w:vAlign w:val="center"/>
          </w:tcPr>
          <w:p w14:paraId="03CEA1EB" w14:textId="72D2F5A5" w:rsidR="005D59E0" w:rsidRPr="009677FC" w:rsidRDefault="005D59E0" w:rsidP="00343FEC">
            <w:pPr>
              <w:keepNext/>
              <w:ind w:firstLine="0"/>
              <w:jc w:val="center"/>
              <w:rPr>
                <w:i/>
                <w:iCs/>
                <w:sz w:val="18"/>
                <w:szCs w:val="18"/>
                <w:lang w:val="pl-PL"/>
              </w:rPr>
            </w:pPr>
            <w:r w:rsidRPr="009677FC">
              <w:rPr>
                <w:i/>
                <w:iCs/>
                <w:sz w:val="18"/>
                <w:szCs w:val="18"/>
                <w:lang w:val="pl-PL"/>
              </w:rPr>
              <w:t>0,2402</w:t>
            </w:r>
          </w:p>
        </w:tc>
      </w:tr>
    </w:tbl>
    <w:p w14:paraId="4D1DD5CB" w14:textId="77777777" w:rsidR="00343FEC" w:rsidRDefault="00343FEC" w:rsidP="007770AA">
      <w:pPr>
        <w:pStyle w:val="rdo"/>
      </w:pPr>
      <w:r>
        <w:t>Źródło: opracowanie własne na podstawie wyników badania kwestionariuszowego</w:t>
      </w:r>
    </w:p>
    <w:p w14:paraId="412DE373" w14:textId="441F0B80" w:rsidR="00A51435" w:rsidRDefault="008565F2" w:rsidP="00A51435">
      <w:pPr>
        <w:ind w:left="113"/>
      </w:pPr>
      <w:r>
        <w:t xml:space="preserve">Przedstawione </w:t>
      </w:r>
      <w:r w:rsidR="00343FEC">
        <w:t>w tabeli po</w:t>
      </w:r>
      <w:r w:rsidR="00343FEC">
        <w:fldChar w:fldCharType="begin"/>
      </w:r>
      <w:r w:rsidR="00343FEC">
        <w:instrText xml:space="preserve"> REF _Ref137715835 \p \h </w:instrText>
      </w:r>
      <w:r w:rsidR="00343FEC">
        <w:fldChar w:fldCharType="separate"/>
      </w:r>
      <w:r w:rsidR="009E351C">
        <w:t>wyżej</w:t>
      </w:r>
      <w:r w:rsidR="00343FEC">
        <w:fldChar w:fldCharType="end"/>
      </w:r>
      <w:r w:rsidR="00343FEC">
        <w:t xml:space="preserve"> (</w:t>
      </w:r>
      <w:r w:rsidR="00343FEC">
        <w:fldChar w:fldCharType="begin"/>
      </w:r>
      <w:r w:rsidR="00343FEC">
        <w:instrText xml:space="preserve"> REF _Ref137715854 \h </w:instrText>
      </w:r>
      <w:r w:rsidR="00343FEC">
        <w:fldChar w:fldCharType="separate"/>
      </w:r>
      <w:r w:rsidR="009E351C">
        <w:t xml:space="preserve">Tabela </w:t>
      </w:r>
      <w:r w:rsidR="009E351C">
        <w:rPr>
          <w:noProof/>
        </w:rPr>
        <w:t>70</w:t>
      </w:r>
      <w:r w:rsidR="00343FEC">
        <w:fldChar w:fldCharType="end"/>
      </w:r>
      <w:r w:rsidR="00343FEC">
        <w:t>)</w:t>
      </w:r>
      <w:r>
        <w:t xml:space="preserve"> korelacje wskazują na istnienie istotnego statystycznie związku pomiędzy ukończeniem uczelni technicznej, a poziomem zarobków zarówno po roku, jak i po 3 latach od ukończenia studiów. W tabeli oznaczono pogrubieniem wartości korelacji </w:t>
      </w:r>
      <w:r w:rsidR="00AA4CDC">
        <w:lastRenderedPageBreak/>
        <w:t xml:space="preserve">istotne statystycznie na poziomie przyjętym poziomie istotności statystycznej </w:t>
      </w:r>
      <w:r w:rsidR="00AA4CDC">
        <w:rPr>
          <w:rFonts w:cs="Arial"/>
        </w:rPr>
        <w:t>α</w:t>
      </w:r>
      <w:r w:rsidR="00AA4CDC">
        <w:t xml:space="preserve"> = 0,1</w:t>
      </w:r>
      <w:r w:rsidR="00AA4CDC">
        <w:rPr>
          <w:rStyle w:val="Odwoanieprzypisudolnego"/>
        </w:rPr>
        <w:footnoteReference w:id="10"/>
      </w:r>
      <w:r w:rsidR="00AA4CDC">
        <w:t xml:space="preserve">. </w:t>
      </w:r>
      <w:r w:rsidR="00A51435">
        <w:t>Oba te istotne statystycznie parametry wskazują na korelację niską wg klasyfikacji zaproponowanej przez J. </w:t>
      </w:r>
      <w:proofErr w:type="spellStart"/>
      <w:r w:rsidR="00A51435">
        <w:t>Guilford’a</w:t>
      </w:r>
      <w:proofErr w:type="spellEnd"/>
      <w:r w:rsidR="00A51435">
        <w:t xml:space="preserve"> przedstawionej w tabeli po</w:t>
      </w:r>
      <w:r w:rsidR="00A51435">
        <w:rPr>
          <w:color w:val="FF0000"/>
        </w:rPr>
        <w:fldChar w:fldCharType="begin"/>
      </w:r>
      <w:r w:rsidR="00A51435">
        <w:instrText xml:space="preserve"> REF _Ref136544219 \p \h </w:instrText>
      </w:r>
      <w:r w:rsidR="00A51435">
        <w:rPr>
          <w:color w:val="FF0000"/>
        </w:rPr>
      </w:r>
      <w:r w:rsidR="00A51435">
        <w:rPr>
          <w:color w:val="FF0000"/>
        </w:rPr>
        <w:fldChar w:fldCharType="separate"/>
      </w:r>
      <w:r w:rsidR="009E351C">
        <w:t>niżej</w:t>
      </w:r>
      <w:r w:rsidR="00A51435">
        <w:rPr>
          <w:color w:val="FF0000"/>
        </w:rPr>
        <w:fldChar w:fldCharType="end"/>
      </w:r>
      <w:r w:rsidR="00A51435">
        <w:t xml:space="preserve"> (</w:t>
      </w:r>
      <w:r w:rsidR="00A51435">
        <w:fldChar w:fldCharType="begin"/>
      </w:r>
      <w:r w:rsidR="00A51435">
        <w:instrText xml:space="preserve"> REF _Ref136544259 \h </w:instrText>
      </w:r>
      <w:r w:rsidR="00A51435">
        <w:fldChar w:fldCharType="separate"/>
      </w:r>
      <w:r w:rsidR="009E351C">
        <w:t xml:space="preserve">Tabela </w:t>
      </w:r>
      <w:r w:rsidR="009E351C">
        <w:rPr>
          <w:noProof/>
        </w:rPr>
        <w:t>71</w:t>
      </w:r>
      <w:r w:rsidR="00A51435">
        <w:fldChar w:fldCharType="end"/>
      </w:r>
      <w:r w:rsidR="00A51435">
        <w:t>).</w:t>
      </w:r>
    </w:p>
    <w:p w14:paraId="187B9636" w14:textId="3450ACD4" w:rsidR="00A51435" w:rsidRDefault="00A51435" w:rsidP="00A51435">
      <w:pPr>
        <w:pStyle w:val="Tytutabeli"/>
      </w:pPr>
      <w:bookmarkStart w:id="108" w:name="_Ref136544259"/>
      <w:bookmarkStart w:id="109" w:name="_Ref136544219"/>
      <w:bookmarkStart w:id="110" w:name="_Toc163576360"/>
      <w:r>
        <w:t xml:space="preserve">Tabela </w:t>
      </w:r>
      <w:r>
        <w:fldChar w:fldCharType="begin"/>
      </w:r>
      <w:r>
        <w:instrText xml:space="preserve"> SEQ Tabela \* ARABIC </w:instrText>
      </w:r>
      <w:r>
        <w:fldChar w:fldCharType="separate"/>
      </w:r>
      <w:r w:rsidR="00DA2A4D">
        <w:rPr>
          <w:noProof/>
        </w:rPr>
        <w:t>71</w:t>
      </w:r>
      <w:r>
        <w:rPr>
          <w:noProof/>
        </w:rPr>
        <w:fldChar w:fldCharType="end"/>
      </w:r>
      <w:bookmarkEnd w:id="108"/>
      <w:r>
        <w:t xml:space="preserve"> Interpretacja zakresów wartości korelacji r-Pearsona</w:t>
      </w:r>
      <w:bookmarkEnd w:id="109"/>
      <w:bookmarkEnd w:id="110"/>
    </w:p>
    <w:tbl>
      <w:tblPr>
        <w:tblStyle w:val="Tabela-Siatka"/>
        <w:tblW w:w="0" w:type="auto"/>
        <w:tblLook w:val="04A0" w:firstRow="1" w:lastRow="0" w:firstColumn="1" w:lastColumn="0" w:noHBand="0" w:noVBand="1"/>
      </w:tblPr>
      <w:tblGrid>
        <w:gridCol w:w="3510"/>
        <w:gridCol w:w="5529"/>
      </w:tblGrid>
      <w:tr w:rsidR="00A51435" w14:paraId="4AD484A4" w14:textId="77777777" w:rsidTr="004C1815">
        <w:trPr>
          <w:cantSplit/>
          <w:tblHeader/>
        </w:trPr>
        <w:tc>
          <w:tcPr>
            <w:tcW w:w="3510" w:type="dxa"/>
          </w:tcPr>
          <w:p w14:paraId="583E4A84" w14:textId="77777777" w:rsidR="00A51435" w:rsidRPr="00BB1057" w:rsidRDefault="00A51435" w:rsidP="004C1815">
            <w:pPr>
              <w:keepNext/>
              <w:ind w:firstLine="0"/>
              <w:rPr>
                <w:b/>
                <w:bCs/>
                <w:lang w:val="pl-PL"/>
              </w:rPr>
            </w:pPr>
            <w:r w:rsidRPr="00BB1057">
              <w:rPr>
                <w:b/>
                <w:bCs/>
                <w:sz w:val="18"/>
                <w:szCs w:val="18"/>
                <w:lang w:val="pl-PL"/>
              </w:rPr>
              <w:t>Zakres wartości statystyki r-Pearsona</w:t>
            </w:r>
          </w:p>
        </w:tc>
        <w:tc>
          <w:tcPr>
            <w:tcW w:w="5529" w:type="dxa"/>
          </w:tcPr>
          <w:p w14:paraId="68BD8CEE" w14:textId="77777777" w:rsidR="00A51435" w:rsidRPr="00BB1057" w:rsidRDefault="00A51435" w:rsidP="004C1815">
            <w:pPr>
              <w:keepNext/>
              <w:ind w:firstLine="0"/>
              <w:rPr>
                <w:b/>
                <w:bCs/>
                <w:lang w:val="pl-PL"/>
              </w:rPr>
            </w:pPr>
            <w:r w:rsidRPr="00BB1057">
              <w:rPr>
                <w:b/>
                <w:bCs/>
                <w:sz w:val="18"/>
                <w:szCs w:val="18"/>
                <w:lang w:val="pl-PL"/>
              </w:rPr>
              <w:t>Interpretacja przedziału wartości</w:t>
            </w:r>
          </w:p>
        </w:tc>
      </w:tr>
      <w:tr w:rsidR="00A51435" w14:paraId="729A3771" w14:textId="77777777" w:rsidTr="004C1815">
        <w:trPr>
          <w:cantSplit/>
        </w:trPr>
        <w:tc>
          <w:tcPr>
            <w:tcW w:w="3510" w:type="dxa"/>
            <w:vAlign w:val="center"/>
          </w:tcPr>
          <w:p w14:paraId="55F15CEC" w14:textId="77777777" w:rsidR="00A51435" w:rsidRPr="00BB1057" w:rsidRDefault="00A51435" w:rsidP="004C1815">
            <w:pPr>
              <w:ind w:firstLine="0"/>
              <w:jc w:val="left"/>
              <w:rPr>
                <w:sz w:val="18"/>
                <w:szCs w:val="18"/>
              </w:rPr>
            </w:pPr>
            <w:r w:rsidRPr="00BB1057">
              <w:rPr>
                <w:sz w:val="18"/>
                <w:szCs w:val="18"/>
              </w:rPr>
              <w:t>r = 0,0</w:t>
            </w:r>
          </w:p>
        </w:tc>
        <w:tc>
          <w:tcPr>
            <w:tcW w:w="5529" w:type="dxa"/>
            <w:vAlign w:val="center"/>
          </w:tcPr>
          <w:p w14:paraId="27869F4E" w14:textId="77777777" w:rsidR="00A51435" w:rsidRPr="00BB1057" w:rsidRDefault="00A51435" w:rsidP="004C1815">
            <w:pPr>
              <w:ind w:firstLine="0"/>
              <w:jc w:val="left"/>
              <w:rPr>
                <w:sz w:val="18"/>
                <w:szCs w:val="18"/>
              </w:rPr>
            </w:pPr>
            <w:proofErr w:type="spellStart"/>
            <w:r w:rsidRPr="00BB1057">
              <w:rPr>
                <w:sz w:val="18"/>
                <w:szCs w:val="18"/>
              </w:rPr>
              <w:t>Zupełny</w:t>
            </w:r>
            <w:proofErr w:type="spellEnd"/>
            <w:r w:rsidRPr="00BB1057">
              <w:rPr>
                <w:sz w:val="18"/>
                <w:szCs w:val="18"/>
              </w:rPr>
              <w:t xml:space="preserve"> </w:t>
            </w:r>
            <w:proofErr w:type="spellStart"/>
            <w:r w:rsidRPr="00BB1057">
              <w:rPr>
                <w:sz w:val="18"/>
                <w:szCs w:val="18"/>
              </w:rPr>
              <w:t>brak</w:t>
            </w:r>
            <w:proofErr w:type="spellEnd"/>
            <w:r w:rsidRPr="00BB1057">
              <w:rPr>
                <w:sz w:val="18"/>
                <w:szCs w:val="18"/>
              </w:rPr>
              <w:t xml:space="preserve"> </w:t>
            </w:r>
            <w:proofErr w:type="spellStart"/>
            <w:r w:rsidRPr="00BB1057">
              <w:rPr>
                <w:sz w:val="18"/>
                <w:szCs w:val="18"/>
              </w:rPr>
              <w:t>korelacji</w:t>
            </w:r>
            <w:proofErr w:type="spellEnd"/>
          </w:p>
        </w:tc>
      </w:tr>
      <w:tr w:rsidR="00A51435" w14:paraId="1B200AAE" w14:textId="77777777" w:rsidTr="004C1815">
        <w:trPr>
          <w:cantSplit/>
        </w:trPr>
        <w:tc>
          <w:tcPr>
            <w:tcW w:w="3510" w:type="dxa"/>
            <w:vAlign w:val="center"/>
          </w:tcPr>
          <w:p w14:paraId="214DEE87" w14:textId="77777777" w:rsidR="00A51435" w:rsidRPr="00BB1057" w:rsidRDefault="00A51435" w:rsidP="004C1815">
            <w:pPr>
              <w:ind w:firstLine="0"/>
              <w:jc w:val="left"/>
              <w:rPr>
                <w:sz w:val="18"/>
                <w:szCs w:val="18"/>
                <w:lang w:val="pl-PL"/>
              </w:rPr>
            </w:pPr>
            <w:r w:rsidRPr="00BB1057">
              <w:rPr>
                <w:sz w:val="18"/>
                <w:szCs w:val="18"/>
                <w:lang w:val="pl-PL"/>
              </w:rPr>
              <w:t>r większe od 0,0 i mniejsze lub równe 0,1</w:t>
            </w:r>
          </w:p>
        </w:tc>
        <w:tc>
          <w:tcPr>
            <w:tcW w:w="5529" w:type="dxa"/>
            <w:vAlign w:val="center"/>
          </w:tcPr>
          <w:p w14:paraId="45C469EA" w14:textId="77777777" w:rsidR="00A51435" w:rsidRPr="00BB1057" w:rsidRDefault="00A51435" w:rsidP="004C1815">
            <w:pPr>
              <w:ind w:firstLine="0"/>
              <w:jc w:val="left"/>
              <w:rPr>
                <w:sz w:val="18"/>
                <w:szCs w:val="18"/>
                <w:lang w:val="pl-PL"/>
              </w:rPr>
            </w:pPr>
            <w:r w:rsidRPr="00BB1057">
              <w:rPr>
                <w:sz w:val="18"/>
                <w:szCs w:val="18"/>
                <w:lang w:val="pl-PL"/>
              </w:rPr>
              <w:t>Korelacja nikła, prawie brak korelacji</w:t>
            </w:r>
          </w:p>
        </w:tc>
      </w:tr>
      <w:tr w:rsidR="00A51435" w14:paraId="427874D9" w14:textId="77777777" w:rsidTr="004C1815">
        <w:trPr>
          <w:cantSplit/>
        </w:trPr>
        <w:tc>
          <w:tcPr>
            <w:tcW w:w="3510" w:type="dxa"/>
            <w:vAlign w:val="center"/>
          </w:tcPr>
          <w:p w14:paraId="3746726E" w14:textId="77777777" w:rsidR="00A51435" w:rsidRPr="00BB1057" w:rsidRDefault="00A51435" w:rsidP="004C1815">
            <w:pPr>
              <w:ind w:firstLine="0"/>
              <w:jc w:val="left"/>
              <w:rPr>
                <w:sz w:val="18"/>
                <w:szCs w:val="18"/>
                <w:lang w:val="pl-PL"/>
              </w:rPr>
            </w:pPr>
            <w:r w:rsidRPr="00BB1057">
              <w:rPr>
                <w:sz w:val="18"/>
                <w:szCs w:val="18"/>
                <w:lang w:val="pl-PL"/>
              </w:rPr>
              <w:t>r większe od 0,1 i mniejsze lub równe 0,3</w:t>
            </w:r>
          </w:p>
        </w:tc>
        <w:tc>
          <w:tcPr>
            <w:tcW w:w="5529" w:type="dxa"/>
            <w:vAlign w:val="center"/>
          </w:tcPr>
          <w:p w14:paraId="24A0A8CD" w14:textId="77777777" w:rsidR="00A51435" w:rsidRPr="00BB1057" w:rsidRDefault="00A51435" w:rsidP="004C1815">
            <w:pPr>
              <w:ind w:firstLine="0"/>
              <w:jc w:val="left"/>
              <w:rPr>
                <w:sz w:val="18"/>
                <w:szCs w:val="18"/>
                <w:lang w:val="pl-PL"/>
              </w:rPr>
            </w:pPr>
            <w:r w:rsidRPr="00BB1057">
              <w:rPr>
                <w:sz w:val="18"/>
                <w:szCs w:val="18"/>
                <w:lang w:val="pl-PL"/>
              </w:rPr>
              <w:t>Niska korelacja</w:t>
            </w:r>
          </w:p>
        </w:tc>
      </w:tr>
      <w:tr w:rsidR="00A51435" w14:paraId="59FA19C7" w14:textId="77777777" w:rsidTr="004C1815">
        <w:trPr>
          <w:cantSplit/>
        </w:trPr>
        <w:tc>
          <w:tcPr>
            <w:tcW w:w="3510" w:type="dxa"/>
            <w:vAlign w:val="center"/>
          </w:tcPr>
          <w:p w14:paraId="22278166" w14:textId="77777777" w:rsidR="00A51435" w:rsidRPr="00BB1057" w:rsidRDefault="00A51435" w:rsidP="004C1815">
            <w:pPr>
              <w:ind w:firstLine="0"/>
              <w:jc w:val="left"/>
              <w:rPr>
                <w:sz w:val="18"/>
                <w:szCs w:val="18"/>
                <w:lang w:val="pl-PL"/>
              </w:rPr>
            </w:pPr>
            <w:r w:rsidRPr="00BB1057">
              <w:rPr>
                <w:sz w:val="18"/>
                <w:szCs w:val="18"/>
                <w:lang w:val="pl-PL"/>
              </w:rPr>
              <w:t>r większe od 0,3 i mniejsze lub równe 0,5</w:t>
            </w:r>
          </w:p>
        </w:tc>
        <w:tc>
          <w:tcPr>
            <w:tcW w:w="5529" w:type="dxa"/>
            <w:vAlign w:val="center"/>
          </w:tcPr>
          <w:p w14:paraId="609BF45A" w14:textId="77777777" w:rsidR="00A51435" w:rsidRPr="00BB1057" w:rsidRDefault="00A51435" w:rsidP="004C1815">
            <w:pPr>
              <w:ind w:firstLine="0"/>
              <w:jc w:val="left"/>
              <w:rPr>
                <w:sz w:val="18"/>
                <w:szCs w:val="18"/>
                <w:lang w:val="pl-PL"/>
              </w:rPr>
            </w:pPr>
            <w:r w:rsidRPr="00BB1057">
              <w:rPr>
                <w:sz w:val="18"/>
                <w:szCs w:val="18"/>
                <w:lang w:val="pl-PL"/>
              </w:rPr>
              <w:t>Korelacja umiarkowana, w praktyce zazwyczaj istotna</w:t>
            </w:r>
          </w:p>
        </w:tc>
      </w:tr>
      <w:tr w:rsidR="00A51435" w14:paraId="2E03CCD5" w14:textId="77777777" w:rsidTr="004C1815">
        <w:trPr>
          <w:cantSplit/>
        </w:trPr>
        <w:tc>
          <w:tcPr>
            <w:tcW w:w="3510" w:type="dxa"/>
            <w:vAlign w:val="center"/>
          </w:tcPr>
          <w:p w14:paraId="6ABBD583" w14:textId="77777777" w:rsidR="00A51435" w:rsidRPr="00BB1057" w:rsidRDefault="00A51435" w:rsidP="004C1815">
            <w:pPr>
              <w:ind w:firstLine="0"/>
              <w:jc w:val="left"/>
              <w:rPr>
                <w:sz w:val="18"/>
                <w:szCs w:val="18"/>
                <w:lang w:val="pl-PL"/>
              </w:rPr>
            </w:pPr>
            <w:r w:rsidRPr="00BB1057">
              <w:rPr>
                <w:sz w:val="18"/>
                <w:szCs w:val="18"/>
                <w:lang w:val="pl-PL"/>
              </w:rPr>
              <w:t>r większe od 0,5 i mniejsze lub równe 0,7</w:t>
            </w:r>
          </w:p>
        </w:tc>
        <w:tc>
          <w:tcPr>
            <w:tcW w:w="5529" w:type="dxa"/>
            <w:vAlign w:val="center"/>
          </w:tcPr>
          <w:p w14:paraId="42FAE3D9" w14:textId="77777777" w:rsidR="00A51435" w:rsidRPr="00BB1057" w:rsidRDefault="00A51435" w:rsidP="004C1815">
            <w:pPr>
              <w:ind w:firstLine="0"/>
              <w:jc w:val="left"/>
              <w:rPr>
                <w:sz w:val="18"/>
                <w:szCs w:val="18"/>
                <w:lang w:val="pl-PL"/>
              </w:rPr>
            </w:pPr>
            <w:r w:rsidRPr="00BB1057">
              <w:rPr>
                <w:sz w:val="18"/>
                <w:szCs w:val="18"/>
                <w:lang w:val="pl-PL"/>
              </w:rPr>
              <w:t xml:space="preserve">Korelacja </w:t>
            </w:r>
            <w:r>
              <w:rPr>
                <w:sz w:val="18"/>
                <w:szCs w:val="18"/>
                <w:lang w:val="pl-PL"/>
              </w:rPr>
              <w:t>wysoka</w:t>
            </w:r>
            <w:r w:rsidRPr="00BB1057">
              <w:rPr>
                <w:sz w:val="18"/>
                <w:szCs w:val="18"/>
                <w:lang w:val="pl-PL"/>
              </w:rPr>
              <w:t>, silna relacja</w:t>
            </w:r>
          </w:p>
        </w:tc>
      </w:tr>
      <w:tr w:rsidR="00A51435" w14:paraId="62C5D008" w14:textId="77777777" w:rsidTr="004C1815">
        <w:trPr>
          <w:cantSplit/>
        </w:trPr>
        <w:tc>
          <w:tcPr>
            <w:tcW w:w="3510" w:type="dxa"/>
            <w:vAlign w:val="center"/>
          </w:tcPr>
          <w:p w14:paraId="62D5C86A" w14:textId="77777777" w:rsidR="00A51435" w:rsidRPr="00BB1057" w:rsidRDefault="00A51435" w:rsidP="004C1815">
            <w:pPr>
              <w:ind w:firstLine="0"/>
              <w:jc w:val="left"/>
              <w:rPr>
                <w:sz w:val="18"/>
                <w:szCs w:val="18"/>
                <w:lang w:val="pl-PL"/>
              </w:rPr>
            </w:pPr>
            <w:r w:rsidRPr="00BB1057">
              <w:rPr>
                <w:sz w:val="18"/>
                <w:szCs w:val="18"/>
                <w:lang w:val="pl-PL"/>
              </w:rPr>
              <w:t>r większe od 0,7 i mniejsze lub równe 0,9</w:t>
            </w:r>
          </w:p>
        </w:tc>
        <w:tc>
          <w:tcPr>
            <w:tcW w:w="5529" w:type="dxa"/>
            <w:vAlign w:val="center"/>
          </w:tcPr>
          <w:p w14:paraId="3E767DD3" w14:textId="77777777" w:rsidR="00A51435" w:rsidRPr="00BB1057" w:rsidRDefault="00A51435" w:rsidP="004C1815">
            <w:pPr>
              <w:ind w:firstLine="0"/>
              <w:jc w:val="left"/>
              <w:rPr>
                <w:sz w:val="18"/>
                <w:szCs w:val="18"/>
                <w:lang w:val="pl-PL"/>
              </w:rPr>
            </w:pPr>
            <w:r w:rsidRPr="00BB1057">
              <w:rPr>
                <w:sz w:val="18"/>
                <w:szCs w:val="18"/>
                <w:lang w:val="pl-PL"/>
              </w:rPr>
              <w:t>Korelacja bardzo wysoka, bardzo silna zależność</w:t>
            </w:r>
          </w:p>
        </w:tc>
      </w:tr>
      <w:tr w:rsidR="00A51435" w14:paraId="1E9A13D2" w14:textId="77777777" w:rsidTr="004C1815">
        <w:trPr>
          <w:cantSplit/>
        </w:trPr>
        <w:tc>
          <w:tcPr>
            <w:tcW w:w="3510" w:type="dxa"/>
            <w:vAlign w:val="center"/>
          </w:tcPr>
          <w:p w14:paraId="59CAAE94" w14:textId="3F3784CD" w:rsidR="00A51435" w:rsidRPr="00BB1057" w:rsidRDefault="00A51435" w:rsidP="004C1815">
            <w:pPr>
              <w:keepNext/>
              <w:ind w:firstLine="0"/>
              <w:jc w:val="left"/>
              <w:rPr>
                <w:sz w:val="18"/>
                <w:szCs w:val="18"/>
                <w:lang w:val="pl-PL"/>
              </w:rPr>
            </w:pPr>
            <w:r w:rsidRPr="00BB1057">
              <w:rPr>
                <w:sz w:val="18"/>
                <w:szCs w:val="18"/>
                <w:lang w:val="pl-PL"/>
              </w:rPr>
              <w:t xml:space="preserve">r większe od 0,9 i mniejsze lub równe </w:t>
            </w:r>
            <w:r w:rsidR="00893A9B">
              <w:rPr>
                <w:sz w:val="18"/>
                <w:szCs w:val="18"/>
                <w:lang w:val="pl-PL"/>
              </w:rPr>
              <w:t>1</w:t>
            </w:r>
            <w:r w:rsidRPr="00BB1057">
              <w:rPr>
                <w:sz w:val="18"/>
                <w:szCs w:val="18"/>
                <w:lang w:val="pl-PL"/>
              </w:rPr>
              <w:t>,</w:t>
            </w:r>
            <w:r w:rsidR="00893A9B">
              <w:rPr>
                <w:sz w:val="18"/>
                <w:szCs w:val="18"/>
                <w:lang w:val="pl-PL"/>
              </w:rPr>
              <w:t>0</w:t>
            </w:r>
          </w:p>
        </w:tc>
        <w:tc>
          <w:tcPr>
            <w:tcW w:w="5529" w:type="dxa"/>
            <w:vAlign w:val="center"/>
          </w:tcPr>
          <w:p w14:paraId="4F983E47" w14:textId="77777777" w:rsidR="00A51435" w:rsidRPr="00BB1057" w:rsidRDefault="00A51435" w:rsidP="004C1815">
            <w:pPr>
              <w:keepNext/>
              <w:ind w:firstLine="0"/>
              <w:jc w:val="left"/>
              <w:rPr>
                <w:sz w:val="18"/>
                <w:szCs w:val="18"/>
                <w:lang w:val="pl-PL"/>
              </w:rPr>
            </w:pPr>
            <w:r w:rsidRPr="00BB1057">
              <w:rPr>
                <w:sz w:val="18"/>
                <w:szCs w:val="18"/>
                <w:lang w:val="pl-PL"/>
              </w:rPr>
              <w:t>Korelacja niemal pełna; ryzyko, że obie zmienne są nośnikiem tych samych informacji i mają w istocie takie samo znaczenie</w:t>
            </w:r>
          </w:p>
        </w:tc>
      </w:tr>
    </w:tbl>
    <w:p w14:paraId="17F71397" w14:textId="5007F193" w:rsidR="00A51435" w:rsidRDefault="00A51435" w:rsidP="007770AA">
      <w:pPr>
        <w:pStyle w:val="rdo"/>
      </w:pPr>
      <w:r>
        <w:t xml:space="preserve">Źródło: opracowanie własne na podstawie </w:t>
      </w:r>
      <w:r>
        <w:fldChar w:fldCharType="begin" w:fldLock="1"/>
      </w:r>
      <w:r w:rsidR="001A2624">
        <w:instrText>ADDIN CSL_CITATION {"citationItems":[{"id":"ITEM-1","itemData":{"author":[{"dropping-particle":"","family":"Aswegen","given":"Anja S","non-dropping-particle":"Van","parse-names":false,"suffix":""},{"dropping-particle":"","family":"Engelbrecht","given":"Amos S","non-dropping-particle":"","parse-names":false,"suffix":""}],"container-title":"SA Journal of Human Resource Management","id":"ITEM-1","issue":"1","issued":{"date-parts":[["2009"]]},"page":"1-9","publisher":"AOSIS","title":"The relationship between transformational leadership, integrity and an ethical climate in organizations","type":"article-journal","volume":"7"},"uris":["http://www.mendeley.com/documents/?uuid=2f4c068b-8c30-41b7-853c-aa890b3c2411"]},{"id":"ITEM-2","itemData":{"DOI":"10.1016/j.anr.2021.06.001","ISSN":"19761317","author":[{"dropping-particle":"","family":"Kang","given":"Hyuncheol","non-dropping-particle":"","parse-names":false,"suffix":""},{"dropping-particle":"","family":"Ahn","given":"Jung-Won","non-dropping-particle":"","parse-names":false,"suffix":""}],"container-title":"Asian Nursing Research","id":"ITEM-2","issue":"3","issued":{"date-parts":[["2021","8"]]},"page":"157-162","title":"Model Setting and Interpretation of Results in Research Using Structural Equation Modeling: A Checklist with Guiding Questions for Reporting","type":"article-journal","volume":"15"},"uris":["http://www.mendeley.com/documents/?uuid=d41d6322-c823-4845-84c2-752795f493b3"]},{"id":"ITEM-3","itemData":{"URL":"https://www.naukowiec.org/wiedza/statystyka/sila-korelacji--klasyfikacja_512.html","author":[{"dropping-particle":"","family":"Naukowiec.org","given":"","non-dropping-particle":"","parse-names":false,"suffix":""}],"id":"ITEM-3","issued":{"date-parts":[["2023"]]},"title":"Siła korelacji, klasyfikacja - opis","type":"webpage"},"uris":["http://www.mendeley.com/documents/?uuid=a9b357ab-2939-4539-88fa-34cd88029fc3"]}],"mendeley":{"formattedCitation":"(Kang &amp; Ahn, 2021; Naukowiec.org, 2023; Van Aswegen &amp; Engelbrecht, 2009)","plainTextFormattedCitation":"(Kang &amp; Ahn, 2021; Naukowiec.org, 2023; Van Aswegen &amp; Engelbrecht, 2009)","previouslyFormattedCitation":"(Kang &amp; Ahn, 2021; Naukowiec.org, 2023; Van Aswegen &amp; Engelbrecht, 2009)"},"properties":{"noteIndex":0},"schema":"https://github.com/citation-style-language/schema/raw/master/csl-citation.json"}</w:instrText>
      </w:r>
      <w:r>
        <w:fldChar w:fldCharType="separate"/>
      </w:r>
      <w:r w:rsidR="00921CC1" w:rsidRPr="00921CC1">
        <w:rPr>
          <w:noProof/>
        </w:rPr>
        <w:t>(Kang &amp; Ahn, 2021; Naukowiec.org, 2023; Van Aswegen &amp; Engelbrecht, 2009)</w:t>
      </w:r>
      <w:r>
        <w:fldChar w:fldCharType="end"/>
      </w:r>
    </w:p>
    <w:p w14:paraId="35B5F4B7" w14:textId="520CB60E" w:rsidR="00A51435" w:rsidRDefault="00A51435" w:rsidP="00A85AA1">
      <w:pPr>
        <w:ind w:left="113"/>
      </w:pPr>
      <w:r>
        <w:t>W niniejszej pracy również do dalszych analiz siły korelacji będzie wykorzystywana przedstawiona po</w:t>
      </w:r>
      <w:r>
        <w:rPr>
          <w:color w:val="FF0000"/>
        </w:rPr>
        <w:fldChar w:fldCharType="begin"/>
      </w:r>
      <w:r>
        <w:instrText xml:space="preserve"> REF _Ref136544219 \p \h </w:instrText>
      </w:r>
      <w:r>
        <w:rPr>
          <w:color w:val="FF0000"/>
        </w:rPr>
      </w:r>
      <w:r>
        <w:rPr>
          <w:color w:val="FF0000"/>
        </w:rPr>
        <w:fldChar w:fldCharType="separate"/>
      </w:r>
      <w:r w:rsidR="009E351C">
        <w:t>wyżej</w:t>
      </w:r>
      <w:r>
        <w:rPr>
          <w:color w:val="FF0000"/>
        </w:rPr>
        <w:fldChar w:fldCharType="end"/>
      </w:r>
      <w:r>
        <w:rPr>
          <w:color w:val="FF0000"/>
        </w:rPr>
        <w:t xml:space="preserve"> </w:t>
      </w:r>
      <w:r>
        <w:t>klasyfikacja.</w:t>
      </w:r>
    </w:p>
    <w:p w14:paraId="3F5A2187" w14:textId="6366BFAA" w:rsidR="00F14C4B" w:rsidRDefault="00A51435" w:rsidP="00A85AA1">
      <w:pPr>
        <w:ind w:left="113"/>
      </w:pPr>
      <w:r>
        <w:t>Wracając do analizy korelacji z badania kwestionariuszowego w</w:t>
      </w:r>
      <w:r w:rsidR="005E59B7">
        <w:t xml:space="preserve">arto też zwrócić </w:t>
      </w:r>
      <w:r>
        <w:t xml:space="preserve">uwagę </w:t>
      </w:r>
      <w:r w:rsidR="005E59B7">
        <w:t>na negatywn</w:t>
      </w:r>
      <w:r>
        <w:t>e</w:t>
      </w:r>
      <w:r w:rsidR="005E59B7">
        <w:t xml:space="preserve"> korelacj</w:t>
      </w:r>
      <w:r>
        <w:t xml:space="preserve">e </w:t>
      </w:r>
      <w:r w:rsidR="005E59B7">
        <w:t>pomiędzy ukończeniem uczelni technicznej, a zdobyciem zatrudnienia. Wprawdzie obie te korelacje są słabe i nieistotne statystycznie na przyjętym poziomie istotności. Szczególnie jednak dla korelacji związanej z zatrudnieniem po roku od ukończenia studiów poziom istotności statystycznej nieznacznie tylko przekracza przyjęty limit. W związku z tym można uznać, że warto przyjrzeć się tej relacji w dalszych badaniach, gdyż może to wskazywać na pewne istotne zjawiska powiązane z tym efektem. Częściowo te, wydające się zaskakującymi, wyniki m</w:t>
      </w:r>
      <w:r w:rsidR="00A85AA1">
        <w:t xml:space="preserve">ożna wyjaśnić istnieniem </w:t>
      </w:r>
      <w:r w:rsidR="005E59B7">
        <w:t xml:space="preserve">pewnych </w:t>
      </w:r>
      <w:r w:rsidR="00A85AA1">
        <w:t>istotnych ograniczeń badania w zakresie reprezentatywności grupy badawczej dla całej populacji wynikających z jednej strony z relatywnie niewielkiej liczności grupy badawczej, a także z dużego zróżnicowania jeśli chodzi o wiek respondentów i czas od ukończenia studiów. Ma to o tyle istotne znaczenie, że odpowiedzi respondentów na pytania dotyczące zarobków nie mogły być w żaden sposób obiektywnie weryfikowanie i wynikały jedynie z deklaracji uczestników badania. Ponadto dla istotnej grupy respondentów udzielenie dobrej odpowiedzi było o tyle trudne, że wymagało przypomnienia sobie zarobków sprzed dość wielu lat, a dodatkowo jeszcze oszacowania relatywnej wartości otrzymywanych pieniędzy wyrażonej w odniesieniu do współcześnie postrzeganych wartości przedziałów wskazanych w kwestionariuszu.</w:t>
      </w:r>
      <w:r w:rsidR="00B82822">
        <w:t xml:space="preserve"> Stąd też warto odnieść wyniki z przeprowadzonego badania do wyników analogicznej analizy dla niemal całej populacji</w:t>
      </w:r>
      <w:r w:rsidR="00582509">
        <w:t>. Ta</w:t>
      </w:r>
      <w:r w:rsidR="00582509">
        <w:lastRenderedPageBreak/>
        <w:t xml:space="preserve">kie dane są dostępne dzięki temu, że od 2016 prowadzony jest ogólnopolski system monitorowania Ekonomicznych Losów Absolwentów (ELA) </w:t>
      </w:r>
      <w:r w:rsidR="00582509">
        <w:fldChar w:fldCharType="begin" w:fldLock="1"/>
      </w:r>
      <w:r w:rsidR="001A2624">
        <w:instrText>ADDIN CSL_CITATION {"citationItems":[{"id":"ITEM-1","itemData":{"URL":"https://www.gov.pl/web/edukacja-i-nauka/ekonomiczne-losy-absolwentow","author":[{"dropping-particle":"","family":"MEiN","given":"","non-dropping-particle":"","parse-names":false,"suffix":""}],"id":"ITEM-1","issued":{"date-parts":[["2023"]]},"title":"Ekonomiczne Losy Absolwentów","type":"webpage"},"prefix":"por.","uris":["http://www.mendeley.com/documents/?uuid=320a4258-410c-4e1c-9730-ac339dcb7e78"]}],"mendeley":{"formattedCitation":"(por. MEiN, 2023a)","plainTextFormattedCitation":"(por. MEiN, 2023a)","previouslyFormattedCitation":"(por. MEiN, 2023a)"},"properties":{"noteIndex":0},"schema":"https://github.com/citation-style-language/schema/raw/master/csl-citation.json"}</w:instrText>
      </w:r>
      <w:r w:rsidR="00582509">
        <w:fldChar w:fldCharType="separate"/>
      </w:r>
      <w:r w:rsidR="00921CC1" w:rsidRPr="00921CC1">
        <w:rPr>
          <w:noProof/>
        </w:rPr>
        <w:t>(por. MEiN, 2023a)</w:t>
      </w:r>
      <w:r w:rsidR="00582509">
        <w:fldChar w:fldCharType="end"/>
      </w:r>
      <w:r w:rsidR="00582509">
        <w:t xml:space="preserve">. Dzięki temu badacze zyskali dostęp do szerokiej gamy parametrów statystycznych </w:t>
      </w:r>
      <w:r w:rsidR="00F165E0">
        <w:t>odnoszących się do zarobków i szans na zatrudnienie dla absolwentów polskich uczelni. Uzyskanie takiej bazy informacji możliwe było, dzięki połączeni danych z systemu ZUS (zarobki, zatrudnienie) oraz systemu POL-on</w:t>
      </w:r>
      <w:r w:rsidR="00F14C4B">
        <w:t xml:space="preserve">, dzięki któremu możliwa jest identyfikacja grup absolwentów odnośnie do ich poziomu wykształcenia i roku uzyskania dyplomu </w:t>
      </w:r>
      <w:r w:rsidR="00F14C4B">
        <w:fldChar w:fldCharType="begin" w:fldLock="1"/>
      </w:r>
      <w:r w:rsidR="001A2624">
        <w:instrText>ADDIN CSL_CITATION {"citationItems":[{"id":"ITEM-1","itemData":{"DOI":"10.33119/GN/140647","ISSN":"0867-0005","author":[{"dropping-particle":"","family":"Rocki","given":"Marek","non-dropping-particle":"","parse-names":false,"suffix":""}],"container-title":"Gospodarka Narodowa","id":"ITEM-1","issue":"3","issued":{"date-parts":[["2021","9","30"]]},"page":"47-61","title":"The Wage Premium on Higher Education: Evidence from the Polish Graduate Tracking System","type":"article-journal","volume":"307"},"locator":"51","prefix":"por.","uris":["http://www.mendeley.com/documents/?uuid=da8a9451-de07-464f-b3bd-929aeee1e17c"]}],"mendeley":{"formattedCitation":"(por. Rocki, 2021, s. 51)","plainTextFormattedCitation":"(por. Rocki, 2021, s. 51)","previouslyFormattedCitation":"(por. Rocki, 2021, s. 51)"},"properties":{"noteIndex":0},"schema":"https://github.com/citation-style-language/schema/raw/master/csl-citation.json"}</w:instrText>
      </w:r>
      <w:r w:rsidR="00F14C4B">
        <w:fldChar w:fldCharType="separate"/>
      </w:r>
      <w:r w:rsidR="00921CC1" w:rsidRPr="00921CC1">
        <w:rPr>
          <w:noProof/>
        </w:rPr>
        <w:t>(por. Rocki, 2021, s. 51)</w:t>
      </w:r>
      <w:r w:rsidR="00F14C4B">
        <w:fldChar w:fldCharType="end"/>
      </w:r>
      <w:r w:rsidR="00F165E0">
        <w:t>. Jak podaje Ministerstwo Edukacji i Nauki ELA obejmuje swoim monitoringiem 34 tys. kierunków studiów oraz analizę sytuacji zawodowej ponad 1,8 miliona absolwentów.</w:t>
      </w:r>
      <w:r w:rsidR="001E1A75">
        <w:t xml:space="preserve"> Takie porównanie pozwoli na zweryfikowanie, czy zaobserwowane w badaniu tendencje mają odzwierciedlenie w całej populacji.</w:t>
      </w:r>
      <w:r w:rsidR="003C5667">
        <w:t xml:space="preserve"> W tabeli po</w:t>
      </w:r>
      <w:r w:rsidR="003C5667">
        <w:fldChar w:fldCharType="begin"/>
      </w:r>
      <w:r w:rsidR="003C5667">
        <w:instrText xml:space="preserve"> REF _Ref137730564 \p \h </w:instrText>
      </w:r>
      <w:r w:rsidR="003C5667">
        <w:fldChar w:fldCharType="separate"/>
      </w:r>
      <w:r w:rsidR="009E351C">
        <w:t>niżej</w:t>
      </w:r>
      <w:r w:rsidR="003C5667">
        <w:fldChar w:fldCharType="end"/>
      </w:r>
      <w:r w:rsidR="003C5667">
        <w:t xml:space="preserve"> (</w:t>
      </w:r>
      <w:r w:rsidR="003C5667">
        <w:fldChar w:fldCharType="begin"/>
      </w:r>
      <w:r w:rsidR="003C5667">
        <w:instrText xml:space="preserve"> REF _Ref137730572 \h </w:instrText>
      </w:r>
      <w:r w:rsidR="003C5667">
        <w:fldChar w:fldCharType="separate"/>
      </w:r>
      <w:r w:rsidR="009E351C">
        <w:t xml:space="preserve">Tabela </w:t>
      </w:r>
      <w:r w:rsidR="009E351C">
        <w:rPr>
          <w:noProof/>
        </w:rPr>
        <w:t>72</w:t>
      </w:r>
      <w:r w:rsidR="003C5667">
        <w:fldChar w:fldCharType="end"/>
      </w:r>
      <w:r w:rsidR="003C5667">
        <w:t xml:space="preserve">) przedstawiono wartości korelacji pomiędzy faktem sklasyfikowania uczelni do kategorii uczelni technicznych (tylko publiczne) oraz wybranymi parametrami mierzonymi w badaniu ELA odnoszącymi się do zatrudnienia lub zarobków. Sposób klasyfikowania uczelni jako techniczne jest analogiczny do przedstawionego wcześniej na potrzeby analizy wyników badania kwestionariuszowego (por. </w:t>
      </w:r>
      <w:r w:rsidR="003C5667">
        <w:fldChar w:fldCharType="begin"/>
      </w:r>
      <w:r w:rsidR="003C5667">
        <w:instrText xml:space="preserve"> REF _Ref137715854 \h </w:instrText>
      </w:r>
      <w:r w:rsidR="003C5667">
        <w:fldChar w:fldCharType="separate"/>
      </w:r>
      <w:r w:rsidR="009E351C">
        <w:t xml:space="preserve">Tabela </w:t>
      </w:r>
      <w:r w:rsidR="009E351C">
        <w:rPr>
          <w:noProof/>
        </w:rPr>
        <w:t>70</w:t>
      </w:r>
      <w:r w:rsidR="003C5667">
        <w:fldChar w:fldCharType="end"/>
      </w:r>
      <w:r w:rsidR="003C5667">
        <w:t>).</w:t>
      </w:r>
    </w:p>
    <w:p w14:paraId="1ADA0E7D" w14:textId="5FA7866E" w:rsidR="00421C8A" w:rsidRDefault="00421C8A" w:rsidP="00421C8A">
      <w:pPr>
        <w:pStyle w:val="Tytutabeli"/>
      </w:pPr>
      <w:bookmarkStart w:id="111" w:name="_Ref137730572"/>
      <w:bookmarkStart w:id="112" w:name="_Ref137730564"/>
      <w:bookmarkStart w:id="113" w:name="_Toc163576361"/>
      <w:r>
        <w:t xml:space="preserve">Tabela </w:t>
      </w:r>
      <w:r>
        <w:fldChar w:fldCharType="begin"/>
      </w:r>
      <w:r>
        <w:instrText xml:space="preserve"> SEQ Tabela \* ARABIC </w:instrText>
      </w:r>
      <w:r>
        <w:fldChar w:fldCharType="separate"/>
      </w:r>
      <w:r w:rsidR="00DA2A4D">
        <w:rPr>
          <w:noProof/>
        </w:rPr>
        <w:t>72</w:t>
      </w:r>
      <w:r>
        <w:rPr>
          <w:noProof/>
        </w:rPr>
        <w:fldChar w:fldCharType="end"/>
      </w:r>
      <w:bookmarkEnd w:id="111"/>
      <w:r>
        <w:t xml:space="preserve"> Korelacje pomiędzy klasyfikowaniem uczelni jako techniczną, a wynagrodzeniem i zatrudnieniem absolwentów oraz wskaźnikami IWRA oraz WWZ po roku i po 3 latach od ukończenia studiów na podstawie bazy danych ELA.</w:t>
      </w:r>
      <w:bookmarkEnd w:id="112"/>
      <w:bookmarkEnd w:id="113"/>
    </w:p>
    <w:tbl>
      <w:tblPr>
        <w:tblStyle w:val="Tabela-Siatka"/>
        <w:tblW w:w="0" w:type="auto"/>
        <w:tblInd w:w="113" w:type="dxa"/>
        <w:tblLook w:val="04A0" w:firstRow="1" w:lastRow="0" w:firstColumn="1" w:lastColumn="0" w:noHBand="0" w:noVBand="1"/>
      </w:tblPr>
      <w:tblGrid>
        <w:gridCol w:w="4536"/>
        <w:gridCol w:w="2268"/>
        <w:gridCol w:w="2268"/>
      </w:tblGrid>
      <w:tr w:rsidR="00421C8A" w:rsidRPr="005D59E0" w14:paraId="1BD3E588" w14:textId="77777777" w:rsidTr="006900C4">
        <w:trPr>
          <w:cantSplit/>
          <w:tblHeader/>
        </w:trPr>
        <w:tc>
          <w:tcPr>
            <w:tcW w:w="4536" w:type="dxa"/>
            <w:vAlign w:val="center"/>
          </w:tcPr>
          <w:p w14:paraId="1D7780E7" w14:textId="77777777" w:rsidR="00421C8A" w:rsidRPr="005D59E0" w:rsidRDefault="00421C8A" w:rsidP="004C1815">
            <w:pPr>
              <w:keepNext/>
              <w:ind w:firstLine="0"/>
              <w:jc w:val="left"/>
              <w:rPr>
                <w:b/>
                <w:bCs/>
                <w:sz w:val="18"/>
                <w:szCs w:val="18"/>
              </w:rPr>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2268" w:type="dxa"/>
            <w:vAlign w:val="center"/>
          </w:tcPr>
          <w:p w14:paraId="0C98E507" w14:textId="77777777" w:rsidR="00421C8A" w:rsidRPr="005D59E0" w:rsidRDefault="00421C8A"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korelacji</w:t>
            </w:r>
            <w:proofErr w:type="spellEnd"/>
            <w:r w:rsidRPr="005D59E0">
              <w:rPr>
                <w:b/>
                <w:bCs/>
                <w:sz w:val="18"/>
                <w:szCs w:val="18"/>
              </w:rPr>
              <w:t xml:space="preserve"> r-</w:t>
            </w:r>
            <w:proofErr w:type="spellStart"/>
            <w:r w:rsidRPr="005D59E0">
              <w:rPr>
                <w:b/>
                <w:bCs/>
                <w:sz w:val="18"/>
                <w:szCs w:val="18"/>
              </w:rPr>
              <w:t>Pearsona</w:t>
            </w:r>
            <w:proofErr w:type="spellEnd"/>
          </w:p>
        </w:tc>
        <w:tc>
          <w:tcPr>
            <w:tcW w:w="2268" w:type="dxa"/>
            <w:vAlign w:val="center"/>
          </w:tcPr>
          <w:p w14:paraId="6096FF7A" w14:textId="77777777" w:rsidR="00421C8A" w:rsidRPr="005D59E0" w:rsidRDefault="00421C8A"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istotności</w:t>
            </w:r>
            <w:proofErr w:type="spellEnd"/>
            <w:r>
              <w:rPr>
                <w:b/>
                <w:bCs/>
                <w:sz w:val="18"/>
                <w:szCs w:val="18"/>
              </w:rPr>
              <w:t xml:space="preserve"> </w:t>
            </w:r>
            <w:proofErr w:type="spellStart"/>
            <w:r>
              <w:rPr>
                <w:b/>
                <w:bCs/>
                <w:sz w:val="18"/>
                <w:szCs w:val="18"/>
              </w:rPr>
              <w:t>statystycznej</w:t>
            </w:r>
            <w:proofErr w:type="spellEnd"/>
            <w:r w:rsidRPr="005D59E0">
              <w:rPr>
                <w:b/>
                <w:bCs/>
                <w:sz w:val="18"/>
                <w:szCs w:val="18"/>
              </w:rPr>
              <w:t xml:space="preserve"> p</w:t>
            </w:r>
          </w:p>
        </w:tc>
      </w:tr>
      <w:tr w:rsidR="00F32244" w:rsidRPr="005D59E0" w14:paraId="4D973393" w14:textId="77777777" w:rsidTr="006900C4">
        <w:trPr>
          <w:cantSplit/>
        </w:trPr>
        <w:tc>
          <w:tcPr>
            <w:tcW w:w="4536" w:type="dxa"/>
            <w:vAlign w:val="center"/>
          </w:tcPr>
          <w:p w14:paraId="2B194FB3" w14:textId="7BF16E5F" w:rsidR="00F32244" w:rsidRPr="005D59E0" w:rsidRDefault="00F32244" w:rsidP="00F32244">
            <w:pPr>
              <w:ind w:firstLine="0"/>
              <w:jc w:val="left"/>
              <w:rPr>
                <w:sz w:val="18"/>
                <w:szCs w:val="18"/>
                <w:lang w:val="pl-PL"/>
              </w:rPr>
            </w:pPr>
            <w:r w:rsidRPr="005D59E0">
              <w:rPr>
                <w:sz w:val="18"/>
                <w:szCs w:val="18"/>
                <w:lang w:val="pl-PL"/>
              </w:rPr>
              <w:t>Techniczna vs zatrudnienie po 1 roku</w:t>
            </w:r>
          </w:p>
        </w:tc>
        <w:tc>
          <w:tcPr>
            <w:tcW w:w="2268" w:type="dxa"/>
            <w:vAlign w:val="center"/>
          </w:tcPr>
          <w:p w14:paraId="05134FD6" w14:textId="1F6CCBA5" w:rsidR="00F32244" w:rsidRPr="00421C8A" w:rsidRDefault="00F32244" w:rsidP="00F32244">
            <w:pPr>
              <w:ind w:firstLine="0"/>
              <w:jc w:val="center"/>
              <w:rPr>
                <w:sz w:val="18"/>
                <w:szCs w:val="18"/>
                <w:lang w:val="pl-PL"/>
              </w:rPr>
            </w:pPr>
            <w:r w:rsidRPr="00421C8A">
              <w:rPr>
                <w:b/>
                <w:bCs/>
                <w:sz w:val="18"/>
                <w:szCs w:val="18"/>
                <w:lang w:val="pl-PL"/>
              </w:rPr>
              <w:t>-0,1508</w:t>
            </w:r>
          </w:p>
        </w:tc>
        <w:tc>
          <w:tcPr>
            <w:tcW w:w="2268" w:type="dxa"/>
            <w:vAlign w:val="center"/>
          </w:tcPr>
          <w:p w14:paraId="50EA74FF" w14:textId="7E4C9B91" w:rsidR="00F32244" w:rsidRPr="009677FC" w:rsidRDefault="00F32244" w:rsidP="00F32244">
            <w:pPr>
              <w:ind w:firstLine="0"/>
              <w:jc w:val="center"/>
              <w:rPr>
                <w:i/>
                <w:iCs/>
                <w:sz w:val="18"/>
                <w:szCs w:val="18"/>
                <w:lang w:val="pl-PL"/>
              </w:rPr>
            </w:pPr>
            <w:r w:rsidRPr="00421C8A">
              <w:rPr>
                <w:i/>
                <w:iCs/>
                <w:sz w:val="18"/>
                <w:szCs w:val="18"/>
                <w:lang w:val="pl-PL"/>
              </w:rPr>
              <w:t>0,0010</w:t>
            </w:r>
          </w:p>
        </w:tc>
      </w:tr>
      <w:tr w:rsidR="00F32244" w:rsidRPr="005D59E0" w14:paraId="56B93BA6" w14:textId="77777777" w:rsidTr="006900C4">
        <w:trPr>
          <w:cantSplit/>
        </w:trPr>
        <w:tc>
          <w:tcPr>
            <w:tcW w:w="4536" w:type="dxa"/>
            <w:vAlign w:val="center"/>
          </w:tcPr>
          <w:p w14:paraId="2EA915BB" w14:textId="5F0E9EA4" w:rsidR="00F32244" w:rsidRPr="00F32244" w:rsidRDefault="00F32244" w:rsidP="00F32244">
            <w:pPr>
              <w:ind w:firstLine="0"/>
              <w:jc w:val="left"/>
              <w:rPr>
                <w:sz w:val="18"/>
                <w:szCs w:val="18"/>
                <w:lang w:val="pl-PL"/>
              </w:rPr>
            </w:pPr>
            <w:r>
              <w:rPr>
                <w:sz w:val="18"/>
                <w:szCs w:val="18"/>
                <w:lang w:val="pl-PL"/>
              </w:rPr>
              <w:t>T</w:t>
            </w:r>
            <w:r w:rsidRPr="005D59E0">
              <w:rPr>
                <w:sz w:val="18"/>
                <w:szCs w:val="18"/>
                <w:lang w:val="pl-PL"/>
              </w:rPr>
              <w:t>echniczna vs zarobki po 1 roku</w:t>
            </w:r>
          </w:p>
        </w:tc>
        <w:tc>
          <w:tcPr>
            <w:tcW w:w="2268" w:type="dxa"/>
            <w:vAlign w:val="center"/>
          </w:tcPr>
          <w:p w14:paraId="27B36893" w14:textId="4EE8E8B2" w:rsidR="00F32244" w:rsidRPr="00421C8A" w:rsidRDefault="00F32244" w:rsidP="00F32244">
            <w:pPr>
              <w:ind w:firstLine="0"/>
              <w:jc w:val="center"/>
              <w:rPr>
                <w:sz w:val="18"/>
                <w:szCs w:val="18"/>
              </w:rPr>
            </w:pPr>
            <w:r w:rsidRPr="00421C8A">
              <w:rPr>
                <w:sz w:val="18"/>
                <w:szCs w:val="18"/>
                <w:lang w:val="pl-PL"/>
              </w:rPr>
              <w:t>0,0141</w:t>
            </w:r>
          </w:p>
        </w:tc>
        <w:tc>
          <w:tcPr>
            <w:tcW w:w="2268" w:type="dxa"/>
            <w:vAlign w:val="center"/>
          </w:tcPr>
          <w:p w14:paraId="28BF8760" w14:textId="5833DCD0" w:rsidR="00F32244" w:rsidRPr="00421C8A" w:rsidRDefault="00F32244" w:rsidP="00F32244">
            <w:pPr>
              <w:ind w:firstLine="0"/>
              <w:jc w:val="center"/>
              <w:rPr>
                <w:i/>
                <w:iCs/>
                <w:sz w:val="18"/>
                <w:szCs w:val="18"/>
              </w:rPr>
            </w:pPr>
            <w:r w:rsidRPr="00421C8A">
              <w:rPr>
                <w:i/>
                <w:iCs/>
                <w:sz w:val="18"/>
                <w:szCs w:val="18"/>
                <w:lang w:val="pl-PL"/>
              </w:rPr>
              <w:t>0,7604</w:t>
            </w:r>
          </w:p>
        </w:tc>
      </w:tr>
      <w:tr w:rsidR="00F32244" w:rsidRPr="005D59E0" w14:paraId="0D8A44BC" w14:textId="77777777" w:rsidTr="006900C4">
        <w:trPr>
          <w:cantSplit/>
        </w:trPr>
        <w:tc>
          <w:tcPr>
            <w:tcW w:w="4536" w:type="dxa"/>
            <w:vAlign w:val="center"/>
          </w:tcPr>
          <w:p w14:paraId="4D7170D8" w14:textId="1FD07537" w:rsidR="00F32244" w:rsidRPr="00421C8A" w:rsidRDefault="00F32244" w:rsidP="00F32244">
            <w:pPr>
              <w:ind w:firstLine="0"/>
              <w:jc w:val="left"/>
              <w:rPr>
                <w:sz w:val="18"/>
                <w:szCs w:val="18"/>
                <w:lang w:val="pl-PL"/>
              </w:rPr>
            </w:pPr>
            <w:r>
              <w:rPr>
                <w:sz w:val="18"/>
                <w:szCs w:val="18"/>
                <w:lang w:val="pl-PL"/>
              </w:rPr>
              <w:t>T</w:t>
            </w:r>
            <w:r w:rsidRPr="005D59E0">
              <w:rPr>
                <w:sz w:val="18"/>
                <w:szCs w:val="18"/>
                <w:lang w:val="pl-PL"/>
              </w:rPr>
              <w:t xml:space="preserve">echniczna vs </w:t>
            </w:r>
            <w:r>
              <w:rPr>
                <w:sz w:val="18"/>
                <w:szCs w:val="18"/>
                <w:lang w:val="pl-PL"/>
              </w:rPr>
              <w:t>IWRA</w:t>
            </w:r>
            <w:r w:rsidRPr="005D59E0">
              <w:rPr>
                <w:sz w:val="18"/>
                <w:szCs w:val="18"/>
                <w:lang w:val="pl-PL"/>
              </w:rPr>
              <w:t xml:space="preserve"> po 1 roku</w:t>
            </w:r>
          </w:p>
        </w:tc>
        <w:tc>
          <w:tcPr>
            <w:tcW w:w="2268" w:type="dxa"/>
            <w:vAlign w:val="center"/>
          </w:tcPr>
          <w:p w14:paraId="1402EA7C" w14:textId="04FB4AD7" w:rsidR="00F32244" w:rsidRPr="00421C8A" w:rsidRDefault="00F32244" w:rsidP="00F32244">
            <w:pPr>
              <w:ind w:firstLine="0"/>
              <w:jc w:val="center"/>
              <w:rPr>
                <w:sz w:val="18"/>
                <w:szCs w:val="18"/>
                <w:lang w:val="pl-PL"/>
              </w:rPr>
            </w:pPr>
            <w:r w:rsidRPr="00421C8A">
              <w:rPr>
                <w:sz w:val="18"/>
                <w:szCs w:val="18"/>
                <w:lang w:val="pl-PL"/>
              </w:rPr>
              <w:t>-0,0597</w:t>
            </w:r>
          </w:p>
        </w:tc>
        <w:tc>
          <w:tcPr>
            <w:tcW w:w="2268" w:type="dxa"/>
            <w:vAlign w:val="center"/>
          </w:tcPr>
          <w:p w14:paraId="4EEA4C9F" w14:textId="70A466E1" w:rsidR="00F32244" w:rsidRPr="00421C8A" w:rsidRDefault="00F32244" w:rsidP="00F32244">
            <w:pPr>
              <w:ind w:firstLine="0"/>
              <w:jc w:val="center"/>
              <w:rPr>
                <w:i/>
                <w:iCs/>
                <w:sz w:val="18"/>
                <w:szCs w:val="18"/>
                <w:lang w:val="pl-PL"/>
              </w:rPr>
            </w:pPr>
            <w:r w:rsidRPr="00421C8A">
              <w:rPr>
                <w:i/>
                <w:iCs/>
                <w:sz w:val="18"/>
                <w:szCs w:val="18"/>
                <w:lang w:val="pl-PL"/>
              </w:rPr>
              <w:t>0,1961</w:t>
            </w:r>
          </w:p>
        </w:tc>
      </w:tr>
      <w:tr w:rsidR="00F32244" w:rsidRPr="005D59E0" w14:paraId="0E50253E" w14:textId="77777777" w:rsidTr="006900C4">
        <w:trPr>
          <w:cantSplit/>
        </w:trPr>
        <w:tc>
          <w:tcPr>
            <w:tcW w:w="4536" w:type="dxa"/>
            <w:vAlign w:val="center"/>
          </w:tcPr>
          <w:p w14:paraId="1340AC85" w14:textId="7E664C74" w:rsidR="00F32244" w:rsidRPr="00421C8A" w:rsidRDefault="00F32244" w:rsidP="00F32244">
            <w:pPr>
              <w:ind w:firstLine="0"/>
              <w:jc w:val="left"/>
              <w:rPr>
                <w:sz w:val="18"/>
                <w:szCs w:val="18"/>
                <w:lang w:val="pl-PL"/>
              </w:rPr>
            </w:pPr>
            <w:r w:rsidRPr="005D59E0">
              <w:rPr>
                <w:sz w:val="18"/>
                <w:szCs w:val="18"/>
                <w:lang w:val="pl-PL"/>
              </w:rPr>
              <w:t xml:space="preserve">Techniczna vs </w:t>
            </w:r>
            <w:r>
              <w:rPr>
                <w:sz w:val="18"/>
                <w:szCs w:val="18"/>
                <w:lang w:val="pl-PL"/>
              </w:rPr>
              <w:t>WWZ</w:t>
            </w:r>
            <w:r w:rsidRPr="005D59E0">
              <w:rPr>
                <w:sz w:val="18"/>
                <w:szCs w:val="18"/>
                <w:lang w:val="pl-PL"/>
              </w:rPr>
              <w:t xml:space="preserve"> po 1 roku</w:t>
            </w:r>
          </w:p>
        </w:tc>
        <w:tc>
          <w:tcPr>
            <w:tcW w:w="2268" w:type="dxa"/>
            <w:vAlign w:val="center"/>
          </w:tcPr>
          <w:p w14:paraId="33271387" w14:textId="235F76B1" w:rsidR="00F32244" w:rsidRPr="00421C8A" w:rsidRDefault="00F32244" w:rsidP="00F32244">
            <w:pPr>
              <w:ind w:firstLine="0"/>
              <w:jc w:val="center"/>
              <w:rPr>
                <w:sz w:val="18"/>
                <w:szCs w:val="18"/>
                <w:lang w:val="pl-PL"/>
              </w:rPr>
            </w:pPr>
            <w:r w:rsidRPr="00421C8A">
              <w:rPr>
                <w:sz w:val="18"/>
                <w:szCs w:val="18"/>
                <w:lang w:val="pl-PL"/>
              </w:rPr>
              <w:t>0,0195</w:t>
            </w:r>
          </w:p>
        </w:tc>
        <w:tc>
          <w:tcPr>
            <w:tcW w:w="2268" w:type="dxa"/>
            <w:vAlign w:val="center"/>
          </w:tcPr>
          <w:p w14:paraId="7D24F822" w14:textId="75D4A851" w:rsidR="00F32244" w:rsidRPr="00421C8A" w:rsidRDefault="00F32244" w:rsidP="00F32244">
            <w:pPr>
              <w:ind w:firstLine="0"/>
              <w:jc w:val="center"/>
              <w:rPr>
                <w:i/>
                <w:iCs/>
                <w:sz w:val="18"/>
                <w:szCs w:val="18"/>
                <w:lang w:val="pl-PL"/>
              </w:rPr>
            </w:pPr>
            <w:r w:rsidRPr="00421C8A">
              <w:rPr>
                <w:i/>
                <w:iCs/>
                <w:sz w:val="18"/>
                <w:szCs w:val="18"/>
                <w:lang w:val="pl-PL"/>
              </w:rPr>
              <w:t>0,6736</w:t>
            </w:r>
          </w:p>
        </w:tc>
      </w:tr>
      <w:tr w:rsidR="00F32244" w:rsidRPr="005D59E0" w14:paraId="2BA0926F" w14:textId="77777777" w:rsidTr="006900C4">
        <w:trPr>
          <w:cantSplit/>
        </w:trPr>
        <w:tc>
          <w:tcPr>
            <w:tcW w:w="4536" w:type="dxa"/>
            <w:vAlign w:val="center"/>
          </w:tcPr>
          <w:p w14:paraId="57143F4A" w14:textId="2C8D955C" w:rsidR="00F32244" w:rsidRPr="00F32244" w:rsidRDefault="00F32244" w:rsidP="00F32244">
            <w:pPr>
              <w:ind w:firstLine="0"/>
              <w:jc w:val="left"/>
              <w:rPr>
                <w:sz w:val="18"/>
                <w:szCs w:val="18"/>
                <w:lang w:val="pl-PL"/>
              </w:rPr>
            </w:pPr>
            <w:r w:rsidRPr="005D59E0">
              <w:rPr>
                <w:sz w:val="18"/>
                <w:szCs w:val="18"/>
                <w:lang w:val="pl-PL"/>
              </w:rPr>
              <w:t>Techniczna vs zatrudnienie po 3 latach</w:t>
            </w:r>
          </w:p>
        </w:tc>
        <w:tc>
          <w:tcPr>
            <w:tcW w:w="2268" w:type="dxa"/>
            <w:vAlign w:val="center"/>
          </w:tcPr>
          <w:p w14:paraId="3ECCE555" w14:textId="4EA7ABE9" w:rsidR="00F32244" w:rsidRPr="00421C8A" w:rsidRDefault="00F32244" w:rsidP="00F32244">
            <w:pPr>
              <w:ind w:firstLine="0"/>
              <w:jc w:val="center"/>
              <w:rPr>
                <w:sz w:val="18"/>
                <w:szCs w:val="18"/>
              </w:rPr>
            </w:pPr>
            <w:r w:rsidRPr="00421C8A">
              <w:rPr>
                <w:sz w:val="18"/>
                <w:szCs w:val="18"/>
                <w:lang w:val="pl-PL"/>
              </w:rPr>
              <w:t>0,0678</w:t>
            </w:r>
          </w:p>
        </w:tc>
        <w:tc>
          <w:tcPr>
            <w:tcW w:w="2268" w:type="dxa"/>
            <w:vAlign w:val="center"/>
          </w:tcPr>
          <w:p w14:paraId="5586B37C" w14:textId="117ADA0C" w:rsidR="00F32244" w:rsidRPr="00421C8A" w:rsidRDefault="00F32244" w:rsidP="00F32244">
            <w:pPr>
              <w:ind w:firstLine="0"/>
              <w:jc w:val="center"/>
              <w:rPr>
                <w:i/>
                <w:iCs/>
                <w:sz w:val="18"/>
                <w:szCs w:val="18"/>
              </w:rPr>
            </w:pPr>
            <w:r w:rsidRPr="00421C8A">
              <w:rPr>
                <w:i/>
                <w:iCs/>
                <w:sz w:val="18"/>
                <w:szCs w:val="18"/>
                <w:lang w:val="pl-PL"/>
              </w:rPr>
              <w:t>0,1424</w:t>
            </w:r>
          </w:p>
        </w:tc>
      </w:tr>
      <w:tr w:rsidR="00F32244" w:rsidRPr="005D59E0" w14:paraId="0440FBAB" w14:textId="77777777" w:rsidTr="006900C4">
        <w:trPr>
          <w:cantSplit/>
        </w:trPr>
        <w:tc>
          <w:tcPr>
            <w:tcW w:w="4536" w:type="dxa"/>
            <w:vAlign w:val="center"/>
          </w:tcPr>
          <w:p w14:paraId="53360BE9" w14:textId="068081F3" w:rsidR="00F32244" w:rsidRPr="00421C8A" w:rsidRDefault="00F32244" w:rsidP="00F32244">
            <w:pPr>
              <w:ind w:firstLine="0"/>
              <w:jc w:val="left"/>
              <w:rPr>
                <w:sz w:val="18"/>
                <w:szCs w:val="18"/>
                <w:lang w:val="pl-PL"/>
              </w:rPr>
            </w:pPr>
            <w:r w:rsidRPr="005D59E0">
              <w:rPr>
                <w:sz w:val="18"/>
                <w:szCs w:val="18"/>
                <w:lang w:val="pl-PL"/>
              </w:rPr>
              <w:t>Techniczna vs zarobki po 3 latach</w:t>
            </w:r>
          </w:p>
        </w:tc>
        <w:tc>
          <w:tcPr>
            <w:tcW w:w="2268" w:type="dxa"/>
            <w:vAlign w:val="center"/>
          </w:tcPr>
          <w:p w14:paraId="5B73B997" w14:textId="2C0AE999" w:rsidR="00F32244" w:rsidRPr="00421C8A" w:rsidRDefault="00F32244" w:rsidP="00F32244">
            <w:pPr>
              <w:ind w:firstLine="0"/>
              <w:jc w:val="center"/>
              <w:rPr>
                <w:b/>
                <w:bCs/>
                <w:sz w:val="18"/>
                <w:szCs w:val="18"/>
                <w:lang w:val="pl-PL"/>
              </w:rPr>
            </w:pPr>
            <w:r w:rsidRPr="00421C8A">
              <w:rPr>
                <w:b/>
                <w:bCs/>
                <w:sz w:val="18"/>
                <w:szCs w:val="18"/>
                <w:lang w:val="pl-PL"/>
              </w:rPr>
              <w:t>0,1281</w:t>
            </w:r>
          </w:p>
        </w:tc>
        <w:tc>
          <w:tcPr>
            <w:tcW w:w="2268" w:type="dxa"/>
            <w:vAlign w:val="center"/>
          </w:tcPr>
          <w:p w14:paraId="01A3CECB" w14:textId="082933F9" w:rsidR="00F32244" w:rsidRPr="00421C8A" w:rsidRDefault="00F32244" w:rsidP="00F32244">
            <w:pPr>
              <w:ind w:firstLine="0"/>
              <w:jc w:val="center"/>
              <w:rPr>
                <w:i/>
                <w:iCs/>
                <w:sz w:val="18"/>
                <w:szCs w:val="18"/>
                <w:lang w:val="pl-PL"/>
              </w:rPr>
            </w:pPr>
            <w:r w:rsidRPr="00421C8A">
              <w:rPr>
                <w:i/>
                <w:iCs/>
                <w:sz w:val="18"/>
                <w:szCs w:val="18"/>
                <w:lang w:val="pl-PL"/>
              </w:rPr>
              <w:t>0,0054</w:t>
            </w:r>
          </w:p>
        </w:tc>
      </w:tr>
      <w:tr w:rsidR="00F32244" w:rsidRPr="005D59E0" w14:paraId="2E7BCF73" w14:textId="77777777" w:rsidTr="006900C4">
        <w:trPr>
          <w:cantSplit/>
        </w:trPr>
        <w:tc>
          <w:tcPr>
            <w:tcW w:w="4536" w:type="dxa"/>
            <w:vAlign w:val="center"/>
          </w:tcPr>
          <w:p w14:paraId="7D01FF12" w14:textId="12F14B6F" w:rsidR="00F32244" w:rsidRPr="005D59E0" w:rsidRDefault="00F32244" w:rsidP="00F32244">
            <w:pPr>
              <w:ind w:firstLine="0"/>
              <w:jc w:val="left"/>
              <w:rPr>
                <w:sz w:val="18"/>
                <w:szCs w:val="18"/>
                <w:lang w:val="pl-PL"/>
              </w:rPr>
            </w:pPr>
            <w:r w:rsidRPr="005D59E0">
              <w:rPr>
                <w:sz w:val="18"/>
                <w:szCs w:val="18"/>
                <w:lang w:val="pl-PL"/>
              </w:rPr>
              <w:t xml:space="preserve">Techniczna vs </w:t>
            </w:r>
            <w:r>
              <w:rPr>
                <w:sz w:val="18"/>
                <w:szCs w:val="18"/>
                <w:lang w:val="pl-PL"/>
              </w:rPr>
              <w:t>IWRA</w:t>
            </w:r>
            <w:r w:rsidRPr="005D59E0">
              <w:rPr>
                <w:sz w:val="18"/>
                <w:szCs w:val="18"/>
                <w:lang w:val="pl-PL"/>
              </w:rPr>
              <w:t xml:space="preserve"> po 3 latach</w:t>
            </w:r>
          </w:p>
        </w:tc>
        <w:tc>
          <w:tcPr>
            <w:tcW w:w="2268" w:type="dxa"/>
            <w:vAlign w:val="center"/>
          </w:tcPr>
          <w:p w14:paraId="50A3464E" w14:textId="53CBFA29" w:rsidR="00F32244" w:rsidRPr="00421C8A" w:rsidRDefault="00F32244" w:rsidP="00F32244">
            <w:pPr>
              <w:ind w:firstLine="0"/>
              <w:jc w:val="center"/>
              <w:rPr>
                <w:b/>
                <w:bCs/>
                <w:sz w:val="18"/>
                <w:szCs w:val="18"/>
                <w:lang w:val="pl-PL"/>
              </w:rPr>
            </w:pPr>
            <w:r w:rsidRPr="00421C8A">
              <w:rPr>
                <w:b/>
                <w:bCs/>
                <w:sz w:val="18"/>
                <w:szCs w:val="18"/>
                <w:lang w:val="pl-PL"/>
              </w:rPr>
              <w:t>0,1336</w:t>
            </w:r>
          </w:p>
        </w:tc>
        <w:tc>
          <w:tcPr>
            <w:tcW w:w="2268" w:type="dxa"/>
            <w:vAlign w:val="center"/>
          </w:tcPr>
          <w:p w14:paraId="22CD066A" w14:textId="401B8523" w:rsidR="00F32244" w:rsidRPr="009677FC" w:rsidRDefault="00F32244" w:rsidP="00F32244">
            <w:pPr>
              <w:ind w:firstLine="0"/>
              <w:jc w:val="center"/>
              <w:rPr>
                <w:i/>
                <w:iCs/>
                <w:sz w:val="18"/>
                <w:szCs w:val="18"/>
                <w:lang w:val="pl-PL"/>
              </w:rPr>
            </w:pPr>
            <w:r w:rsidRPr="00421C8A">
              <w:rPr>
                <w:i/>
                <w:iCs/>
                <w:sz w:val="18"/>
                <w:szCs w:val="18"/>
                <w:lang w:val="pl-PL"/>
              </w:rPr>
              <w:t>0,0037</w:t>
            </w:r>
          </w:p>
        </w:tc>
      </w:tr>
      <w:tr w:rsidR="00F32244" w:rsidRPr="005D59E0" w14:paraId="72DA6AE3" w14:textId="77777777" w:rsidTr="006900C4">
        <w:trPr>
          <w:cantSplit/>
        </w:trPr>
        <w:tc>
          <w:tcPr>
            <w:tcW w:w="4536" w:type="dxa"/>
            <w:vAlign w:val="center"/>
          </w:tcPr>
          <w:p w14:paraId="5ED2386E" w14:textId="23ED0523" w:rsidR="00F32244" w:rsidRPr="005D59E0" w:rsidRDefault="00F32244" w:rsidP="00F32244">
            <w:pPr>
              <w:keepNext/>
              <w:ind w:firstLine="0"/>
              <w:jc w:val="left"/>
              <w:rPr>
                <w:sz w:val="18"/>
                <w:szCs w:val="18"/>
                <w:lang w:val="pl-PL"/>
              </w:rPr>
            </w:pPr>
            <w:r w:rsidRPr="005D59E0">
              <w:rPr>
                <w:sz w:val="18"/>
                <w:szCs w:val="18"/>
                <w:lang w:val="pl-PL"/>
              </w:rPr>
              <w:t xml:space="preserve">Techniczna vs </w:t>
            </w:r>
            <w:r>
              <w:rPr>
                <w:sz w:val="18"/>
                <w:szCs w:val="18"/>
                <w:lang w:val="pl-PL"/>
              </w:rPr>
              <w:t>WWZ</w:t>
            </w:r>
            <w:r w:rsidRPr="005D59E0">
              <w:rPr>
                <w:sz w:val="18"/>
                <w:szCs w:val="18"/>
                <w:lang w:val="pl-PL"/>
              </w:rPr>
              <w:t xml:space="preserve"> po 3 latach</w:t>
            </w:r>
          </w:p>
        </w:tc>
        <w:tc>
          <w:tcPr>
            <w:tcW w:w="2268" w:type="dxa"/>
            <w:vAlign w:val="center"/>
          </w:tcPr>
          <w:p w14:paraId="41CBC301" w14:textId="18585A46" w:rsidR="00F32244" w:rsidRPr="00421C8A" w:rsidRDefault="00F32244" w:rsidP="00F32244">
            <w:pPr>
              <w:keepNext/>
              <w:ind w:firstLine="0"/>
              <w:jc w:val="center"/>
              <w:rPr>
                <w:b/>
                <w:bCs/>
                <w:sz w:val="18"/>
                <w:szCs w:val="18"/>
                <w:lang w:val="pl-PL"/>
              </w:rPr>
            </w:pPr>
            <w:r w:rsidRPr="00421C8A">
              <w:rPr>
                <w:b/>
                <w:bCs/>
                <w:sz w:val="18"/>
                <w:szCs w:val="18"/>
                <w:lang w:val="pl-PL"/>
              </w:rPr>
              <w:t>0,1532</w:t>
            </w:r>
          </w:p>
        </w:tc>
        <w:tc>
          <w:tcPr>
            <w:tcW w:w="2268" w:type="dxa"/>
            <w:vAlign w:val="center"/>
          </w:tcPr>
          <w:p w14:paraId="4104DE8C" w14:textId="563A791A" w:rsidR="00F32244" w:rsidRPr="009677FC" w:rsidRDefault="00F32244" w:rsidP="00F32244">
            <w:pPr>
              <w:keepNext/>
              <w:ind w:firstLine="0"/>
              <w:jc w:val="center"/>
              <w:rPr>
                <w:i/>
                <w:iCs/>
                <w:sz w:val="18"/>
                <w:szCs w:val="18"/>
                <w:lang w:val="pl-PL"/>
              </w:rPr>
            </w:pPr>
            <w:r w:rsidRPr="00421C8A">
              <w:rPr>
                <w:i/>
                <w:iCs/>
                <w:sz w:val="18"/>
                <w:szCs w:val="18"/>
                <w:lang w:val="pl-PL"/>
              </w:rPr>
              <w:t>0,0009</w:t>
            </w:r>
          </w:p>
        </w:tc>
      </w:tr>
    </w:tbl>
    <w:p w14:paraId="2A9F6DEC" w14:textId="1F055C37" w:rsidR="00421C8A" w:rsidRDefault="00421C8A" w:rsidP="007770AA">
      <w:pPr>
        <w:pStyle w:val="rdo"/>
      </w:pPr>
      <w:r>
        <w:t xml:space="preserve">Źródło: opracowanie własne na podstawie danych z ELA </w:t>
      </w:r>
      <w:r>
        <w:fldChar w:fldCharType="begin" w:fldLock="1"/>
      </w:r>
      <w:r w:rsidR="001A2624">
        <w:instrText>ADDIN CSL_CITATION {"citationItems":[{"id":"ITEM-1","itemData":{"URL":"https://ela.nauka.gov.pl/pl/experts/source-data","author":[{"dropping-particle":"","family":"ELA 2020","given":"","non-dropping-particle":"","parse-names":false,"suffix":""}],"id":"ITEM-1","issued":{"date-parts":[["2021"]]},"title":"Ekonomiczne Losy Absolwentów - zbiór danych źródłowych dla Uczelni obejmujący dane absolwentów studiów I, II stopnia i jednolitych studiów magiserskich do 2020 roku","type":"webpage"},"uris":["http://www.mendeley.com/documents/?uuid=090c4a91-b756-446d-9b1f-1fc1628ea982"]}],"mendeley":{"formattedCitation":"(ELA 2020, 2021)","plainTextFormattedCitation":"(ELA 2020, 2021)","previouslyFormattedCitation":"(ELA 2020, 2021)"},"properties":{"noteIndex":0},"schema":"https://github.com/citation-style-language/schema/raw/master/csl-citation.json"}</w:instrText>
      </w:r>
      <w:r>
        <w:fldChar w:fldCharType="separate"/>
      </w:r>
      <w:r w:rsidR="00921CC1" w:rsidRPr="00921CC1">
        <w:rPr>
          <w:noProof/>
        </w:rPr>
        <w:t>(ELA 2020, 2021)</w:t>
      </w:r>
      <w:r>
        <w:fldChar w:fldCharType="end"/>
      </w:r>
    </w:p>
    <w:p w14:paraId="0EE5F7E0" w14:textId="49DC7396" w:rsidR="005E59B7" w:rsidRDefault="003C5667" w:rsidP="00A85AA1">
      <w:pPr>
        <w:ind w:left="113"/>
      </w:pPr>
      <w:r>
        <w:t>Wśród wyników przedstawionych w tabeli po</w:t>
      </w:r>
      <w:r>
        <w:fldChar w:fldCharType="begin"/>
      </w:r>
      <w:r>
        <w:instrText xml:space="preserve"> REF _Ref137730564 \p \h </w:instrText>
      </w:r>
      <w:r>
        <w:fldChar w:fldCharType="separate"/>
      </w:r>
      <w:r w:rsidR="009E351C">
        <w:t>wyżej</w:t>
      </w:r>
      <w:r>
        <w:fldChar w:fldCharType="end"/>
      </w:r>
      <w:r>
        <w:t xml:space="preserve"> (</w:t>
      </w:r>
      <w:r>
        <w:fldChar w:fldCharType="begin"/>
      </w:r>
      <w:r>
        <w:instrText xml:space="preserve"> REF _Ref137730572 \h </w:instrText>
      </w:r>
      <w:r>
        <w:fldChar w:fldCharType="separate"/>
      </w:r>
      <w:r w:rsidR="009E351C">
        <w:t xml:space="preserve">Tabela </w:t>
      </w:r>
      <w:r w:rsidR="009E351C">
        <w:rPr>
          <w:noProof/>
        </w:rPr>
        <w:t>72</w:t>
      </w:r>
      <w:r>
        <w:fldChar w:fldCharType="end"/>
      </w:r>
      <w:r>
        <w:t xml:space="preserve">) znajdują się korelacje odnoszące się nie tylko do stopy zatrudnienia i zarobków, ale także do wskaźnika IWRA zbudowanego na podstawie tych dwóch parametrów oraz do Względnego Wskaźnika Zarobków wyliczanego w ramach ELA. Jest to wskaźnik odnoszący się do relacji pomiędzy średnimi zarobkami absolwentów danego kierunku a średnim poziomem zarobków w powiecie zamieszkania tych absolwentów </w:t>
      </w:r>
      <w:r>
        <w:fldChar w:fldCharType="begin" w:fldLock="1"/>
      </w:r>
      <w:r w:rsidR="001A2624">
        <w:instrText>ADDIN CSL_CITATION {"citationItems":[{"id":"ITEM-1","itemData":{"URL":"https://www.gov.pl/web/edukacja-i-nauka/ekonomiczne-losy-absolwentow","author":[{"dropping-particle":"","family":"MEiN","given":"","non-dropping-particle":"","parse-names":false,"suffix":""}],"id":"ITEM-1","issued":{"date-parts":[["2023"]]},"title":"Ekonomiczne Losy Absolwentów","type":"webpage"},"uris":["http://www.mendeley.com/documents/?uuid=320a4258-410c-4e1c-9730-ac339dcb7e78"]},{"id":"ITEM-2","itemData":{"DOI":"10.14746/nisw.2018.1.11","ISSN":"1231-0298","abstract":"Przedmiotem niniejszego tekstu jest skonfrontowanie ekonomicznych losów absolwentów rocznika 2014 wybranych kierunków atypowych prowadzonych jako studia II stopnia z opiniami i informacjami zawartymi w raportach z wizytacji oraz w uchwałach Prezydium Polskiej Komisji Akredytacyjnej. Takie zestawienie posłuży do weryfikacji hipotezy głoszącej, że raporty i oceny PKA nie zawsze zawierają informacje, które mogłyby być pożyteczne w wyborze kierunku studiów.","author":[{"dropping-particle":"","family":"Rocki","given":"Marek","non-dropping-particle":"","parse-names":false,"suffix":""}],"container-title":"Nauka i Szkolnictwo Wyższe","id":"ITEM-2","issue":"1(51)","issued":{"date-parts":[["2018","10","23"]]},"page":"219-239","title":"Jakość kształcenia a ekonomiczne losy absolwentów: Analiza przypadków","type":"article-journal"},"locator":"224","uris":["http://www.mendeley.com/documents/?uuid=bc59247c-e534-41a8-b573-9e0a56371df4"]}],"mendeley":{"formattedCitation":"(MEiN, 2023a; Rocki, 2018, s. 224)","plainTextFormattedCitation":"(MEiN, 2023a; Rocki, 2018, s. 224)","previouslyFormattedCitation":"(MEiN, 2023a; Rocki, 2018, s. 224)"},"properties":{"noteIndex":0},"schema":"https://github.com/citation-style-language/schema/raw/master/csl-citation.json"}</w:instrText>
      </w:r>
      <w:r>
        <w:fldChar w:fldCharType="separate"/>
      </w:r>
      <w:r w:rsidR="00921CC1" w:rsidRPr="00921CC1">
        <w:rPr>
          <w:noProof/>
        </w:rPr>
        <w:t>(MEiN, 2023a; Rocki, 2018, s. 224)</w:t>
      </w:r>
      <w:r>
        <w:fldChar w:fldCharType="end"/>
      </w:r>
      <w:r>
        <w:t>.</w:t>
      </w:r>
      <w:r w:rsidR="0041249C">
        <w:t xml:space="preserve"> Zatem można przypuszczać, że ponieważ wskaźnik ten odnosi się bezpośrednio do zarobków absolwentów jego poziom skorelowania z zarobkami powinien być bardzo wysoki. Takie przypuszczenie znajduje odzwierciedlenie w zaprezentowanych wynikach, gdyż wszystkie wartości współczynnika korelacji między kategorią uczelni, a miarami odnoszącymi się do </w:t>
      </w:r>
      <w:r w:rsidR="0041249C">
        <w:lastRenderedPageBreak/>
        <w:t xml:space="preserve">zarobków są zbliżone. Warto tu podkreślić, że negatywna korelacja pomiędzy ukończeniem uczelni technicznej, a uzyskaniem zatrudnienia zaobserwowana w wynikach badania kwestionariuszowego znajduje potwierdzenie dużej skali danych pochodzących z ELA. Co więcej korelacja ta jest istotna statystycznie. Natomiast na podstawie danych z ELA nie można potwierdzić korelacji pomiędzy ukończeniem uczelni technicznej, a uzyskiwaniem przeciętnie wyższych zarobków w pierwszym roku od uzyskania dyplomu. Natomiast istnieje taka </w:t>
      </w:r>
      <w:r w:rsidR="00A03226">
        <w:t xml:space="preserve">pozytywna </w:t>
      </w:r>
      <w:r w:rsidR="0041249C">
        <w:t>korelacja na przyjętym poziomie istotności dla wyników przeciętnych zarobków absolwentów uczelni po 3 latach od uzyskania dyplomu.</w:t>
      </w:r>
    </w:p>
    <w:p w14:paraId="14535433" w14:textId="40FCE235" w:rsidR="00655BA8" w:rsidRDefault="00655BA8" w:rsidP="00A85AA1">
      <w:pPr>
        <w:ind w:left="113"/>
      </w:pPr>
      <w:r>
        <w:t xml:space="preserve">W celu zweryfikowania hipotezy H3 - </w:t>
      </w:r>
      <w:r w:rsidR="007A7290" w:rsidRPr="007A7290">
        <w:rPr>
          <w:i/>
          <w:iCs/>
        </w:rPr>
        <w:t>Absolwenci publicznych uczelni technicznych są wyżej cenieni na rynku pracy niż absolwenci pozostałych uczelni, a uczelnie techniczne uzyskują wyższe wartości Indeksu Wyceny Rynkowej Absolwenta niż pozostałe uczelnie</w:t>
      </w:r>
      <w:r>
        <w:t xml:space="preserve"> sformułowanej jako rezultat badania jakościowego (por. rozdz. </w:t>
      </w:r>
      <w:r>
        <w:fldChar w:fldCharType="begin"/>
      </w:r>
      <w:r>
        <w:instrText xml:space="preserve"> REF _Ref137733795 \r \h </w:instrText>
      </w:r>
      <w:r>
        <w:fldChar w:fldCharType="separate"/>
      </w:r>
      <w:r w:rsidR="009E351C">
        <w:t>2.1.2</w:t>
      </w:r>
      <w:r>
        <w:fldChar w:fldCharType="end"/>
      </w:r>
      <w:r>
        <w:t xml:space="preserve">) sformułowano </w:t>
      </w:r>
      <w:r w:rsidR="007A7290">
        <w:t>6</w:t>
      </w:r>
      <w:r>
        <w:t xml:space="preserve"> hipotezy </w:t>
      </w:r>
      <w:r w:rsidR="007A7290">
        <w:t>szczegółowych</w:t>
      </w:r>
      <w:r>
        <w:t xml:space="preserve"> (podrzędne) po</w:t>
      </w:r>
      <w:r w:rsidR="007A7290">
        <w:t>mocnych</w:t>
      </w:r>
      <w:r>
        <w:t xml:space="preserve"> </w:t>
      </w:r>
      <w:r w:rsidR="007A7290">
        <w:t>do</w:t>
      </w:r>
      <w:r>
        <w:t xml:space="preserve"> weryfikacj</w:t>
      </w:r>
      <w:r w:rsidR="007A7290">
        <w:t>i</w:t>
      </w:r>
      <w:r>
        <w:t xml:space="preserve"> statystyczn</w:t>
      </w:r>
      <w:r w:rsidR="007A7290">
        <w:t>ej</w:t>
      </w:r>
      <w:r>
        <w:t xml:space="preserve"> na podstawie dostępnych danych badawczych. Są to następujące hipotezy:</w:t>
      </w:r>
    </w:p>
    <w:p w14:paraId="3AE32BFC" w14:textId="4A10094C" w:rsidR="00A03226" w:rsidRDefault="00A03226" w:rsidP="002D3260">
      <w:pPr>
        <w:pStyle w:val="Wypunktowanie"/>
        <w:numPr>
          <w:ilvl w:val="0"/>
          <w:numId w:val="33"/>
        </w:numPr>
      </w:pPr>
      <w:r>
        <w:t>H3a</w:t>
      </w:r>
      <w:r w:rsidR="00655BA8">
        <w:t>:</w:t>
      </w:r>
      <w:r>
        <w:t xml:space="preserve"> Stopa zatrudnienia wśród absolwentów publicznych uczelni technicznych po roku od uzyskania dyplomu jest wyższa niż stopa zatrudnienia absolwentów pozostałych uczelni w tym samym okresie.</w:t>
      </w:r>
    </w:p>
    <w:p w14:paraId="381B2CCD" w14:textId="7B4F4537" w:rsidR="00A03226" w:rsidRDefault="00A03226" w:rsidP="002D3260">
      <w:pPr>
        <w:pStyle w:val="Wypunktowanie"/>
        <w:numPr>
          <w:ilvl w:val="0"/>
          <w:numId w:val="33"/>
        </w:numPr>
      </w:pPr>
      <w:r>
        <w:t>H3b</w:t>
      </w:r>
      <w:r w:rsidR="00655BA8">
        <w:t>:</w:t>
      </w:r>
      <w:r>
        <w:t xml:space="preserve"> Stopa zatrudnienia wśród absolwentów publicznych uczelni technicznych po 3</w:t>
      </w:r>
      <w:r w:rsidR="001F3A5F">
        <w:t>.</w:t>
      </w:r>
      <w:r>
        <w:t xml:space="preserve"> latach od uzyskania dyplomu jest wyższa niż stopa zatrudnienia absolwentów pozostałych uczelni w tym samym okresie.</w:t>
      </w:r>
    </w:p>
    <w:p w14:paraId="05928E8A" w14:textId="190E5EFD" w:rsidR="00A03226" w:rsidRDefault="00A03226" w:rsidP="002D3260">
      <w:pPr>
        <w:pStyle w:val="Wypunktowanie"/>
        <w:numPr>
          <w:ilvl w:val="0"/>
          <w:numId w:val="33"/>
        </w:numPr>
      </w:pPr>
      <w:r>
        <w:t>H3c</w:t>
      </w:r>
      <w:r w:rsidR="00655BA8">
        <w:t>:</w:t>
      </w:r>
      <w:r>
        <w:t xml:space="preserve"> Średnie zarobki absolwentów publicznych uczelni technicznych po roku od uzyskania dyplomu są wyższe niż średnie zarobki absolwentów pozostałych uczelni w tym samym okresie.</w:t>
      </w:r>
    </w:p>
    <w:p w14:paraId="01CE0949" w14:textId="6E2DA401" w:rsidR="00F32244" w:rsidRDefault="00A03226" w:rsidP="002D3260">
      <w:pPr>
        <w:pStyle w:val="Wypunktowanie"/>
        <w:numPr>
          <w:ilvl w:val="0"/>
          <w:numId w:val="33"/>
        </w:numPr>
      </w:pPr>
      <w:r>
        <w:t>H3d</w:t>
      </w:r>
      <w:r w:rsidR="00655BA8">
        <w:t>:</w:t>
      </w:r>
      <w:r>
        <w:t xml:space="preserve"> Średnie zarobki absolwentów publicznych uczelni technicznych po </w:t>
      </w:r>
      <w:r w:rsidR="001F3A5F">
        <w:t>3. latach</w:t>
      </w:r>
      <w:r>
        <w:t xml:space="preserve"> od uzyskania dyplomu są wyższe niż średnie zarobki absolwentów pozostałych uczelni w tym samym okresie.</w:t>
      </w:r>
    </w:p>
    <w:p w14:paraId="55D7E809" w14:textId="572663F4" w:rsidR="00F32244" w:rsidRDefault="00F32244" w:rsidP="002D3260">
      <w:pPr>
        <w:pStyle w:val="Wypunktowanie"/>
        <w:numPr>
          <w:ilvl w:val="0"/>
          <w:numId w:val="33"/>
        </w:numPr>
      </w:pPr>
      <w:r>
        <w:t xml:space="preserve">H3e Wartości </w:t>
      </w:r>
      <w:r w:rsidR="001F3A5F">
        <w:t xml:space="preserve">wskaźników </w:t>
      </w:r>
      <w:r>
        <w:t>IWRA</w:t>
      </w:r>
      <w:r w:rsidR="001F3A5F">
        <w:t>,</w:t>
      </w:r>
      <w:r>
        <w:t xml:space="preserve"> </w:t>
      </w:r>
      <w:r w:rsidR="001F3A5F">
        <w:t xml:space="preserve">obliczonych na podstawie danych o zatrudnieniu i zarobkach absolwentów po roku od uzyskania dyplomu, </w:t>
      </w:r>
      <w:r>
        <w:t>dla uczelni technicznych są wyższe niż dla pozostałych uczelni.</w:t>
      </w:r>
    </w:p>
    <w:p w14:paraId="05614315" w14:textId="2820BC90" w:rsidR="00F32244" w:rsidRDefault="00F32244" w:rsidP="002D3260">
      <w:pPr>
        <w:pStyle w:val="Wypunktowanie"/>
        <w:numPr>
          <w:ilvl w:val="0"/>
          <w:numId w:val="33"/>
        </w:numPr>
      </w:pPr>
      <w:r>
        <w:t xml:space="preserve">H3f </w:t>
      </w:r>
      <w:r w:rsidR="007A7290">
        <w:t>Wartości wskaźników IWRA, obliczonych na podstawie danych o zatrudnieniu i zarobkach absolwentów po 3. latach od uzyskania dyplomu, dla uczelni technicznych są wyższe niż dla pozostałych uczelni.</w:t>
      </w:r>
    </w:p>
    <w:p w14:paraId="653E7C09" w14:textId="5B0A45B7" w:rsidR="00F165E0" w:rsidRDefault="00655BA8" w:rsidP="00655BA8">
      <w:r>
        <w:t xml:space="preserve">Na podstawie wyników analizy danych z systemu ELA i korelacji pomiędzy zaklasyfikowaniem uczelni jako techniczną, a parametrami odnoszącymi się do elementów składowych </w:t>
      </w:r>
      <w:r w:rsidR="00A1113E">
        <w:t>wskaźnika IWRA można stwierdzić iż:</w:t>
      </w:r>
    </w:p>
    <w:p w14:paraId="1AD669E1" w14:textId="1D6C7EA6" w:rsidR="006C09A0" w:rsidRDefault="003D76E9" w:rsidP="002D3260">
      <w:pPr>
        <w:pStyle w:val="Wypunktowanie"/>
        <w:numPr>
          <w:ilvl w:val="0"/>
          <w:numId w:val="34"/>
        </w:numPr>
      </w:pPr>
      <w:r>
        <w:t xml:space="preserve">Ad. H3a: </w:t>
      </w:r>
      <w:r w:rsidR="006C09A0">
        <w:t>należy odrzucić</w:t>
      </w:r>
      <w:r>
        <w:t xml:space="preserve"> hipotez</w:t>
      </w:r>
      <w:r w:rsidR="006C09A0">
        <w:t>ę</w:t>
      </w:r>
      <w:r>
        <w:t xml:space="preserve"> zerow</w:t>
      </w:r>
      <w:r w:rsidR="006C09A0">
        <w:t>ą</w:t>
      </w:r>
      <w:r>
        <w:t xml:space="preserve"> mówiąc</w:t>
      </w:r>
      <w:r w:rsidR="006C09A0">
        <w:t>ą</w:t>
      </w:r>
      <w:r>
        <w:t xml:space="preserve"> o braku związku między ukończeniem uczelni technicznej a </w:t>
      </w:r>
      <w:r w:rsidR="00F32244">
        <w:t>stopą zatrudnienia</w:t>
      </w:r>
      <w:r>
        <w:t xml:space="preserve"> </w:t>
      </w:r>
      <w:r w:rsidR="006C09A0">
        <w:t xml:space="preserve">absolwentów </w:t>
      </w:r>
      <w:r>
        <w:t>różniąc</w:t>
      </w:r>
      <w:r w:rsidR="00F32244">
        <w:t>ą</w:t>
      </w:r>
      <w:r>
        <w:t xml:space="preserve"> się od </w:t>
      </w:r>
      <w:r w:rsidR="00F32244">
        <w:t>stopy zatrudnienia</w:t>
      </w:r>
      <w:r>
        <w:t xml:space="preserve"> absolwentów uczelni nietechnicznych</w:t>
      </w:r>
      <w:r w:rsidR="006C09A0">
        <w:t xml:space="preserve"> po roku od uzyskania dyplomu. Jednak</w:t>
      </w:r>
      <w:r>
        <w:t xml:space="preserve"> na podstawie wskaźnika korelacji o ujemnej </w:t>
      </w:r>
      <w:r w:rsidR="006C09A0">
        <w:t>wartości</w:t>
      </w:r>
      <w:r>
        <w:t xml:space="preserve"> należy stwierdzić, że: </w:t>
      </w:r>
    </w:p>
    <w:p w14:paraId="7F2DEA4D" w14:textId="6EE32384" w:rsidR="00A1113E" w:rsidRPr="006C09A0" w:rsidRDefault="006C09A0" w:rsidP="006C09A0">
      <w:pPr>
        <w:pStyle w:val="Wypunktowanie"/>
        <w:numPr>
          <w:ilvl w:val="0"/>
          <w:numId w:val="0"/>
        </w:numPr>
        <w:ind w:left="1068"/>
        <w:rPr>
          <w:i/>
          <w:iCs/>
        </w:rPr>
      </w:pPr>
      <w:r w:rsidRPr="006C09A0">
        <w:rPr>
          <w:i/>
          <w:iCs/>
        </w:rPr>
        <w:lastRenderedPageBreak/>
        <w:t>S</w:t>
      </w:r>
      <w:r w:rsidR="003D76E9" w:rsidRPr="006C09A0">
        <w:rPr>
          <w:i/>
          <w:iCs/>
        </w:rPr>
        <w:t xml:space="preserve">topa zatrudnienia wśród absolwentów publicznych uczelni technicznych po roku od uzyskania dyplomu jest </w:t>
      </w:r>
      <w:r w:rsidR="003D76E9" w:rsidRPr="006C09A0">
        <w:rPr>
          <w:i/>
          <w:iCs/>
          <w:u w:val="single"/>
        </w:rPr>
        <w:t>niższa</w:t>
      </w:r>
      <w:r w:rsidR="003D76E9" w:rsidRPr="006C09A0">
        <w:rPr>
          <w:i/>
          <w:iCs/>
        </w:rPr>
        <w:t xml:space="preserve"> niż stopa zatrudnienia absolwentów pozostałych uczelni w tym samym okresie.</w:t>
      </w:r>
    </w:p>
    <w:p w14:paraId="5BF20628" w14:textId="629BAB84" w:rsidR="006C09A0" w:rsidRDefault="003D76E9" w:rsidP="002D3260">
      <w:pPr>
        <w:pStyle w:val="Wypunktowanie"/>
        <w:numPr>
          <w:ilvl w:val="0"/>
          <w:numId w:val="34"/>
        </w:numPr>
      </w:pPr>
      <w:r>
        <w:t>Ad</w:t>
      </w:r>
      <w:r w:rsidR="006C09A0">
        <w:t>.</w:t>
      </w:r>
      <w:r>
        <w:t xml:space="preserve"> H3b</w:t>
      </w:r>
      <w:r w:rsidR="006C09A0">
        <w:t>:</w:t>
      </w:r>
      <w:r>
        <w:t xml:space="preserve"> </w:t>
      </w:r>
      <w:r w:rsidR="006C09A0">
        <w:t>n</w:t>
      </w:r>
      <w:r>
        <w:t xml:space="preserve">ie ma podstaw do odrzucenia hipotezy zerowej mówiącej o braku związku między ukończeniem uczelni technicznej a </w:t>
      </w:r>
      <w:r w:rsidR="000652B5">
        <w:t>stopą zatrudnienia</w:t>
      </w:r>
      <w:r>
        <w:t xml:space="preserve"> </w:t>
      </w:r>
      <w:r w:rsidR="006C09A0">
        <w:t xml:space="preserve">absolwentów </w:t>
      </w:r>
      <w:r>
        <w:t>różniąc</w:t>
      </w:r>
      <w:r w:rsidR="000652B5">
        <w:t>ą</w:t>
      </w:r>
      <w:r>
        <w:t xml:space="preserve"> się od </w:t>
      </w:r>
      <w:r w:rsidR="000652B5">
        <w:t>stopy zatrudnienia</w:t>
      </w:r>
      <w:r>
        <w:t xml:space="preserve"> absolwentów uczelni nietechnicznych</w:t>
      </w:r>
      <w:r w:rsidR="006C09A0">
        <w:t xml:space="preserve"> po 3</w:t>
      </w:r>
      <w:r w:rsidR="001F3A5F">
        <w:t>.</w:t>
      </w:r>
      <w:r w:rsidR="006C09A0">
        <w:t xml:space="preserve"> latach od uzyskania dyplomu, a zatem </w:t>
      </w:r>
      <w:r w:rsidR="000652B5">
        <w:t xml:space="preserve">należy </w:t>
      </w:r>
      <w:r w:rsidR="006C09A0">
        <w:t xml:space="preserve">przyjąć hipotezę </w:t>
      </w:r>
      <w:r w:rsidR="000652B5">
        <w:t>zerową</w:t>
      </w:r>
      <w:r w:rsidR="006C09A0">
        <w:t xml:space="preserve"> i stwierdzić, że: </w:t>
      </w:r>
    </w:p>
    <w:p w14:paraId="6585BE0F" w14:textId="090FE01E" w:rsidR="003D76E9" w:rsidRPr="006C09A0" w:rsidRDefault="006C09A0" w:rsidP="006C09A0">
      <w:pPr>
        <w:pStyle w:val="Wypunktowanie"/>
        <w:numPr>
          <w:ilvl w:val="0"/>
          <w:numId w:val="0"/>
        </w:numPr>
        <w:ind w:left="1068"/>
        <w:rPr>
          <w:i/>
          <w:iCs/>
        </w:rPr>
      </w:pPr>
      <w:r>
        <w:rPr>
          <w:i/>
          <w:iCs/>
        </w:rPr>
        <w:t>Nie ma związku między ukończeniem uczelni technicznej a s</w:t>
      </w:r>
      <w:r w:rsidRPr="006C09A0">
        <w:rPr>
          <w:i/>
          <w:iCs/>
        </w:rPr>
        <w:t>topa zatrudnienia wśród absolwentów publicznych uczelni technicznych po 3</w:t>
      </w:r>
      <w:r w:rsidR="001F3A5F">
        <w:rPr>
          <w:i/>
          <w:iCs/>
        </w:rPr>
        <w:t>.</w:t>
      </w:r>
      <w:r w:rsidRPr="006C09A0">
        <w:rPr>
          <w:i/>
          <w:iCs/>
        </w:rPr>
        <w:t xml:space="preserve"> latach od uzyskania dyplomu </w:t>
      </w:r>
      <w:r>
        <w:rPr>
          <w:i/>
          <w:iCs/>
        </w:rPr>
        <w:t>w porównaniu do</w:t>
      </w:r>
      <w:r w:rsidRPr="006C09A0">
        <w:rPr>
          <w:i/>
          <w:iCs/>
        </w:rPr>
        <w:t xml:space="preserve"> stop</w:t>
      </w:r>
      <w:r>
        <w:rPr>
          <w:i/>
          <w:iCs/>
        </w:rPr>
        <w:t>y</w:t>
      </w:r>
      <w:r w:rsidRPr="006C09A0">
        <w:rPr>
          <w:i/>
          <w:iCs/>
        </w:rPr>
        <w:t xml:space="preserve"> zatrudnienia absolwentów pozostałych uczelni w tym samym okresie.</w:t>
      </w:r>
    </w:p>
    <w:p w14:paraId="35C40D8B" w14:textId="23717C4B" w:rsidR="00F32244" w:rsidRDefault="006C09A0" w:rsidP="002D3260">
      <w:pPr>
        <w:pStyle w:val="Wypunktowanie"/>
        <w:numPr>
          <w:ilvl w:val="0"/>
          <w:numId w:val="34"/>
        </w:numPr>
      </w:pPr>
      <w:r>
        <w:t xml:space="preserve">Ad. H3c: </w:t>
      </w:r>
      <w:r w:rsidR="00F32244">
        <w:t xml:space="preserve">nie ma podstaw do odrzucenia hipotezy zerowej mówiącej o braku związku między ukończeniem uczelni technicznej a zarobkami absolwentów różniącymi się od zarobków absolwentów uczelni nietechnicznych po </w:t>
      </w:r>
      <w:r w:rsidR="000652B5">
        <w:t>roku</w:t>
      </w:r>
      <w:r w:rsidR="00F32244">
        <w:t xml:space="preserve"> od uzyskania dyplomu, a zatem </w:t>
      </w:r>
      <w:r w:rsidR="000652B5">
        <w:t>należy</w:t>
      </w:r>
      <w:r w:rsidR="00F32244">
        <w:t xml:space="preserve"> przyjąć hipotezę </w:t>
      </w:r>
      <w:r w:rsidR="000652B5">
        <w:t>zerową</w:t>
      </w:r>
      <w:r w:rsidR="00F32244">
        <w:t xml:space="preserve"> i stwierdzić, że: </w:t>
      </w:r>
    </w:p>
    <w:p w14:paraId="2DA5C0BF" w14:textId="0F7395D5" w:rsidR="006C09A0" w:rsidRPr="000652B5" w:rsidRDefault="00F32244" w:rsidP="000652B5">
      <w:pPr>
        <w:pStyle w:val="Wypunktowanie"/>
        <w:numPr>
          <w:ilvl w:val="0"/>
          <w:numId w:val="0"/>
        </w:numPr>
        <w:ind w:left="1068"/>
      </w:pPr>
      <w:r>
        <w:rPr>
          <w:i/>
          <w:iCs/>
        </w:rPr>
        <w:t xml:space="preserve">Nie ma związku między ukończeniem uczelni technicznej a </w:t>
      </w:r>
      <w:r w:rsidR="000652B5">
        <w:rPr>
          <w:i/>
          <w:iCs/>
        </w:rPr>
        <w:t>zarobkami</w:t>
      </w:r>
      <w:r w:rsidRPr="006C09A0">
        <w:rPr>
          <w:i/>
          <w:iCs/>
        </w:rPr>
        <w:t xml:space="preserve"> wśród absolwentów publicznych uczelni technicznych po </w:t>
      </w:r>
      <w:r w:rsidR="000652B5">
        <w:rPr>
          <w:i/>
          <w:iCs/>
        </w:rPr>
        <w:t>roku</w:t>
      </w:r>
      <w:r w:rsidRPr="006C09A0">
        <w:rPr>
          <w:i/>
          <w:iCs/>
        </w:rPr>
        <w:t xml:space="preserve"> od uzyskania dyplomu </w:t>
      </w:r>
      <w:r>
        <w:rPr>
          <w:i/>
          <w:iCs/>
        </w:rPr>
        <w:t>w porównaniu do</w:t>
      </w:r>
      <w:r w:rsidRPr="006C09A0">
        <w:rPr>
          <w:i/>
          <w:iCs/>
        </w:rPr>
        <w:t xml:space="preserve"> </w:t>
      </w:r>
      <w:r w:rsidR="000652B5">
        <w:rPr>
          <w:i/>
          <w:iCs/>
        </w:rPr>
        <w:t>zarobków</w:t>
      </w:r>
      <w:r w:rsidRPr="006C09A0">
        <w:rPr>
          <w:i/>
          <w:iCs/>
        </w:rPr>
        <w:t xml:space="preserve"> absolwentów pozostałych uczelni w tym samym okresie.</w:t>
      </w:r>
    </w:p>
    <w:p w14:paraId="6204A3A2" w14:textId="4C232500" w:rsidR="001F3A5F" w:rsidRDefault="001F3A5F" w:rsidP="002D3260">
      <w:pPr>
        <w:pStyle w:val="Wypunktowanie"/>
        <w:numPr>
          <w:ilvl w:val="0"/>
          <w:numId w:val="34"/>
        </w:numPr>
      </w:pPr>
      <w:r>
        <w:t xml:space="preserve">Ad. H3d: należy odrzucić hipotezę zerową mówiącą o braku związku między ukończeniem uczelni technicznej a zarobkami absolwentów różniącymi się od zarobków absolwentów uczelni nietechnicznych po 3. latach od uzyskania dyplomu. W związku z tym należy stwierdzić, że: </w:t>
      </w:r>
    </w:p>
    <w:p w14:paraId="670668EC" w14:textId="6BCE8F6B" w:rsidR="001F3A5F" w:rsidRDefault="001F3A5F" w:rsidP="001F3A5F">
      <w:pPr>
        <w:pStyle w:val="Wypunktowanie"/>
        <w:numPr>
          <w:ilvl w:val="0"/>
          <w:numId w:val="0"/>
        </w:numPr>
        <w:ind w:left="1068"/>
        <w:rPr>
          <w:i/>
          <w:iCs/>
        </w:rPr>
      </w:pPr>
      <w:r w:rsidRPr="001F3A5F">
        <w:rPr>
          <w:i/>
          <w:iCs/>
        </w:rPr>
        <w:t>Średnie zarobki absolwentów publicznych uczelni technicznych po 3. latach od uzyskania dyplomu są wyższe niż średnie zarobki absolwentów pozostałych uczelni w tym samym okresie.</w:t>
      </w:r>
    </w:p>
    <w:p w14:paraId="36CB1076" w14:textId="794143F5" w:rsidR="001F3A5F" w:rsidRDefault="001F3A5F" w:rsidP="002D3260">
      <w:pPr>
        <w:pStyle w:val="Wypunktowanie"/>
        <w:numPr>
          <w:ilvl w:val="0"/>
          <w:numId w:val="34"/>
        </w:numPr>
      </w:pPr>
      <w:r>
        <w:t xml:space="preserve">Ad. H3e: nie ma podstaw do odrzucenia hipotezy zerowej mówiącej o braku związku między zaklasyfikowaniem uczelni jako technicznej a wartościami jej wskaźnika IWRA w porównaniu do wartości tego wskaźnika dla pozostałych uczelni wyliczonymi na podstawie danych o zatrudnieniu i zarobków absolwentów po roku od uzyskania dyplomu, a zatem należy przyjąć hipotezę zerową i stwierdzić, że: </w:t>
      </w:r>
    </w:p>
    <w:p w14:paraId="12E2BA33" w14:textId="0088E25A" w:rsidR="001F3A5F" w:rsidRPr="001F3A5F" w:rsidRDefault="001F3A5F" w:rsidP="001F3A5F">
      <w:pPr>
        <w:pStyle w:val="Wypunktowanie"/>
        <w:numPr>
          <w:ilvl w:val="0"/>
          <w:numId w:val="0"/>
        </w:numPr>
        <w:ind w:left="1068"/>
      </w:pPr>
      <w:r>
        <w:rPr>
          <w:i/>
          <w:iCs/>
        </w:rPr>
        <w:t xml:space="preserve">Nie ma </w:t>
      </w:r>
      <w:r w:rsidRPr="001F3A5F">
        <w:rPr>
          <w:i/>
          <w:iCs/>
        </w:rPr>
        <w:t>związku między zaklasyfikowaniem uczelni jako techniczn</w:t>
      </w:r>
      <w:r w:rsidR="007A7290">
        <w:rPr>
          <w:i/>
          <w:iCs/>
        </w:rPr>
        <w:t>ych</w:t>
      </w:r>
      <w:r w:rsidRPr="001F3A5F">
        <w:rPr>
          <w:i/>
          <w:iCs/>
        </w:rPr>
        <w:t xml:space="preserve"> a wartościami </w:t>
      </w:r>
      <w:r w:rsidR="007A7290">
        <w:rPr>
          <w:i/>
          <w:iCs/>
        </w:rPr>
        <w:t>ich</w:t>
      </w:r>
      <w:r>
        <w:rPr>
          <w:i/>
          <w:iCs/>
        </w:rPr>
        <w:t xml:space="preserve"> </w:t>
      </w:r>
      <w:r w:rsidRPr="001F3A5F">
        <w:rPr>
          <w:i/>
          <w:iCs/>
        </w:rPr>
        <w:t>wskaźnika IWRA w porównaniu do wartości tego wskaźnika dla pozostałych uczelni wyliczonymi na podstawie danych o zatrudnieniu i zarobków absolwentów po roku od uzyskania dyplomu.</w:t>
      </w:r>
    </w:p>
    <w:p w14:paraId="721F239F" w14:textId="6131E24F" w:rsidR="001F3A5F" w:rsidRDefault="001F3A5F" w:rsidP="002D3260">
      <w:pPr>
        <w:pStyle w:val="Wypunktowanie"/>
        <w:numPr>
          <w:ilvl w:val="0"/>
          <w:numId w:val="34"/>
        </w:numPr>
      </w:pPr>
      <w:r>
        <w:t xml:space="preserve">Ad. H3f: należy odrzucić hipotezę zerową mówiącą o braku związku między zaklasyfikowaniem uczelni jako technicznej a wartościami jej wskaźnika IWRA w porównaniu do wartości tego wskaźnika dla pozostałych uczelni wyliczonymi na podstawie danych o zatrudnieniu i zarobków absolwentów po 3. latach od uzyskania dyplomu. W związku z tym należy stwierdzić, że: </w:t>
      </w:r>
    </w:p>
    <w:p w14:paraId="25F23F66" w14:textId="7B18C4F2" w:rsidR="000652B5" w:rsidRPr="007A7290" w:rsidRDefault="007A7290" w:rsidP="007A7290">
      <w:pPr>
        <w:pStyle w:val="Wypunktowanie"/>
        <w:numPr>
          <w:ilvl w:val="0"/>
          <w:numId w:val="0"/>
        </w:numPr>
        <w:ind w:left="1068"/>
        <w:rPr>
          <w:i/>
          <w:iCs/>
        </w:rPr>
      </w:pPr>
      <w:r w:rsidRPr="007A7290">
        <w:rPr>
          <w:i/>
          <w:iCs/>
        </w:rPr>
        <w:lastRenderedPageBreak/>
        <w:t>Wartości wskaźników IWRA, obliczonych na podstawie danych o zatrudnieniu i zarobkach absolwentów po 3. latach od uzyskania dyplomu, dla uczelni technicznych są wyższe niż dla pozostałych uczelni.</w:t>
      </w:r>
    </w:p>
    <w:p w14:paraId="6C3E10A6" w14:textId="0A0A313E" w:rsidR="008F15CB" w:rsidRDefault="007A7290" w:rsidP="003016B7">
      <w:r>
        <w:t>Na podstawie wniosków z analizy hipotez szczegółowych H3a-H3f nie można jednoznacznie przyjąć hipotezy H3, bowiem zjawisko występowania wyższego wskaźnika dla uczelni technicznych występuje w stopniu istotnym statystycznie jedynie przy uwzględnieniu okresu 3 lat od uzyskania dyplomu. Jednocześnie wyniki analizy danych z ELA wskazują na jednoznaczne potwierdzenie występowania zjawiska zaobserwowanego przy analizie wyników badania kwestionariuszowego, że w pierwszym roku po studniach większe szanse na zatrudnienie mają absolwenci uczelni nietechnicznych. Z drugiej jednak strony również potwierdziła się obserwacja mówiąca o wyższym</w:t>
      </w:r>
      <w:r w:rsidR="00B04C57">
        <w:t xml:space="preserve"> przeciętnym wynagrodzeniu absolwentów uczelni technicznych w stosunku do absolwentów uczelni nietechnicznych, która również swój istotny statystycznie poziom osiąga po 3 latach od ukończenia studiów. Do prawidłowej interpretacji tak sformułowanych wniosków należy wziąć po uwagę specyfikę zestawu danych uwzględnianych w bazie ELA oraz specyfikę klasyfikacji uczelni do kategorii technicznych. W tym pierwszym aspekcie należy uwzględnić, że dane z systemu ZUS mogą nie obejmować informacji o zarobkach tych absolwentów, który po studiach zdecydowali się na emigrację. Bez dokładniejszego zbadania tego zjawiska w podziale na uczelnie techniczne i nietechniczne trudno jednoznacznie wnioskować, jak duży wpływ na wyniki powyższych analiz może mieć zjawisko emigracji. Intuicyjnie można jednak przypuszczać, że w większym stopniu może ono dotyczyć absolwentów takich charakterystycznych kierunków inżynierskich charakteryzujących się wysokimi zarobkami absolwentów jak choćby informatyka, czy różne rodzaje inżynierii. Z drugiej strony kierunki charakteryzujące się wysokimi zarobkami absolwentów uczelni nietechnicznych takie jak prawo, czy medycyna również wydają się odznaczać mniejszą łatwością do emigracji</w:t>
      </w:r>
      <w:r w:rsidR="008B65CC">
        <w:t xml:space="preserve"> zaraz po uzyskaniu dyplomu uczelni. Niemniej zjawisko przeciętnie szybszego uzyskiwania zatrudnienia przez absolwentów uczelni nietechnicznych w krótkim terminie roku po ukończeniu studiów, ale z drugiej strony uzyskiwania przeciętnie wyższych wynagrodzeń przez absolwentów uczelni technicznych w dłuższym terminie 3 lat może w pewien sposób potwierdzać hipotezę H3. Na pewno jednak to czy pracodawcy średnio bardziej cenią absolwentów uczelni technicznych od absolwentów uczelni nietechnicznych nie jest jednoznacznie łatwe do określenia i wiąże się z bardziej złożonym opisem wielu czynników decydujących o indywidualnych decyzjach pracodawców. Nie bez znaczenia jest fakt iż w wielu branżach pracodawcy nie mają możliwości wybierania pomiędzy absolwentami uczelni technicznych lub nietechnicznych, gdyż ze względu na specyfikę swojej branży i potrzeb w zakresie kompetencji są w stanie oferować pracę absolwentom tylko jednego rodzaju uczelni.</w:t>
      </w:r>
    </w:p>
    <w:p w14:paraId="23E6E363" w14:textId="3F6BA03C" w:rsidR="00A51435" w:rsidRDefault="00A53242" w:rsidP="003016B7">
      <w:r>
        <w:t xml:space="preserve">Podsumowując wyniki analiz elementów składowych wskaźnika IWRA w badaniu kwestionariuszowym i oraz w badaniu na podstawie danych z bazy ELA można stwierdzić, że oba te badania wykazują pewną zgodność w zakresie ogólnych tendencji co do korelacji pomiędzy rodzajem ukończonej uczelni a wynikami wyceny rynkowej efektów usług uczelni w postaci określonej wartości kompetencji absolwentów na rynku pracy. Natomiast dotychczasowe analizy nie pozwoliły na zweryfikowanie powiązań pomiędzy IWRA i jego składowymi, a postrzeganą przez absolwentów satysfakcją z otrzymanej usługi. Spośród dwóch wyżej wymienionych badań jedynie przeprowadzone w ramach </w:t>
      </w:r>
      <w:r>
        <w:lastRenderedPageBreak/>
        <w:t>niniejszej pracy badanie kwestionariuszowe pozwala na powiązanie tych dwóch parametrów oceny uczelni.</w:t>
      </w:r>
      <w:r w:rsidR="00A51435">
        <w:t xml:space="preserve"> Ze względu na pewne nie do końca oczywiste związki pomiędzy postrzeganą satysfakcją z usług uczelni, a postrzeganą wartością oferowanych przez uczelnię usług w ramach analizy uwzględniono również wyniki pytania z badania kwestionariuszowego, </w:t>
      </w:r>
      <w:r w:rsidR="00B74155">
        <w:t xml:space="preserve">dla którego respondenci oceniali również to w jakim stopniu zgadzają się ze stwierdzeniem, że wartość usług oferowanych przez ocenianą uczelnię jest wysoka. Podobnie jak dla pytania o satysfakcję w narzędziu badawczym również dla tego pytania wykorzystano 7-mio stopniową skalę </w:t>
      </w:r>
      <w:proofErr w:type="spellStart"/>
      <w:r w:rsidR="00B74155">
        <w:t>Likerta</w:t>
      </w:r>
      <w:proofErr w:type="spellEnd"/>
      <w:r w:rsidR="00B74155">
        <w:t>.</w:t>
      </w:r>
      <w:r w:rsidR="00802419">
        <w:t xml:space="preserve"> Wartości korelacji pomiędzy badanymi parametrami odnoszącymi się do składowych elementów indeksu IWRA oraz do postrzeganej satysfakcji i wartości usług uczelni przez respondentów z grupy absolwentów przedstawiono w tabeli po</w:t>
      </w:r>
      <w:r w:rsidR="00106236">
        <w:fldChar w:fldCharType="begin"/>
      </w:r>
      <w:r w:rsidR="00106236">
        <w:instrText xml:space="preserve"> REF _Ref137759863 \p \h </w:instrText>
      </w:r>
      <w:r w:rsidR="00106236">
        <w:fldChar w:fldCharType="separate"/>
      </w:r>
      <w:r w:rsidR="009E351C">
        <w:t>niżej</w:t>
      </w:r>
      <w:r w:rsidR="00106236">
        <w:fldChar w:fldCharType="end"/>
      </w:r>
      <w:r w:rsidR="00802419">
        <w:t xml:space="preserve"> (</w:t>
      </w:r>
      <w:r w:rsidR="00106236">
        <w:fldChar w:fldCharType="begin"/>
      </w:r>
      <w:r w:rsidR="00106236">
        <w:instrText xml:space="preserve"> REF _Ref137759871 \h </w:instrText>
      </w:r>
      <w:r w:rsidR="00106236">
        <w:fldChar w:fldCharType="separate"/>
      </w:r>
      <w:r w:rsidR="009E351C">
        <w:t xml:space="preserve">Tabela </w:t>
      </w:r>
      <w:r w:rsidR="009E351C">
        <w:rPr>
          <w:noProof/>
        </w:rPr>
        <w:t>73</w:t>
      </w:r>
      <w:r w:rsidR="00106236">
        <w:fldChar w:fldCharType="end"/>
      </w:r>
      <w:r w:rsidR="00802419">
        <w:t>).</w:t>
      </w:r>
    </w:p>
    <w:p w14:paraId="09B85502" w14:textId="21F07AAE" w:rsidR="00FF0240" w:rsidRDefault="00FF0240" w:rsidP="00FF0240">
      <w:pPr>
        <w:pStyle w:val="Tytutabeli"/>
      </w:pPr>
      <w:bookmarkStart w:id="114" w:name="_Ref137759871"/>
      <w:bookmarkStart w:id="115" w:name="_Ref137759863"/>
      <w:bookmarkStart w:id="116" w:name="_Toc163576362"/>
      <w:r>
        <w:t xml:space="preserve">Tabela </w:t>
      </w:r>
      <w:r>
        <w:fldChar w:fldCharType="begin"/>
      </w:r>
      <w:r>
        <w:instrText xml:space="preserve"> SEQ Tabela \* ARABIC </w:instrText>
      </w:r>
      <w:r>
        <w:fldChar w:fldCharType="separate"/>
      </w:r>
      <w:r w:rsidR="00DA2A4D">
        <w:rPr>
          <w:noProof/>
        </w:rPr>
        <w:t>73</w:t>
      </w:r>
      <w:r>
        <w:rPr>
          <w:noProof/>
        </w:rPr>
        <w:fldChar w:fldCharType="end"/>
      </w:r>
      <w:bookmarkEnd w:id="114"/>
      <w:r w:rsidR="00EB2DF6" w:rsidRPr="00EB2DF6">
        <w:t xml:space="preserve"> </w:t>
      </w:r>
      <w:r w:rsidR="00EB2DF6">
        <w:t>Korelacje pomiędzy wynagrodzeniem i zatrudnieniem absolwentów po roku i po 3 latach od ukończenia studiów a wartościami pomiaru postrzeganej satysfakcji z usług uczelni i wartości usług uczelni podziale na grupy respondentów absolwentów w zależności od rodzaju ukończonej uczelni.</w:t>
      </w:r>
      <w:bookmarkEnd w:id="115"/>
      <w:bookmarkEnd w:id="116"/>
    </w:p>
    <w:tbl>
      <w:tblPr>
        <w:tblStyle w:val="Tabela-Siatka"/>
        <w:tblW w:w="0" w:type="auto"/>
        <w:tblLayout w:type="fixed"/>
        <w:tblLook w:val="04A0" w:firstRow="1" w:lastRow="0" w:firstColumn="1" w:lastColumn="0" w:noHBand="0" w:noVBand="1"/>
      </w:tblPr>
      <w:tblGrid>
        <w:gridCol w:w="2608"/>
        <w:gridCol w:w="1077"/>
        <w:gridCol w:w="1077"/>
        <w:gridCol w:w="1077"/>
        <w:gridCol w:w="1077"/>
        <w:gridCol w:w="1077"/>
        <w:gridCol w:w="1077"/>
      </w:tblGrid>
      <w:tr w:rsidR="00FF1481" w14:paraId="02838452" w14:textId="0D182126" w:rsidTr="00AD2D65">
        <w:trPr>
          <w:cantSplit/>
          <w:tblHeader/>
        </w:trPr>
        <w:tc>
          <w:tcPr>
            <w:tcW w:w="2608" w:type="dxa"/>
            <w:vAlign w:val="center"/>
          </w:tcPr>
          <w:p w14:paraId="013A6F0D" w14:textId="29F27CFE" w:rsidR="00FF1481" w:rsidRDefault="00FF1481" w:rsidP="004C1815">
            <w:pPr>
              <w:keepNext/>
              <w:ind w:firstLine="0"/>
              <w:jc w:val="left"/>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1077" w:type="dxa"/>
            <w:vAlign w:val="center"/>
          </w:tcPr>
          <w:p w14:paraId="39C30184" w14:textId="562B44A4" w:rsidR="00FF1481" w:rsidRPr="00FF1481" w:rsidRDefault="00FF1481" w:rsidP="004C1815">
            <w:pPr>
              <w:keepNext/>
              <w:ind w:firstLine="0"/>
              <w:jc w:val="center"/>
              <w:rPr>
                <w:lang w:val="pl-PL"/>
              </w:rPr>
            </w:pPr>
            <w:r>
              <w:rPr>
                <w:b/>
                <w:bCs/>
                <w:sz w:val="18"/>
                <w:szCs w:val="18"/>
                <w:lang w:val="pl-PL"/>
              </w:rPr>
              <w:t xml:space="preserve">r </w:t>
            </w:r>
            <w:r w:rsidR="00361E22">
              <w:rPr>
                <w:rStyle w:val="Odwoanieprzypisudolnego"/>
                <w:b/>
                <w:bCs/>
                <w:sz w:val="18"/>
                <w:szCs w:val="18"/>
                <w:lang w:val="pl-PL"/>
              </w:rPr>
              <w:footnoteReference w:id="11"/>
            </w:r>
            <w:r>
              <w:rPr>
                <w:b/>
                <w:bCs/>
                <w:sz w:val="18"/>
                <w:szCs w:val="18"/>
                <w:lang w:val="pl-PL"/>
              </w:rPr>
              <w:t xml:space="preserve">- </w:t>
            </w:r>
            <w:r>
              <w:rPr>
                <w:b/>
                <w:bCs/>
                <w:sz w:val="18"/>
                <w:szCs w:val="18"/>
                <w:lang w:val="pl-PL"/>
              </w:rPr>
              <w:br/>
            </w:r>
            <w:proofErr w:type="spellStart"/>
            <w:r w:rsidR="00231F88">
              <w:rPr>
                <w:b/>
                <w:bCs/>
                <w:sz w:val="18"/>
                <w:szCs w:val="18"/>
                <w:lang w:val="pl-PL"/>
              </w:rPr>
              <w:t>nietechn</w:t>
            </w:r>
            <w:proofErr w:type="spellEnd"/>
            <w:r w:rsidR="00231F88">
              <w:rPr>
                <w:b/>
                <w:bCs/>
                <w:sz w:val="18"/>
                <w:szCs w:val="18"/>
                <w:lang w:val="pl-PL"/>
              </w:rPr>
              <w:t>.</w:t>
            </w:r>
          </w:p>
        </w:tc>
        <w:tc>
          <w:tcPr>
            <w:tcW w:w="1077" w:type="dxa"/>
            <w:vAlign w:val="center"/>
          </w:tcPr>
          <w:p w14:paraId="091DFCD9" w14:textId="55FB0E31" w:rsidR="00FF1481" w:rsidRPr="00FF1481" w:rsidRDefault="00FF1481" w:rsidP="004C1815">
            <w:pPr>
              <w:keepNext/>
              <w:ind w:firstLine="0"/>
              <w:jc w:val="center"/>
              <w:rPr>
                <w:lang w:val="pl-PL"/>
              </w:rPr>
            </w:pPr>
            <w:r>
              <w:rPr>
                <w:b/>
                <w:bCs/>
                <w:sz w:val="18"/>
                <w:szCs w:val="18"/>
                <w:lang w:val="pl-PL"/>
              </w:rPr>
              <w:t xml:space="preserve">p </w:t>
            </w:r>
            <w:r w:rsidR="00361E22">
              <w:rPr>
                <w:rStyle w:val="Odwoanieprzypisudolnego"/>
                <w:b/>
                <w:bCs/>
                <w:sz w:val="18"/>
                <w:szCs w:val="18"/>
                <w:lang w:val="pl-PL"/>
              </w:rPr>
              <w:footnoteReference w:id="12"/>
            </w:r>
            <w:r>
              <w:rPr>
                <w:b/>
                <w:bCs/>
                <w:sz w:val="18"/>
                <w:szCs w:val="18"/>
                <w:lang w:val="pl-PL"/>
              </w:rPr>
              <w:t xml:space="preserve">- </w:t>
            </w:r>
            <w:r>
              <w:rPr>
                <w:b/>
                <w:bCs/>
                <w:sz w:val="18"/>
                <w:szCs w:val="18"/>
                <w:lang w:val="pl-PL"/>
              </w:rPr>
              <w:br/>
            </w:r>
            <w:proofErr w:type="spellStart"/>
            <w:r>
              <w:rPr>
                <w:b/>
                <w:bCs/>
                <w:sz w:val="18"/>
                <w:szCs w:val="18"/>
                <w:lang w:val="pl-PL"/>
              </w:rPr>
              <w:t>nietechn</w:t>
            </w:r>
            <w:proofErr w:type="spellEnd"/>
            <w:r>
              <w:rPr>
                <w:b/>
                <w:bCs/>
                <w:sz w:val="18"/>
                <w:szCs w:val="18"/>
                <w:lang w:val="pl-PL"/>
              </w:rPr>
              <w:t>.</w:t>
            </w:r>
          </w:p>
        </w:tc>
        <w:tc>
          <w:tcPr>
            <w:tcW w:w="1077" w:type="dxa"/>
            <w:vAlign w:val="center"/>
          </w:tcPr>
          <w:p w14:paraId="5E79D23E" w14:textId="4C6ABB33" w:rsidR="00FF1481" w:rsidRPr="00FF1481" w:rsidRDefault="00FF1481" w:rsidP="004C1815">
            <w:pPr>
              <w:keepNext/>
              <w:ind w:firstLine="0"/>
              <w:jc w:val="center"/>
              <w:rPr>
                <w:lang w:val="pl-PL"/>
              </w:rPr>
            </w:pPr>
            <w:r>
              <w:rPr>
                <w:b/>
                <w:bCs/>
                <w:sz w:val="18"/>
                <w:szCs w:val="18"/>
                <w:lang w:val="pl-PL"/>
              </w:rPr>
              <w:t xml:space="preserve">r - </w:t>
            </w:r>
            <w:r>
              <w:rPr>
                <w:b/>
                <w:bCs/>
                <w:sz w:val="18"/>
                <w:szCs w:val="18"/>
                <w:lang w:val="pl-PL"/>
              </w:rPr>
              <w:br/>
              <w:t>techn</w:t>
            </w:r>
            <w:r w:rsidR="00231F88">
              <w:rPr>
                <w:b/>
                <w:bCs/>
                <w:sz w:val="18"/>
                <w:szCs w:val="18"/>
                <w:lang w:val="pl-PL"/>
              </w:rPr>
              <w:t>.</w:t>
            </w:r>
          </w:p>
        </w:tc>
        <w:tc>
          <w:tcPr>
            <w:tcW w:w="1077" w:type="dxa"/>
            <w:vAlign w:val="center"/>
          </w:tcPr>
          <w:p w14:paraId="15CB502A" w14:textId="4C3F2AC7" w:rsidR="00FF1481" w:rsidRPr="00FF1481" w:rsidRDefault="00FF1481" w:rsidP="004C1815">
            <w:pPr>
              <w:keepNext/>
              <w:ind w:firstLine="0"/>
              <w:jc w:val="center"/>
            </w:pPr>
            <w:r>
              <w:rPr>
                <w:b/>
                <w:bCs/>
                <w:sz w:val="18"/>
                <w:szCs w:val="18"/>
                <w:lang w:val="pl-PL"/>
              </w:rPr>
              <w:t xml:space="preserve">p - </w:t>
            </w:r>
            <w:r>
              <w:rPr>
                <w:b/>
                <w:bCs/>
                <w:sz w:val="18"/>
                <w:szCs w:val="18"/>
                <w:lang w:val="pl-PL"/>
              </w:rPr>
              <w:br/>
              <w:t>techn</w:t>
            </w:r>
            <w:r w:rsidR="00231F88">
              <w:rPr>
                <w:b/>
                <w:bCs/>
                <w:sz w:val="18"/>
                <w:szCs w:val="18"/>
                <w:lang w:val="pl-PL"/>
              </w:rPr>
              <w:t>.</w:t>
            </w:r>
          </w:p>
        </w:tc>
        <w:tc>
          <w:tcPr>
            <w:tcW w:w="1077" w:type="dxa"/>
            <w:vAlign w:val="center"/>
          </w:tcPr>
          <w:p w14:paraId="3AF56C4B" w14:textId="5FAE12DB" w:rsidR="00FF1481" w:rsidRPr="00FF1481" w:rsidRDefault="00FF1481" w:rsidP="004C1815">
            <w:pPr>
              <w:keepNext/>
              <w:ind w:firstLine="0"/>
              <w:jc w:val="center"/>
            </w:pPr>
            <w:r>
              <w:rPr>
                <w:b/>
                <w:bCs/>
                <w:sz w:val="18"/>
                <w:szCs w:val="18"/>
                <w:lang w:val="pl-PL"/>
              </w:rPr>
              <w:t xml:space="preserve">r - </w:t>
            </w:r>
            <w:r>
              <w:rPr>
                <w:b/>
                <w:bCs/>
                <w:sz w:val="18"/>
                <w:szCs w:val="18"/>
                <w:lang w:val="pl-PL"/>
              </w:rPr>
              <w:br/>
              <w:t>ogółem</w:t>
            </w:r>
          </w:p>
        </w:tc>
        <w:tc>
          <w:tcPr>
            <w:tcW w:w="1077" w:type="dxa"/>
            <w:vAlign w:val="center"/>
          </w:tcPr>
          <w:p w14:paraId="71BC649A" w14:textId="4D842B71" w:rsidR="00FF1481" w:rsidRPr="00FF1481" w:rsidRDefault="00FF1481" w:rsidP="004C1815">
            <w:pPr>
              <w:keepNext/>
              <w:ind w:firstLine="0"/>
              <w:jc w:val="center"/>
            </w:pPr>
            <w:r>
              <w:rPr>
                <w:b/>
                <w:bCs/>
                <w:sz w:val="18"/>
                <w:szCs w:val="18"/>
                <w:lang w:val="pl-PL"/>
              </w:rPr>
              <w:t xml:space="preserve">p - </w:t>
            </w:r>
            <w:r>
              <w:rPr>
                <w:b/>
                <w:bCs/>
                <w:sz w:val="18"/>
                <w:szCs w:val="18"/>
                <w:lang w:val="pl-PL"/>
              </w:rPr>
              <w:br/>
              <w:t>ogółem</w:t>
            </w:r>
          </w:p>
        </w:tc>
      </w:tr>
      <w:tr w:rsidR="00FF1481" w14:paraId="63FD1BEF" w14:textId="636C51D1" w:rsidTr="00AD2D65">
        <w:trPr>
          <w:cantSplit/>
        </w:trPr>
        <w:tc>
          <w:tcPr>
            <w:tcW w:w="2608" w:type="dxa"/>
            <w:vAlign w:val="center"/>
          </w:tcPr>
          <w:p w14:paraId="0A77F191" w14:textId="246FCD8A" w:rsidR="00FF1481" w:rsidRPr="00B03008" w:rsidRDefault="00B03008" w:rsidP="00B03008">
            <w:pPr>
              <w:ind w:firstLine="0"/>
              <w:jc w:val="left"/>
              <w:rPr>
                <w:sz w:val="18"/>
                <w:szCs w:val="18"/>
                <w:lang w:val="pl-PL"/>
              </w:rPr>
            </w:pPr>
            <w:r w:rsidRPr="00B03008">
              <w:rPr>
                <w:sz w:val="18"/>
                <w:szCs w:val="18"/>
                <w:lang w:val="pl-PL"/>
              </w:rPr>
              <w:t xml:space="preserve">zarobki po 1 roku vs </w:t>
            </w:r>
            <w:r>
              <w:rPr>
                <w:sz w:val="18"/>
                <w:szCs w:val="18"/>
                <w:lang w:val="pl-PL"/>
              </w:rPr>
              <w:br/>
            </w:r>
            <w:r w:rsidRPr="00B03008">
              <w:rPr>
                <w:sz w:val="18"/>
                <w:szCs w:val="18"/>
                <w:lang w:val="pl-PL"/>
              </w:rPr>
              <w:t>Satysfakcja</w:t>
            </w:r>
          </w:p>
        </w:tc>
        <w:tc>
          <w:tcPr>
            <w:tcW w:w="1077" w:type="dxa"/>
            <w:vAlign w:val="center"/>
          </w:tcPr>
          <w:p w14:paraId="367B0EDC" w14:textId="2D014EA9" w:rsidR="00FF1481" w:rsidRPr="00B03008" w:rsidRDefault="00B03008" w:rsidP="00B03008">
            <w:pPr>
              <w:ind w:firstLine="0"/>
              <w:jc w:val="center"/>
              <w:rPr>
                <w:sz w:val="18"/>
                <w:szCs w:val="18"/>
                <w:lang w:val="pl-PL"/>
              </w:rPr>
            </w:pPr>
            <w:r w:rsidRPr="00B03008">
              <w:rPr>
                <w:sz w:val="18"/>
                <w:szCs w:val="18"/>
                <w:lang w:val="pl-PL"/>
              </w:rPr>
              <w:t>-0,1154</w:t>
            </w:r>
          </w:p>
        </w:tc>
        <w:tc>
          <w:tcPr>
            <w:tcW w:w="1077" w:type="dxa"/>
            <w:vAlign w:val="center"/>
          </w:tcPr>
          <w:p w14:paraId="29F5EDD3" w14:textId="4C615A0D" w:rsidR="00FF1481" w:rsidRPr="003451CF" w:rsidRDefault="00B03008" w:rsidP="00B03008">
            <w:pPr>
              <w:ind w:firstLine="0"/>
              <w:jc w:val="center"/>
              <w:rPr>
                <w:i/>
                <w:iCs/>
                <w:sz w:val="18"/>
                <w:szCs w:val="18"/>
                <w:lang w:val="pl-PL"/>
              </w:rPr>
            </w:pPr>
            <w:r w:rsidRPr="003451CF">
              <w:rPr>
                <w:i/>
                <w:iCs/>
                <w:sz w:val="18"/>
                <w:szCs w:val="18"/>
                <w:lang w:val="pl-PL"/>
              </w:rPr>
              <w:t>0,3489</w:t>
            </w:r>
          </w:p>
        </w:tc>
        <w:tc>
          <w:tcPr>
            <w:tcW w:w="1077" w:type="dxa"/>
            <w:vAlign w:val="center"/>
          </w:tcPr>
          <w:p w14:paraId="5AB16F06" w14:textId="384370AE" w:rsidR="00FF1481" w:rsidRPr="001711FB" w:rsidRDefault="00B03008" w:rsidP="00B03008">
            <w:pPr>
              <w:ind w:firstLine="0"/>
              <w:jc w:val="center"/>
              <w:rPr>
                <w:sz w:val="18"/>
                <w:szCs w:val="18"/>
                <w:u w:val="single"/>
                <w:lang w:val="pl-PL"/>
              </w:rPr>
            </w:pPr>
            <w:r w:rsidRPr="001711FB">
              <w:rPr>
                <w:sz w:val="18"/>
                <w:szCs w:val="18"/>
                <w:u w:val="single"/>
                <w:lang w:val="pl-PL"/>
              </w:rPr>
              <w:t>0,2278</w:t>
            </w:r>
          </w:p>
        </w:tc>
        <w:tc>
          <w:tcPr>
            <w:tcW w:w="1077" w:type="dxa"/>
            <w:vAlign w:val="center"/>
          </w:tcPr>
          <w:p w14:paraId="2B779CD2" w14:textId="2FB095CE" w:rsidR="00FF1481" w:rsidRPr="003451CF" w:rsidRDefault="00B03008" w:rsidP="00B03008">
            <w:pPr>
              <w:ind w:firstLine="0"/>
              <w:jc w:val="center"/>
              <w:rPr>
                <w:i/>
                <w:iCs/>
                <w:sz w:val="18"/>
                <w:szCs w:val="18"/>
                <w:lang w:val="pl-PL"/>
              </w:rPr>
            </w:pPr>
            <w:r w:rsidRPr="003451CF">
              <w:rPr>
                <w:i/>
                <w:iCs/>
                <w:sz w:val="18"/>
                <w:szCs w:val="18"/>
                <w:lang w:val="pl-PL"/>
              </w:rPr>
              <w:t>0,1044</w:t>
            </w:r>
          </w:p>
        </w:tc>
        <w:tc>
          <w:tcPr>
            <w:tcW w:w="1077" w:type="dxa"/>
            <w:vAlign w:val="center"/>
          </w:tcPr>
          <w:p w14:paraId="129A67D8" w14:textId="47C336FF" w:rsidR="00FF1481" w:rsidRPr="00B03008" w:rsidRDefault="00B03008" w:rsidP="00B03008">
            <w:pPr>
              <w:ind w:firstLine="0"/>
              <w:jc w:val="center"/>
              <w:rPr>
                <w:sz w:val="18"/>
                <w:szCs w:val="18"/>
                <w:lang w:val="pl-PL"/>
              </w:rPr>
            </w:pPr>
            <w:r w:rsidRPr="00B03008">
              <w:rPr>
                <w:sz w:val="18"/>
                <w:szCs w:val="18"/>
                <w:lang w:val="pl-PL"/>
              </w:rPr>
              <w:t>0,0647</w:t>
            </w:r>
          </w:p>
        </w:tc>
        <w:tc>
          <w:tcPr>
            <w:tcW w:w="1077" w:type="dxa"/>
            <w:vAlign w:val="center"/>
          </w:tcPr>
          <w:p w14:paraId="4D8BB217" w14:textId="3E32E82D" w:rsidR="00FF1481" w:rsidRPr="003451CF" w:rsidRDefault="00B03008" w:rsidP="00B03008">
            <w:pPr>
              <w:ind w:firstLine="0"/>
              <w:jc w:val="center"/>
              <w:rPr>
                <w:i/>
                <w:iCs/>
                <w:sz w:val="18"/>
                <w:szCs w:val="18"/>
                <w:lang w:val="pl-PL"/>
              </w:rPr>
            </w:pPr>
            <w:r w:rsidRPr="003451CF">
              <w:rPr>
                <w:i/>
                <w:iCs/>
                <w:sz w:val="18"/>
                <w:szCs w:val="18"/>
                <w:lang w:val="pl-PL"/>
              </w:rPr>
              <w:t>0,4825</w:t>
            </w:r>
          </w:p>
        </w:tc>
      </w:tr>
      <w:tr w:rsidR="00FF1481" w14:paraId="24B53DD2" w14:textId="033BFD2B" w:rsidTr="00AD2D65">
        <w:trPr>
          <w:cantSplit/>
        </w:trPr>
        <w:tc>
          <w:tcPr>
            <w:tcW w:w="2608" w:type="dxa"/>
            <w:vAlign w:val="center"/>
          </w:tcPr>
          <w:p w14:paraId="0025891A" w14:textId="20B75077" w:rsidR="00FF1481" w:rsidRPr="00B03008" w:rsidRDefault="00B03008" w:rsidP="00B03008">
            <w:pPr>
              <w:ind w:firstLine="0"/>
              <w:jc w:val="left"/>
              <w:rPr>
                <w:sz w:val="18"/>
                <w:szCs w:val="18"/>
                <w:lang w:val="pl-PL"/>
              </w:rPr>
            </w:pPr>
            <w:r w:rsidRPr="00B03008">
              <w:rPr>
                <w:sz w:val="18"/>
                <w:szCs w:val="18"/>
                <w:lang w:val="pl-PL"/>
              </w:rPr>
              <w:t xml:space="preserve">zarobki po 1 roku vs </w:t>
            </w:r>
            <w:r>
              <w:rPr>
                <w:sz w:val="18"/>
                <w:szCs w:val="18"/>
                <w:lang w:val="pl-PL"/>
              </w:rPr>
              <w:br/>
            </w:r>
            <w:r w:rsidRPr="00B03008">
              <w:rPr>
                <w:sz w:val="18"/>
                <w:szCs w:val="18"/>
                <w:lang w:val="pl-PL"/>
              </w:rPr>
              <w:t>Postrzegana Wartość</w:t>
            </w:r>
          </w:p>
        </w:tc>
        <w:tc>
          <w:tcPr>
            <w:tcW w:w="1077" w:type="dxa"/>
            <w:vAlign w:val="center"/>
          </w:tcPr>
          <w:p w14:paraId="3B0965CA" w14:textId="046EE580" w:rsidR="00FF1481" w:rsidRPr="00B03008" w:rsidRDefault="005F45E9" w:rsidP="00B03008">
            <w:pPr>
              <w:ind w:firstLine="0"/>
              <w:jc w:val="center"/>
              <w:rPr>
                <w:sz w:val="18"/>
                <w:szCs w:val="18"/>
                <w:lang w:val="pl-PL"/>
              </w:rPr>
            </w:pPr>
            <w:r w:rsidRPr="005F45E9">
              <w:rPr>
                <w:sz w:val="18"/>
                <w:szCs w:val="18"/>
                <w:lang w:val="pl-PL"/>
              </w:rPr>
              <w:t>-0,1036</w:t>
            </w:r>
          </w:p>
        </w:tc>
        <w:tc>
          <w:tcPr>
            <w:tcW w:w="1077" w:type="dxa"/>
            <w:vAlign w:val="center"/>
          </w:tcPr>
          <w:p w14:paraId="7292CAD3" w14:textId="5660E66D" w:rsidR="00FF1481" w:rsidRPr="003451CF" w:rsidRDefault="005F45E9" w:rsidP="00B03008">
            <w:pPr>
              <w:ind w:firstLine="0"/>
              <w:jc w:val="center"/>
              <w:rPr>
                <w:i/>
                <w:iCs/>
                <w:sz w:val="18"/>
                <w:szCs w:val="18"/>
                <w:lang w:val="pl-PL"/>
              </w:rPr>
            </w:pPr>
            <w:r w:rsidRPr="005F45E9">
              <w:rPr>
                <w:i/>
                <w:iCs/>
                <w:sz w:val="18"/>
                <w:szCs w:val="18"/>
                <w:lang w:val="pl-PL"/>
              </w:rPr>
              <w:t>0,4004</w:t>
            </w:r>
          </w:p>
        </w:tc>
        <w:tc>
          <w:tcPr>
            <w:tcW w:w="1077" w:type="dxa"/>
            <w:vAlign w:val="center"/>
          </w:tcPr>
          <w:p w14:paraId="047C0415" w14:textId="0BE10A99" w:rsidR="00FF1481" w:rsidRPr="00B03008" w:rsidRDefault="005F45E9" w:rsidP="00B03008">
            <w:pPr>
              <w:ind w:firstLine="0"/>
              <w:jc w:val="center"/>
              <w:rPr>
                <w:sz w:val="18"/>
                <w:szCs w:val="18"/>
                <w:lang w:val="pl-PL"/>
              </w:rPr>
            </w:pPr>
            <w:r w:rsidRPr="005F45E9">
              <w:rPr>
                <w:sz w:val="18"/>
                <w:szCs w:val="18"/>
                <w:lang w:val="pl-PL"/>
              </w:rPr>
              <w:t>0,1641</w:t>
            </w:r>
          </w:p>
        </w:tc>
        <w:tc>
          <w:tcPr>
            <w:tcW w:w="1077" w:type="dxa"/>
            <w:vAlign w:val="center"/>
          </w:tcPr>
          <w:p w14:paraId="600B7991" w14:textId="4A4FA126" w:rsidR="00FF1481" w:rsidRPr="003451CF" w:rsidRDefault="005F45E9" w:rsidP="00B03008">
            <w:pPr>
              <w:ind w:firstLine="0"/>
              <w:jc w:val="center"/>
              <w:rPr>
                <w:i/>
                <w:iCs/>
                <w:sz w:val="18"/>
                <w:szCs w:val="18"/>
                <w:lang w:val="pl-PL"/>
              </w:rPr>
            </w:pPr>
            <w:r w:rsidRPr="005F45E9">
              <w:rPr>
                <w:i/>
                <w:iCs/>
                <w:sz w:val="18"/>
                <w:szCs w:val="18"/>
                <w:lang w:val="pl-PL"/>
              </w:rPr>
              <w:t>0,2449</w:t>
            </w:r>
          </w:p>
        </w:tc>
        <w:tc>
          <w:tcPr>
            <w:tcW w:w="1077" w:type="dxa"/>
            <w:vAlign w:val="center"/>
          </w:tcPr>
          <w:p w14:paraId="1E92939F" w14:textId="7FCA4C21" w:rsidR="00FF1481" w:rsidRPr="00B03008" w:rsidRDefault="003451CF" w:rsidP="00B03008">
            <w:pPr>
              <w:ind w:firstLine="0"/>
              <w:jc w:val="center"/>
              <w:rPr>
                <w:sz w:val="18"/>
                <w:szCs w:val="18"/>
                <w:lang w:val="pl-PL"/>
              </w:rPr>
            </w:pPr>
            <w:r w:rsidRPr="003451CF">
              <w:rPr>
                <w:sz w:val="18"/>
                <w:szCs w:val="18"/>
                <w:lang w:val="pl-PL"/>
              </w:rPr>
              <w:t>0,0243</w:t>
            </w:r>
          </w:p>
        </w:tc>
        <w:tc>
          <w:tcPr>
            <w:tcW w:w="1077" w:type="dxa"/>
            <w:vAlign w:val="center"/>
          </w:tcPr>
          <w:p w14:paraId="2F6C01CF" w14:textId="4DEF1254" w:rsidR="00FF1481" w:rsidRPr="003451CF" w:rsidRDefault="005F45E9" w:rsidP="00B03008">
            <w:pPr>
              <w:ind w:firstLine="0"/>
              <w:jc w:val="center"/>
              <w:rPr>
                <w:i/>
                <w:iCs/>
                <w:sz w:val="18"/>
                <w:szCs w:val="18"/>
                <w:lang w:val="pl-PL"/>
              </w:rPr>
            </w:pPr>
            <w:r w:rsidRPr="005F45E9">
              <w:rPr>
                <w:i/>
                <w:iCs/>
                <w:sz w:val="18"/>
                <w:szCs w:val="18"/>
                <w:lang w:val="pl-PL"/>
              </w:rPr>
              <w:t>0,7922</w:t>
            </w:r>
          </w:p>
        </w:tc>
      </w:tr>
      <w:tr w:rsidR="00FF1481" w14:paraId="0FB0DA17" w14:textId="5D8E3BF7" w:rsidTr="00AD2D65">
        <w:trPr>
          <w:cantSplit/>
        </w:trPr>
        <w:tc>
          <w:tcPr>
            <w:tcW w:w="2608" w:type="dxa"/>
            <w:vAlign w:val="center"/>
          </w:tcPr>
          <w:p w14:paraId="581170DD" w14:textId="192EF8A5" w:rsidR="00FF1481" w:rsidRPr="00B03008" w:rsidRDefault="005F45E9" w:rsidP="00B03008">
            <w:pPr>
              <w:ind w:firstLine="0"/>
              <w:jc w:val="left"/>
              <w:rPr>
                <w:sz w:val="18"/>
                <w:szCs w:val="18"/>
                <w:lang w:val="pl-PL"/>
              </w:rPr>
            </w:pPr>
            <w:r w:rsidRPr="005F45E9">
              <w:rPr>
                <w:sz w:val="18"/>
                <w:szCs w:val="18"/>
                <w:lang w:val="pl-PL"/>
              </w:rPr>
              <w:t>zatrudnienie po 1 roku vs</w:t>
            </w:r>
            <w:r>
              <w:rPr>
                <w:sz w:val="18"/>
                <w:szCs w:val="18"/>
                <w:lang w:val="pl-PL"/>
              </w:rPr>
              <w:br/>
              <w:t>Satysfakcja</w:t>
            </w:r>
          </w:p>
        </w:tc>
        <w:tc>
          <w:tcPr>
            <w:tcW w:w="1077" w:type="dxa"/>
            <w:vAlign w:val="center"/>
          </w:tcPr>
          <w:p w14:paraId="3023A461" w14:textId="4577D4FB" w:rsidR="00FF1481" w:rsidRPr="00B03008" w:rsidRDefault="0013006F" w:rsidP="00B03008">
            <w:pPr>
              <w:ind w:firstLine="0"/>
              <w:jc w:val="center"/>
              <w:rPr>
                <w:sz w:val="18"/>
                <w:szCs w:val="18"/>
                <w:lang w:val="pl-PL"/>
              </w:rPr>
            </w:pPr>
            <w:r w:rsidRPr="0013006F">
              <w:rPr>
                <w:sz w:val="18"/>
                <w:szCs w:val="18"/>
                <w:lang w:val="pl-PL"/>
              </w:rPr>
              <w:t>-0,1036</w:t>
            </w:r>
          </w:p>
        </w:tc>
        <w:tc>
          <w:tcPr>
            <w:tcW w:w="1077" w:type="dxa"/>
            <w:vAlign w:val="center"/>
          </w:tcPr>
          <w:p w14:paraId="6265EBC3" w14:textId="43AC110F" w:rsidR="00FF1481" w:rsidRPr="003451CF" w:rsidRDefault="0013006F" w:rsidP="00B03008">
            <w:pPr>
              <w:ind w:firstLine="0"/>
              <w:jc w:val="center"/>
              <w:rPr>
                <w:i/>
                <w:iCs/>
                <w:sz w:val="18"/>
                <w:szCs w:val="18"/>
                <w:lang w:val="pl-PL"/>
              </w:rPr>
            </w:pPr>
            <w:r w:rsidRPr="0013006F">
              <w:rPr>
                <w:i/>
                <w:iCs/>
                <w:sz w:val="18"/>
                <w:szCs w:val="18"/>
                <w:lang w:val="pl-PL"/>
              </w:rPr>
              <w:t>0,4004</w:t>
            </w:r>
          </w:p>
        </w:tc>
        <w:tc>
          <w:tcPr>
            <w:tcW w:w="1077" w:type="dxa"/>
            <w:vAlign w:val="center"/>
          </w:tcPr>
          <w:p w14:paraId="7B127F76" w14:textId="0A698AEA" w:rsidR="00FF1481" w:rsidRPr="00B03008" w:rsidRDefault="0013006F" w:rsidP="00B03008">
            <w:pPr>
              <w:ind w:firstLine="0"/>
              <w:jc w:val="center"/>
              <w:rPr>
                <w:sz w:val="18"/>
                <w:szCs w:val="18"/>
                <w:lang w:val="pl-PL"/>
              </w:rPr>
            </w:pPr>
            <w:r w:rsidRPr="0013006F">
              <w:rPr>
                <w:sz w:val="18"/>
                <w:szCs w:val="18"/>
                <w:lang w:val="pl-PL"/>
              </w:rPr>
              <w:t>0,1379</w:t>
            </w:r>
          </w:p>
        </w:tc>
        <w:tc>
          <w:tcPr>
            <w:tcW w:w="1077" w:type="dxa"/>
            <w:vAlign w:val="center"/>
          </w:tcPr>
          <w:p w14:paraId="4227714E" w14:textId="1E884F04" w:rsidR="00FF1481" w:rsidRPr="003451CF" w:rsidRDefault="0013006F" w:rsidP="00B03008">
            <w:pPr>
              <w:ind w:firstLine="0"/>
              <w:jc w:val="center"/>
              <w:rPr>
                <w:i/>
                <w:iCs/>
                <w:sz w:val="18"/>
                <w:szCs w:val="18"/>
                <w:lang w:val="pl-PL"/>
              </w:rPr>
            </w:pPr>
            <w:r w:rsidRPr="0013006F">
              <w:rPr>
                <w:i/>
                <w:iCs/>
                <w:sz w:val="18"/>
                <w:szCs w:val="18"/>
                <w:lang w:val="pl-PL"/>
              </w:rPr>
              <w:t>0,3297</w:t>
            </w:r>
          </w:p>
        </w:tc>
        <w:tc>
          <w:tcPr>
            <w:tcW w:w="1077" w:type="dxa"/>
            <w:vAlign w:val="center"/>
          </w:tcPr>
          <w:p w14:paraId="4A3A923A" w14:textId="282D7FBE" w:rsidR="00FF1481" w:rsidRPr="00B03008" w:rsidRDefault="0013006F" w:rsidP="00B03008">
            <w:pPr>
              <w:ind w:firstLine="0"/>
              <w:jc w:val="center"/>
              <w:rPr>
                <w:sz w:val="18"/>
                <w:szCs w:val="18"/>
                <w:lang w:val="pl-PL"/>
              </w:rPr>
            </w:pPr>
            <w:r w:rsidRPr="0013006F">
              <w:rPr>
                <w:sz w:val="18"/>
                <w:szCs w:val="18"/>
                <w:lang w:val="pl-PL"/>
              </w:rPr>
              <w:t>0,0525</w:t>
            </w:r>
          </w:p>
        </w:tc>
        <w:tc>
          <w:tcPr>
            <w:tcW w:w="1077" w:type="dxa"/>
            <w:vAlign w:val="center"/>
          </w:tcPr>
          <w:p w14:paraId="349F5470" w14:textId="10D27831" w:rsidR="00FF1481" w:rsidRPr="003451CF" w:rsidRDefault="0013006F" w:rsidP="00B03008">
            <w:pPr>
              <w:ind w:firstLine="0"/>
              <w:jc w:val="center"/>
              <w:rPr>
                <w:i/>
                <w:iCs/>
                <w:sz w:val="18"/>
                <w:szCs w:val="18"/>
                <w:lang w:val="pl-PL"/>
              </w:rPr>
            </w:pPr>
            <w:r w:rsidRPr="0013006F">
              <w:rPr>
                <w:i/>
                <w:iCs/>
                <w:sz w:val="18"/>
                <w:szCs w:val="18"/>
                <w:lang w:val="pl-PL"/>
              </w:rPr>
              <w:t>0,5691</w:t>
            </w:r>
          </w:p>
        </w:tc>
      </w:tr>
      <w:tr w:rsidR="00FF1481" w14:paraId="688F4D65" w14:textId="5F772121" w:rsidTr="00AD2D65">
        <w:trPr>
          <w:cantSplit/>
        </w:trPr>
        <w:tc>
          <w:tcPr>
            <w:tcW w:w="2608" w:type="dxa"/>
            <w:vAlign w:val="center"/>
          </w:tcPr>
          <w:p w14:paraId="0EAB6087" w14:textId="5D6A1669" w:rsidR="00FF1481" w:rsidRPr="00B03008" w:rsidRDefault="005F45E9" w:rsidP="00B03008">
            <w:pPr>
              <w:ind w:firstLine="0"/>
              <w:jc w:val="left"/>
              <w:rPr>
                <w:sz w:val="18"/>
                <w:szCs w:val="18"/>
                <w:lang w:val="pl-PL"/>
              </w:rPr>
            </w:pPr>
            <w:r w:rsidRPr="005F45E9">
              <w:rPr>
                <w:sz w:val="18"/>
                <w:szCs w:val="18"/>
                <w:lang w:val="pl-PL"/>
              </w:rPr>
              <w:t>zatrudnienie po 1 roku vs</w:t>
            </w:r>
            <w:r>
              <w:rPr>
                <w:sz w:val="18"/>
                <w:szCs w:val="18"/>
                <w:lang w:val="pl-PL"/>
              </w:rPr>
              <w:br/>
            </w:r>
            <w:r w:rsidRPr="005F45E9">
              <w:rPr>
                <w:sz w:val="18"/>
                <w:szCs w:val="18"/>
                <w:lang w:val="pl-PL"/>
              </w:rPr>
              <w:t>Postrzegana Wartość</w:t>
            </w:r>
          </w:p>
        </w:tc>
        <w:tc>
          <w:tcPr>
            <w:tcW w:w="1077" w:type="dxa"/>
            <w:vAlign w:val="center"/>
          </w:tcPr>
          <w:p w14:paraId="5FA2C90C" w14:textId="427D6AB0" w:rsidR="00FF1481" w:rsidRPr="00B03008" w:rsidRDefault="0013006F" w:rsidP="00B03008">
            <w:pPr>
              <w:ind w:firstLine="0"/>
              <w:jc w:val="center"/>
              <w:rPr>
                <w:sz w:val="18"/>
                <w:szCs w:val="18"/>
                <w:lang w:val="pl-PL"/>
              </w:rPr>
            </w:pPr>
            <w:r w:rsidRPr="0013006F">
              <w:rPr>
                <w:sz w:val="18"/>
                <w:szCs w:val="18"/>
                <w:lang w:val="pl-PL"/>
              </w:rPr>
              <w:t>-0,1154</w:t>
            </w:r>
          </w:p>
        </w:tc>
        <w:tc>
          <w:tcPr>
            <w:tcW w:w="1077" w:type="dxa"/>
            <w:vAlign w:val="center"/>
          </w:tcPr>
          <w:p w14:paraId="0307BF6F" w14:textId="5472B1CD" w:rsidR="00FF1481" w:rsidRPr="003451CF" w:rsidRDefault="0013006F" w:rsidP="00B03008">
            <w:pPr>
              <w:ind w:firstLine="0"/>
              <w:jc w:val="center"/>
              <w:rPr>
                <w:i/>
                <w:iCs/>
                <w:sz w:val="18"/>
                <w:szCs w:val="18"/>
                <w:lang w:val="pl-PL"/>
              </w:rPr>
            </w:pPr>
            <w:r w:rsidRPr="0013006F">
              <w:rPr>
                <w:i/>
                <w:iCs/>
                <w:sz w:val="18"/>
                <w:szCs w:val="18"/>
                <w:lang w:val="pl-PL"/>
              </w:rPr>
              <w:t>0,3489</w:t>
            </w:r>
          </w:p>
        </w:tc>
        <w:tc>
          <w:tcPr>
            <w:tcW w:w="1077" w:type="dxa"/>
            <w:vAlign w:val="center"/>
          </w:tcPr>
          <w:p w14:paraId="5B47B248" w14:textId="5FACC2D0" w:rsidR="00FF1481" w:rsidRPr="00B03008" w:rsidRDefault="0013006F" w:rsidP="00B03008">
            <w:pPr>
              <w:ind w:firstLine="0"/>
              <w:jc w:val="center"/>
              <w:rPr>
                <w:sz w:val="18"/>
                <w:szCs w:val="18"/>
                <w:lang w:val="pl-PL"/>
              </w:rPr>
            </w:pPr>
            <w:r w:rsidRPr="0013006F">
              <w:rPr>
                <w:sz w:val="18"/>
                <w:szCs w:val="18"/>
                <w:lang w:val="pl-PL"/>
              </w:rPr>
              <w:t>0,0699</w:t>
            </w:r>
          </w:p>
        </w:tc>
        <w:tc>
          <w:tcPr>
            <w:tcW w:w="1077" w:type="dxa"/>
            <w:vAlign w:val="center"/>
          </w:tcPr>
          <w:p w14:paraId="756E500F" w14:textId="05076EF8" w:rsidR="00FF1481" w:rsidRPr="003451CF" w:rsidRDefault="0013006F" w:rsidP="00B03008">
            <w:pPr>
              <w:ind w:firstLine="0"/>
              <w:jc w:val="center"/>
              <w:rPr>
                <w:i/>
                <w:iCs/>
                <w:sz w:val="18"/>
                <w:szCs w:val="18"/>
                <w:lang w:val="pl-PL"/>
              </w:rPr>
            </w:pPr>
            <w:r w:rsidRPr="0013006F">
              <w:rPr>
                <w:i/>
                <w:iCs/>
                <w:sz w:val="18"/>
                <w:szCs w:val="18"/>
                <w:lang w:val="pl-PL"/>
              </w:rPr>
              <w:t>0,6222</w:t>
            </w:r>
          </w:p>
        </w:tc>
        <w:tc>
          <w:tcPr>
            <w:tcW w:w="1077" w:type="dxa"/>
            <w:vAlign w:val="center"/>
          </w:tcPr>
          <w:p w14:paraId="16A792F1" w14:textId="1690404F" w:rsidR="00FF1481" w:rsidRPr="00B03008" w:rsidRDefault="0013006F" w:rsidP="00B03008">
            <w:pPr>
              <w:ind w:firstLine="0"/>
              <w:jc w:val="center"/>
              <w:rPr>
                <w:sz w:val="18"/>
                <w:szCs w:val="18"/>
                <w:lang w:val="pl-PL"/>
              </w:rPr>
            </w:pPr>
            <w:r w:rsidRPr="0013006F">
              <w:rPr>
                <w:sz w:val="18"/>
                <w:szCs w:val="18"/>
                <w:lang w:val="pl-PL"/>
              </w:rPr>
              <w:t>-0,0231</w:t>
            </w:r>
          </w:p>
        </w:tc>
        <w:tc>
          <w:tcPr>
            <w:tcW w:w="1077" w:type="dxa"/>
            <w:vAlign w:val="center"/>
          </w:tcPr>
          <w:p w14:paraId="783EE406" w14:textId="182F9BDB" w:rsidR="00FF1481" w:rsidRPr="003451CF" w:rsidRDefault="0013006F" w:rsidP="00B03008">
            <w:pPr>
              <w:ind w:firstLine="0"/>
              <w:jc w:val="center"/>
              <w:rPr>
                <w:i/>
                <w:iCs/>
                <w:sz w:val="18"/>
                <w:szCs w:val="18"/>
                <w:lang w:val="pl-PL"/>
              </w:rPr>
            </w:pPr>
            <w:r w:rsidRPr="0013006F">
              <w:rPr>
                <w:i/>
                <w:iCs/>
                <w:sz w:val="18"/>
                <w:szCs w:val="18"/>
                <w:lang w:val="pl-PL"/>
              </w:rPr>
              <w:t>0,8024</w:t>
            </w:r>
          </w:p>
        </w:tc>
      </w:tr>
      <w:tr w:rsidR="008464E1" w14:paraId="59537CFA" w14:textId="1FBEAFBF" w:rsidTr="00AD2D65">
        <w:trPr>
          <w:cantSplit/>
        </w:trPr>
        <w:tc>
          <w:tcPr>
            <w:tcW w:w="2608" w:type="dxa"/>
            <w:vAlign w:val="center"/>
          </w:tcPr>
          <w:p w14:paraId="5C991958" w14:textId="17C66D1F" w:rsidR="008464E1" w:rsidRPr="00B03008" w:rsidRDefault="008464E1" w:rsidP="008464E1">
            <w:pPr>
              <w:ind w:firstLine="0"/>
              <w:jc w:val="left"/>
              <w:rPr>
                <w:sz w:val="18"/>
                <w:szCs w:val="18"/>
                <w:lang w:val="pl-PL"/>
              </w:rPr>
            </w:pPr>
            <w:r w:rsidRPr="00B03008">
              <w:rPr>
                <w:sz w:val="18"/>
                <w:szCs w:val="18"/>
                <w:lang w:val="pl-PL"/>
              </w:rPr>
              <w:t xml:space="preserve">zarobki po </w:t>
            </w:r>
            <w:r>
              <w:rPr>
                <w:sz w:val="18"/>
                <w:szCs w:val="18"/>
                <w:lang w:val="pl-PL"/>
              </w:rPr>
              <w:t>3. latach</w:t>
            </w:r>
            <w:r w:rsidRPr="00B03008">
              <w:rPr>
                <w:sz w:val="18"/>
                <w:szCs w:val="18"/>
                <w:lang w:val="pl-PL"/>
              </w:rPr>
              <w:t xml:space="preserve"> vs </w:t>
            </w:r>
            <w:r>
              <w:rPr>
                <w:sz w:val="18"/>
                <w:szCs w:val="18"/>
                <w:lang w:val="pl-PL"/>
              </w:rPr>
              <w:br/>
            </w:r>
            <w:r w:rsidRPr="00B03008">
              <w:rPr>
                <w:sz w:val="18"/>
                <w:szCs w:val="18"/>
                <w:lang w:val="pl-PL"/>
              </w:rPr>
              <w:t>Satysfakcja</w:t>
            </w:r>
          </w:p>
        </w:tc>
        <w:tc>
          <w:tcPr>
            <w:tcW w:w="1077" w:type="dxa"/>
            <w:vAlign w:val="center"/>
          </w:tcPr>
          <w:p w14:paraId="786E3642" w14:textId="7F7D5CE3" w:rsidR="008464E1" w:rsidRPr="00B03008" w:rsidRDefault="00386154" w:rsidP="008464E1">
            <w:pPr>
              <w:ind w:firstLine="0"/>
              <w:jc w:val="center"/>
              <w:rPr>
                <w:sz w:val="18"/>
                <w:szCs w:val="18"/>
                <w:lang w:val="pl-PL"/>
              </w:rPr>
            </w:pPr>
            <w:r w:rsidRPr="00386154">
              <w:rPr>
                <w:sz w:val="18"/>
                <w:szCs w:val="18"/>
                <w:lang w:val="pl-PL"/>
              </w:rPr>
              <w:t>0,0428</w:t>
            </w:r>
          </w:p>
        </w:tc>
        <w:tc>
          <w:tcPr>
            <w:tcW w:w="1077" w:type="dxa"/>
            <w:vAlign w:val="center"/>
          </w:tcPr>
          <w:p w14:paraId="37247465" w14:textId="7E209237" w:rsidR="008464E1" w:rsidRPr="003451CF" w:rsidRDefault="00386154" w:rsidP="008464E1">
            <w:pPr>
              <w:ind w:firstLine="0"/>
              <w:jc w:val="center"/>
              <w:rPr>
                <w:i/>
                <w:iCs/>
                <w:sz w:val="18"/>
                <w:szCs w:val="18"/>
                <w:lang w:val="pl-PL"/>
              </w:rPr>
            </w:pPr>
            <w:r w:rsidRPr="00386154">
              <w:rPr>
                <w:i/>
                <w:iCs/>
                <w:sz w:val="18"/>
                <w:szCs w:val="18"/>
                <w:lang w:val="pl-PL"/>
              </w:rPr>
              <w:t>0,7286</w:t>
            </w:r>
          </w:p>
        </w:tc>
        <w:tc>
          <w:tcPr>
            <w:tcW w:w="1077" w:type="dxa"/>
            <w:vAlign w:val="center"/>
          </w:tcPr>
          <w:p w14:paraId="0C920842" w14:textId="24744E66" w:rsidR="008464E1" w:rsidRPr="001711FB" w:rsidRDefault="00386154" w:rsidP="008464E1">
            <w:pPr>
              <w:ind w:firstLine="0"/>
              <w:jc w:val="center"/>
              <w:rPr>
                <w:b/>
                <w:bCs/>
                <w:sz w:val="18"/>
                <w:szCs w:val="18"/>
                <w:lang w:val="pl-PL"/>
              </w:rPr>
            </w:pPr>
            <w:r w:rsidRPr="001711FB">
              <w:rPr>
                <w:b/>
                <w:bCs/>
                <w:sz w:val="18"/>
                <w:szCs w:val="18"/>
                <w:lang w:val="pl-PL"/>
              </w:rPr>
              <w:t>0,2709</w:t>
            </w:r>
          </w:p>
        </w:tc>
        <w:tc>
          <w:tcPr>
            <w:tcW w:w="1077" w:type="dxa"/>
            <w:vAlign w:val="center"/>
          </w:tcPr>
          <w:p w14:paraId="08BEFF85" w14:textId="66344312" w:rsidR="008464E1" w:rsidRPr="003451CF" w:rsidRDefault="00386154" w:rsidP="008464E1">
            <w:pPr>
              <w:ind w:firstLine="0"/>
              <w:jc w:val="center"/>
              <w:rPr>
                <w:i/>
                <w:iCs/>
                <w:sz w:val="18"/>
                <w:szCs w:val="18"/>
                <w:lang w:val="pl-PL"/>
              </w:rPr>
            </w:pPr>
            <w:r w:rsidRPr="00386154">
              <w:rPr>
                <w:i/>
                <w:iCs/>
                <w:sz w:val="18"/>
                <w:szCs w:val="18"/>
                <w:lang w:val="pl-PL"/>
              </w:rPr>
              <w:t>0,0521</w:t>
            </w:r>
          </w:p>
        </w:tc>
        <w:tc>
          <w:tcPr>
            <w:tcW w:w="1077" w:type="dxa"/>
            <w:vAlign w:val="center"/>
          </w:tcPr>
          <w:p w14:paraId="2BCC0EF4" w14:textId="5CE3AB3E" w:rsidR="008464E1" w:rsidRPr="001711FB" w:rsidRDefault="00386154" w:rsidP="008464E1">
            <w:pPr>
              <w:ind w:firstLine="0"/>
              <w:jc w:val="center"/>
              <w:rPr>
                <w:b/>
                <w:bCs/>
                <w:sz w:val="18"/>
                <w:szCs w:val="18"/>
                <w:lang w:val="pl-PL"/>
              </w:rPr>
            </w:pPr>
            <w:r w:rsidRPr="001711FB">
              <w:rPr>
                <w:b/>
                <w:bCs/>
                <w:sz w:val="18"/>
                <w:szCs w:val="18"/>
                <w:lang w:val="pl-PL"/>
              </w:rPr>
              <w:t>0,1651</w:t>
            </w:r>
          </w:p>
        </w:tc>
        <w:tc>
          <w:tcPr>
            <w:tcW w:w="1077" w:type="dxa"/>
            <w:vAlign w:val="center"/>
          </w:tcPr>
          <w:p w14:paraId="7168E5B6" w14:textId="203E52C1" w:rsidR="008464E1" w:rsidRPr="003451CF" w:rsidRDefault="00386154" w:rsidP="008464E1">
            <w:pPr>
              <w:ind w:firstLine="0"/>
              <w:jc w:val="center"/>
              <w:rPr>
                <w:i/>
                <w:iCs/>
                <w:sz w:val="18"/>
                <w:szCs w:val="18"/>
                <w:lang w:val="pl-PL"/>
              </w:rPr>
            </w:pPr>
            <w:r w:rsidRPr="00386154">
              <w:rPr>
                <w:i/>
                <w:iCs/>
                <w:sz w:val="18"/>
                <w:szCs w:val="18"/>
                <w:lang w:val="pl-PL"/>
              </w:rPr>
              <w:t>0,0715</w:t>
            </w:r>
          </w:p>
        </w:tc>
      </w:tr>
      <w:tr w:rsidR="008464E1" w14:paraId="20EB837C" w14:textId="60416137" w:rsidTr="00AD2D65">
        <w:trPr>
          <w:cantSplit/>
        </w:trPr>
        <w:tc>
          <w:tcPr>
            <w:tcW w:w="2608" w:type="dxa"/>
            <w:vAlign w:val="center"/>
          </w:tcPr>
          <w:p w14:paraId="72EE7B14" w14:textId="4CBF4AC3" w:rsidR="008464E1" w:rsidRPr="00B03008" w:rsidRDefault="008464E1" w:rsidP="008464E1">
            <w:pPr>
              <w:ind w:firstLine="0"/>
              <w:jc w:val="left"/>
              <w:rPr>
                <w:sz w:val="18"/>
                <w:szCs w:val="18"/>
                <w:lang w:val="pl-PL"/>
              </w:rPr>
            </w:pPr>
            <w:r w:rsidRPr="00B03008">
              <w:rPr>
                <w:sz w:val="18"/>
                <w:szCs w:val="18"/>
                <w:lang w:val="pl-PL"/>
              </w:rPr>
              <w:t xml:space="preserve">zarobki po </w:t>
            </w:r>
            <w:r>
              <w:rPr>
                <w:sz w:val="18"/>
                <w:szCs w:val="18"/>
                <w:lang w:val="pl-PL"/>
              </w:rPr>
              <w:t>3. latach</w:t>
            </w:r>
            <w:r w:rsidRPr="00B03008">
              <w:rPr>
                <w:sz w:val="18"/>
                <w:szCs w:val="18"/>
                <w:lang w:val="pl-PL"/>
              </w:rPr>
              <w:t xml:space="preserve"> vs </w:t>
            </w:r>
            <w:r>
              <w:rPr>
                <w:sz w:val="18"/>
                <w:szCs w:val="18"/>
                <w:lang w:val="pl-PL"/>
              </w:rPr>
              <w:br/>
            </w:r>
            <w:r w:rsidRPr="00B03008">
              <w:rPr>
                <w:sz w:val="18"/>
                <w:szCs w:val="18"/>
                <w:lang w:val="pl-PL"/>
              </w:rPr>
              <w:t>Postrzegana Wartość</w:t>
            </w:r>
          </w:p>
        </w:tc>
        <w:tc>
          <w:tcPr>
            <w:tcW w:w="1077" w:type="dxa"/>
            <w:vAlign w:val="center"/>
          </w:tcPr>
          <w:p w14:paraId="41F49C8F" w14:textId="1DC33D19" w:rsidR="008464E1" w:rsidRPr="00B03008" w:rsidRDefault="00610E27" w:rsidP="008464E1">
            <w:pPr>
              <w:ind w:firstLine="0"/>
              <w:jc w:val="center"/>
              <w:rPr>
                <w:sz w:val="18"/>
                <w:szCs w:val="18"/>
                <w:lang w:val="pl-PL"/>
              </w:rPr>
            </w:pPr>
            <w:r w:rsidRPr="00610E27">
              <w:rPr>
                <w:sz w:val="18"/>
                <w:szCs w:val="18"/>
                <w:lang w:val="pl-PL"/>
              </w:rPr>
              <w:t>0,0000</w:t>
            </w:r>
          </w:p>
        </w:tc>
        <w:tc>
          <w:tcPr>
            <w:tcW w:w="1077" w:type="dxa"/>
            <w:vAlign w:val="center"/>
          </w:tcPr>
          <w:p w14:paraId="6027022C" w14:textId="36A20472" w:rsidR="008464E1" w:rsidRPr="003451CF" w:rsidRDefault="00610E27" w:rsidP="008464E1">
            <w:pPr>
              <w:ind w:firstLine="0"/>
              <w:jc w:val="center"/>
              <w:rPr>
                <w:i/>
                <w:iCs/>
                <w:sz w:val="18"/>
                <w:szCs w:val="18"/>
                <w:lang w:val="pl-PL"/>
              </w:rPr>
            </w:pPr>
            <w:r>
              <w:rPr>
                <w:i/>
                <w:iCs/>
                <w:sz w:val="18"/>
                <w:szCs w:val="18"/>
                <w:lang w:val="pl-PL"/>
              </w:rPr>
              <w:t>&gt;0</w:t>
            </w:r>
            <w:r w:rsidRPr="00610E27">
              <w:rPr>
                <w:i/>
                <w:iCs/>
                <w:sz w:val="18"/>
                <w:szCs w:val="18"/>
                <w:lang w:val="pl-PL"/>
              </w:rPr>
              <w:t>,</w:t>
            </w:r>
            <w:r>
              <w:rPr>
                <w:i/>
                <w:iCs/>
                <w:sz w:val="18"/>
                <w:szCs w:val="18"/>
                <w:lang w:val="pl-PL"/>
              </w:rPr>
              <w:t>9999</w:t>
            </w:r>
          </w:p>
        </w:tc>
        <w:tc>
          <w:tcPr>
            <w:tcW w:w="1077" w:type="dxa"/>
            <w:vAlign w:val="center"/>
          </w:tcPr>
          <w:p w14:paraId="538B4539" w14:textId="558C20A1" w:rsidR="008464E1" w:rsidRPr="001711FB" w:rsidRDefault="00610E27" w:rsidP="008464E1">
            <w:pPr>
              <w:ind w:firstLine="0"/>
              <w:jc w:val="center"/>
              <w:rPr>
                <w:b/>
                <w:bCs/>
                <w:sz w:val="18"/>
                <w:szCs w:val="18"/>
                <w:lang w:val="pl-PL"/>
              </w:rPr>
            </w:pPr>
            <w:r w:rsidRPr="001711FB">
              <w:rPr>
                <w:b/>
                <w:bCs/>
                <w:sz w:val="18"/>
                <w:szCs w:val="18"/>
                <w:lang w:val="pl-PL"/>
              </w:rPr>
              <w:t>0,2622</w:t>
            </w:r>
          </w:p>
        </w:tc>
        <w:tc>
          <w:tcPr>
            <w:tcW w:w="1077" w:type="dxa"/>
            <w:vAlign w:val="center"/>
          </w:tcPr>
          <w:p w14:paraId="70CB7E68" w14:textId="69EA1824" w:rsidR="008464E1" w:rsidRPr="003451CF" w:rsidRDefault="00610E27" w:rsidP="008464E1">
            <w:pPr>
              <w:ind w:firstLine="0"/>
              <w:jc w:val="center"/>
              <w:rPr>
                <w:i/>
                <w:iCs/>
                <w:sz w:val="18"/>
                <w:szCs w:val="18"/>
                <w:lang w:val="pl-PL"/>
              </w:rPr>
            </w:pPr>
            <w:r w:rsidRPr="00610E27">
              <w:rPr>
                <w:i/>
                <w:iCs/>
                <w:sz w:val="18"/>
                <w:szCs w:val="18"/>
                <w:lang w:val="pl-PL"/>
              </w:rPr>
              <w:t>0,0604</w:t>
            </w:r>
          </w:p>
        </w:tc>
        <w:tc>
          <w:tcPr>
            <w:tcW w:w="1077" w:type="dxa"/>
            <w:vAlign w:val="center"/>
          </w:tcPr>
          <w:p w14:paraId="4C814A2F" w14:textId="315800BA" w:rsidR="008464E1" w:rsidRPr="00B03008" w:rsidRDefault="00610E27" w:rsidP="008464E1">
            <w:pPr>
              <w:ind w:firstLine="0"/>
              <w:jc w:val="center"/>
              <w:rPr>
                <w:sz w:val="18"/>
                <w:szCs w:val="18"/>
                <w:lang w:val="pl-PL"/>
              </w:rPr>
            </w:pPr>
            <w:r w:rsidRPr="00610E27">
              <w:rPr>
                <w:sz w:val="18"/>
                <w:szCs w:val="18"/>
                <w:lang w:val="pl-PL"/>
              </w:rPr>
              <w:t>0,1233</w:t>
            </w:r>
          </w:p>
        </w:tc>
        <w:tc>
          <w:tcPr>
            <w:tcW w:w="1077" w:type="dxa"/>
            <w:vAlign w:val="center"/>
          </w:tcPr>
          <w:p w14:paraId="473B5C9D" w14:textId="3B41505F" w:rsidR="008464E1" w:rsidRPr="003451CF" w:rsidRDefault="00610E27" w:rsidP="008464E1">
            <w:pPr>
              <w:ind w:firstLine="0"/>
              <w:jc w:val="center"/>
              <w:rPr>
                <w:i/>
                <w:iCs/>
                <w:sz w:val="18"/>
                <w:szCs w:val="18"/>
                <w:lang w:val="pl-PL"/>
              </w:rPr>
            </w:pPr>
            <w:r w:rsidRPr="00610E27">
              <w:rPr>
                <w:i/>
                <w:iCs/>
                <w:sz w:val="18"/>
                <w:szCs w:val="18"/>
                <w:lang w:val="pl-PL"/>
              </w:rPr>
              <w:t>0,1796</w:t>
            </w:r>
          </w:p>
        </w:tc>
      </w:tr>
      <w:tr w:rsidR="008464E1" w14:paraId="4D1F3436" w14:textId="4B5CC083" w:rsidTr="00AD2D65">
        <w:trPr>
          <w:cantSplit/>
        </w:trPr>
        <w:tc>
          <w:tcPr>
            <w:tcW w:w="2608" w:type="dxa"/>
            <w:vAlign w:val="center"/>
          </w:tcPr>
          <w:p w14:paraId="061FF57B" w14:textId="5E56DEC8" w:rsidR="008464E1" w:rsidRPr="00B03008" w:rsidRDefault="008464E1" w:rsidP="008464E1">
            <w:pPr>
              <w:ind w:firstLine="0"/>
              <w:jc w:val="left"/>
              <w:rPr>
                <w:sz w:val="18"/>
                <w:szCs w:val="18"/>
                <w:lang w:val="pl-PL"/>
              </w:rPr>
            </w:pPr>
            <w:r w:rsidRPr="005F45E9">
              <w:rPr>
                <w:sz w:val="18"/>
                <w:szCs w:val="18"/>
                <w:lang w:val="pl-PL"/>
              </w:rPr>
              <w:t xml:space="preserve">zatrudnienie po </w:t>
            </w:r>
            <w:r>
              <w:rPr>
                <w:sz w:val="18"/>
                <w:szCs w:val="18"/>
                <w:lang w:val="pl-PL"/>
              </w:rPr>
              <w:t>3. latach</w:t>
            </w:r>
            <w:r w:rsidRPr="00B03008">
              <w:rPr>
                <w:sz w:val="18"/>
                <w:szCs w:val="18"/>
                <w:lang w:val="pl-PL"/>
              </w:rPr>
              <w:t xml:space="preserve"> </w:t>
            </w:r>
            <w:r w:rsidRPr="005F45E9">
              <w:rPr>
                <w:sz w:val="18"/>
                <w:szCs w:val="18"/>
                <w:lang w:val="pl-PL"/>
              </w:rPr>
              <w:t>vs</w:t>
            </w:r>
            <w:r>
              <w:rPr>
                <w:sz w:val="18"/>
                <w:szCs w:val="18"/>
                <w:lang w:val="pl-PL"/>
              </w:rPr>
              <w:br/>
              <w:t>Satysfakcja</w:t>
            </w:r>
          </w:p>
        </w:tc>
        <w:tc>
          <w:tcPr>
            <w:tcW w:w="1077" w:type="dxa"/>
            <w:vAlign w:val="center"/>
          </w:tcPr>
          <w:p w14:paraId="13192376" w14:textId="61EECF3F" w:rsidR="008464E1" w:rsidRPr="00B03008" w:rsidRDefault="00610E27" w:rsidP="008464E1">
            <w:pPr>
              <w:ind w:firstLine="0"/>
              <w:jc w:val="center"/>
              <w:rPr>
                <w:sz w:val="18"/>
                <w:szCs w:val="18"/>
                <w:lang w:val="pl-PL"/>
              </w:rPr>
            </w:pPr>
            <w:r w:rsidRPr="00610E27">
              <w:rPr>
                <w:sz w:val="18"/>
                <w:szCs w:val="18"/>
                <w:lang w:val="pl-PL"/>
              </w:rPr>
              <w:t>-0,1713</w:t>
            </w:r>
          </w:p>
        </w:tc>
        <w:tc>
          <w:tcPr>
            <w:tcW w:w="1077" w:type="dxa"/>
            <w:vAlign w:val="center"/>
          </w:tcPr>
          <w:p w14:paraId="46722D0D" w14:textId="748C910B" w:rsidR="008464E1" w:rsidRPr="003451CF" w:rsidRDefault="001711FB" w:rsidP="008464E1">
            <w:pPr>
              <w:ind w:firstLine="0"/>
              <w:jc w:val="center"/>
              <w:rPr>
                <w:i/>
                <w:iCs/>
                <w:sz w:val="18"/>
                <w:szCs w:val="18"/>
                <w:lang w:val="pl-PL"/>
              </w:rPr>
            </w:pPr>
            <w:r w:rsidRPr="001711FB">
              <w:rPr>
                <w:i/>
                <w:iCs/>
                <w:sz w:val="18"/>
                <w:szCs w:val="18"/>
                <w:lang w:val="pl-PL"/>
              </w:rPr>
              <w:t>0,1624</w:t>
            </w:r>
          </w:p>
        </w:tc>
        <w:tc>
          <w:tcPr>
            <w:tcW w:w="1077" w:type="dxa"/>
            <w:vAlign w:val="center"/>
          </w:tcPr>
          <w:p w14:paraId="253714A1" w14:textId="182EB7D8" w:rsidR="008464E1" w:rsidRPr="00B03008" w:rsidRDefault="00610E27" w:rsidP="008464E1">
            <w:pPr>
              <w:ind w:firstLine="0"/>
              <w:jc w:val="center"/>
              <w:rPr>
                <w:sz w:val="18"/>
                <w:szCs w:val="18"/>
                <w:lang w:val="pl-PL"/>
              </w:rPr>
            </w:pPr>
            <w:r w:rsidRPr="00610E27">
              <w:rPr>
                <w:sz w:val="18"/>
                <w:szCs w:val="18"/>
                <w:lang w:val="pl-PL"/>
              </w:rPr>
              <w:t>0,1122</w:t>
            </w:r>
          </w:p>
        </w:tc>
        <w:tc>
          <w:tcPr>
            <w:tcW w:w="1077" w:type="dxa"/>
            <w:vAlign w:val="center"/>
          </w:tcPr>
          <w:p w14:paraId="7BE1395E" w14:textId="702D06BB" w:rsidR="008464E1" w:rsidRPr="003451CF" w:rsidRDefault="001711FB" w:rsidP="008464E1">
            <w:pPr>
              <w:ind w:firstLine="0"/>
              <w:jc w:val="center"/>
              <w:rPr>
                <w:i/>
                <w:iCs/>
                <w:sz w:val="18"/>
                <w:szCs w:val="18"/>
                <w:lang w:val="pl-PL"/>
              </w:rPr>
            </w:pPr>
            <w:r w:rsidRPr="001711FB">
              <w:rPr>
                <w:i/>
                <w:iCs/>
                <w:sz w:val="18"/>
                <w:szCs w:val="18"/>
                <w:lang w:val="pl-PL"/>
              </w:rPr>
              <w:t>0,4284</w:t>
            </w:r>
          </w:p>
        </w:tc>
        <w:tc>
          <w:tcPr>
            <w:tcW w:w="1077" w:type="dxa"/>
            <w:vAlign w:val="center"/>
          </w:tcPr>
          <w:p w14:paraId="21470698" w14:textId="779CD06E" w:rsidR="008464E1" w:rsidRPr="00B03008" w:rsidRDefault="00610E27" w:rsidP="008464E1">
            <w:pPr>
              <w:ind w:firstLine="0"/>
              <w:jc w:val="center"/>
              <w:rPr>
                <w:sz w:val="18"/>
                <w:szCs w:val="18"/>
                <w:lang w:val="pl-PL"/>
              </w:rPr>
            </w:pPr>
            <w:r w:rsidRPr="00610E27">
              <w:rPr>
                <w:sz w:val="18"/>
                <w:szCs w:val="18"/>
                <w:lang w:val="pl-PL"/>
              </w:rPr>
              <w:t>-0,0010</w:t>
            </w:r>
          </w:p>
        </w:tc>
        <w:tc>
          <w:tcPr>
            <w:tcW w:w="1077" w:type="dxa"/>
            <w:vAlign w:val="center"/>
          </w:tcPr>
          <w:p w14:paraId="40523463" w14:textId="039CED51" w:rsidR="008464E1" w:rsidRPr="003451CF" w:rsidRDefault="00610E27" w:rsidP="008464E1">
            <w:pPr>
              <w:ind w:firstLine="0"/>
              <w:jc w:val="center"/>
              <w:rPr>
                <w:i/>
                <w:iCs/>
                <w:sz w:val="18"/>
                <w:szCs w:val="18"/>
                <w:lang w:val="pl-PL"/>
              </w:rPr>
            </w:pPr>
            <w:r w:rsidRPr="00610E27">
              <w:rPr>
                <w:i/>
                <w:iCs/>
                <w:sz w:val="18"/>
                <w:szCs w:val="18"/>
                <w:lang w:val="pl-PL"/>
              </w:rPr>
              <w:t>0,9913</w:t>
            </w:r>
          </w:p>
        </w:tc>
      </w:tr>
      <w:tr w:rsidR="008464E1" w14:paraId="0C12FC3A" w14:textId="77777777" w:rsidTr="00AD2D65">
        <w:trPr>
          <w:cantSplit/>
        </w:trPr>
        <w:tc>
          <w:tcPr>
            <w:tcW w:w="2608" w:type="dxa"/>
            <w:vAlign w:val="center"/>
          </w:tcPr>
          <w:p w14:paraId="7AC72C9E" w14:textId="7F23C90F" w:rsidR="008464E1" w:rsidRPr="008464E1" w:rsidRDefault="008464E1" w:rsidP="00AD2D65">
            <w:pPr>
              <w:ind w:firstLine="0"/>
              <w:jc w:val="left"/>
              <w:rPr>
                <w:sz w:val="18"/>
                <w:szCs w:val="18"/>
                <w:lang w:val="pl-PL"/>
              </w:rPr>
            </w:pPr>
            <w:r w:rsidRPr="005F45E9">
              <w:rPr>
                <w:sz w:val="18"/>
                <w:szCs w:val="18"/>
                <w:lang w:val="pl-PL"/>
              </w:rPr>
              <w:t xml:space="preserve">zatrudnienie po </w:t>
            </w:r>
            <w:r>
              <w:rPr>
                <w:sz w:val="18"/>
                <w:szCs w:val="18"/>
                <w:lang w:val="pl-PL"/>
              </w:rPr>
              <w:t>3. latach</w:t>
            </w:r>
            <w:r w:rsidRPr="00B03008">
              <w:rPr>
                <w:sz w:val="18"/>
                <w:szCs w:val="18"/>
                <w:lang w:val="pl-PL"/>
              </w:rPr>
              <w:t xml:space="preserve"> </w:t>
            </w:r>
            <w:r w:rsidRPr="005F45E9">
              <w:rPr>
                <w:sz w:val="18"/>
                <w:szCs w:val="18"/>
                <w:lang w:val="pl-PL"/>
              </w:rPr>
              <w:t>vs</w:t>
            </w:r>
            <w:r>
              <w:rPr>
                <w:sz w:val="18"/>
                <w:szCs w:val="18"/>
                <w:lang w:val="pl-PL"/>
              </w:rPr>
              <w:br/>
            </w:r>
            <w:r w:rsidRPr="005F45E9">
              <w:rPr>
                <w:sz w:val="18"/>
                <w:szCs w:val="18"/>
                <w:lang w:val="pl-PL"/>
              </w:rPr>
              <w:t>Postrzegana Wartość</w:t>
            </w:r>
          </w:p>
        </w:tc>
        <w:tc>
          <w:tcPr>
            <w:tcW w:w="1077" w:type="dxa"/>
            <w:vAlign w:val="center"/>
          </w:tcPr>
          <w:p w14:paraId="4607B36B" w14:textId="4E0311DA" w:rsidR="008464E1" w:rsidRPr="008464E1" w:rsidRDefault="001711FB" w:rsidP="00AD2D65">
            <w:pPr>
              <w:ind w:firstLine="0"/>
              <w:jc w:val="center"/>
              <w:rPr>
                <w:sz w:val="18"/>
                <w:szCs w:val="18"/>
                <w:lang w:val="pl-PL"/>
              </w:rPr>
            </w:pPr>
            <w:r w:rsidRPr="001711FB">
              <w:rPr>
                <w:sz w:val="18"/>
                <w:szCs w:val="18"/>
                <w:lang w:val="pl-PL"/>
              </w:rPr>
              <w:t>-0,1672</w:t>
            </w:r>
          </w:p>
        </w:tc>
        <w:tc>
          <w:tcPr>
            <w:tcW w:w="1077" w:type="dxa"/>
            <w:vAlign w:val="center"/>
          </w:tcPr>
          <w:p w14:paraId="307AD9D4" w14:textId="110E8256" w:rsidR="008464E1" w:rsidRPr="008464E1" w:rsidRDefault="001711FB" w:rsidP="00AD2D65">
            <w:pPr>
              <w:ind w:firstLine="0"/>
              <w:jc w:val="center"/>
              <w:rPr>
                <w:i/>
                <w:iCs/>
                <w:sz w:val="18"/>
                <w:szCs w:val="18"/>
                <w:lang w:val="pl-PL"/>
              </w:rPr>
            </w:pPr>
            <w:r w:rsidRPr="001711FB">
              <w:rPr>
                <w:i/>
                <w:iCs/>
                <w:sz w:val="18"/>
                <w:szCs w:val="18"/>
                <w:lang w:val="pl-PL"/>
              </w:rPr>
              <w:t>0,1730</w:t>
            </w:r>
          </w:p>
        </w:tc>
        <w:tc>
          <w:tcPr>
            <w:tcW w:w="1077" w:type="dxa"/>
            <w:vAlign w:val="center"/>
          </w:tcPr>
          <w:p w14:paraId="74035834" w14:textId="796F3350" w:rsidR="008464E1" w:rsidRPr="001711FB" w:rsidRDefault="001711FB" w:rsidP="00AD2D65">
            <w:pPr>
              <w:ind w:firstLine="0"/>
              <w:jc w:val="center"/>
              <w:rPr>
                <w:b/>
                <w:bCs/>
                <w:sz w:val="18"/>
                <w:szCs w:val="18"/>
                <w:lang w:val="pl-PL"/>
              </w:rPr>
            </w:pPr>
            <w:r w:rsidRPr="001711FB">
              <w:rPr>
                <w:b/>
                <w:bCs/>
                <w:sz w:val="18"/>
                <w:szCs w:val="18"/>
                <w:lang w:val="pl-PL"/>
              </w:rPr>
              <w:t>0,3033</w:t>
            </w:r>
          </w:p>
        </w:tc>
        <w:tc>
          <w:tcPr>
            <w:tcW w:w="1077" w:type="dxa"/>
            <w:vAlign w:val="center"/>
          </w:tcPr>
          <w:p w14:paraId="3F5BB9F4" w14:textId="597122E7" w:rsidR="008464E1" w:rsidRPr="008464E1" w:rsidRDefault="001711FB" w:rsidP="00AD2D65">
            <w:pPr>
              <w:ind w:firstLine="0"/>
              <w:jc w:val="center"/>
              <w:rPr>
                <w:i/>
                <w:iCs/>
                <w:sz w:val="18"/>
                <w:szCs w:val="18"/>
                <w:lang w:val="pl-PL"/>
              </w:rPr>
            </w:pPr>
            <w:r w:rsidRPr="001711FB">
              <w:rPr>
                <w:i/>
                <w:iCs/>
                <w:sz w:val="18"/>
                <w:szCs w:val="18"/>
                <w:lang w:val="pl-PL"/>
              </w:rPr>
              <w:t>0,0288</w:t>
            </w:r>
          </w:p>
        </w:tc>
        <w:tc>
          <w:tcPr>
            <w:tcW w:w="1077" w:type="dxa"/>
            <w:vAlign w:val="center"/>
          </w:tcPr>
          <w:p w14:paraId="3CF9913E" w14:textId="00AB1D6E" w:rsidR="008464E1" w:rsidRPr="001711FB" w:rsidRDefault="001711FB" w:rsidP="00AD2D65">
            <w:pPr>
              <w:ind w:firstLine="0"/>
              <w:jc w:val="center"/>
              <w:rPr>
                <w:sz w:val="18"/>
                <w:szCs w:val="18"/>
                <w:u w:val="single"/>
                <w:lang w:val="pl-PL"/>
              </w:rPr>
            </w:pPr>
            <w:r w:rsidRPr="001711FB">
              <w:rPr>
                <w:sz w:val="18"/>
                <w:szCs w:val="18"/>
                <w:u w:val="single"/>
                <w:lang w:val="pl-PL"/>
              </w:rPr>
              <w:t>0,1429</w:t>
            </w:r>
          </w:p>
        </w:tc>
        <w:tc>
          <w:tcPr>
            <w:tcW w:w="1077" w:type="dxa"/>
            <w:vAlign w:val="center"/>
          </w:tcPr>
          <w:p w14:paraId="4D45DBED" w14:textId="5609B7F2" w:rsidR="008464E1" w:rsidRPr="008464E1" w:rsidRDefault="001711FB" w:rsidP="00AD2D65">
            <w:pPr>
              <w:ind w:firstLine="0"/>
              <w:jc w:val="center"/>
              <w:rPr>
                <w:i/>
                <w:iCs/>
                <w:sz w:val="18"/>
                <w:szCs w:val="18"/>
                <w:lang w:val="pl-PL"/>
              </w:rPr>
            </w:pPr>
            <w:r w:rsidRPr="001711FB">
              <w:rPr>
                <w:i/>
                <w:iCs/>
                <w:sz w:val="18"/>
                <w:szCs w:val="18"/>
                <w:lang w:val="pl-PL"/>
              </w:rPr>
              <w:t>0,1194</w:t>
            </w:r>
          </w:p>
        </w:tc>
      </w:tr>
      <w:tr w:rsidR="00AD2D65" w14:paraId="1FDCD3A3" w14:textId="77777777" w:rsidTr="00AD2D65">
        <w:trPr>
          <w:cantSplit/>
        </w:trPr>
        <w:tc>
          <w:tcPr>
            <w:tcW w:w="2608" w:type="dxa"/>
            <w:vAlign w:val="center"/>
          </w:tcPr>
          <w:p w14:paraId="2EA60191" w14:textId="3E361FDA" w:rsidR="00AD2D65" w:rsidRPr="00AD2D65" w:rsidRDefault="00AD2D65" w:rsidP="00FF0240">
            <w:pPr>
              <w:keepNext/>
              <w:ind w:firstLine="0"/>
              <w:jc w:val="left"/>
              <w:rPr>
                <w:sz w:val="18"/>
                <w:szCs w:val="18"/>
                <w:lang w:val="pl-PL"/>
              </w:rPr>
            </w:pPr>
            <w:r w:rsidRPr="00AD2D65">
              <w:rPr>
                <w:sz w:val="18"/>
                <w:szCs w:val="18"/>
                <w:lang w:val="pl-PL"/>
              </w:rPr>
              <w:lastRenderedPageBreak/>
              <w:t xml:space="preserve">Satysfakcja vs </w:t>
            </w:r>
            <w:r>
              <w:rPr>
                <w:sz w:val="18"/>
                <w:szCs w:val="18"/>
                <w:lang w:val="pl-PL"/>
              </w:rPr>
              <w:br/>
            </w:r>
            <w:r w:rsidRPr="00AD2D65">
              <w:rPr>
                <w:sz w:val="18"/>
                <w:szCs w:val="18"/>
                <w:lang w:val="pl-PL"/>
              </w:rPr>
              <w:t>Postrzegana wartość</w:t>
            </w:r>
          </w:p>
        </w:tc>
        <w:tc>
          <w:tcPr>
            <w:tcW w:w="1077" w:type="dxa"/>
            <w:vAlign w:val="center"/>
          </w:tcPr>
          <w:p w14:paraId="3196EC6C" w14:textId="6ED1E5DD" w:rsidR="00AD2D65" w:rsidRPr="00AD2D65" w:rsidRDefault="00AD2D65" w:rsidP="00FF0240">
            <w:pPr>
              <w:keepNext/>
              <w:ind w:firstLine="0"/>
              <w:jc w:val="center"/>
              <w:rPr>
                <w:b/>
                <w:bCs/>
                <w:sz w:val="18"/>
                <w:szCs w:val="18"/>
                <w:lang w:val="pl-PL"/>
              </w:rPr>
            </w:pPr>
            <w:r w:rsidRPr="00AD2D65">
              <w:rPr>
                <w:b/>
                <w:bCs/>
                <w:sz w:val="18"/>
                <w:szCs w:val="18"/>
                <w:lang w:val="pl-PL"/>
              </w:rPr>
              <w:t>0,7923</w:t>
            </w:r>
          </w:p>
        </w:tc>
        <w:tc>
          <w:tcPr>
            <w:tcW w:w="1077" w:type="dxa"/>
            <w:vAlign w:val="center"/>
          </w:tcPr>
          <w:p w14:paraId="05F8AF6C" w14:textId="0A48AE09" w:rsidR="00AD2D65" w:rsidRPr="00AD2D65" w:rsidRDefault="00AD2D65" w:rsidP="00FF0240">
            <w:pPr>
              <w:keepNext/>
              <w:ind w:firstLine="0"/>
              <w:jc w:val="center"/>
              <w:rPr>
                <w:i/>
                <w:iCs/>
                <w:sz w:val="18"/>
                <w:szCs w:val="18"/>
                <w:lang w:val="pl-PL"/>
              </w:rPr>
            </w:pPr>
            <w:r>
              <w:rPr>
                <w:i/>
                <w:iCs/>
                <w:sz w:val="18"/>
                <w:szCs w:val="18"/>
                <w:lang w:val="pl-PL"/>
              </w:rPr>
              <w:t>&lt;0,0001</w:t>
            </w:r>
          </w:p>
        </w:tc>
        <w:tc>
          <w:tcPr>
            <w:tcW w:w="1077" w:type="dxa"/>
            <w:vAlign w:val="center"/>
          </w:tcPr>
          <w:p w14:paraId="306E80F3" w14:textId="0FE47B4E" w:rsidR="00AD2D65" w:rsidRPr="00AD2D65" w:rsidRDefault="00AD2D65" w:rsidP="00FF0240">
            <w:pPr>
              <w:keepNext/>
              <w:ind w:firstLine="0"/>
              <w:jc w:val="center"/>
              <w:rPr>
                <w:b/>
                <w:bCs/>
                <w:sz w:val="18"/>
                <w:szCs w:val="18"/>
                <w:lang w:val="pl-PL"/>
              </w:rPr>
            </w:pPr>
            <w:r w:rsidRPr="00AD2D65">
              <w:rPr>
                <w:b/>
                <w:bCs/>
                <w:sz w:val="18"/>
                <w:szCs w:val="18"/>
                <w:lang w:val="pl-PL"/>
              </w:rPr>
              <w:t>0,8359</w:t>
            </w:r>
          </w:p>
        </w:tc>
        <w:tc>
          <w:tcPr>
            <w:tcW w:w="1077" w:type="dxa"/>
            <w:vAlign w:val="center"/>
          </w:tcPr>
          <w:p w14:paraId="1A55C565" w14:textId="13A395C5" w:rsidR="00AD2D65" w:rsidRPr="00AD2D65" w:rsidRDefault="00AD2D65" w:rsidP="00FF0240">
            <w:pPr>
              <w:keepNext/>
              <w:ind w:firstLine="0"/>
              <w:jc w:val="center"/>
              <w:rPr>
                <w:i/>
                <w:iCs/>
                <w:sz w:val="18"/>
                <w:szCs w:val="18"/>
                <w:lang w:val="pl-PL"/>
              </w:rPr>
            </w:pPr>
            <w:r>
              <w:rPr>
                <w:i/>
                <w:iCs/>
                <w:sz w:val="18"/>
                <w:szCs w:val="18"/>
                <w:lang w:val="pl-PL"/>
              </w:rPr>
              <w:t>&lt;0,0001</w:t>
            </w:r>
          </w:p>
        </w:tc>
        <w:tc>
          <w:tcPr>
            <w:tcW w:w="1077" w:type="dxa"/>
            <w:vAlign w:val="center"/>
          </w:tcPr>
          <w:p w14:paraId="6782625F" w14:textId="5CA5B69B" w:rsidR="00AD2D65" w:rsidRPr="00AD2D65" w:rsidRDefault="00AD2D65" w:rsidP="00FF0240">
            <w:pPr>
              <w:keepNext/>
              <w:ind w:firstLine="0"/>
              <w:jc w:val="center"/>
              <w:rPr>
                <w:b/>
                <w:bCs/>
                <w:sz w:val="18"/>
                <w:szCs w:val="18"/>
                <w:lang w:val="pl-PL"/>
              </w:rPr>
            </w:pPr>
            <w:r w:rsidRPr="00AD2D65">
              <w:rPr>
                <w:b/>
                <w:bCs/>
                <w:sz w:val="18"/>
                <w:szCs w:val="18"/>
                <w:lang w:val="pl-PL"/>
              </w:rPr>
              <w:t>0,8112</w:t>
            </w:r>
          </w:p>
        </w:tc>
        <w:tc>
          <w:tcPr>
            <w:tcW w:w="1077" w:type="dxa"/>
            <w:vAlign w:val="center"/>
          </w:tcPr>
          <w:p w14:paraId="1004B693" w14:textId="728D1F68" w:rsidR="00AD2D65" w:rsidRPr="00AD2D65" w:rsidRDefault="00AD2D65" w:rsidP="00FF0240">
            <w:pPr>
              <w:keepNext/>
              <w:ind w:firstLine="0"/>
              <w:jc w:val="center"/>
              <w:rPr>
                <w:i/>
                <w:iCs/>
                <w:sz w:val="18"/>
                <w:szCs w:val="18"/>
                <w:lang w:val="pl-PL"/>
              </w:rPr>
            </w:pPr>
            <w:r>
              <w:rPr>
                <w:i/>
                <w:iCs/>
                <w:sz w:val="18"/>
                <w:szCs w:val="18"/>
                <w:lang w:val="pl-PL"/>
              </w:rPr>
              <w:t>&lt;0,0001</w:t>
            </w:r>
          </w:p>
        </w:tc>
      </w:tr>
    </w:tbl>
    <w:p w14:paraId="091BBED6" w14:textId="77777777" w:rsidR="00FF0240" w:rsidRPr="00FF0240" w:rsidRDefault="00FF0240" w:rsidP="007770AA">
      <w:pPr>
        <w:pStyle w:val="rdo"/>
      </w:pPr>
      <w:r w:rsidRPr="00FF0240">
        <w:t>Źródło: opracowanie własne na podstawie wyników badania kwestionariuszowego</w:t>
      </w:r>
    </w:p>
    <w:p w14:paraId="4AD3A11D" w14:textId="65FC51BD" w:rsidR="00082011" w:rsidRDefault="00106236" w:rsidP="00082011">
      <w:r>
        <w:t>Na podstawie rezultatów badania korelacji zaprezentowanych w tabeli po</w:t>
      </w:r>
      <w:r>
        <w:fldChar w:fldCharType="begin"/>
      </w:r>
      <w:r>
        <w:instrText xml:space="preserve"> REF _Ref137759863 \p \h </w:instrText>
      </w:r>
      <w:r>
        <w:fldChar w:fldCharType="separate"/>
      </w:r>
      <w:r w:rsidR="009E351C">
        <w:t>wyżej</w:t>
      </w:r>
      <w:r>
        <w:fldChar w:fldCharType="end"/>
      </w:r>
      <w:r>
        <w:t xml:space="preserve"> (</w:t>
      </w:r>
      <w:r>
        <w:fldChar w:fldCharType="begin"/>
      </w:r>
      <w:r>
        <w:instrText xml:space="preserve"> REF _Ref137759871 \h </w:instrText>
      </w:r>
      <w:r>
        <w:fldChar w:fldCharType="separate"/>
      </w:r>
      <w:r w:rsidR="009E351C">
        <w:t xml:space="preserve">Tabela </w:t>
      </w:r>
      <w:r w:rsidR="009E351C">
        <w:rPr>
          <w:noProof/>
        </w:rPr>
        <w:t>73</w:t>
      </w:r>
      <w:r>
        <w:fldChar w:fldCharType="end"/>
      </w:r>
      <w:r>
        <w:t xml:space="preserve">) można stwierdzić, że jedynie cztery korelacje są istotne statystycznie na przyjętym poziomie istotności statystycznej wynoszącym </w:t>
      </w:r>
      <w:r>
        <w:rPr>
          <w:rFonts w:cs="Arial"/>
        </w:rPr>
        <w:t>α</w:t>
      </w:r>
      <w:r>
        <w:t xml:space="preserve"> = 0,1. Ponadto stwierdzono dwa wyniki tylko nieznacznie przekraczające ustaloną granicę. Zatem można stwierdzić, że przy uwzględnieniu przyjętego poziomu ufności wartości zarobków absolwentów uzyskiwane po 3 latach są pozytywnie skorelowane z wynikami satysfakcji z otrzymanych usług uczelni zarówno w odniesieniu do całej populacji badanych absolwentów jak i do grupy absolwentów uczelni technicznych. Podobnie dla grupy absolwentów uczelni technicznych istnieje </w:t>
      </w:r>
      <w:r w:rsidR="00DE5F64">
        <w:t xml:space="preserve">istotna statystycznie </w:t>
      </w:r>
      <w:r>
        <w:t>korelacja pomiędzy zarobkami po 3. latach od ukończenia stud</w:t>
      </w:r>
      <w:r w:rsidR="00201509">
        <w:t xml:space="preserve">iów i postrzeganą wartością usług ukończonej uczelni. </w:t>
      </w:r>
      <w:r w:rsidR="00DE5F64">
        <w:t>Są to jednak korelacje o niskiej sile wg klasyfikacji J. </w:t>
      </w:r>
      <w:proofErr w:type="spellStart"/>
      <w:r w:rsidR="00DE5F64">
        <w:t>Guilforda</w:t>
      </w:r>
      <w:proofErr w:type="spellEnd"/>
      <w:r w:rsidR="00DE5F64">
        <w:t xml:space="preserve"> (por. </w:t>
      </w:r>
      <w:r w:rsidR="00DE5F64">
        <w:fldChar w:fldCharType="begin"/>
      </w:r>
      <w:r w:rsidR="00DE5F64">
        <w:instrText xml:space="preserve"> REF _Ref136544259 \h </w:instrText>
      </w:r>
      <w:r w:rsidR="00DE5F64">
        <w:fldChar w:fldCharType="separate"/>
      </w:r>
      <w:r w:rsidR="009E351C">
        <w:t xml:space="preserve">Tabela </w:t>
      </w:r>
      <w:r w:rsidR="009E351C">
        <w:rPr>
          <w:noProof/>
        </w:rPr>
        <w:t>71</w:t>
      </w:r>
      <w:r w:rsidR="00DE5F64">
        <w:fldChar w:fldCharType="end"/>
      </w:r>
      <w:r w:rsidR="00DE5F64">
        <w:t>).</w:t>
      </w:r>
      <w:r w:rsidR="00082011">
        <w:t xml:space="preserve"> W odniesieniu do grupy korelacji między zarobkami absolwentów, a ich satysfakcją to również stwierdzono pewną niską korelację między zarobkami absolwentów uczelni technicznych po 1 roku od ukończenia studiów, a ich satysfakcją z usług uczelni. Korelacja ta nie spełnia warunku przyjętej istotności statystycznej. Jej poziom parametru istotności statystycznej jednak tylko nieznacznie przekracza przyjęty próg. Zatem można przypuszczać, że w badaniu nieobciążonym tak istotnymi ograniczeniami można by potwierdzić istnienie lub nie dla tej zależności. Jedyna wartość korelacji mieszcząca się w przedziale siły umiarkowanej wg klasyfikacji </w:t>
      </w:r>
      <w:proofErr w:type="spellStart"/>
      <w:r w:rsidR="00082011">
        <w:t>Guilforda</w:t>
      </w:r>
      <w:proofErr w:type="spellEnd"/>
      <w:r w:rsidR="00082011">
        <w:t xml:space="preserve"> dotyczy związku statystycznego pomiędzy zatrudnieniem po 3. latach od ukończenia studiów przez absolwentów uczelni technicznych, a poziomem ich postrz</w:t>
      </w:r>
      <w:r w:rsidR="00AD2D65">
        <w:t>e</w:t>
      </w:r>
      <w:r w:rsidR="00082011">
        <w:t xml:space="preserve">ganej wartości </w:t>
      </w:r>
      <w:r w:rsidR="00AD2D65">
        <w:t>usług oferowanych przez ocenianą uczelnię. W tej kategorii znajduje się drugi ze wskaźników, który tylko w nieznacznym stopniu nie spełnia warunku przyjętego poziomu istotności statystycznej. Jest to zależność pomiędzy zatrudnieniem po 3 latach w całej grupie badanych absolwentów, a poziomem oceny postrzeganej wartości usług uczelni przez tę grupę respondentów.</w:t>
      </w:r>
    </w:p>
    <w:p w14:paraId="568FE138" w14:textId="29E2D6ED" w:rsidR="00711DEE" w:rsidRDefault="00711DEE" w:rsidP="00711DEE">
      <w:r>
        <w:t xml:space="preserve">Odnosząc się to hipotezy </w:t>
      </w:r>
      <w:r w:rsidRPr="00125CE3">
        <w:rPr>
          <w:b/>
          <w:bCs/>
        </w:rPr>
        <w:t>H2</w:t>
      </w:r>
      <w:r>
        <w:t>:</w:t>
      </w:r>
    </w:p>
    <w:p w14:paraId="2CE54C2A" w14:textId="77777777" w:rsidR="00711DEE" w:rsidRDefault="00711DEE" w:rsidP="00711DEE">
      <w:r w:rsidRPr="00711DEE">
        <w:rPr>
          <w:i/>
          <w:iCs/>
        </w:rPr>
        <w:t>Wyniki pomiaru satysfakcji interesariuszy są pozytywnie skorelowane z wartościami Indeksu Wyceny Rynkowej Absolwenta</w:t>
      </w:r>
      <w:r w:rsidRPr="00233788">
        <w:t>.</w:t>
      </w:r>
      <w:r>
        <w:t xml:space="preserve"> </w:t>
      </w:r>
    </w:p>
    <w:p w14:paraId="6B974E5D" w14:textId="71F15527" w:rsidR="00711DEE" w:rsidRPr="00711DEE" w:rsidRDefault="00711DEE" w:rsidP="00711DEE">
      <w:r w:rsidRPr="00711DEE">
        <w:t>Można s</w:t>
      </w:r>
      <w:r>
        <w:t>twierdzić, że ograniczenia przeprowadzonego badania nie pozwalają na jednoznaczne zweryfikowanie tej hipotezy ze względu na zbyt niewielką oraz zbyt mało zróżnicowaną grupę badawczą pod względem ocenianych uczelni.</w:t>
      </w:r>
      <w:r w:rsidR="00044336">
        <w:t xml:space="preserve"> Jednak by spróbować przybliżyć się do możliwości choć częściowej weryfikacji tej hipotezy postawiono 4 hipotezy szczegółowe odnoszące się do korelacji pomiędzy badanym poziomem satysfakcji absolwentów, a wartościami składowymi indeksu IWRA. Hipotezy te mają następującą formę:</w:t>
      </w:r>
    </w:p>
    <w:p w14:paraId="26A64098" w14:textId="39C98F08" w:rsidR="00711DEE" w:rsidRDefault="00711DEE" w:rsidP="002D3260">
      <w:pPr>
        <w:pStyle w:val="Wypunktowanie"/>
        <w:numPr>
          <w:ilvl w:val="0"/>
          <w:numId w:val="35"/>
        </w:numPr>
      </w:pPr>
      <w:r>
        <w:t>H2a</w:t>
      </w:r>
      <w:r w:rsidR="00044336">
        <w:t>:</w:t>
      </w:r>
      <w:r>
        <w:t xml:space="preserve"> Stopa zatrudnienia wśród absolwentów uczelni po roku od uzyskania dyplomu jest pozytywnie skorelowana z wartościami satysfakcji z usług uczelni.</w:t>
      </w:r>
    </w:p>
    <w:p w14:paraId="5308D5F8" w14:textId="048100A6" w:rsidR="00711DEE" w:rsidRDefault="00711DEE" w:rsidP="002D3260">
      <w:pPr>
        <w:pStyle w:val="Wypunktowanie"/>
        <w:numPr>
          <w:ilvl w:val="0"/>
          <w:numId w:val="35"/>
        </w:numPr>
      </w:pPr>
      <w:r>
        <w:lastRenderedPageBreak/>
        <w:t>H2b</w:t>
      </w:r>
      <w:r w:rsidR="00044336">
        <w:t>:</w:t>
      </w:r>
      <w:r>
        <w:t xml:space="preserve"> Stopa zatrudnienia wśród absolwentów uczelni po 3 latach od uzyskania dyplomu jest pozytywnie skorelowana z wartościami satysfakcji z usług uczelni.</w:t>
      </w:r>
    </w:p>
    <w:p w14:paraId="15056144" w14:textId="64029281" w:rsidR="00711DEE" w:rsidRDefault="00711DEE" w:rsidP="002D3260">
      <w:pPr>
        <w:pStyle w:val="Wypunktowanie"/>
        <w:numPr>
          <w:ilvl w:val="0"/>
          <w:numId w:val="35"/>
        </w:numPr>
      </w:pPr>
      <w:r>
        <w:t>H2c</w:t>
      </w:r>
      <w:r w:rsidR="00044336">
        <w:t>:</w:t>
      </w:r>
      <w:r>
        <w:t xml:space="preserve"> Poziom zarobków absolwentów uczelni po roku od uzyskania dyplomu jest pozytywnie skorelowany z wartościami satysfakcji z usług uczelni.</w:t>
      </w:r>
    </w:p>
    <w:p w14:paraId="0A711CD6" w14:textId="51BB5387" w:rsidR="00711DEE" w:rsidRPr="00C660E7" w:rsidRDefault="00711DEE" w:rsidP="002D3260">
      <w:pPr>
        <w:pStyle w:val="Wypunktowanie"/>
        <w:numPr>
          <w:ilvl w:val="0"/>
          <w:numId w:val="35"/>
        </w:numPr>
      </w:pPr>
      <w:r>
        <w:t>H2d</w:t>
      </w:r>
      <w:r w:rsidR="00044336">
        <w:t>:</w:t>
      </w:r>
      <w:r>
        <w:t xml:space="preserve"> Poziom zarobków absolwentów uczelni po 3 latach od uzyskania dyplomu jest pozytywnie skorelowany z wartościami satysfakcji z usług uczelni.</w:t>
      </w:r>
    </w:p>
    <w:p w14:paraId="357F6AB0" w14:textId="19098E1F" w:rsidR="00044336" w:rsidRDefault="00044336" w:rsidP="00044336">
      <w:r>
        <w:t>Na podstawie wyników analizy wyników przeprowadzonego badania kwestionariuszowego i rezultatów analizy korelacji pomiędzy elementami składowymi wskaźnika IWRA, a poziomej postrzeganej satysfakcji i postrzeganej wartości usług ocenianych uczelni można stwierdzić iż:</w:t>
      </w:r>
    </w:p>
    <w:p w14:paraId="742CC211" w14:textId="7F4B1F58" w:rsidR="00044336" w:rsidRDefault="00044336" w:rsidP="002D3260">
      <w:pPr>
        <w:pStyle w:val="Wypunktowanie"/>
        <w:numPr>
          <w:ilvl w:val="0"/>
          <w:numId w:val="36"/>
        </w:numPr>
      </w:pPr>
      <w:r>
        <w:t>Ad. H2a: nie ma podstaw do odrzucenia hipotezy zerowej mówiącej o braku związku między stopą zatrudnienia absolwentów po roku od ukończenia studiów, a poziomem ich satysfakcji z</w:t>
      </w:r>
      <w:r w:rsidR="00EA4F50">
        <w:t xml:space="preserve"> otrzymanych usług uczelni i dotyczy to wszystkich trzech badanych grup absolwentów uczelni technicznych, nietechnicznych oraz ogółem. W związku z tym</w:t>
      </w:r>
      <w:r>
        <w:t xml:space="preserve"> należy stwierdzić, że: </w:t>
      </w:r>
    </w:p>
    <w:p w14:paraId="741E0819" w14:textId="06BA0866" w:rsidR="00044336" w:rsidRPr="006C09A0" w:rsidRDefault="00044336" w:rsidP="00044336">
      <w:pPr>
        <w:pStyle w:val="Wypunktowanie"/>
        <w:numPr>
          <w:ilvl w:val="0"/>
          <w:numId w:val="0"/>
        </w:numPr>
        <w:ind w:left="1068"/>
        <w:rPr>
          <w:i/>
          <w:iCs/>
        </w:rPr>
      </w:pPr>
      <w:r w:rsidRPr="006C09A0">
        <w:rPr>
          <w:i/>
          <w:iCs/>
        </w:rPr>
        <w:t xml:space="preserve">Stopa zatrudnienia wśród </w:t>
      </w:r>
      <w:r w:rsidR="007B157B">
        <w:rPr>
          <w:i/>
          <w:iCs/>
        </w:rPr>
        <w:t xml:space="preserve">badanych </w:t>
      </w:r>
      <w:r w:rsidRPr="006C09A0">
        <w:rPr>
          <w:i/>
          <w:iCs/>
        </w:rPr>
        <w:t xml:space="preserve">absolwentów uczelni po roku od uzyskania dyplomu </w:t>
      </w:r>
      <w:r w:rsidR="00EA4F50">
        <w:rPr>
          <w:i/>
          <w:iCs/>
        </w:rPr>
        <w:t>nie jest skorelowana z poziomem satysfakcji absolwentów z otrzymanej usługi niezależnie od rodzaju ukończonej uczelni (techniczne, nietechniczne)</w:t>
      </w:r>
      <w:r w:rsidRPr="006C09A0">
        <w:rPr>
          <w:i/>
          <w:iCs/>
        </w:rPr>
        <w:t>.</w:t>
      </w:r>
    </w:p>
    <w:p w14:paraId="4209969A" w14:textId="4C105869" w:rsidR="00EA4F50" w:rsidRDefault="00044336" w:rsidP="002D3260">
      <w:pPr>
        <w:pStyle w:val="Wypunktowanie"/>
        <w:numPr>
          <w:ilvl w:val="0"/>
          <w:numId w:val="36"/>
        </w:numPr>
      </w:pPr>
      <w:r>
        <w:t>Ad. H</w:t>
      </w:r>
      <w:r w:rsidR="00EA4F50">
        <w:t>2</w:t>
      </w:r>
      <w:r>
        <w:t xml:space="preserve">b: </w:t>
      </w:r>
      <w:r w:rsidR="00EA4F50">
        <w:t xml:space="preserve">nie ma podstaw do odrzucenia hipotezy zerowej mówiącej o braku związku między stopą zatrudnienia absolwentów po 3 latach od ukończenia studiów, a poziomem ich satysfakcji z otrzymanych usług uczelni i dotyczy to wszystkich trzech badanych grup absolwentów uczelni technicznych, nietechnicznych oraz ogółem. W związku z tym należy stwierdzić, że: </w:t>
      </w:r>
    </w:p>
    <w:p w14:paraId="04E36C17" w14:textId="517903FE" w:rsidR="00EA4F50" w:rsidRPr="006C09A0" w:rsidRDefault="00EA4F50" w:rsidP="00EA4F50">
      <w:pPr>
        <w:pStyle w:val="Wypunktowanie"/>
        <w:numPr>
          <w:ilvl w:val="0"/>
          <w:numId w:val="0"/>
        </w:numPr>
        <w:ind w:left="1068"/>
        <w:rPr>
          <w:i/>
          <w:iCs/>
        </w:rPr>
      </w:pPr>
      <w:r w:rsidRPr="006C09A0">
        <w:rPr>
          <w:i/>
          <w:iCs/>
        </w:rPr>
        <w:t xml:space="preserve">Stopa zatrudnienia wśród </w:t>
      </w:r>
      <w:r w:rsidR="007B157B">
        <w:rPr>
          <w:i/>
          <w:iCs/>
        </w:rPr>
        <w:t xml:space="preserve">badanych </w:t>
      </w:r>
      <w:r w:rsidRPr="006C09A0">
        <w:rPr>
          <w:i/>
          <w:iCs/>
        </w:rPr>
        <w:t xml:space="preserve">absolwentów uczelni po </w:t>
      </w:r>
      <w:r>
        <w:rPr>
          <w:i/>
          <w:iCs/>
        </w:rPr>
        <w:t>3 latach</w:t>
      </w:r>
      <w:r w:rsidRPr="006C09A0">
        <w:rPr>
          <w:i/>
          <w:iCs/>
        </w:rPr>
        <w:t xml:space="preserve"> od uzyskania dyplomu </w:t>
      </w:r>
      <w:r>
        <w:rPr>
          <w:i/>
          <w:iCs/>
        </w:rPr>
        <w:t>nie jest skorelowana z poziomem satysfakcji absolwentów z otrzymanej usługi niezależnie od rodzaju ukończonej uczelni (techniczne, nietechniczne)</w:t>
      </w:r>
      <w:r w:rsidRPr="006C09A0">
        <w:rPr>
          <w:i/>
          <w:iCs/>
        </w:rPr>
        <w:t>.</w:t>
      </w:r>
    </w:p>
    <w:p w14:paraId="35C664CF" w14:textId="1B778456" w:rsidR="00EA4F50" w:rsidRDefault="00044336" w:rsidP="002D3260">
      <w:pPr>
        <w:pStyle w:val="Wypunktowanie"/>
        <w:numPr>
          <w:ilvl w:val="0"/>
          <w:numId w:val="36"/>
        </w:numPr>
      </w:pPr>
      <w:r>
        <w:t>Ad. H</w:t>
      </w:r>
      <w:r w:rsidR="00EA4F50">
        <w:t>2</w:t>
      </w:r>
      <w:r>
        <w:t xml:space="preserve">c: </w:t>
      </w:r>
      <w:r w:rsidR="00EA4F50">
        <w:t xml:space="preserve">nie ma podstaw do odrzucenia hipotezy zerowej mówiącej o braku związku między zarobkami absolwentów po roku od ukończenia studiów, a poziomem ich satysfakcji z otrzymanych usług uczelni i dotyczy to wszystkich trzech badanych grup absolwentów uczelni technicznych, nietechnicznych oraz ogółem. W związku z tym należy stwierdzić, że: </w:t>
      </w:r>
    </w:p>
    <w:p w14:paraId="17162687" w14:textId="282A609D" w:rsidR="00EA4F50" w:rsidRPr="006C09A0" w:rsidRDefault="00EA4F50" w:rsidP="00EA4F50">
      <w:pPr>
        <w:pStyle w:val="Wypunktowanie"/>
        <w:numPr>
          <w:ilvl w:val="0"/>
          <w:numId w:val="0"/>
        </w:numPr>
        <w:ind w:left="1068"/>
        <w:rPr>
          <w:i/>
          <w:iCs/>
        </w:rPr>
      </w:pPr>
      <w:r>
        <w:rPr>
          <w:i/>
          <w:iCs/>
        </w:rPr>
        <w:t>Poziom zarobków</w:t>
      </w:r>
      <w:r w:rsidRPr="006C09A0">
        <w:rPr>
          <w:i/>
          <w:iCs/>
        </w:rPr>
        <w:t xml:space="preserve"> wśród </w:t>
      </w:r>
      <w:r w:rsidR="007B157B">
        <w:rPr>
          <w:i/>
          <w:iCs/>
        </w:rPr>
        <w:t xml:space="preserve">badanych </w:t>
      </w:r>
      <w:r w:rsidRPr="006C09A0">
        <w:rPr>
          <w:i/>
          <w:iCs/>
        </w:rPr>
        <w:t xml:space="preserve">absolwentów uczelni po roku od uzyskania dyplomu </w:t>
      </w:r>
      <w:r>
        <w:rPr>
          <w:i/>
          <w:iCs/>
        </w:rPr>
        <w:t>nie jest skorelowany z poziomem satysfakcji absolwentów z otrzymanej usługi niezależnie od rodzaju ukończonej uczelni (techniczne, nietechniczne)</w:t>
      </w:r>
      <w:r w:rsidRPr="006C09A0">
        <w:rPr>
          <w:i/>
          <w:iCs/>
        </w:rPr>
        <w:t>.</w:t>
      </w:r>
    </w:p>
    <w:p w14:paraId="72831A97" w14:textId="726389D3" w:rsidR="00044336" w:rsidRDefault="00044336" w:rsidP="002D3260">
      <w:pPr>
        <w:pStyle w:val="Wypunktowanie"/>
        <w:numPr>
          <w:ilvl w:val="0"/>
          <w:numId w:val="34"/>
        </w:numPr>
      </w:pPr>
      <w:r>
        <w:t>Ad. H</w:t>
      </w:r>
      <w:r w:rsidR="007B157B">
        <w:t>2</w:t>
      </w:r>
      <w:r>
        <w:t xml:space="preserve">d: należy odrzucić hipotezę zerową mówiącą </w:t>
      </w:r>
      <w:r w:rsidR="007B157B">
        <w:t>o braku związku między zarobkami absolwentów po 3. latach od ukończenia studiów, a poziomem ich satysfakcji z otrzymanych usług ogólnej grupie badanych absolwentów oraz w grupie absolwentów uczelni technicznych</w:t>
      </w:r>
      <w:r>
        <w:t xml:space="preserve">. </w:t>
      </w:r>
      <w:r w:rsidR="007B157B">
        <w:t xml:space="preserve">Natomiast nie ma podstaw do odrzucenia tej hipotezy zerowej dla grupy absolwentów uczelni nietechnicznych. </w:t>
      </w:r>
      <w:r>
        <w:t xml:space="preserve">W związku z tym należy stwierdzić, że: </w:t>
      </w:r>
    </w:p>
    <w:p w14:paraId="2AA01874" w14:textId="47F6248B" w:rsidR="00044336" w:rsidRDefault="007B157B" w:rsidP="00044336">
      <w:pPr>
        <w:pStyle w:val="Wypunktowanie"/>
        <w:numPr>
          <w:ilvl w:val="0"/>
          <w:numId w:val="0"/>
        </w:numPr>
        <w:ind w:left="1068"/>
        <w:rPr>
          <w:i/>
          <w:iCs/>
        </w:rPr>
      </w:pPr>
      <w:r>
        <w:rPr>
          <w:i/>
          <w:iCs/>
        </w:rPr>
        <w:t>Poziom zarobków</w:t>
      </w:r>
      <w:r w:rsidRPr="006C09A0">
        <w:rPr>
          <w:i/>
          <w:iCs/>
        </w:rPr>
        <w:t xml:space="preserve"> wśród </w:t>
      </w:r>
      <w:r>
        <w:rPr>
          <w:i/>
          <w:iCs/>
        </w:rPr>
        <w:t xml:space="preserve">badanych </w:t>
      </w:r>
      <w:r w:rsidRPr="006C09A0">
        <w:rPr>
          <w:i/>
          <w:iCs/>
        </w:rPr>
        <w:t xml:space="preserve">absolwentów uczelni po roku od uzyskania dyplomu </w:t>
      </w:r>
      <w:r>
        <w:rPr>
          <w:i/>
          <w:iCs/>
        </w:rPr>
        <w:t xml:space="preserve">jest pozytywnie skorelowany z poziomem satysfakcji absolwentów z otrzymanej usługi </w:t>
      </w:r>
      <w:r w:rsidR="00660008">
        <w:rPr>
          <w:i/>
          <w:iCs/>
        </w:rPr>
        <w:t>ca</w:t>
      </w:r>
      <w:r w:rsidR="00660008">
        <w:rPr>
          <w:i/>
          <w:iCs/>
        </w:rPr>
        <w:lastRenderedPageBreak/>
        <w:t>łej badanej grupie absolwentów oraz w grupie absolwentów uczelni technicznych. Natomiast w grupie absolwentów uczelni nietechnicznych ta korelacja nie występuje.</w:t>
      </w:r>
    </w:p>
    <w:p w14:paraId="5FD0E2BD" w14:textId="4EDD14AB" w:rsidR="00711DEE" w:rsidRDefault="00660008" w:rsidP="003016B7">
      <w:r>
        <w:t xml:space="preserve">Warto podkreślić, że ze względu na opisane w rozdz. </w:t>
      </w:r>
      <w:r>
        <w:fldChar w:fldCharType="begin"/>
      </w:r>
      <w:r>
        <w:instrText xml:space="preserve"> PAGEREF _Ref137763110 \h </w:instrText>
      </w:r>
      <w:r>
        <w:fldChar w:fldCharType="separate"/>
      </w:r>
      <w:r w:rsidR="009E351C">
        <w:rPr>
          <w:noProof/>
        </w:rPr>
        <w:t>219</w:t>
      </w:r>
      <w:r>
        <w:fldChar w:fldCharType="end"/>
      </w:r>
      <w:r>
        <w:fldChar w:fldCharType="begin"/>
      </w:r>
      <w:r>
        <w:instrText xml:space="preserve"> REF _Ref137763114 \r \h </w:instrText>
      </w:r>
      <w:r>
        <w:fldChar w:fldCharType="separate"/>
      </w:r>
      <w:r w:rsidR="009E351C">
        <w:t>2.2.2</w:t>
      </w:r>
      <w:r>
        <w:fldChar w:fldCharType="end"/>
      </w:r>
      <w:r>
        <w:t xml:space="preserve"> ograniczenia przeprowadzonego badania wnioski z weryfikacji hipotez można odnosić jedynie do badanej grupy respondentów, a nie można w z sposób prawidłowy ich uogólnić na całą populację absolwentów polskich uczelni. Niemniej z zaobserwowanych relacji pomiędzy zatrudnieniem i zarobkami a postrzeganą satysfakcją i postrzeganą wartością usług ocenianych uczelni można wyciągnąć przypuszczenia mogące być wartościowym przyczynkiem do dalszych badań w tym zakresie. Otóż wśród przedstawionych w tabeli po</w:t>
      </w:r>
      <w:r>
        <w:fldChar w:fldCharType="begin"/>
      </w:r>
      <w:r>
        <w:instrText xml:space="preserve"> REF _Ref137759863 \p \h </w:instrText>
      </w:r>
      <w:r>
        <w:fldChar w:fldCharType="separate"/>
      </w:r>
      <w:r w:rsidR="009E351C">
        <w:t>wyżej</w:t>
      </w:r>
      <w:r>
        <w:fldChar w:fldCharType="end"/>
      </w:r>
      <w:r>
        <w:t xml:space="preserve"> (</w:t>
      </w:r>
      <w:r>
        <w:fldChar w:fldCharType="begin"/>
      </w:r>
      <w:r>
        <w:instrText xml:space="preserve"> REF _Ref137759871 \h </w:instrText>
      </w:r>
      <w:r>
        <w:fldChar w:fldCharType="separate"/>
      </w:r>
      <w:r w:rsidR="009E351C">
        <w:t xml:space="preserve">Tabela </w:t>
      </w:r>
      <w:r w:rsidR="009E351C">
        <w:rPr>
          <w:noProof/>
        </w:rPr>
        <w:t>73</w:t>
      </w:r>
      <w:r>
        <w:fldChar w:fldCharType="end"/>
      </w:r>
      <w:r>
        <w:t xml:space="preserve">) korelacji na uwagę zasługuje fakt iż większość wartości dla grupy absolwentów uczelni nietechnicznych wskazuje na słabe ale jednak negatywne skorelowanie pomiędzy wartościami składowymi IWRA, a satysfakcją i postrzeganą wartością usług uczelni. Wszystkie te korelacje nie spełniają warunku istotności statystycznej </w:t>
      </w:r>
      <w:r w:rsidR="00983983">
        <w:t>przyjętej w badaniu ale niektóre z nich przekraczają tę granicę dość nieznacznie.</w:t>
      </w:r>
      <w:r w:rsidR="003A07A2">
        <w:t xml:space="preserve"> Co szczególnie zastanawiające najsilniejsze spośród tych korelacji dotyczą stopy zatrudnienia po 3 latach. Taka obserwacja pozwala postawić pytanie o zasadność pomiaru jakości usług uczelni nietechnicznych przy pomocy IWRA lub innych parametrów odnoszących się do wyników rynkowych absolwentów. Natomiast w odniesieniu do grupy absolwentów uczelni technicznych można przypuszczać, że raczej ten sposób pomiaru jakości usług uczelni może dawać wiarygodne rezultaty.</w:t>
      </w:r>
    </w:p>
    <w:p w14:paraId="5D314BB2" w14:textId="5358E0F9" w:rsidR="00A53242" w:rsidRDefault="00F62528" w:rsidP="003016B7">
      <w:r>
        <w:t>Warto też odnieść się do relacji pomiędzy wartościami pomiary satysfakcji z usług uczelni i postrzeganej przez respondentów wartości usług uczelni. Można bowiem przypuszczać, że te wartości powinny być ze sobą bardzo silnie skorelowane, a nawet powinny wykazywać cechy opisu tego samego zjawiska. Dla badanej grupy rzeczywiście te wartości są bardzo wysokie</w:t>
      </w:r>
      <w:r w:rsidR="00494468">
        <w:t xml:space="preserve"> (</w:t>
      </w:r>
      <w:r w:rsidR="00494468" w:rsidRPr="00494468">
        <w:rPr>
          <w:sz w:val="18"/>
          <w:szCs w:val="18"/>
        </w:rPr>
        <w:t>0,7923; 0,8359; 0,8112</w:t>
      </w:r>
      <w:r w:rsidR="00494468">
        <w:t>)</w:t>
      </w:r>
      <w:r>
        <w:t xml:space="preserve"> i można siłę tej korelacji uznać z bardzo </w:t>
      </w:r>
      <w:r w:rsidR="00494468">
        <w:t xml:space="preserve">wysoką, ale jednak nie na tyle wysoką by zakwalifikować je do kategorii korelacji niemal pełnej wg. </w:t>
      </w:r>
      <w:proofErr w:type="spellStart"/>
      <w:r w:rsidR="00494468">
        <w:t>Guilforda</w:t>
      </w:r>
      <w:proofErr w:type="spellEnd"/>
      <w:r w:rsidR="00494468">
        <w:t>. A zatem raczej ryzyko tego, że oba te parametry mają w istocie takie samo znaczenie jest raczej niskie. W związku z tym rozróżnianie ich przy pomiarze wydaje się być uzasadnione.</w:t>
      </w:r>
    </w:p>
    <w:p w14:paraId="51CF11CF" w14:textId="6F0328FA" w:rsidR="003016B7" w:rsidRDefault="009873DE" w:rsidP="003016B7">
      <w:r>
        <w:t xml:space="preserve">Podsumowując należ stwierdzić, że w wynikach badań można znaleźć częściowe potwierdzenie dla twierdzenia, że absolwenci uczelni technicznych są wyżej cenieni na rynku pracy niż absolwenci pozostałych uczelni. Natomiast zjawisko to jest zauważalne dopiero po pewnym czasie od ukończenia studiów. Z badań bowiem wynika, że zarobki absolwentów uczelni technicznych są istotnie wyższe od zarobków absolwentów uczelni nietechnicznych dopiero po 3 latach od uzyskania dyplomu. Natomiast stopa zatrudnienia w pierwszym roku od ukończenia studiów jest negatywnie skorelowana z faktem ukończenia uczelni technicznej. Jednak ten efekt po 3 latach od uzyskania dyplomu już nie występuje. Zatem można stwierdzić, że w długim terminie rzeczywiście absolwenci uczelni technicznych rzeczywiście uzyskują istotnie lepsze wyniki odnoszące się do wyceny rynkowej ich kompetencji. </w:t>
      </w:r>
      <w:r w:rsidR="008403AA">
        <w:t>Ponadto wyniki przeprowadzonych badań dają podstawę do dalszego zgłębiania zależności pomiędzy pomiarami satysfakcji absolwentów i ich wynikami na rynku pracy. Co ciekawe zaobserwowane zjawiska wskazują, że w przypadku absolwentów uczelni nietechnicznych raczej należałoby postawić hipotezę o negatywnym skorelowaniu tych dwóch parametrów. Jednak</w:t>
      </w:r>
      <w:r>
        <w:t xml:space="preserve"> można też </w:t>
      </w:r>
      <w:r>
        <w:lastRenderedPageBreak/>
        <w:t>stwierdzić, że w przypadku absolwentów uczelni technicznych są podstawy do przypuszcz</w:t>
      </w:r>
      <w:r w:rsidR="008403AA">
        <w:t>e</w:t>
      </w:r>
      <w:r>
        <w:t xml:space="preserve">nia, że </w:t>
      </w:r>
      <w:r w:rsidR="008403AA">
        <w:t>wartości indeksu IWRA mierzonego dla okresu po 3 latach od ukończenia studiów są pozytywnie skorelowane z poziomami postrzeganej satysfakcji i postrzeganej wartości usług uczelni. Z tego powodu do dalszych analiz zależności pomiędzy wartościami indeksu IWRA, a wynikami rankingów zostaną wzięte pod uwagę jedynie uczelnie techniczne.</w:t>
      </w:r>
    </w:p>
    <w:p w14:paraId="1701BEA0" w14:textId="0017143E" w:rsidR="00BB3567" w:rsidRDefault="009873DE" w:rsidP="00B61EC4">
      <w:pPr>
        <w:pStyle w:val="Nagwek3"/>
      </w:pPr>
      <w:bookmarkStart w:id="117" w:name="_Toc157667018"/>
      <w:bookmarkStart w:id="118" w:name="_Ref162436354"/>
      <w:r w:rsidRPr="00847F16">
        <w:t xml:space="preserve">Wyniki rankingów </w:t>
      </w:r>
      <w:r>
        <w:t>a w</w:t>
      </w:r>
      <w:r w:rsidR="00BB3567" w:rsidRPr="00847F16">
        <w:t xml:space="preserve">skaźniki </w:t>
      </w:r>
      <w:r w:rsidR="00847F16" w:rsidRPr="00847F16">
        <w:t>wyceny rynkowej absolwentów</w:t>
      </w:r>
      <w:r w:rsidR="00ED5E32">
        <w:t xml:space="preserve"> polskich </w:t>
      </w:r>
      <w:r w:rsidR="00ED5E32" w:rsidRPr="00847F16">
        <w:t>uczelni technicznych i</w:t>
      </w:r>
      <w:bookmarkEnd w:id="117"/>
      <w:bookmarkEnd w:id="118"/>
    </w:p>
    <w:p w14:paraId="2A5CDB75" w14:textId="3DD09429" w:rsidR="00847F16" w:rsidRDefault="00BC2E11" w:rsidP="00847F16">
      <w:r>
        <w:t xml:space="preserve">Spośród wielu metod pomiaru jakości usług uczelni rankingi wydają się być jedną z najpopularniejszych. Jest wiele rankingów, które przykuwają uwagę osób zainteresowanych uczelniami wyższymi zarówno na poziomie krajowym jak i międzynarodowym. Metodologie wybranych spośród nich zarówno w odniesieniu globalnym jak i specyfiki polskiej zostały omówione w rozdziale </w:t>
      </w:r>
      <w:r>
        <w:fldChar w:fldCharType="begin"/>
      </w:r>
      <w:r>
        <w:instrText xml:space="preserve"> REF _Ref66053927 \r \h </w:instrText>
      </w:r>
      <w:r>
        <w:fldChar w:fldCharType="separate"/>
      </w:r>
      <w:r w:rsidR="009E351C">
        <w:t>1.3.3</w:t>
      </w:r>
      <w:r>
        <w:fldChar w:fldCharType="end"/>
      </w:r>
      <w:r>
        <w:t>. Z punktu widzenia doskonalenia systemów zarządzania jakością polskich uczelni technicznych warto poznać w jaki sposób pomiar jakości przy pomocy rankingów jest zbieżny z innymi metodami pomiaru jakości usług. Dzięki temu możliwy byłby dobór pewnej ograniczonej grupy wskaźników jakości, które warto monitorować, by móc weryfikować skuteczność wprowadzanych zmian poprzez badanie efektów świadczonych usług. Warto to wspomnieć, że w tak złożonym systemie jakim jest proces kształcenia uniwersyteckiego oddziaływanie na przyczyny źródłowe może często mieć zauważalne efekty dopiero po długim okresie czasu, więc przy podejmowaniu decyzji zarządczych warto uwzględniać perspektywę długoterminową.</w:t>
      </w:r>
      <w:r w:rsidR="00075727">
        <w:t xml:space="preserve"> W celu wskazania zestawów mierników, które wydają się być wzajemnie powiązane w zakresie pomiaru jakości usług uczelni technicznych w niniejszym rozdziale zostaną przedstawione wyniki </w:t>
      </w:r>
      <w:r w:rsidR="00D81125">
        <w:t>analiz korelacji pomiędzy wybranymi parametrami z uwzględnieniem wcześniejszych wniosków w kontekście polskich uczelni technicznych. Ponadto zostanie podjęta próba weryfikacji hipotez H4 i H5. Sformułowanie hipotezy H4 było wynikiem analizy stwierdzeń respondentów badania jakościowego wskazujących na to, że za lepsze uczelnie uznają te, które uzyskują lepsze pozycje w rankingach, a w kontekście polskich uczelni wskazywany był ranking Perspektywy. Brzmi ona:</w:t>
      </w:r>
    </w:p>
    <w:p w14:paraId="1E98B067" w14:textId="62B40EEC" w:rsidR="00D81125" w:rsidRPr="00D81125" w:rsidRDefault="00D81125" w:rsidP="00847F16">
      <w:pPr>
        <w:rPr>
          <w:i/>
          <w:iCs/>
        </w:rPr>
      </w:pPr>
      <w:r w:rsidRPr="00D81125">
        <w:rPr>
          <w:i/>
          <w:iCs/>
        </w:rPr>
        <w:t>Wyniki Indeksu Wyceny Rynkowej Absolwenta polskich publicznych uczelni technicznych są pozytywnie skorelowane z jakością usług uczelni mierzoną przy pomocy rankingu Perspektywy.</w:t>
      </w:r>
    </w:p>
    <w:p w14:paraId="1A7E57E3" w14:textId="0ACF1C0F" w:rsidR="00D81125" w:rsidRDefault="00F04BBF" w:rsidP="00D81125">
      <w:pPr>
        <w:ind w:firstLine="0"/>
      </w:pPr>
      <w:r>
        <w:t xml:space="preserve">Hipoteza ta również jest związana z autorskim modelem relacji między parametrami jakości usług uczelni zaprezentowanym w rozdziale </w:t>
      </w:r>
      <w:r>
        <w:fldChar w:fldCharType="begin"/>
      </w:r>
      <w:r>
        <w:instrText xml:space="preserve"> REF _Ref137972036 \r \h </w:instrText>
      </w:r>
      <w:r>
        <w:fldChar w:fldCharType="separate"/>
      </w:r>
      <w:r w:rsidR="009E351C">
        <w:t>2.2.1</w:t>
      </w:r>
      <w:r>
        <w:fldChar w:fldCharType="end"/>
      </w:r>
      <w:r>
        <w:t xml:space="preserve"> (por. </w:t>
      </w:r>
      <w:r>
        <w:fldChar w:fldCharType="begin"/>
      </w:r>
      <w:r>
        <w:instrText xml:space="preserve"> REF _Ref437094338 \h </w:instrText>
      </w:r>
      <w:r>
        <w:fldChar w:fldCharType="separate"/>
      </w:r>
      <w:r w:rsidR="009E351C" w:rsidRPr="00BC4204">
        <w:t xml:space="preserve">Rysunek </w:t>
      </w:r>
      <w:r w:rsidR="009E351C">
        <w:rPr>
          <w:noProof/>
        </w:rPr>
        <w:t>29</w:t>
      </w:r>
      <w:r>
        <w:fldChar w:fldCharType="end"/>
      </w:r>
      <w:r>
        <w:t xml:space="preserve">). </w:t>
      </w:r>
      <w:r w:rsidR="00D81125">
        <w:t>Natomiast hipoteza H5 brzmiąca:</w:t>
      </w:r>
    </w:p>
    <w:p w14:paraId="7522FE17" w14:textId="7A4C0A10" w:rsidR="008403AA" w:rsidRPr="00D81125" w:rsidRDefault="00D81125" w:rsidP="00D81125">
      <w:pPr>
        <w:rPr>
          <w:i/>
          <w:iCs/>
        </w:rPr>
      </w:pPr>
      <w:r w:rsidRPr="00D81125">
        <w:rPr>
          <w:i/>
          <w:iCs/>
        </w:rPr>
        <w:t>Wyniki Indeksu Wyceny Rynkowej Absolwenta są pozytywnie skorelowane z wynikami oceny prestiżu uczelni</w:t>
      </w:r>
    </w:p>
    <w:p w14:paraId="2EA892E9" w14:textId="70B9316C" w:rsidR="008403AA" w:rsidRDefault="00835373" w:rsidP="00D81125">
      <w:pPr>
        <w:ind w:firstLine="0"/>
      </w:pPr>
      <w:r>
        <w:t>z</w:t>
      </w:r>
      <w:r w:rsidR="00D81125">
        <w:t xml:space="preserve">ostała sformułowana na podstawie analizy literatury wskazującej na kluczową rolę prestiżu uczelni w postrzeganiu jakości jej usług (por. rozdz. </w:t>
      </w:r>
      <w:r w:rsidR="00D81125">
        <w:fldChar w:fldCharType="begin"/>
      </w:r>
      <w:r w:rsidR="00D81125">
        <w:instrText xml:space="preserve"> REF _Ref137885104 \r \h </w:instrText>
      </w:r>
      <w:r w:rsidR="00D81125">
        <w:fldChar w:fldCharType="separate"/>
      </w:r>
      <w:r w:rsidR="009E351C">
        <w:t>1.2.3</w:t>
      </w:r>
      <w:r w:rsidR="00D81125">
        <w:fldChar w:fldCharType="end"/>
      </w:r>
      <w:r w:rsidR="00D81125">
        <w:t>).</w:t>
      </w:r>
    </w:p>
    <w:p w14:paraId="14B9739D" w14:textId="50D6AD1D" w:rsidR="008403AA" w:rsidRDefault="00FA2FB7" w:rsidP="00847F16">
      <w:r>
        <w:t>Wyniki rankingu Perspektywy są podawane w wartościach punktowych odpowiadających procentowej relacji uzyskanego wyniku w ramach każdej z kategorii oceny do wyniku maksymalnego w całej grupie badanych uczelni. Następnie oceny są ważone i wyliczana jest ocena ogólna, która to też jest podawana jako wartość relatywna odniesiona do najwyższego uzyskanego wyniku ogólnego. Na podstawie oceny ogólnej jest tworzona klasyfikacja miejsc (pozycji) w rankingu. Autorzy rankingu Per</w:t>
      </w:r>
      <w:r>
        <w:lastRenderedPageBreak/>
        <w:t>spektywy 2022 uznali, że w sytuacji gdy wyniki dwóch uczelni będą się mieścić w zakresie różnicy do 0,5% to w takiej sytuacji uczelnie te będą uzyskiwały tę samą pozycję w rankingu. Do oceny korelacji wyników rankingu Perspektywy z wynikami IWRA mogą więc zostać wybrane zarówno pozycje w rankingu (będące liczbami całkowitymi) jak i ocena ogólna będącą średnią ważoną poszczególnych ocen szczegółowych. Ze względu na ograniczoną dostępność oceny ogólnej wyliczanej przez autorów rankingu Perspektywy 2022 na potrzeby niniejszych analiz dokonano obliczeń średniej ważonej oceny z wyników uczelni w poszczególnych kategoriach szczegółowych. Taki odpowiednik oceny ogólnej nazwano Wskaźnikiem Oceny Punktowej. Ze względu na fakt iż proporcje różnic pomiędzy wartościami rang (mie</w:t>
      </w:r>
      <w:r w:rsidR="00180BB4">
        <w:t>j</w:t>
      </w:r>
      <w:r>
        <w:t>sc w rankingu)</w:t>
      </w:r>
      <w:r w:rsidR="00180BB4">
        <w:t xml:space="preserve"> mogą być różne w stosunku do różnic pomiędzy wartościami Wskaźnika Oceny Punktowej potraktowano ten wskaźnik jako jeden z wyników pomiaru jakości przy pomocy rankingu Perspektywy 2022. Zbieżność między pozycjami uczelni technicznych w rankingu Perspektywy z wartościami Wskaźnika Oceny Punktowej jest na bardzo wysokim </w:t>
      </w:r>
      <w:r w:rsidR="00180BB4" w:rsidRPr="00180BB4">
        <w:t xml:space="preserve">poziomie (r = -0,9749) wskazując na niemal pełną korelację. </w:t>
      </w:r>
      <w:r w:rsidR="00180BB4">
        <w:t xml:space="preserve">Przy tak wysokiej wartości współczynnika korelacji można śmiało wnioskować, że oba wskaźniki opisują w istocie tę samą informację. Ponadto w celu zweryfikowania, czy jakiś ze składowych elementów oceny w rankingu Perspektywy 2022 jest również równoważną miarą jakości do ogólnej oceny rankingowej </w:t>
      </w:r>
      <w:r w:rsidR="00D53D34">
        <w:t xml:space="preserve">dokonano analizy korelacji pomiędzy wynikami w poszczególnych kategoriach oceny i </w:t>
      </w:r>
      <w:r w:rsidR="00F310B6">
        <w:t>oceną ogólną zarówno wyrażaną jako numer pozycji w rankingu jak i wartość Wskaźnika Oceny Punktowej. Wyniki tych analiz przedstawiono w tabeli po</w:t>
      </w:r>
      <w:r w:rsidR="00172AD1">
        <w:fldChar w:fldCharType="begin"/>
      </w:r>
      <w:r w:rsidR="00172AD1">
        <w:instrText xml:space="preserve"> REF _Ref137889313 \p \h </w:instrText>
      </w:r>
      <w:r w:rsidR="00172AD1">
        <w:fldChar w:fldCharType="separate"/>
      </w:r>
      <w:r w:rsidR="009E351C">
        <w:t>niżej</w:t>
      </w:r>
      <w:r w:rsidR="00172AD1">
        <w:fldChar w:fldCharType="end"/>
      </w:r>
      <w:r w:rsidR="00F310B6">
        <w:t xml:space="preserve"> (</w:t>
      </w:r>
      <w:r w:rsidR="00172AD1">
        <w:fldChar w:fldCharType="begin"/>
      </w:r>
      <w:r w:rsidR="00172AD1">
        <w:instrText xml:space="preserve"> REF _Ref137889325 \h </w:instrText>
      </w:r>
      <w:r w:rsidR="00172AD1">
        <w:fldChar w:fldCharType="separate"/>
      </w:r>
      <w:r w:rsidR="009E351C">
        <w:t xml:space="preserve">Tabela </w:t>
      </w:r>
      <w:r w:rsidR="009E351C">
        <w:rPr>
          <w:noProof/>
        </w:rPr>
        <w:t>74</w:t>
      </w:r>
      <w:r w:rsidR="00172AD1">
        <w:fldChar w:fldCharType="end"/>
      </w:r>
      <w:r w:rsidR="00F310B6">
        <w:t>).</w:t>
      </w:r>
    </w:p>
    <w:p w14:paraId="73116AC7" w14:textId="7ACD9F9B" w:rsidR="00E250BD" w:rsidRDefault="00E250BD" w:rsidP="00E250BD">
      <w:pPr>
        <w:pStyle w:val="Tytutabeli"/>
      </w:pPr>
      <w:bookmarkStart w:id="119" w:name="_Ref137889325"/>
      <w:bookmarkStart w:id="120" w:name="_Ref137889313"/>
      <w:bookmarkStart w:id="121" w:name="_Toc163576363"/>
      <w:r>
        <w:t xml:space="preserve">Tabela </w:t>
      </w:r>
      <w:r>
        <w:fldChar w:fldCharType="begin"/>
      </w:r>
      <w:r>
        <w:instrText xml:space="preserve"> SEQ Tabela \* ARABIC </w:instrText>
      </w:r>
      <w:r>
        <w:fldChar w:fldCharType="separate"/>
      </w:r>
      <w:r w:rsidR="00DA2A4D">
        <w:rPr>
          <w:noProof/>
        </w:rPr>
        <w:t>74</w:t>
      </w:r>
      <w:r>
        <w:rPr>
          <w:noProof/>
        </w:rPr>
        <w:fldChar w:fldCharType="end"/>
      </w:r>
      <w:bookmarkEnd w:id="119"/>
      <w:r>
        <w:t xml:space="preserve"> Korelacje pomiędzy </w:t>
      </w:r>
      <w:r w:rsidR="00F310B6">
        <w:t>miarami ogólnej oceny uczelni technicznych w rankingu Perspektywy 2022, a elementami składowymi ocen rankingowych</w:t>
      </w:r>
      <w:r>
        <w:t>.</w:t>
      </w:r>
      <w:bookmarkEnd w:id="120"/>
      <w:bookmarkEnd w:id="121"/>
    </w:p>
    <w:tbl>
      <w:tblPr>
        <w:tblStyle w:val="Tabela-Siatka"/>
        <w:tblW w:w="0" w:type="auto"/>
        <w:tblInd w:w="113" w:type="dxa"/>
        <w:tblLook w:val="04A0" w:firstRow="1" w:lastRow="0" w:firstColumn="1" w:lastColumn="0" w:noHBand="0" w:noVBand="1"/>
      </w:tblPr>
      <w:tblGrid>
        <w:gridCol w:w="4536"/>
        <w:gridCol w:w="2268"/>
        <w:gridCol w:w="2268"/>
      </w:tblGrid>
      <w:tr w:rsidR="00E250BD" w:rsidRPr="005D59E0" w14:paraId="6BCDCD18" w14:textId="77777777" w:rsidTr="003123D7">
        <w:trPr>
          <w:cantSplit/>
          <w:tblHeader/>
        </w:trPr>
        <w:tc>
          <w:tcPr>
            <w:tcW w:w="4536" w:type="dxa"/>
            <w:vAlign w:val="center"/>
          </w:tcPr>
          <w:p w14:paraId="7E3A4043" w14:textId="77777777" w:rsidR="00E250BD" w:rsidRPr="005D59E0" w:rsidRDefault="00E250BD" w:rsidP="004C1815">
            <w:pPr>
              <w:keepNext/>
              <w:ind w:firstLine="0"/>
              <w:jc w:val="left"/>
              <w:rPr>
                <w:b/>
                <w:bCs/>
                <w:sz w:val="18"/>
                <w:szCs w:val="18"/>
              </w:rPr>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2268" w:type="dxa"/>
            <w:vAlign w:val="center"/>
          </w:tcPr>
          <w:p w14:paraId="1BC040CE" w14:textId="77777777" w:rsidR="00E250BD" w:rsidRPr="005D59E0" w:rsidRDefault="00E250BD"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korelacji</w:t>
            </w:r>
            <w:proofErr w:type="spellEnd"/>
            <w:r w:rsidRPr="005D59E0">
              <w:rPr>
                <w:b/>
                <w:bCs/>
                <w:sz w:val="18"/>
                <w:szCs w:val="18"/>
              </w:rPr>
              <w:t xml:space="preserve"> r-</w:t>
            </w:r>
            <w:proofErr w:type="spellStart"/>
            <w:r w:rsidRPr="005D59E0">
              <w:rPr>
                <w:b/>
                <w:bCs/>
                <w:sz w:val="18"/>
                <w:szCs w:val="18"/>
              </w:rPr>
              <w:t>Pearsona</w:t>
            </w:r>
            <w:proofErr w:type="spellEnd"/>
          </w:p>
        </w:tc>
        <w:tc>
          <w:tcPr>
            <w:tcW w:w="2268" w:type="dxa"/>
            <w:vAlign w:val="center"/>
          </w:tcPr>
          <w:p w14:paraId="3982D90E" w14:textId="77777777" w:rsidR="00E250BD" w:rsidRPr="005D59E0" w:rsidRDefault="00E250BD"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istotności</w:t>
            </w:r>
            <w:proofErr w:type="spellEnd"/>
            <w:r>
              <w:rPr>
                <w:b/>
                <w:bCs/>
                <w:sz w:val="18"/>
                <w:szCs w:val="18"/>
              </w:rPr>
              <w:t xml:space="preserve"> </w:t>
            </w:r>
            <w:proofErr w:type="spellStart"/>
            <w:r>
              <w:rPr>
                <w:b/>
                <w:bCs/>
                <w:sz w:val="18"/>
                <w:szCs w:val="18"/>
              </w:rPr>
              <w:t>statystycznej</w:t>
            </w:r>
            <w:proofErr w:type="spellEnd"/>
            <w:r w:rsidRPr="005D59E0">
              <w:rPr>
                <w:b/>
                <w:bCs/>
                <w:sz w:val="18"/>
                <w:szCs w:val="18"/>
              </w:rPr>
              <w:t xml:space="preserve"> p</w:t>
            </w:r>
          </w:p>
        </w:tc>
      </w:tr>
      <w:tr w:rsidR="00E250BD" w:rsidRPr="005D59E0" w14:paraId="528558B0" w14:textId="77777777" w:rsidTr="003123D7">
        <w:trPr>
          <w:cantSplit/>
        </w:trPr>
        <w:tc>
          <w:tcPr>
            <w:tcW w:w="4536" w:type="dxa"/>
            <w:vAlign w:val="center"/>
          </w:tcPr>
          <w:p w14:paraId="5141F7D8" w14:textId="0CEFFBAA" w:rsidR="00E250BD" w:rsidRPr="005D59E0" w:rsidRDefault="00FA2FB7" w:rsidP="00172AD1">
            <w:pPr>
              <w:spacing w:line="276" w:lineRule="auto"/>
              <w:ind w:firstLine="0"/>
              <w:jc w:val="left"/>
              <w:rPr>
                <w:sz w:val="18"/>
                <w:szCs w:val="18"/>
                <w:lang w:val="pl-PL"/>
              </w:rPr>
            </w:pPr>
            <w:r w:rsidRPr="00FA2FB7">
              <w:rPr>
                <w:sz w:val="18"/>
                <w:szCs w:val="18"/>
                <w:lang w:val="pl-PL"/>
              </w:rPr>
              <w:t>Pozycja Perspektywy 2022 vs</w:t>
            </w:r>
            <w:r w:rsidR="00172AD1">
              <w:rPr>
                <w:sz w:val="18"/>
                <w:szCs w:val="18"/>
                <w:lang w:val="pl-PL"/>
              </w:rPr>
              <w:br/>
            </w:r>
            <w:r w:rsidRPr="00FA2FB7">
              <w:rPr>
                <w:sz w:val="18"/>
                <w:szCs w:val="18"/>
                <w:lang w:val="pl-PL"/>
              </w:rPr>
              <w:t xml:space="preserve"> Wskaźnik</w:t>
            </w:r>
            <w:r>
              <w:rPr>
                <w:sz w:val="18"/>
                <w:szCs w:val="18"/>
                <w:lang w:val="pl-PL"/>
              </w:rPr>
              <w:t xml:space="preserve"> </w:t>
            </w:r>
            <w:r w:rsidRPr="00FA2FB7">
              <w:rPr>
                <w:sz w:val="18"/>
                <w:szCs w:val="18"/>
                <w:lang w:val="pl-PL"/>
              </w:rPr>
              <w:t>Oceny</w:t>
            </w:r>
            <w:r>
              <w:rPr>
                <w:sz w:val="18"/>
                <w:szCs w:val="18"/>
                <w:lang w:val="pl-PL"/>
              </w:rPr>
              <w:t xml:space="preserve"> </w:t>
            </w:r>
            <w:r w:rsidRPr="00FA2FB7">
              <w:rPr>
                <w:sz w:val="18"/>
                <w:szCs w:val="18"/>
                <w:lang w:val="pl-PL"/>
              </w:rPr>
              <w:t>Punktowej</w:t>
            </w:r>
          </w:p>
        </w:tc>
        <w:tc>
          <w:tcPr>
            <w:tcW w:w="2268" w:type="dxa"/>
            <w:vAlign w:val="center"/>
          </w:tcPr>
          <w:p w14:paraId="6ACE097C" w14:textId="3969920D" w:rsidR="00E250BD" w:rsidRPr="0007217F" w:rsidRDefault="00FA2FB7" w:rsidP="003123D7">
            <w:pPr>
              <w:ind w:firstLine="0"/>
              <w:jc w:val="center"/>
              <w:rPr>
                <w:b/>
                <w:bCs/>
                <w:sz w:val="18"/>
                <w:szCs w:val="18"/>
                <w:lang w:val="pl-PL"/>
              </w:rPr>
            </w:pPr>
            <w:r w:rsidRPr="0007217F">
              <w:rPr>
                <w:b/>
                <w:bCs/>
                <w:sz w:val="18"/>
                <w:szCs w:val="18"/>
                <w:lang w:val="pl-PL"/>
              </w:rPr>
              <w:t>-0,9749</w:t>
            </w:r>
          </w:p>
        </w:tc>
        <w:tc>
          <w:tcPr>
            <w:tcW w:w="2268" w:type="dxa"/>
            <w:vAlign w:val="center"/>
          </w:tcPr>
          <w:p w14:paraId="7D4EC916" w14:textId="11F0E251" w:rsidR="00E250BD" w:rsidRPr="009677FC" w:rsidRDefault="00FA2FB7" w:rsidP="003123D7">
            <w:pPr>
              <w:ind w:firstLine="0"/>
              <w:jc w:val="center"/>
              <w:rPr>
                <w:i/>
                <w:iCs/>
                <w:sz w:val="18"/>
                <w:szCs w:val="18"/>
                <w:lang w:val="pl-PL"/>
              </w:rPr>
            </w:pPr>
            <w:r w:rsidRPr="00FA2FB7">
              <w:rPr>
                <w:i/>
                <w:iCs/>
                <w:sz w:val="18"/>
                <w:szCs w:val="18"/>
                <w:lang w:val="pl-PL"/>
              </w:rPr>
              <w:t>&lt;0,0001</w:t>
            </w:r>
          </w:p>
        </w:tc>
      </w:tr>
      <w:tr w:rsidR="00E250BD" w:rsidRPr="005D59E0" w14:paraId="2C37279F" w14:textId="77777777" w:rsidTr="003123D7">
        <w:trPr>
          <w:cantSplit/>
        </w:trPr>
        <w:tc>
          <w:tcPr>
            <w:tcW w:w="4536" w:type="dxa"/>
            <w:vAlign w:val="center"/>
          </w:tcPr>
          <w:p w14:paraId="60A82FFA" w14:textId="3FDB07DD" w:rsidR="00E250BD" w:rsidRPr="005D59E0" w:rsidRDefault="00F310B6" w:rsidP="00172AD1">
            <w:pPr>
              <w:spacing w:line="276" w:lineRule="auto"/>
              <w:ind w:firstLine="0"/>
              <w:jc w:val="left"/>
              <w:rPr>
                <w:sz w:val="18"/>
                <w:szCs w:val="18"/>
                <w:lang w:val="pl-PL"/>
              </w:rPr>
            </w:pPr>
            <w:r w:rsidRPr="00F310B6">
              <w:rPr>
                <w:sz w:val="18"/>
                <w:szCs w:val="18"/>
                <w:lang w:val="pl-PL"/>
              </w:rPr>
              <w:t>Pozycja Perspektywy 2022 vs Prestiż (12%)</w:t>
            </w:r>
          </w:p>
        </w:tc>
        <w:tc>
          <w:tcPr>
            <w:tcW w:w="2268" w:type="dxa"/>
            <w:vAlign w:val="center"/>
          </w:tcPr>
          <w:p w14:paraId="2F457412" w14:textId="6E1AEE4D" w:rsidR="00E250BD" w:rsidRPr="0007217F" w:rsidRDefault="00F310B6" w:rsidP="003123D7">
            <w:pPr>
              <w:ind w:firstLine="0"/>
              <w:jc w:val="center"/>
              <w:rPr>
                <w:b/>
                <w:bCs/>
                <w:sz w:val="18"/>
                <w:szCs w:val="18"/>
                <w:lang w:val="pl-PL"/>
              </w:rPr>
            </w:pPr>
            <w:r w:rsidRPr="0007217F">
              <w:rPr>
                <w:b/>
                <w:bCs/>
                <w:sz w:val="18"/>
                <w:szCs w:val="18"/>
                <w:lang w:val="pl-PL"/>
              </w:rPr>
              <w:t>-0,8345</w:t>
            </w:r>
          </w:p>
        </w:tc>
        <w:tc>
          <w:tcPr>
            <w:tcW w:w="2268" w:type="dxa"/>
            <w:vAlign w:val="center"/>
          </w:tcPr>
          <w:p w14:paraId="16829FBF" w14:textId="4B66DD05" w:rsidR="00E250BD" w:rsidRPr="009677FC" w:rsidRDefault="00F310B6" w:rsidP="003123D7">
            <w:pPr>
              <w:ind w:firstLine="0"/>
              <w:jc w:val="center"/>
              <w:rPr>
                <w:i/>
                <w:iCs/>
                <w:sz w:val="18"/>
                <w:szCs w:val="18"/>
                <w:lang w:val="pl-PL"/>
              </w:rPr>
            </w:pPr>
            <w:r w:rsidRPr="00F310B6">
              <w:rPr>
                <w:i/>
                <w:iCs/>
                <w:sz w:val="18"/>
                <w:szCs w:val="18"/>
                <w:lang w:val="pl-PL"/>
              </w:rPr>
              <w:t>&lt;0,0001</w:t>
            </w:r>
          </w:p>
        </w:tc>
      </w:tr>
      <w:tr w:rsidR="00F310B6" w:rsidRPr="005D59E0" w14:paraId="650AEB18" w14:textId="77777777" w:rsidTr="003123D7">
        <w:trPr>
          <w:cantSplit/>
        </w:trPr>
        <w:tc>
          <w:tcPr>
            <w:tcW w:w="4536" w:type="dxa"/>
            <w:vAlign w:val="center"/>
          </w:tcPr>
          <w:p w14:paraId="2062E69F" w14:textId="759E7E25"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w:t>
            </w:r>
            <w:r w:rsidR="00172AD1">
              <w:rPr>
                <w:sz w:val="18"/>
                <w:szCs w:val="18"/>
                <w:lang w:val="pl-PL"/>
              </w:rPr>
              <w:br/>
            </w:r>
            <w:r w:rsidRPr="00F310B6">
              <w:rPr>
                <w:sz w:val="18"/>
                <w:szCs w:val="18"/>
                <w:lang w:val="pl-PL"/>
              </w:rPr>
              <w:t xml:space="preserve"> Prestiż - Ocena prz</w:t>
            </w:r>
            <w:r>
              <w:rPr>
                <w:sz w:val="18"/>
                <w:szCs w:val="18"/>
                <w:lang w:val="pl-PL"/>
              </w:rPr>
              <w:t>ez</w:t>
            </w:r>
            <w:r w:rsidRPr="00F310B6">
              <w:rPr>
                <w:sz w:val="18"/>
                <w:szCs w:val="18"/>
                <w:lang w:val="pl-PL"/>
              </w:rPr>
              <w:t xml:space="preserve"> kadrę (10%)</w:t>
            </w:r>
          </w:p>
        </w:tc>
        <w:tc>
          <w:tcPr>
            <w:tcW w:w="2268" w:type="dxa"/>
            <w:vAlign w:val="center"/>
          </w:tcPr>
          <w:p w14:paraId="0D362175" w14:textId="45E86E20" w:rsidR="00F310B6" w:rsidRPr="0007217F" w:rsidRDefault="00F310B6" w:rsidP="003123D7">
            <w:pPr>
              <w:ind w:firstLine="0"/>
              <w:jc w:val="center"/>
              <w:rPr>
                <w:b/>
                <w:bCs/>
                <w:sz w:val="18"/>
                <w:szCs w:val="18"/>
                <w:lang w:val="pl-PL"/>
              </w:rPr>
            </w:pPr>
            <w:r w:rsidRPr="0007217F">
              <w:rPr>
                <w:b/>
                <w:bCs/>
                <w:sz w:val="18"/>
                <w:szCs w:val="18"/>
                <w:lang w:val="pl-PL"/>
              </w:rPr>
              <w:t>-0,8086</w:t>
            </w:r>
          </w:p>
        </w:tc>
        <w:tc>
          <w:tcPr>
            <w:tcW w:w="2268" w:type="dxa"/>
            <w:vAlign w:val="center"/>
          </w:tcPr>
          <w:p w14:paraId="70AE2D40" w14:textId="554807F8" w:rsidR="00F310B6" w:rsidRPr="00F310B6" w:rsidRDefault="00F310B6" w:rsidP="003123D7">
            <w:pPr>
              <w:ind w:firstLine="0"/>
              <w:jc w:val="center"/>
              <w:rPr>
                <w:i/>
                <w:iCs/>
                <w:sz w:val="18"/>
                <w:szCs w:val="18"/>
                <w:lang w:val="pl-PL"/>
              </w:rPr>
            </w:pPr>
            <w:r w:rsidRPr="00FA2FB7">
              <w:rPr>
                <w:i/>
                <w:iCs/>
                <w:sz w:val="18"/>
                <w:szCs w:val="18"/>
                <w:lang w:val="pl-PL"/>
              </w:rPr>
              <w:t>&lt;0,0001</w:t>
            </w:r>
          </w:p>
        </w:tc>
      </w:tr>
      <w:tr w:rsidR="00F310B6" w:rsidRPr="005D59E0" w14:paraId="58B346FF" w14:textId="77777777" w:rsidTr="003123D7">
        <w:trPr>
          <w:cantSplit/>
        </w:trPr>
        <w:tc>
          <w:tcPr>
            <w:tcW w:w="4536" w:type="dxa"/>
            <w:vAlign w:val="center"/>
          </w:tcPr>
          <w:p w14:paraId="153B4A9F" w14:textId="14684832"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 ELA (1</w:t>
            </w:r>
            <w:r w:rsidR="00D065D1">
              <w:rPr>
                <w:sz w:val="18"/>
                <w:szCs w:val="18"/>
                <w:lang w:val="pl-PL"/>
              </w:rPr>
              <w:t>2</w:t>
            </w:r>
            <w:r w:rsidRPr="00F310B6">
              <w:rPr>
                <w:sz w:val="18"/>
                <w:szCs w:val="18"/>
                <w:lang w:val="pl-PL"/>
              </w:rPr>
              <w:t>%)</w:t>
            </w:r>
          </w:p>
        </w:tc>
        <w:tc>
          <w:tcPr>
            <w:tcW w:w="2268" w:type="dxa"/>
            <w:vAlign w:val="center"/>
          </w:tcPr>
          <w:p w14:paraId="1EAA7C46" w14:textId="4398F50C" w:rsidR="00F310B6" w:rsidRPr="0007217F" w:rsidRDefault="00F310B6" w:rsidP="003123D7">
            <w:pPr>
              <w:ind w:firstLine="0"/>
              <w:jc w:val="center"/>
              <w:rPr>
                <w:b/>
                <w:bCs/>
                <w:sz w:val="18"/>
                <w:szCs w:val="18"/>
                <w:lang w:val="pl-PL"/>
              </w:rPr>
            </w:pPr>
            <w:r w:rsidRPr="0007217F">
              <w:rPr>
                <w:b/>
                <w:bCs/>
                <w:sz w:val="18"/>
                <w:szCs w:val="18"/>
                <w:lang w:val="pl-PL"/>
              </w:rPr>
              <w:t>-0,7771</w:t>
            </w:r>
          </w:p>
        </w:tc>
        <w:tc>
          <w:tcPr>
            <w:tcW w:w="2268" w:type="dxa"/>
            <w:vAlign w:val="center"/>
          </w:tcPr>
          <w:p w14:paraId="0D6E39FD" w14:textId="130E601B" w:rsidR="00F310B6" w:rsidRPr="00F310B6" w:rsidRDefault="00F310B6" w:rsidP="003123D7">
            <w:pPr>
              <w:ind w:firstLine="0"/>
              <w:jc w:val="center"/>
              <w:rPr>
                <w:i/>
                <w:iCs/>
                <w:sz w:val="18"/>
                <w:szCs w:val="18"/>
                <w:lang w:val="pl-PL"/>
              </w:rPr>
            </w:pPr>
            <w:r w:rsidRPr="00FA2FB7">
              <w:rPr>
                <w:i/>
                <w:iCs/>
                <w:sz w:val="18"/>
                <w:szCs w:val="18"/>
                <w:lang w:val="pl-PL"/>
              </w:rPr>
              <w:t>&lt;0,0001</w:t>
            </w:r>
          </w:p>
        </w:tc>
      </w:tr>
      <w:tr w:rsidR="00F310B6" w:rsidRPr="005D59E0" w14:paraId="78E4A795" w14:textId="77777777" w:rsidTr="003123D7">
        <w:trPr>
          <w:cantSplit/>
        </w:trPr>
        <w:tc>
          <w:tcPr>
            <w:tcW w:w="4536" w:type="dxa"/>
            <w:vAlign w:val="center"/>
          </w:tcPr>
          <w:p w14:paraId="0743664F" w14:textId="6BB58793" w:rsidR="00F310B6" w:rsidRPr="003205A8" w:rsidRDefault="00F310B6" w:rsidP="00172AD1">
            <w:pPr>
              <w:spacing w:line="276" w:lineRule="auto"/>
              <w:ind w:firstLine="0"/>
              <w:jc w:val="left"/>
              <w:rPr>
                <w:sz w:val="18"/>
                <w:szCs w:val="18"/>
                <w:lang w:val="pl-PL"/>
              </w:rPr>
            </w:pPr>
            <w:r w:rsidRPr="003205A8">
              <w:rPr>
                <w:sz w:val="18"/>
                <w:szCs w:val="18"/>
                <w:lang w:val="pl-PL"/>
              </w:rPr>
              <w:t>Pozycja Perspektywy 2022 vs</w:t>
            </w:r>
            <w:r w:rsidR="00172AD1" w:rsidRPr="003205A8">
              <w:rPr>
                <w:sz w:val="18"/>
                <w:szCs w:val="18"/>
                <w:lang w:val="pl-PL"/>
              </w:rPr>
              <w:br/>
            </w:r>
            <w:r w:rsidRPr="003205A8">
              <w:rPr>
                <w:sz w:val="18"/>
                <w:szCs w:val="18"/>
                <w:lang w:val="pl-PL"/>
              </w:rPr>
              <w:t xml:space="preserve"> Potencjał naukowy (15%)</w:t>
            </w:r>
          </w:p>
        </w:tc>
        <w:tc>
          <w:tcPr>
            <w:tcW w:w="2268" w:type="dxa"/>
            <w:vAlign w:val="center"/>
          </w:tcPr>
          <w:p w14:paraId="3FB89EC5" w14:textId="63078761" w:rsidR="00F310B6" w:rsidRPr="00343D95" w:rsidRDefault="00F310B6" w:rsidP="003123D7">
            <w:pPr>
              <w:ind w:firstLine="0"/>
              <w:jc w:val="center"/>
              <w:rPr>
                <w:b/>
                <w:bCs/>
                <w:sz w:val="18"/>
                <w:szCs w:val="18"/>
                <w:lang w:val="pl-PL"/>
              </w:rPr>
            </w:pPr>
            <w:r w:rsidRPr="00343D95">
              <w:rPr>
                <w:b/>
                <w:bCs/>
                <w:sz w:val="18"/>
                <w:szCs w:val="18"/>
                <w:lang w:val="pl-PL"/>
              </w:rPr>
              <w:t>-0,9418</w:t>
            </w:r>
          </w:p>
        </w:tc>
        <w:tc>
          <w:tcPr>
            <w:tcW w:w="2268" w:type="dxa"/>
            <w:vAlign w:val="center"/>
          </w:tcPr>
          <w:p w14:paraId="28AFBCA4" w14:textId="125AF2C9" w:rsidR="00F310B6" w:rsidRPr="00F310B6" w:rsidRDefault="00F310B6" w:rsidP="003123D7">
            <w:pPr>
              <w:ind w:firstLine="0"/>
              <w:jc w:val="center"/>
              <w:rPr>
                <w:i/>
                <w:iCs/>
                <w:sz w:val="18"/>
                <w:szCs w:val="18"/>
                <w:lang w:val="pl-PL"/>
              </w:rPr>
            </w:pPr>
            <w:r w:rsidRPr="00FA2FB7">
              <w:rPr>
                <w:i/>
                <w:iCs/>
                <w:sz w:val="18"/>
                <w:szCs w:val="18"/>
                <w:lang w:val="pl-PL"/>
              </w:rPr>
              <w:t>&lt;0,0001</w:t>
            </w:r>
          </w:p>
        </w:tc>
      </w:tr>
      <w:tr w:rsidR="00F310B6" w:rsidRPr="005D59E0" w14:paraId="70797BDA" w14:textId="77777777" w:rsidTr="003123D7">
        <w:trPr>
          <w:cantSplit/>
        </w:trPr>
        <w:tc>
          <w:tcPr>
            <w:tcW w:w="4536" w:type="dxa"/>
            <w:vAlign w:val="center"/>
          </w:tcPr>
          <w:p w14:paraId="1B04621B" w14:textId="5C75C87D" w:rsidR="00F310B6" w:rsidRPr="003205A8" w:rsidRDefault="00F310B6" w:rsidP="00172AD1">
            <w:pPr>
              <w:spacing w:line="276" w:lineRule="auto"/>
              <w:ind w:firstLine="0"/>
              <w:jc w:val="left"/>
              <w:rPr>
                <w:sz w:val="18"/>
                <w:szCs w:val="18"/>
                <w:lang w:val="pl-PL"/>
              </w:rPr>
            </w:pPr>
            <w:r w:rsidRPr="003205A8">
              <w:rPr>
                <w:sz w:val="18"/>
                <w:szCs w:val="18"/>
                <w:lang w:val="pl-PL"/>
              </w:rPr>
              <w:t>Pozycja Perspektywy 2022 vs</w:t>
            </w:r>
            <w:r w:rsidR="00172AD1" w:rsidRPr="003205A8">
              <w:rPr>
                <w:sz w:val="18"/>
                <w:szCs w:val="18"/>
                <w:lang w:val="pl-PL"/>
              </w:rPr>
              <w:br/>
            </w:r>
            <w:r w:rsidRPr="003205A8">
              <w:rPr>
                <w:sz w:val="18"/>
                <w:szCs w:val="18"/>
                <w:lang w:val="pl-PL"/>
              </w:rPr>
              <w:t xml:space="preserve"> Potencjał naukowy - Ocena parametr. (10%)</w:t>
            </w:r>
          </w:p>
        </w:tc>
        <w:tc>
          <w:tcPr>
            <w:tcW w:w="2268" w:type="dxa"/>
            <w:vAlign w:val="center"/>
          </w:tcPr>
          <w:p w14:paraId="12346739" w14:textId="719843A9" w:rsidR="00F310B6" w:rsidRPr="0007217F" w:rsidRDefault="00F310B6" w:rsidP="003123D7">
            <w:pPr>
              <w:ind w:firstLine="0"/>
              <w:jc w:val="center"/>
              <w:rPr>
                <w:b/>
                <w:bCs/>
                <w:sz w:val="18"/>
                <w:szCs w:val="18"/>
                <w:lang w:val="pl-PL"/>
              </w:rPr>
            </w:pPr>
            <w:r w:rsidRPr="0007217F">
              <w:rPr>
                <w:b/>
                <w:bCs/>
                <w:sz w:val="18"/>
                <w:szCs w:val="18"/>
                <w:lang w:val="pl-PL"/>
              </w:rPr>
              <w:t>-0,9160</w:t>
            </w:r>
          </w:p>
        </w:tc>
        <w:tc>
          <w:tcPr>
            <w:tcW w:w="2268" w:type="dxa"/>
            <w:vAlign w:val="center"/>
          </w:tcPr>
          <w:p w14:paraId="7F68BF22" w14:textId="31D23726" w:rsidR="00F310B6" w:rsidRPr="00F310B6" w:rsidRDefault="00F310B6" w:rsidP="003123D7">
            <w:pPr>
              <w:ind w:firstLine="0"/>
              <w:jc w:val="center"/>
              <w:rPr>
                <w:i/>
                <w:iCs/>
                <w:sz w:val="18"/>
                <w:szCs w:val="18"/>
                <w:lang w:val="pl-PL"/>
              </w:rPr>
            </w:pPr>
            <w:r w:rsidRPr="00FA2FB7">
              <w:rPr>
                <w:i/>
                <w:iCs/>
                <w:sz w:val="18"/>
                <w:szCs w:val="18"/>
                <w:lang w:val="pl-PL"/>
              </w:rPr>
              <w:t>&lt;0,0001</w:t>
            </w:r>
          </w:p>
        </w:tc>
      </w:tr>
      <w:tr w:rsidR="00F310B6" w:rsidRPr="005D59E0" w14:paraId="0C62B02E" w14:textId="77777777" w:rsidTr="003123D7">
        <w:trPr>
          <w:cantSplit/>
        </w:trPr>
        <w:tc>
          <w:tcPr>
            <w:tcW w:w="4536" w:type="dxa"/>
            <w:vAlign w:val="center"/>
          </w:tcPr>
          <w:p w14:paraId="69114711" w14:textId="35EF2C1D"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 Innowacyjność (8%)</w:t>
            </w:r>
          </w:p>
        </w:tc>
        <w:tc>
          <w:tcPr>
            <w:tcW w:w="2268" w:type="dxa"/>
            <w:vAlign w:val="center"/>
          </w:tcPr>
          <w:p w14:paraId="56E03C8D" w14:textId="4173A41C" w:rsidR="00F310B6" w:rsidRPr="0007217F" w:rsidRDefault="00F310B6" w:rsidP="003123D7">
            <w:pPr>
              <w:ind w:firstLine="0"/>
              <w:jc w:val="center"/>
              <w:rPr>
                <w:b/>
                <w:bCs/>
                <w:sz w:val="18"/>
                <w:szCs w:val="18"/>
                <w:lang w:val="pl-PL"/>
              </w:rPr>
            </w:pPr>
            <w:r w:rsidRPr="0007217F">
              <w:rPr>
                <w:b/>
                <w:bCs/>
                <w:sz w:val="18"/>
                <w:szCs w:val="18"/>
                <w:lang w:val="pl-PL"/>
              </w:rPr>
              <w:t>-</w:t>
            </w:r>
            <w:r w:rsidRPr="00343D95">
              <w:rPr>
                <w:b/>
                <w:bCs/>
                <w:sz w:val="18"/>
                <w:szCs w:val="18"/>
                <w:lang w:val="pl-PL"/>
              </w:rPr>
              <w:t>0,5883</w:t>
            </w:r>
          </w:p>
        </w:tc>
        <w:tc>
          <w:tcPr>
            <w:tcW w:w="2268" w:type="dxa"/>
            <w:vAlign w:val="center"/>
          </w:tcPr>
          <w:p w14:paraId="737FE435" w14:textId="5037DA75" w:rsidR="00F310B6" w:rsidRPr="00F310B6" w:rsidRDefault="00F310B6" w:rsidP="003123D7">
            <w:pPr>
              <w:ind w:firstLine="0"/>
              <w:jc w:val="center"/>
              <w:rPr>
                <w:i/>
                <w:iCs/>
                <w:sz w:val="18"/>
                <w:szCs w:val="18"/>
                <w:lang w:val="pl-PL"/>
              </w:rPr>
            </w:pPr>
            <w:r w:rsidRPr="00F310B6">
              <w:rPr>
                <w:i/>
                <w:iCs/>
                <w:sz w:val="18"/>
                <w:szCs w:val="18"/>
                <w:lang w:val="pl-PL"/>
              </w:rPr>
              <w:t>0,0040</w:t>
            </w:r>
          </w:p>
        </w:tc>
      </w:tr>
      <w:tr w:rsidR="00F310B6" w:rsidRPr="005D59E0" w14:paraId="062A6526" w14:textId="77777777" w:rsidTr="003123D7">
        <w:trPr>
          <w:cantSplit/>
        </w:trPr>
        <w:tc>
          <w:tcPr>
            <w:tcW w:w="4536" w:type="dxa"/>
            <w:vAlign w:val="center"/>
          </w:tcPr>
          <w:p w14:paraId="0466F9A1" w14:textId="10B7A9D3" w:rsidR="00F310B6" w:rsidRPr="003205A8" w:rsidRDefault="00F310B6" w:rsidP="00172AD1">
            <w:pPr>
              <w:spacing w:line="276" w:lineRule="auto"/>
              <w:ind w:firstLine="0"/>
              <w:jc w:val="left"/>
              <w:rPr>
                <w:sz w:val="18"/>
                <w:szCs w:val="18"/>
                <w:lang w:val="pl-PL"/>
              </w:rPr>
            </w:pPr>
            <w:r w:rsidRPr="003205A8">
              <w:rPr>
                <w:sz w:val="18"/>
                <w:szCs w:val="18"/>
                <w:lang w:val="pl-PL"/>
              </w:rPr>
              <w:t>Pozycja Perspektywy 2022 vs</w:t>
            </w:r>
            <w:r w:rsidR="00172AD1" w:rsidRPr="003205A8">
              <w:rPr>
                <w:sz w:val="18"/>
                <w:szCs w:val="18"/>
                <w:lang w:val="pl-PL"/>
              </w:rPr>
              <w:br/>
            </w:r>
            <w:r w:rsidRPr="003205A8">
              <w:rPr>
                <w:sz w:val="18"/>
                <w:szCs w:val="18"/>
                <w:lang w:val="pl-PL"/>
              </w:rPr>
              <w:t xml:space="preserve"> Efektywność naukowa (28%)</w:t>
            </w:r>
          </w:p>
        </w:tc>
        <w:tc>
          <w:tcPr>
            <w:tcW w:w="2268" w:type="dxa"/>
            <w:vAlign w:val="center"/>
          </w:tcPr>
          <w:p w14:paraId="7D834C42" w14:textId="5D937EB2" w:rsidR="00F310B6" w:rsidRPr="0007217F" w:rsidRDefault="00F310B6" w:rsidP="003123D7">
            <w:pPr>
              <w:ind w:firstLine="0"/>
              <w:jc w:val="center"/>
              <w:rPr>
                <w:b/>
                <w:bCs/>
                <w:sz w:val="18"/>
                <w:szCs w:val="18"/>
                <w:lang w:val="pl-PL"/>
              </w:rPr>
            </w:pPr>
            <w:r w:rsidRPr="0007217F">
              <w:rPr>
                <w:b/>
                <w:bCs/>
                <w:sz w:val="18"/>
                <w:szCs w:val="18"/>
                <w:lang w:val="pl-PL"/>
              </w:rPr>
              <w:t>-0,9195</w:t>
            </w:r>
          </w:p>
        </w:tc>
        <w:tc>
          <w:tcPr>
            <w:tcW w:w="2268" w:type="dxa"/>
            <w:vAlign w:val="center"/>
          </w:tcPr>
          <w:p w14:paraId="311177B7" w14:textId="711D9AD0"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054F1C0D" w14:textId="77777777" w:rsidTr="003123D7">
        <w:trPr>
          <w:cantSplit/>
        </w:trPr>
        <w:tc>
          <w:tcPr>
            <w:tcW w:w="4536" w:type="dxa"/>
            <w:vAlign w:val="center"/>
          </w:tcPr>
          <w:p w14:paraId="0A138DE8" w14:textId="49546DDE"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w:t>
            </w:r>
            <w:r w:rsidR="00172AD1">
              <w:rPr>
                <w:sz w:val="18"/>
                <w:szCs w:val="18"/>
                <w:lang w:val="pl-PL"/>
              </w:rPr>
              <w:br/>
            </w:r>
            <w:r w:rsidRPr="00F310B6">
              <w:rPr>
                <w:sz w:val="18"/>
                <w:szCs w:val="18"/>
                <w:lang w:val="pl-PL"/>
              </w:rPr>
              <w:t xml:space="preserve"> Publikacje naukowe (15%)</w:t>
            </w:r>
          </w:p>
        </w:tc>
        <w:tc>
          <w:tcPr>
            <w:tcW w:w="2268" w:type="dxa"/>
            <w:vAlign w:val="center"/>
          </w:tcPr>
          <w:p w14:paraId="2B37A119" w14:textId="6D1155A7" w:rsidR="00F310B6" w:rsidRPr="0007217F" w:rsidRDefault="00F310B6" w:rsidP="003123D7">
            <w:pPr>
              <w:ind w:firstLine="0"/>
              <w:jc w:val="center"/>
              <w:rPr>
                <w:b/>
                <w:bCs/>
                <w:sz w:val="18"/>
                <w:szCs w:val="18"/>
                <w:lang w:val="pl-PL"/>
              </w:rPr>
            </w:pPr>
            <w:r w:rsidRPr="0007217F">
              <w:rPr>
                <w:b/>
                <w:bCs/>
                <w:sz w:val="18"/>
                <w:szCs w:val="18"/>
                <w:lang w:val="pl-PL"/>
              </w:rPr>
              <w:t>-0,8654</w:t>
            </w:r>
          </w:p>
        </w:tc>
        <w:tc>
          <w:tcPr>
            <w:tcW w:w="2268" w:type="dxa"/>
            <w:vAlign w:val="center"/>
          </w:tcPr>
          <w:p w14:paraId="102C0F2E" w14:textId="3B11BEF8"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6EA6E40A" w14:textId="77777777" w:rsidTr="003123D7">
        <w:trPr>
          <w:cantSplit/>
        </w:trPr>
        <w:tc>
          <w:tcPr>
            <w:tcW w:w="4536" w:type="dxa"/>
            <w:vAlign w:val="center"/>
          </w:tcPr>
          <w:p w14:paraId="14BA0AEA" w14:textId="3D89E742"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w:t>
            </w:r>
            <w:r w:rsidR="00172AD1">
              <w:rPr>
                <w:sz w:val="18"/>
                <w:szCs w:val="18"/>
                <w:lang w:val="pl-PL"/>
              </w:rPr>
              <w:br/>
            </w:r>
            <w:r w:rsidRPr="00F310B6">
              <w:rPr>
                <w:sz w:val="18"/>
                <w:szCs w:val="18"/>
                <w:lang w:val="pl-PL"/>
              </w:rPr>
              <w:t xml:space="preserve"> Warunki kształcenia (10%)</w:t>
            </w:r>
          </w:p>
        </w:tc>
        <w:tc>
          <w:tcPr>
            <w:tcW w:w="2268" w:type="dxa"/>
            <w:vAlign w:val="center"/>
          </w:tcPr>
          <w:p w14:paraId="40415E64" w14:textId="06CFEF8F" w:rsidR="00F310B6" w:rsidRPr="0007217F" w:rsidRDefault="00F310B6" w:rsidP="003123D7">
            <w:pPr>
              <w:ind w:firstLine="0"/>
              <w:jc w:val="center"/>
              <w:rPr>
                <w:b/>
                <w:bCs/>
                <w:sz w:val="18"/>
                <w:szCs w:val="18"/>
                <w:lang w:val="pl-PL"/>
              </w:rPr>
            </w:pPr>
            <w:r w:rsidRPr="0007217F">
              <w:rPr>
                <w:b/>
                <w:bCs/>
                <w:sz w:val="18"/>
                <w:szCs w:val="18"/>
                <w:lang w:val="pl-PL"/>
              </w:rPr>
              <w:t>-0,7606</w:t>
            </w:r>
          </w:p>
        </w:tc>
        <w:tc>
          <w:tcPr>
            <w:tcW w:w="2268" w:type="dxa"/>
            <w:vAlign w:val="center"/>
          </w:tcPr>
          <w:p w14:paraId="26CF02B0" w14:textId="70354EE4"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10C725C6" w14:textId="77777777" w:rsidTr="003123D7">
        <w:trPr>
          <w:cantSplit/>
        </w:trPr>
        <w:tc>
          <w:tcPr>
            <w:tcW w:w="4536" w:type="dxa"/>
            <w:vAlign w:val="center"/>
          </w:tcPr>
          <w:p w14:paraId="3725B9AD" w14:textId="720D5694" w:rsidR="00F310B6" w:rsidRPr="00F310B6" w:rsidRDefault="00F310B6" w:rsidP="00172AD1">
            <w:pPr>
              <w:spacing w:line="276" w:lineRule="auto"/>
              <w:ind w:firstLine="0"/>
              <w:jc w:val="left"/>
              <w:rPr>
                <w:sz w:val="18"/>
                <w:szCs w:val="18"/>
                <w:lang w:val="pl-PL"/>
              </w:rPr>
            </w:pPr>
            <w:r w:rsidRPr="00F310B6">
              <w:rPr>
                <w:sz w:val="18"/>
                <w:szCs w:val="18"/>
                <w:lang w:val="pl-PL"/>
              </w:rPr>
              <w:t>Pozycja Perspektywy 2022 vs</w:t>
            </w:r>
            <w:r w:rsidR="00172AD1">
              <w:rPr>
                <w:sz w:val="18"/>
                <w:szCs w:val="18"/>
                <w:lang w:val="pl-PL"/>
              </w:rPr>
              <w:br/>
            </w:r>
            <w:r w:rsidRPr="00F310B6">
              <w:rPr>
                <w:sz w:val="18"/>
                <w:szCs w:val="18"/>
                <w:lang w:val="pl-PL"/>
              </w:rPr>
              <w:t xml:space="preserve"> Umiędzynarodowienie (15%)</w:t>
            </w:r>
          </w:p>
        </w:tc>
        <w:tc>
          <w:tcPr>
            <w:tcW w:w="2268" w:type="dxa"/>
            <w:vAlign w:val="center"/>
          </w:tcPr>
          <w:p w14:paraId="3D50E5F5" w14:textId="1870B3A6" w:rsidR="00F310B6" w:rsidRPr="0007217F" w:rsidRDefault="00F310B6" w:rsidP="003123D7">
            <w:pPr>
              <w:ind w:firstLine="0"/>
              <w:jc w:val="center"/>
              <w:rPr>
                <w:b/>
                <w:bCs/>
                <w:sz w:val="18"/>
                <w:szCs w:val="18"/>
                <w:lang w:val="pl-PL"/>
              </w:rPr>
            </w:pPr>
            <w:r w:rsidRPr="0007217F">
              <w:rPr>
                <w:b/>
                <w:bCs/>
                <w:sz w:val="18"/>
                <w:szCs w:val="18"/>
                <w:lang w:val="pl-PL"/>
              </w:rPr>
              <w:t>-0,8474</w:t>
            </w:r>
          </w:p>
        </w:tc>
        <w:tc>
          <w:tcPr>
            <w:tcW w:w="2268" w:type="dxa"/>
            <w:vAlign w:val="center"/>
          </w:tcPr>
          <w:p w14:paraId="6392C61D" w14:textId="32A21E81"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59AC17BE" w14:textId="77777777" w:rsidTr="003123D7">
        <w:trPr>
          <w:cantSplit/>
        </w:trPr>
        <w:tc>
          <w:tcPr>
            <w:tcW w:w="4536" w:type="dxa"/>
            <w:vAlign w:val="center"/>
          </w:tcPr>
          <w:p w14:paraId="0A28EFA5" w14:textId="4E56B1E0" w:rsidR="00F310B6" w:rsidRPr="00083628" w:rsidRDefault="00F310B6" w:rsidP="00172AD1">
            <w:pPr>
              <w:spacing w:line="276" w:lineRule="auto"/>
              <w:ind w:firstLine="0"/>
              <w:jc w:val="left"/>
              <w:rPr>
                <w:sz w:val="18"/>
                <w:szCs w:val="18"/>
                <w:lang w:val="pl-PL"/>
              </w:rPr>
            </w:pPr>
            <w:r w:rsidRPr="00083628">
              <w:rPr>
                <w:sz w:val="18"/>
                <w:szCs w:val="18"/>
                <w:lang w:val="pl-PL"/>
              </w:rPr>
              <w:lastRenderedPageBreak/>
              <w:t>Wskaźnik</w:t>
            </w:r>
            <w:r w:rsidR="00172AD1" w:rsidRPr="00083628">
              <w:rPr>
                <w:sz w:val="18"/>
                <w:szCs w:val="18"/>
                <w:lang w:val="pl-PL"/>
              </w:rPr>
              <w:t xml:space="preserve"> </w:t>
            </w:r>
            <w:r w:rsidRPr="00083628">
              <w:rPr>
                <w:sz w:val="18"/>
                <w:szCs w:val="18"/>
                <w:lang w:val="pl-PL"/>
              </w:rPr>
              <w:t>Oceny</w:t>
            </w:r>
            <w:r w:rsidR="00172AD1" w:rsidRPr="00083628">
              <w:rPr>
                <w:sz w:val="18"/>
                <w:szCs w:val="18"/>
                <w:lang w:val="pl-PL"/>
              </w:rPr>
              <w:t xml:space="preserve"> </w:t>
            </w:r>
            <w:r w:rsidRPr="00083628">
              <w:rPr>
                <w:sz w:val="18"/>
                <w:szCs w:val="18"/>
                <w:lang w:val="pl-PL"/>
              </w:rPr>
              <w:t>Punktowej vs</w:t>
            </w:r>
            <w:r w:rsidR="00172AD1" w:rsidRPr="00083628">
              <w:rPr>
                <w:sz w:val="18"/>
                <w:szCs w:val="18"/>
                <w:lang w:val="pl-PL"/>
              </w:rPr>
              <w:br/>
            </w:r>
            <w:r w:rsidRPr="00083628">
              <w:rPr>
                <w:sz w:val="18"/>
                <w:szCs w:val="18"/>
                <w:lang w:val="pl-PL"/>
              </w:rPr>
              <w:t xml:space="preserve"> Prestiż (12%)</w:t>
            </w:r>
          </w:p>
        </w:tc>
        <w:tc>
          <w:tcPr>
            <w:tcW w:w="2268" w:type="dxa"/>
            <w:vAlign w:val="center"/>
          </w:tcPr>
          <w:p w14:paraId="5F7E3F24" w14:textId="2712794B" w:rsidR="00F310B6" w:rsidRPr="0007217F" w:rsidRDefault="00F310B6" w:rsidP="003123D7">
            <w:pPr>
              <w:ind w:firstLine="0"/>
              <w:jc w:val="center"/>
              <w:rPr>
                <w:b/>
                <w:bCs/>
                <w:sz w:val="18"/>
                <w:szCs w:val="18"/>
                <w:lang w:val="pl-PL"/>
              </w:rPr>
            </w:pPr>
            <w:r w:rsidRPr="0007217F">
              <w:rPr>
                <w:b/>
                <w:bCs/>
                <w:sz w:val="18"/>
                <w:szCs w:val="18"/>
                <w:lang w:val="pl-PL"/>
              </w:rPr>
              <w:t>0,9088</w:t>
            </w:r>
          </w:p>
        </w:tc>
        <w:tc>
          <w:tcPr>
            <w:tcW w:w="2268" w:type="dxa"/>
            <w:vAlign w:val="center"/>
          </w:tcPr>
          <w:p w14:paraId="09493CBF" w14:textId="3DC6ED49"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4B43BCD7" w14:textId="77777777" w:rsidTr="003123D7">
        <w:trPr>
          <w:cantSplit/>
        </w:trPr>
        <w:tc>
          <w:tcPr>
            <w:tcW w:w="4536" w:type="dxa"/>
            <w:vAlign w:val="center"/>
          </w:tcPr>
          <w:p w14:paraId="22B48012" w14:textId="6D96600D" w:rsidR="00F310B6" w:rsidRPr="00F310B6" w:rsidRDefault="00F310B6" w:rsidP="00172AD1">
            <w:pPr>
              <w:spacing w:line="276" w:lineRule="auto"/>
              <w:ind w:firstLine="0"/>
              <w:jc w:val="left"/>
              <w:rPr>
                <w:sz w:val="18"/>
                <w:szCs w:val="18"/>
                <w:lang w:val="pl-PL"/>
              </w:rPr>
            </w:pPr>
            <w:r w:rsidRPr="00F310B6">
              <w:rPr>
                <w:sz w:val="18"/>
                <w:szCs w:val="18"/>
                <w:lang w:val="pl-PL"/>
              </w:rPr>
              <w:t>Wskaźnik</w:t>
            </w:r>
            <w:r w:rsidR="00172AD1">
              <w:rPr>
                <w:sz w:val="18"/>
                <w:szCs w:val="18"/>
                <w:lang w:val="pl-PL"/>
              </w:rPr>
              <w:t xml:space="preserve"> </w:t>
            </w:r>
            <w:r w:rsidRPr="00F310B6">
              <w:rPr>
                <w:sz w:val="18"/>
                <w:szCs w:val="18"/>
                <w:lang w:val="pl-PL"/>
              </w:rPr>
              <w:t>Oceny</w:t>
            </w:r>
            <w:r w:rsidR="00172AD1">
              <w:rPr>
                <w:sz w:val="18"/>
                <w:szCs w:val="18"/>
                <w:lang w:val="pl-PL"/>
              </w:rPr>
              <w:t xml:space="preserve"> </w:t>
            </w:r>
            <w:r w:rsidRPr="00F310B6">
              <w:rPr>
                <w:sz w:val="18"/>
                <w:szCs w:val="18"/>
                <w:lang w:val="pl-PL"/>
              </w:rPr>
              <w:t>Punktowej vs</w:t>
            </w:r>
            <w:r w:rsidR="00172AD1">
              <w:rPr>
                <w:sz w:val="18"/>
                <w:szCs w:val="18"/>
                <w:lang w:val="pl-PL"/>
              </w:rPr>
              <w:br/>
            </w:r>
            <w:r w:rsidRPr="00F310B6">
              <w:rPr>
                <w:sz w:val="18"/>
                <w:szCs w:val="18"/>
                <w:lang w:val="pl-PL"/>
              </w:rPr>
              <w:t xml:space="preserve"> Prestiż - Ocena przez kadrę (10%)</w:t>
            </w:r>
          </w:p>
        </w:tc>
        <w:tc>
          <w:tcPr>
            <w:tcW w:w="2268" w:type="dxa"/>
            <w:vAlign w:val="center"/>
          </w:tcPr>
          <w:p w14:paraId="01A1FF7F" w14:textId="138B43AF" w:rsidR="00F310B6" w:rsidRPr="0007217F" w:rsidRDefault="00F310B6" w:rsidP="003123D7">
            <w:pPr>
              <w:ind w:firstLine="0"/>
              <w:jc w:val="center"/>
              <w:rPr>
                <w:b/>
                <w:bCs/>
                <w:sz w:val="18"/>
                <w:szCs w:val="18"/>
                <w:lang w:val="pl-PL"/>
              </w:rPr>
            </w:pPr>
            <w:r w:rsidRPr="0007217F">
              <w:rPr>
                <w:b/>
                <w:bCs/>
                <w:sz w:val="18"/>
                <w:szCs w:val="18"/>
                <w:lang w:val="pl-PL"/>
              </w:rPr>
              <w:t>0,8894</w:t>
            </w:r>
          </w:p>
        </w:tc>
        <w:tc>
          <w:tcPr>
            <w:tcW w:w="2268" w:type="dxa"/>
            <w:vAlign w:val="center"/>
          </w:tcPr>
          <w:p w14:paraId="3ED34D28" w14:textId="58BA7ECD"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C015CE" w:rsidRPr="005D59E0" w14:paraId="518EE497" w14:textId="77777777" w:rsidTr="003123D7">
        <w:trPr>
          <w:cantSplit/>
        </w:trPr>
        <w:tc>
          <w:tcPr>
            <w:tcW w:w="4536" w:type="dxa"/>
            <w:vAlign w:val="center"/>
          </w:tcPr>
          <w:p w14:paraId="77D590D3" w14:textId="6112F670" w:rsidR="00C015CE" w:rsidRPr="00C015CE" w:rsidRDefault="00C015CE" w:rsidP="00172AD1">
            <w:pPr>
              <w:spacing w:line="276" w:lineRule="auto"/>
              <w:ind w:firstLine="0"/>
              <w:jc w:val="left"/>
              <w:rPr>
                <w:sz w:val="18"/>
                <w:szCs w:val="18"/>
                <w:lang w:val="pl-PL"/>
              </w:rPr>
            </w:pPr>
            <w:r w:rsidRPr="00F310B6">
              <w:rPr>
                <w:sz w:val="18"/>
                <w:szCs w:val="18"/>
                <w:lang w:val="pl-PL"/>
              </w:rPr>
              <w:t>Wskaźnik</w:t>
            </w:r>
            <w:r>
              <w:rPr>
                <w:sz w:val="18"/>
                <w:szCs w:val="18"/>
                <w:lang w:val="pl-PL"/>
              </w:rPr>
              <w:t xml:space="preserve"> </w:t>
            </w:r>
            <w:r w:rsidRPr="00F310B6">
              <w:rPr>
                <w:sz w:val="18"/>
                <w:szCs w:val="18"/>
                <w:lang w:val="pl-PL"/>
              </w:rPr>
              <w:t>Oceny</w:t>
            </w:r>
            <w:r>
              <w:rPr>
                <w:sz w:val="18"/>
                <w:szCs w:val="18"/>
                <w:lang w:val="pl-PL"/>
              </w:rPr>
              <w:t xml:space="preserve"> </w:t>
            </w:r>
            <w:r w:rsidRPr="00F310B6">
              <w:rPr>
                <w:sz w:val="18"/>
                <w:szCs w:val="18"/>
                <w:lang w:val="pl-PL"/>
              </w:rPr>
              <w:t>Punktowej vs</w:t>
            </w:r>
            <w:r>
              <w:rPr>
                <w:sz w:val="18"/>
                <w:szCs w:val="18"/>
                <w:lang w:val="pl-PL"/>
              </w:rPr>
              <w:br/>
            </w:r>
            <w:r w:rsidRPr="00F310B6">
              <w:rPr>
                <w:sz w:val="18"/>
                <w:szCs w:val="18"/>
                <w:lang w:val="pl-PL"/>
              </w:rPr>
              <w:t xml:space="preserve"> Prestiż </w:t>
            </w:r>
            <w:r>
              <w:rPr>
                <w:sz w:val="18"/>
                <w:szCs w:val="18"/>
                <w:lang w:val="pl-PL"/>
              </w:rPr>
              <w:t>–</w:t>
            </w:r>
            <w:r w:rsidRPr="00F310B6">
              <w:rPr>
                <w:sz w:val="18"/>
                <w:szCs w:val="18"/>
                <w:lang w:val="pl-PL"/>
              </w:rPr>
              <w:t xml:space="preserve"> </w:t>
            </w:r>
            <w:r>
              <w:rPr>
                <w:sz w:val="18"/>
                <w:szCs w:val="18"/>
                <w:lang w:val="pl-PL"/>
              </w:rPr>
              <w:t>Uznanie międzynarodowe</w:t>
            </w:r>
            <w:r w:rsidRPr="00F310B6">
              <w:rPr>
                <w:sz w:val="18"/>
                <w:szCs w:val="18"/>
                <w:lang w:val="pl-PL"/>
              </w:rPr>
              <w:t xml:space="preserve"> (</w:t>
            </w:r>
            <w:r>
              <w:rPr>
                <w:sz w:val="18"/>
                <w:szCs w:val="18"/>
                <w:lang w:val="pl-PL"/>
              </w:rPr>
              <w:t>2</w:t>
            </w:r>
            <w:r w:rsidRPr="00F310B6">
              <w:rPr>
                <w:sz w:val="18"/>
                <w:szCs w:val="18"/>
                <w:lang w:val="pl-PL"/>
              </w:rPr>
              <w:t>%)</w:t>
            </w:r>
          </w:p>
        </w:tc>
        <w:tc>
          <w:tcPr>
            <w:tcW w:w="2268" w:type="dxa"/>
            <w:vAlign w:val="center"/>
          </w:tcPr>
          <w:p w14:paraId="5721DC6C" w14:textId="275A4FC4" w:rsidR="00C015CE" w:rsidRPr="0007217F" w:rsidRDefault="00C015CE" w:rsidP="003123D7">
            <w:pPr>
              <w:ind w:firstLine="0"/>
              <w:jc w:val="center"/>
              <w:rPr>
                <w:b/>
                <w:bCs/>
                <w:sz w:val="18"/>
                <w:szCs w:val="18"/>
              </w:rPr>
            </w:pPr>
            <w:r>
              <w:rPr>
                <w:b/>
                <w:bCs/>
                <w:sz w:val="18"/>
                <w:szCs w:val="18"/>
              </w:rPr>
              <w:t>0,9446</w:t>
            </w:r>
          </w:p>
        </w:tc>
        <w:tc>
          <w:tcPr>
            <w:tcW w:w="2268" w:type="dxa"/>
            <w:vAlign w:val="center"/>
          </w:tcPr>
          <w:p w14:paraId="4911F91F" w14:textId="0839729A" w:rsidR="00C015CE" w:rsidRPr="00FA2FB7" w:rsidRDefault="00C015CE" w:rsidP="003123D7">
            <w:pPr>
              <w:ind w:firstLine="0"/>
              <w:jc w:val="center"/>
              <w:rPr>
                <w:i/>
                <w:iCs/>
                <w:sz w:val="18"/>
                <w:szCs w:val="18"/>
              </w:rPr>
            </w:pPr>
            <w:r w:rsidRPr="00FA2FB7">
              <w:rPr>
                <w:i/>
                <w:iCs/>
                <w:sz w:val="18"/>
                <w:szCs w:val="18"/>
                <w:lang w:val="pl-PL"/>
              </w:rPr>
              <w:t>&lt;0,0001</w:t>
            </w:r>
          </w:p>
        </w:tc>
      </w:tr>
      <w:tr w:rsidR="00F310B6" w:rsidRPr="005D59E0" w14:paraId="4D82D4D5" w14:textId="77777777" w:rsidTr="003123D7">
        <w:trPr>
          <w:cantSplit/>
        </w:trPr>
        <w:tc>
          <w:tcPr>
            <w:tcW w:w="4536" w:type="dxa"/>
            <w:vAlign w:val="center"/>
          </w:tcPr>
          <w:p w14:paraId="7FC4EDAC" w14:textId="34741093" w:rsidR="00F310B6" w:rsidRPr="00F310B6" w:rsidRDefault="00F310B6" w:rsidP="00172AD1">
            <w:pPr>
              <w:spacing w:line="276" w:lineRule="auto"/>
              <w:ind w:firstLine="0"/>
              <w:jc w:val="left"/>
              <w:rPr>
                <w:sz w:val="18"/>
                <w:szCs w:val="18"/>
                <w:lang w:val="pl-PL"/>
              </w:rPr>
            </w:pPr>
            <w:r w:rsidRPr="00F310B6">
              <w:rPr>
                <w:sz w:val="18"/>
                <w:szCs w:val="18"/>
                <w:lang w:val="pl-PL"/>
              </w:rPr>
              <w:t>Wskaźnik</w:t>
            </w:r>
            <w:r w:rsidR="00172AD1">
              <w:rPr>
                <w:sz w:val="18"/>
                <w:szCs w:val="18"/>
                <w:lang w:val="pl-PL"/>
              </w:rPr>
              <w:t xml:space="preserve"> </w:t>
            </w:r>
            <w:r w:rsidRPr="00F310B6">
              <w:rPr>
                <w:sz w:val="18"/>
                <w:szCs w:val="18"/>
                <w:lang w:val="pl-PL"/>
              </w:rPr>
              <w:t>Oceny</w:t>
            </w:r>
            <w:r w:rsidR="00172AD1">
              <w:rPr>
                <w:sz w:val="18"/>
                <w:szCs w:val="18"/>
                <w:lang w:val="pl-PL"/>
              </w:rPr>
              <w:t xml:space="preserve"> </w:t>
            </w:r>
            <w:r w:rsidRPr="00F310B6">
              <w:rPr>
                <w:sz w:val="18"/>
                <w:szCs w:val="18"/>
                <w:lang w:val="pl-PL"/>
              </w:rPr>
              <w:t>Punktowej vs ELA (1</w:t>
            </w:r>
            <w:r w:rsidR="00D065D1">
              <w:rPr>
                <w:sz w:val="18"/>
                <w:szCs w:val="18"/>
                <w:lang w:val="pl-PL"/>
              </w:rPr>
              <w:t>2</w:t>
            </w:r>
            <w:r w:rsidRPr="00F310B6">
              <w:rPr>
                <w:sz w:val="18"/>
                <w:szCs w:val="18"/>
                <w:lang w:val="pl-PL"/>
              </w:rPr>
              <w:t>%)</w:t>
            </w:r>
          </w:p>
        </w:tc>
        <w:tc>
          <w:tcPr>
            <w:tcW w:w="2268" w:type="dxa"/>
            <w:vAlign w:val="center"/>
          </w:tcPr>
          <w:p w14:paraId="40DEE532" w14:textId="10E4254B" w:rsidR="00F310B6" w:rsidRPr="0007217F" w:rsidRDefault="00F310B6" w:rsidP="003123D7">
            <w:pPr>
              <w:ind w:firstLine="0"/>
              <w:jc w:val="center"/>
              <w:rPr>
                <w:b/>
                <w:bCs/>
                <w:sz w:val="18"/>
                <w:szCs w:val="18"/>
                <w:lang w:val="pl-PL"/>
              </w:rPr>
            </w:pPr>
            <w:r w:rsidRPr="0007217F">
              <w:rPr>
                <w:b/>
                <w:bCs/>
                <w:sz w:val="18"/>
                <w:szCs w:val="18"/>
                <w:lang w:val="pl-PL"/>
              </w:rPr>
              <w:t>0,8288</w:t>
            </w:r>
          </w:p>
        </w:tc>
        <w:tc>
          <w:tcPr>
            <w:tcW w:w="2268" w:type="dxa"/>
            <w:vAlign w:val="center"/>
          </w:tcPr>
          <w:p w14:paraId="420B7B37" w14:textId="4E8FA04D"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70789B40" w14:textId="77777777" w:rsidTr="003123D7">
        <w:trPr>
          <w:cantSplit/>
        </w:trPr>
        <w:tc>
          <w:tcPr>
            <w:tcW w:w="4536" w:type="dxa"/>
            <w:vAlign w:val="center"/>
          </w:tcPr>
          <w:p w14:paraId="50D47025" w14:textId="3CEFD4E0" w:rsidR="00F310B6" w:rsidRPr="003205A8" w:rsidRDefault="00F310B6" w:rsidP="00172AD1">
            <w:pPr>
              <w:spacing w:line="276" w:lineRule="auto"/>
              <w:ind w:firstLine="0"/>
              <w:jc w:val="left"/>
              <w:rPr>
                <w:sz w:val="18"/>
                <w:szCs w:val="18"/>
                <w:lang w:val="pl-PL"/>
              </w:rPr>
            </w:pPr>
            <w:r w:rsidRPr="003205A8">
              <w:rPr>
                <w:sz w:val="18"/>
                <w:szCs w:val="18"/>
                <w:lang w:val="pl-PL"/>
              </w:rPr>
              <w:t>Wskaźnik</w:t>
            </w:r>
            <w:r w:rsidR="00172AD1" w:rsidRPr="003205A8">
              <w:rPr>
                <w:sz w:val="18"/>
                <w:szCs w:val="18"/>
                <w:lang w:val="pl-PL"/>
              </w:rPr>
              <w:t xml:space="preserve"> </w:t>
            </w:r>
            <w:r w:rsidRPr="003205A8">
              <w:rPr>
                <w:sz w:val="18"/>
                <w:szCs w:val="18"/>
                <w:lang w:val="pl-PL"/>
              </w:rPr>
              <w:t>Oceny</w:t>
            </w:r>
            <w:r w:rsidR="00172AD1" w:rsidRPr="003205A8">
              <w:rPr>
                <w:sz w:val="18"/>
                <w:szCs w:val="18"/>
                <w:lang w:val="pl-PL"/>
              </w:rPr>
              <w:t xml:space="preserve"> </w:t>
            </w:r>
            <w:r w:rsidRPr="003205A8">
              <w:rPr>
                <w:sz w:val="18"/>
                <w:szCs w:val="18"/>
                <w:lang w:val="pl-PL"/>
              </w:rPr>
              <w:t>Punktowej vs</w:t>
            </w:r>
            <w:r w:rsidR="00172AD1" w:rsidRPr="003205A8">
              <w:rPr>
                <w:sz w:val="18"/>
                <w:szCs w:val="18"/>
                <w:lang w:val="pl-PL"/>
              </w:rPr>
              <w:br/>
            </w:r>
            <w:r w:rsidRPr="003205A8">
              <w:rPr>
                <w:sz w:val="18"/>
                <w:szCs w:val="18"/>
                <w:lang w:val="pl-PL"/>
              </w:rPr>
              <w:t xml:space="preserve"> Potencjał naukowy (15%)</w:t>
            </w:r>
          </w:p>
        </w:tc>
        <w:tc>
          <w:tcPr>
            <w:tcW w:w="2268" w:type="dxa"/>
            <w:vAlign w:val="center"/>
          </w:tcPr>
          <w:p w14:paraId="00DF1CED" w14:textId="79FB5B5F" w:rsidR="00F310B6" w:rsidRPr="0007217F" w:rsidRDefault="00F310B6" w:rsidP="003123D7">
            <w:pPr>
              <w:ind w:firstLine="0"/>
              <w:jc w:val="center"/>
              <w:rPr>
                <w:b/>
                <w:bCs/>
                <w:sz w:val="18"/>
                <w:szCs w:val="18"/>
                <w:lang w:val="pl-PL"/>
              </w:rPr>
            </w:pPr>
            <w:r w:rsidRPr="0007217F">
              <w:rPr>
                <w:b/>
                <w:bCs/>
                <w:sz w:val="18"/>
                <w:szCs w:val="18"/>
                <w:lang w:val="pl-PL"/>
              </w:rPr>
              <w:t>0,9299</w:t>
            </w:r>
          </w:p>
        </w:tc>
        <w:tc>
          <w:tcPr>
            <w:tcW w:w="2268" w:type="dxa"/>
            <w:vAlign w:val="center"/>
          </w:tcPr>
          <w:p w14:paraId="0A656FA4" w14:textId="3DD947CF"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32840A3B" w14:textId="77777777" w:rsidTr="003123D7">
        <w:trPr>
          <w:cantSplit/>
        </w:trPr>
        <w:tc>
          <w:tcPr>
            <w:tcW w:w="4536" w:type="dxa"/>
            <w:vAlign w:val="center"/>
          </w:tcPr>
          <w:p w14:paraId="6CF87819" w14:textId="57C65C7B" w:rsidR="00F310B6" w:rsidRPr="00F310B6" w:rsidRDefault="00F310B6" w:rsidP="00172AD1">
            <w:pPr>
              <w:spacing w:line="276" w:lineRule="auto"/>
              <w:ind w:firstLine="0"/>
              <w:jc w:val="left"/>
              <w:rPr>
                <w:sz w:val="18"/>
                <w:szCs w:val="18"/>
                <w:lang w:val="pl-PL"/>
              </w:rPr>
            </w:pPr>
            <w:r w:rsidRPr="00F310B6">
              <w:rPr>
                <w:sz w:val="18"/>
                <w:szCs w:val="18"/>
                <w:lang w:val="pl-PL"/>
              </w:rPr>
              <w:t>Wskaźnik</w:t>
            </w:r>
            <w:r w:rsidR="00172AD1">
              <w:rPr>
                <w:sz w:val="18"/>
                <w:szCs w:val="18"/>
                <w:lang w:val="pl-PL"/>
              </w:rPr>
              <w:t xml:space="preserve"> </w:t>
            </w:r>
            <w:r w:rsidRPr="00F310B6">
              <w:rPr>
                <w:sz w:val="18"/>
                <w:szCs w:val="18"/>
                <w:lang w:val="pl-PL"/>
              </w:rPr>
              <w:t>Oceny</w:t>
            </w:r>
            <w:r w:rsidR="00172AD1">
              <w:rPr>
                <w:sz w:val="18"/>
                <w:szCs w:val="18"/>
                <w:lang w:val="pl-PL"/>
              </w:rPr>
              <w:t xml:space="preserve"> </w:t>
            </w:r>
            <w:r w:rsidRPr="00F310B6">
              <w:rPr>
                <w:sz w:val="18"/>
                <w:szCs w:val="18"/>
                <w:lang w:val="pl-PL"/>
              </w:rPr>
              <w:t>Punktowej vs</w:t>
            </w:r>
            <w:r w:rsidR="00172AD1">
              <w:rPr>
                <w:sz w:val="18"/>
                <w:szCs w:val="18"/>
                <w:lang w:val="pl-PL"/>
              </w:rPr>
              <w:br/>
            </w:r>
            <w:r w:rsidRPr="00F310B6">
              <w:rPr>
                <w:sz w:val="18"/>
                <w:szCs w:val="18"/>
                <w:lang w:val="pl-PL"/>
              </w:rPr>
              <w:t xml:space="preserve"> Potencjał naukowy - Ocena parametr. (10%)</w:t>
            </w:r>
          </w:p>
        </w:tc>
        <w:tc>
          <w:tcPr>
            <w:tcW w:w="2268" w:type="dxa"/>
            <w:vAlign w:val="center"/>
          </w:tcPr>
          <w:p w14:paraId="132455B7" w14:textId="66AB28A5" w:rsidR="00F310B6" w:rsidRPr="0007217F" w:rsidRDefault="00F310B6" w:rsidP="003123D7">
            <w:pPr>
              <w:ind w:firstLine="0"/>
              <w:jc w:val="center"/>
              <w:rPr>
                <w:b/>
                <w:bCs/>
                <w:sz w:val="18"/>
                <w:szCs w:val="18"/>
                <w:lang w:val="pl-PL"/>
              </w:rPr>
            </w:pPr>
            <w:r w:rsidRPr="0007217F">
              <w:rPr>
                <w:b/>
                <w:bCs/>
                <w:sz w:val="18"/>
                <w:szCs w:val="18"/>
                <w:lang w:val="pl-PL"/>
              </w:rPr>
              <w:t>0,8822</w:t>
            </w:r>
          </w:p>
        </w:tc>
        <w:tc>
          <w:tcPr>
            <w:tcW w:w="2268" w:type="dxa"/>
            <w:vAlign w:val="center"/>
          </w:tcPr>
          <w:p w14:paraId="73F9000E" w14:textId="625216D9"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C015CE" w:rsidRPr="005D59E0" w14:paraId="3A1A1B90" w14:textId="77777777" w:rsidTr="003123D7">
        <w:trPr>
          <w:cantSplit/>
        </w:trPr>
        <w:tc>
          <w:tcPr>
            <w:tcW w:w="4536" w:type="dxa"/>
            <w:vAlign w:val="center"/>
          </w:tcPr>
          <w:p w14:paraId="5114FD6B" w14:textId="3A3D3FB9" w:rsidR="00C015CE" w:rsidRPr="00C015CE" w:rsidRDefault="00C015CE" w:rsidP="00172AD1">
            <w:pPr>
              <w:spacing w:line="276" w:lineRule="auto"/>
              <w:ind w:firstLine="0"/>
              <w:jc w:val="left"/>
              <w:rPr>
                <w:rFonts w:cs="Arial"/>
                <w:sz w:val="18"/>
                <w:szCs w:val="18"/>
                <w:lang w:val="pl-PL"/>
              </w:rPr>
            </w:pPr>
            <w:r w:rsidRPr="00C015CE">
              <w:rPr>
                <w:rFonts w:cs="Arial"/>
                <w:sz w:val="18"/>
                <w:szCs w:val="18"/>
                <w:lang w:val="pl-PL"/>
              </w:rPr>
              <w:t>Wskaźnik Oceny Punktowej vs</w:t>
            </w:r>
            <w:r w:rsidRPr="00C015CE">
              <w:rPr>
                <w:rFonts w:cs="Arial"/>
                <w:sz w:val="18"/>
                <w:szCs w:val="18"/>
                <w:lang w:val="pl-PL"/>
              </w:rPr>
              <w:br/>
              <w:t xml:space="preserve"> Potencjał naukowy - Nasycenie kadry osobami o najwyższych kwalifikacjach (</w:t>
            </w:r>
            <w:r>
              <w:rPr>
                <w:rFonts w:cs="Arial"/>
                <w:sz w:val="18"/>
                <w:szCs w:val="18"/>
                <w:lang w:val="pl-PL"/>
              </w:rPr>
              <w:t>3%</w:t>
            </w:r>
            <w:r w:rsidRPr="00C015CE">
              <w:rPr>
                <w:rFonts w:cs="Arial"/>
                <w:sz w:val="18"/>
                <w:szCs w:val="18"/>
                <w:lang w:val="pl-PL"/>
              </w:rPr>
              <w:t>)</w:t>
            </w:r>
          </w:p>
        </w:tc>
        <w:tc>
          <w:tcPr>
            <w:tcW w:w="2268" w:type="dxa"/>
            <w:vAlign w:val="center"/>
          </w:tcPr>
          <w:p w14:paraId="2D4ADA3F" w14:textId="0B03C429" w:rsidR="00C015CE" w:rsidRPr="00163281" w:rsidRDefault="00C015CE" w:rsidP="003123D7">
            <w:pPr>
              <w:ind w:firstLine="0"/>
              <w:jc w:val="center"/>
              <w:rPr>
                <w:sz w:val="18"/>
                <w:szCs w:val="18"/>
                <w:lang w:val="pl-PL"/>
              </w:rPr>
            </w:pPr>
            <w:r w:rsidRPr="00163281">
              <w:rPr>
                <w:sz w:val="18"/>
                <w:szCs w:val="18"/>
                <w:lang w:val="pl-PL"/>
              </w:rPr>
              <w:t>0,3571</w:t>
            </w:r>
          </w:p>
        </w:tc>
        <w:tc>
          <w:tcPr>
            <w:tcW w:w="2268" w:type="dxa"/>
            <w:vAlign w:val="center"/>
          </w:tcPr>
          <w:p w14:paraId="2BA37DB4" w14:textId="174CE3CE" w:rsidR="00C015CE" w:rsidRPr="00C015CE" w:rsidRDefault="00163281" w:rsidP="003123D7">
            <w:pPr>
              <w:ind w:firstLine="0"/>
              <w:jc w:val="center"/>
              <w:rPr>
                <w:i/>
                <w:iCs/>
                <w:sz w:val="18"/>
                <w:szCs w:val="18"/>
                <w:lang w:val="pl-PL"/>
              </w:rPr>
            </w:pPr>
            <w:r w:rsidRPr="00163281">
              <w:rPr>
                <w:i/>
                <w:iCs/>
                <w:sz w:val="18"/>
                <w:szCs w:val="18"/>
                <w:lang w:val="pl-PL"/>
              </w:rPr>
              <w:t>0,1027</w:t>
            </w:r>
          </w:p>
        </w:tc>
      </w:tr>
      <w:tr w:rsidR="00C015CE" w:rsidRPr="005D59E0" w14:paraId="707ADC45" w14:textId="77777777" w:rsidTr="003123D7">
        <w:trPr>
          <w:cantSplit/>
        </w:trPr>
        <w:tc>
          <w:tcPr>
            <w:tcW w:w="4536" w:type="dxa"/>
            <w:vAlign w:val="center"/>
          </w:tcPr>
          <w:p w14:paraId="00EC6AFD" w14:textId="0E4F90EF" w:rsidR="00C015CE" w:rsidRPr="00C015CE" w:rsidRDefault="00163281" w:rsidP="00172AD1">
            <w:pPr>
              <w:spacing w:line="276" w:lineRule="auto"/>
              <w:ind w:firstLine="0"/>
              <w:jc w:val="left"/>
              <w:rPr>
                <w:sz w:val="18"/>
                <w:szCs w:val="18"/>
                <w:lang w:val="pl-PL"/>
              </w:rPr>
            </w:pPr>
            <w:r w:rsidRPr="00F310B6">
              <w:rPr>
                <w:sz w:val="18"/>
                <w:szCs w:val="18"/>
                <w:lang w:val="pl-PL"/>
              </w:rPr>
              <w:t>Wskaźnik</w:t>
            </w:r>
            <w:r>
              <w:rPr>
                <w:sz w:val="18"/>
                <w:szCs w:val="18"/>
                <w:lang w:val="pl-PL"/>
              </w:rPr>
              <w:t xml:space="preserve"> </w:t>
            </w:r>
            <w:r w:rsidRPr="00F310B6">
              <w:rPr>
                <w:sz w:val="18"/>
                <w:szCs w:val="18"/>
                <w:lang w:val="pl-PL"/>
              </w:rPr>
              <w:t>Oceny</w:t>
            </w:r>
            <w:r>
              <w:rPr>
                <w:sz w:val="18"/>
                <w:szCs w:val="18"/>
                <w:lang w:val="pl-PL"/>
              </w:rPr>
              <w:t xml:space="preserve"> </w:t>
            </w:r>
            <w:r w:rsidRPr="00F310B6">
              <w:rPr>
                <w:sz w:val="18"/>
                <w:szCs w:val="18"/>
                <w:lang w:val="pl-PL"/>
              </w:rPr>
              <w:t>Punktowej vs</w:t>
            </w:r>
            <w:r>
              <w:rPr>
                <w:sz w:val="18"/>
                <w:szCs w:val="18"/>
                <w:lang w:val="pl-PL"/>
              </w:rPr>
              <w:br/>
            </w:r>
            <w:r w:rsidRPr="00F310B6">
              <w:rPr>
                <w:sz w:val="18"/>
                <w:szCs w:val="18"/>
                <w:lang w:val="pl-PL"/>
              </w:rPr>
              <w:t xml:space="preserve"> Potencjał naukowy </w:t>
            </w:r>
            <w:r>
              <w:rPr>
                <w:sz w:val="18"/>
                <w:szCs w:val="18"/>
                <w:lang w:val="pl-PL"/>
              </w:rPr>
              <w:t>–</w:t>
            </w:r>
            <w:r w:rsidRPr="00F310B6">
              <w:rPr>
                <w:sz w:val="18"/>
                <w:szCs w:val="18"/>
                <w:lang w:val="pl-PL"/>
              </w:rPr>
              <w:t xml:space="preserve"> </w:t>
            </w:r>
            <w:r>
              <w:rPr>
                <w:sz w:val="18"/>
                <w:szCs w:val="18"/>
                <w:lang w:val="pl-PL"/>
              </w:rPr>
              <w:t xml:space="preserve">Uprawnienia </w:t>
            </w:r>
            <w:proofErr w:type="spellStart"/>
            <w:r>
              <w:rPr>
                <w:sz w:val="18"/>
                <w:szCs w:val="18"/>
                <w:lang w:val="pl-PL"/>
              </w:rPr>
              <w:t>habilit</w:t>
            </w:r>
            <w:proofErr w:type="spellEnd"/>
            <w:r w:rsidRPr="00F310B6">
              <w:rPr>
                <w:sz w:val="18"/>
                <w:szCs w:val="18"/>
                <w:lang w:val="pl-PL"/>
              </w:rPr>
              <w:t>. (1%)</w:t>
            </w:r>
          </w:p>
        </w:tc>
        <w:tc>
          <w:tcPr>
            <w:tcW w:w="2268" w:type="dxa"/>
            <w:vAlign w:val="center"/>
          </w:tcPr>
          <w:p w14:paraId="08D1186C" w14:textId="3E2C1AFF" w:rsidR="00C015CE" w:rsidRPr="00C015CE" w:rsidRDefault="00163281" w:rsidP="003123D7">
            <w:pPr>
              <w:ind w:firstLine="0"/>
              <w:jc w:val="center"/>
              <w:rPr>
                <w:b/>
                <w:bCs/>
                <w:sz w:val="18"/>
                <w:szCs w:val="18"/>
                <w:lang w:val="pl-PL"/>
              </w:rPr>
            </w:pPr>
            <w:r>
              <w:rPr>
                <w:b/>
                <w:bCs/>
                <w:sz w:val="18"/>
                <w:szCs w:val="18"/>
                <w:lang w:val="pl-PL"/>
              </w:rPr>
              <w:t>0,9607</w:t>
            </w:r>
          </w:p>
        </w:tc>
        <w:tc>
          <w:tcPr>
            <w:tcW w:w="2268" w:type="dxa"/>
            <w:vAlign w:val="center"/>
          </w:tcPr>
          <w:p w14:paraId="58A296AA" w14:textId="49BBB674" w:rsidR="00C015CE" w:rsidRPr="00C015CE" w:rsidRDefault="00163281" w:rsidP="003123D7">
            <w:pPr>
              <w:ind w:firstLine="0"/>
              <w:jc w:val="center"/>
              <w:rPr>
                <w:i/>
                <w:iCs/>
                <w:sz w:val="18"/>
                <w:szCs w:val="18"/>
                <w:lang w:val="pl-PL"/>
              </w:rPr>
            </w:pPr>
            <w:r>
              <w:rPr>
                <w:i/>
                <w:iCs/>
                <w:sz w:val="18"/>
                <w:szCs w:val="18"/>
              </w:rPr>
              <w:t>&lt;0,0001</w:t>
            </w:r>
          </w:p>
        </w:tc>
      </w:tr>
      <w:tr w:rsidR="00C015CE" w:rsidRPr="005D59E0" w14:paraId="23AD943D" w14:textId="77777777" w:rsidTr="003123D7">
        <w:trPr>
          <w:cantSplit/>
        </w:trPr>
        <w:tc>
          <w:tcPr>
            <w:tcW w:w="4536" w:type="dxa"/>
            <w:vAlign w:val="center"/>
          </w:tcPr>
          <w:p w14:paraId="01FC8960" w14:textId="04D79BD4" w:rsidR="00C015CE" w:rsidRPr="00C015CE" w:rsidRDefault="00163281" w:rsidP="00172AD1">
            <w:pPr>
              <w:spacing w:line="276" w:lineRule="auto"/>
              <w:ind w:firstLine="0"/>
              <w:jc w:val="left"/>
              <w:rPr>
                <w:sz w:val="18"/>
                <w:szCs w:val="18"/>
                <w:lang w:val="pl-PL"/>
              </w:rPr>
            </w:pPr>
            <w:r w:rsidRPr="00F310B6">
              <w:rPr>
                <w:sz w:val="18"/>
                <w:szCs w:val="18"/>
                <w:lang w:val="pl-PL"/>
              </w:rPr>
              <w:t>Wskaźnik</w:t>
            </w:r>
            <w:r>
              <w:rPr>
                <w:sz w:val="18"/>
                <w:szCs w:val="18"/>
                <w:lang w:val="pl-PL"/>
              </w:rPr>
              <w:t xml:space="preserve"> </w:t>
            </w:r>
            <w:r w:rsidRPr="00F310B6">
              <w:rPr>
                <w:sz w:val="18"/>
                <w:szCs w:val="18"/>
                <w:lang w:val="pl-PL"/>
              </w:rPr>
              <w:t>Oceny</w:t>
            </w:r>
            <w:r>
              <w:rPr>
                <w:sz w:val="18"/>
                <w:szCs w:val="18"/>
                <w:lang w:val="pl-PL"/>
              </w:rPr>
              <w:t xml:space="preserve"> </w:t>
            </w:r>
            <w:r w:rsidRPr="00F310B6">
              <w:rPr>
                <w:sz w:val="18"/>
                <w:szCs w:val="18"/>
                <w:lang w:val="pl-PL"/>
              </w:rPr>
              <w:t>Punktowej vs</w:t>
            </w:r>
            <w:r>
              <w:rPr>
                <w:sz w:val="18"/>
                <w:szCs w:val="18"/>
                <w:lang w:val="pl-PL"/>
              </w:rPr>
              <w:br/>
            </w:r>
            <w:r w:rsidRPr="00F310B6">
              <w:rPr>
                <w:sz w:val="18"/>
                <w:szCs w:val="18"/>
                <w:lang w:val="pl-PL"/>
              </w:rPr>
              <w:t xml:space="preserve"> Potencjał naukowy </w:t>
            </w:r>
            <w:r>
              <w:rPr>
                <w:sz w:val="18"/>
                <w:szCs w:val="18"/>
                <w:lang w:val="pl-PL"/>
              </w:rPr>
              <w:t>–</w:t>
            </w:r>
            <w:r w:rsidRPr="00F310B6">
              <w:rPr>
                <w:sz w:val="18"/>
                <w:szCs w:val="18"/>
                <w:lang w:val="pl-PL"/>
              </w:rPr>
              <w:t xml:space="preserve"> </w:t>
            </w:r>
            <w:r>
              <w:rPr>
                <w:sz w:val="18"/>
                <w:szCs w:val="18"/>
                <w:lang w:val="pl-PL"/>
              </w:rPr>
              <w:t>Uprawnienia doktorskie</w:t>
            </w:r>
            <w:r w:rsidRPr="00F310B6">
              <w:rPr>
                <w:sz w:val="18"/>
                <w:szCs w:val="18"/>
                <w:lang w:val="pl-PL"/>
              </w:rPr>
              <w:t xml:space="preserve"> (1%)</w:t>
            </w:r>
          </w:p>
        </w:tc>
        <w:tc>
          <w:tcPr>
            <w:tcW w:w="2268" w:type="dxa"/>
            <w:vAlign w:val="center"/>
          </w:tcPr>
          <w:p w14:paraId="502ECE8A" w14:textId="5E6B1252" w:rsidR="00C015CE" w:rsidRPr="00C015CE" w:rsidRDefault="00163281" w:rsidP="003123D7">
            <w:pPr>
              <w:ind w:firstLine="0"/>
              <w:jc w:val="center"/>
              <w:rPr>
                <w:b/>
                <w:bCs/>
                <w:sz w:val="18"/>
                <w:szCs w:val="18"/>
                <w:lang w:val="pl-PL"/>
              </w:rPr>
            </w:pPr>
            <w:r>
              <w:rPr>
                <w:b/>
                <w:bCs/>
                <w:sz w:val="18"/>
                <w:szCs w:val="18"/>
                <w:lang w:val="pl-PL"/>
              </w:rPr>
              <w:t>0,8703</w:t>
            </w:r>
          </w:p>
        </w:tc>
        <w:tc>
          <w:tcPr>
            <w:tcW w:w="2268" w:type="dxa"/>
            <w:vAlign w:val="center"/>
          </w:tcPr>
          <w:p w14:paraId="2EB6537C" w14:textId="24E9CA80" w:rsidR="00C015CE" w:rsidRPr="00C015CE" w:rsidRDefault="00163281" w:rsidP="003123D7">
            <w:pPr>
              <w:ind w:firstLine="0"/>
              <w:jc w:val="center"/>
              <w:rPr>
                <w:i/>
                <w:iCs/>
                <w:sz w:val="18"/>
                <w:szCs w:val="18"/>
                <w:lang w:val="pl-PL"/>
              </w:rPr>
            </w:pPr>
            <w:r>
              <w:rPr>
                <w:i/>
                <w:iCs/>
                <w:sz w:val="18"/>
                <w:szCs w:val="18"/>
              </w:rPr>
              <w:t>&lt;0,0001</w:t>
            </w:r>
          </w:p>
        </w:tc>
      </w:tr>
      <w:tr w:rsidR="00F310B6" w:rsidRPr="005D59E0" w14:paraId="486ED13E" w14:textId="77777777" w:rsidTr="003123D7">
        <w:trPr>
          <w:cantSplit/>
        </w:trPr>
        <w:tc>
          <w:tcPr>
            <w:tcW w:w="4536" w:type="dxa"/>
            <w:vAlign w:val="center"/>
          </w:tcPr>
          <w:p w14:paraId="14E9415A" w14:textId="7EF69279" w:rsidR="00F310B6" w:rsidRPr="00F310B6" w:rsidRDefault="00F310B6" w:rsidP="00172AD1">
            <w:pPr>
              <w:spacing w:line="276" w:lineRule="auto"/>
              <w:ind w:firstLine="0"/>
              <w:jc w:val="left"/>
              <w:rPr>
                <w:sz w:val="18"/>
                <w:szCs w:val="18"/>
                <w:lang w:val="pl-PL"/>
              </w:rPr>
            </w:pPr>
            <w:r w:rsidRPr="00F310B6">
              <w:rPr>
                <w:sz w:val="18"/>
                <w:szCs w:val="18"/>
                <w:lang w:val="pl-PL"/>
              </w:rPr>
              <w:t>Wskaźnik</w:t>
            </w:r>
            <w:r w:rsidR="00172AD1">
              <w:rPr>
                <w:sz w:val="18"/>
                <w:szCs w:val="18"/>
                <w:lang w:val="pl-PL"/>
              </w:rPr>
              <w:t xml:space="preserve"> </w:t>
            </w:r>
            <w:r w:rsidRPr="00F310B6">
              <w:rPr>
                <w:sz w:val="18"/>
                <w:szCs w:val="18"/>
                <w:lang w:val="pl-PL"/>
              </w:rPr>
              <w:t>Oceny</w:t>
            </w:r>
            <w:r w:rsidR="00172AD1">
              <w:rPr>
                <w:sz w:val="18"/>
                <w:szCs w:val="18"/>
                <w:lang w:val="pl-PL"/>
              </w:rPr>
              <w:t xml:space="preserve"> </w:t>
            </w:r>
            <w:r w:rsidRPr="00F310B6">
              <w:rPr>
                <w:sz w:val="18"/>
                <w:szCs w:val="18"/>
                <w:lang w:val="pl-PL"/>
              </w:rPr>
              <w:t>Punktowej vs Innowacyjność (8%)</w:t>
            </w:r>
          </w:p>
        </w:tc>
        <w:tc>
          <w:tcPr>
            <w:tcW w:w="2268" w:type="dxa"/>
            <w:vAlign w:val="center"/>
          </w:tcPr>
          <w:p w14:paraId="537CDD0E" w14:textId="6BC6AFA5" w:rsidR="00F310B6" w:rsidRPr="0007217F" w:rsidRDefault="00F310B6" w:rsidP="003123D7">
            <w:pPr>
              <w:ind w:firstLine="0"/>
              <w:jc w:val="center"/>
              <w:rPr>
                <w:b/>
                <w:bCs/>
                <w:sz w:val="18"/>
                <w:szCs w:val="18"/>
                <w:lang w:val="pl-PL"/>
              </w:rPr>
            </w:pPr>
            <w:r w:rsidRPr="0007217F">
              <w:rPr>
                <w:b/>
                <w:bCs/>
                <w:sz w:val="18"/>
                <w:szCs w:val="18"/>
                <w:lang w:val="pl-PL"/>
              </w:rPr>
              <w:t>0,5433</w:t>
            </w:r>
          </w:p>
        </w:tc>
        <w:tc>
          <w:tcPr>
            <w:tcW w:w="2268" w:type="dxa"/>
            <w:vAlign w:val="center"/>
          </w:tcPr>
          <w:p w14:paraId="7839473C" w14:textId="4D156799" w:rsidR="00F310B6" w:rsidRPr="00F310B6" w:rsidRDefault="00172AD1" w:rsidP="003123D7">
            <w:pPr>
              <w:ind w:firstLine="0"/>
              <w:jc w:val="center"/>
              <w:rPr>
                <w:i/>
                <w:iCs/>
                <w:sz w:val="18"/>
                <w:szCs w:val="18"/>
                <w:lang w:val="pl-PL"/>
              </w:rPr>
            </w:pPr>
            <w:r w:rsidRPr="00172AD1">
              <w:rPr>
                <w:i/>
                <w:iCs/>
                <w:sz w:val="18"/>
                <w:szCs w:val="18"/>
                <w:lang w:val="pl-PL"/>
              </w:rPr>
              <w:t>0,0090</w:t>
            </w:r>
          </w:p>
        </w:tc>
      </w:tr>
      <w:tr w:rsidR="00F310B6" w:rsidRPr="005D59E0" w14:paraId="36DEB81A" w14:textId="77777777" w:rsidTr="003123D7">
        <w:trPr>
          <w:cantSplit/>
        </w:trPr>
        <w:tc>
          <w:tcPr>
            <w:tcW w:w="4536" w:type="dxa"/>
            <w:vAlign w:val="center"/>
          </w:tcPr>
          <w:p w14:paraId="520E427D" w14:textId="6FD6C2FB" w:rsidR="00F310B6" w:rsidRPr="003205A8" w:rsidRDefault="00F310B6" w:rsidP="00172AD1">
            <w:pPr>
              <w:spacing w:line="276" w:lineRule="auto"/>
              <w:ind w:firstLine="0"/>
              <w:jc w:val="left"/>
              <w:rPr>
                <w:sz w:val="18"/>
                <w:szCs w:val="18"/>
                <w:lang w:val="pl-PL"/>
              </w:rPr>
            </w:pPr>
            <w:r w:rsidRPr="003205A8">
              <w:rPr>
                <w:sz w:val="18"/>
                <w:szCs w:val="18"/>
                <w:lang w:val="pl-PL"/>
              </w:rPr>
              <w:t>Wskaźnik</w:t>
            </w:r>
            <w:r w:rsidR="00172AD1" w:rsidRPr="003205A8">
              <w:rPr>
                <w:sz w:val="18"/>
                <w:szCs w:val="18"/>
                <w:lang w:val="pl-PL"/>
              </w:rPr>
              <w:t xml:space="preserve"> </w:t>
            </w:r>
            <w:r w:rsidRPr="003205A8">
              <w:rPr>
                <w:sz w:val="18"/>
                <w:szCs w:val="18"/>
                <w:lang w:val="pl-PL"/>
              </w:rPr>
              <w:t>Oceny</w:t>
            </w:r>
            <w:r w:rsidR="00172AD1" w:rsidRPr="003205A8">
              <w:rPr>
                <w:sz w:val="18"/>
                <w:szCs w:val="18"/>
                <w:lang w:val="pl-PL"/>
              </w:rPr>
              <w:t xml:space="preserve"> </w:t>
            </w:r>
            <w:r w:rsidRPr="003205A8">
              <w:rPr>
                <w:sz w:val="18"/>
                <w:szCs w:val="18"/>
                <w:lang w:val="pl-PL"/>
              </w:rPr>
              <w:t>Punktowej vs</w:t>
            </w:r>
            <w:r w:rsidR="00172AD1" w:rsidRPr="003205A8">
              <w:rPr>
                <w:sz w:val="18"/>
                <w:szCs w:val="18"/>
                <w:lang w:val="pl-PL"/>
              </w:rPr>
              <w:br/>
            </w:r>
            <w:r w:rsidRPr="003205A8">
              <w:rPr>
                <w:sz w:val="18"/>
                <w:szCs w:val="18"/>
                <w:lang w:val="pl-PL"/>
              </w:rPr>
              <w:t xml:space="preserve"> Efektywność naukowa (28%)</w:t>
            </w:r>
          </w:p>
        </w:tc>
        <w:tc>
          <w:tcPr>
            <w:tcW w:w="2268" w:type="dxa"/>
            <w:vAlign w:val="center"/>
          </w:tcPr>
          <w:p w14:paraId="0819A116" w14:textId="4EDD5656" w:rsidR="00F310B6" w:rsidRPr="0007217F" w:rsidRDefault="00F310B6" w:rsidP="003123D7">
            <w:pPr>
              <w:ind w:firstLine="0"/>
              <w:jc w:val="center"/>
              <w:rPr>
                <w:b/>
                <w:bCs/>
                <w:sz w:val="18"/>
                <w:szCs w:val="18"/>
                <w:lang w:val="pl-PL"/>
              </w:rPr>
            </w:pPr>
            <w:r w:rsidRPr="0007217F">
              <w:rPr>
                <w:b/>
                <w:bCs/>
                <w:sz w:val="18"/>
                <w:szCs w:val="18"/>
                <w:lang w:val="pl-PL"/>
              </w:rPr>
              <w:t>0,9211</w:t>
            </w:r>
          </w:p>
        </w:tc>
        <w:tc>
          <w:tcPr>
            <w:tcW w:w="2268" w:type="dxa"/>
            <w:vAlign w:val="center"/>
          </w:tcPr>
          <w:p w14:paraId="5A457D24" w14:textId="7D4C5825"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F310B6" w:rsidRPr="005D59E0" w14:paraId="7DBF6012" w14:textId="77777777" w:rsidTr="003123D7">
        <w:trPr>
          <w:cantSplit/>
        </w:trPr>
        <w:tc>
          <w:tcPr>
            <w:tcW w:w="4536" w:type="dxa"/>
            <w:vAlign w:val="center"/>
          </w:tcPr>
          <w:p w14:paraId="1440AA42" w14:textId="1D031165" w:rsidR="00F310B6" w:rsidRPr="00F310B6" w:rsidRDefault="00F310B6" w:rsidP="00172AD1">
            <w:pPr>
              <w:spacing w:line="276" w:lineRule="auto"/>
              <w:ind w:firstLine="0"/>
              <w:jc w:val="left"/>
              <w:rPr>
                <w:sz w:val="18"/>
                <w:szCs w:val="18"/>
                <w:lang w:val="pl-PL"/>
              </w:rPr>
            </w:pPr>
            <w:r w:rsidRPr="00F310B6">
              <w:rPr>
                <w:sz w:val="18"/>
                <w:szCs w:val="18"/>
                <w:lang w:val="pl-PL"/>
              </w:rPr>
              <w:t>Wskaźnik</w:t>
            </w:r>
            <w:r w:rsidR="00172AD1">
              <w:rPr>
                <w:sz w:val="18"/>
                <w:szCs w:val="18"/>
                <w:lang w:val="pl-PL"/>
              </w:rPr>
              <w:t xml:space="preserve"> </w:t>
            </w:r>
            <w:r w:rsidRPr="00F310B6">
              <w:rPr>
                <w:sz w:val="18"/>
                <w:szCs w:val="18"/>
                <w:lang w:val="pl-PL"/>
              </w:rPr>
              <w:t>Oceny</w:t>
            </w:r>
            <w:r w:rsidR="00172AD1">
              <w:rPr>
                <w:sz w:val="18"/>
                <w:szCs w:val="18"/>
                <w:lang w:val="pl-PL"/>
              </w:rPr>
              <w:t xml:space="preserve"> </w:t>
            </w:r>
            <w:r w:rsidRPr="00F310B6">
              <w:rPr>
                <w:sz w:val="18"/>
                <w:szCs w:val="18"/>
                <w:lang w:val="pl-PL"/>
              </w:rPr>
              <w:t>Punktowej vs</w:t>
            </w:r>
            <w:r w:rsidR="00172AD1">
              <w:rPr>
                <w:sz w:val="18"/>
                <w:szCs w:val="18"/>
                <w:lang w:val="pl-PL"/>
              </w:rPr>
              <w:br/>
            </w:r>
            <w:r w:rsidRPr="00F310B6">
              <w:rPr>
                <w:sz w:val="18"/>
                <w:szCs w:val="18"/>
                <w:lang w:val="pl-PL"/>
              </w:rPr>
              <w:t xml:space="preserve"> Publikacje naukowe (15%)</w:t>
            </w:r>
          </w:p>
        </w:tc>
        <w:tc>
          <w:tcPr>
            <w:tcW w:w="2268" w:type="dxa"/>
            <w:vAlign w:val="center"/>
          </w:tcPr>
          <w:p w14:paraId="0FD0715C" w14:textId="54483428" w:rsidR="00F310B6" w:rsidRPr="0007217F" w:rsidRDefault="00F310B6" w:rsidP="003123D7">
            <w:pPr>
              <w:ind w:firstLine="0"/>
              <w:jc w:val="center"/>
              <w:rPr>
                <w:b/>
                <w:bCs/>
                <w:sz w:val="18"/>
                <w:szCs w:val="18"/>
                <w:lang w:val="pl-PL"/>
              </w:rPr>
            </w:pPr>
            <w:r w:rsidRPr="0007217F">
              <w:rPr>
                <w:b/>
                <w:bCs/>
                <w:sz w:val="18"/>
                <w:szCs w:val="18"/>
                <w:lang w:val="pl-PL"/>
              </w:rPr>
              <w:t>0,8952</w:t>
            </w:r>
          </w:p>
        </w:tc>
        <w:tc>
          <w:tcPr>
            <w:tcW w:w="2268" w:type="dxa"/>
            <w:vAlign w:val="center"/>
          </w:tcPr>
          <w:p w14:paraId="4A997F8F" w14:textId="2F22288E" w:rsidR="00F310B6" w:rsidRPr="00F310B6" w:rsidRDefault="00172AD1" w:rsidP="003123D7">
            <w:pPr>
              <w:ind w:firstLine="0"/>
              <w:jc w:val="center"/>
              <w:rPr>
                <w:i/>
                <w:iCs/>
                <w:sz w:val="18"/>
                <w:szCs w:val="18"/>
                <w:lang w:val="pl-PL"/>
              </w:rPr>
            </w:pPr>
            <w:r w:rsidRPr="00FA2FB7">
              <w:rPr>
                <w:i/>
                <w:iCs/>
                <w:sz w:val="18"/>
                <w:szCs w:val="18"/>
                <w:lang w:val="pl-PL"/>
              </w:rPr>
              <w:t>&lt;0,0001</w:t>
            </w:r>
          </w:p>
        </w:tc>
      </w:tr>
      <w:tr w:rsidR="00E250BD" w:rsidRPr="005D59E0" w14:paraId="682075A6" w14:textId="77777777" w:rsidTr="003123D7">
        <w:trPr>
          <w:cantSplit/>
        </w:trPr>
        <w:tc>
          <w:tcPr>
            <w:tcW w:w="4536" w:type="dxa"/>
            <w:vAlign w:val="center"/>
          </w:tcPr>
          <w:p w14:paraId="5AF7D24E" w14:textId="19BF0D0F" w:rsidR="00E250BD" w:rsidRPr="005D59E0" w:rsidRDefault="00710CB0" w:rsidP="00172AD1">
            <w:pPr>
              <w:spacing w:line="276" w:lineRule="auto"/>
              <w:ind w:firstLine="0"/>
              <w:jc w:val="left"/>
              <w:rPr>
                <w:sz w:val="18"/>
                <w:szCs w:val="18"/>
                <w:lang w:val="pl-PL"/>
              </w:rPr>
            </w:pPr>
            <w:r w:rsidRPr="00710CB0">
              <w:rPr>
                <w:sz w:val="18"/>
                <w:szCs w:val="18"/>
                <w:lang w:val="pl-PL"/>
              </w:rPr>
              <w:t>Wskaźnik</w:t>
            </w:r>
            <w:r w:rsidR="00172AD1">
              <w:rPr>
                <w:sz w:val="18"/>
                <w:szCs w:val="18"/>
                <w:lang w:val="pl-PL"/>
              </w:rPr>
              <w:t xml:space="preserve"> </w:t>
            </w:r>
            <w:r w:rsidRPr="00710CB0">
              <w:rPr>
                <w:sz w:val="18"/>
                <w:szCs w:val="18"/>
                <w:lang w:val="pl-PL"/>
              </w:rPr>
              <w:t>Oceny</w:t>
            </w:r>
            <w:r w:rsidR="00172AD1">
              <w:rPr>
                <w:sz w:val="18"/>
                <w:szCs w:val="18"/>
                <w:lang w:val="pl-PL"/>
              </w:rPr>
              <w:t xml:space="preserve"> </w:t>
            </w:r>
            <w:r w:rsidRPr="00710CB0">
              <w:rPr>
                <w:sz w:val="18"/>
                <w:szCs w:val="18"/>
                <w:lang w:val="pl-PL"/>
              </w:rPr>
              <w:t>Punktowej vs</w:t>
            </w:r>
            <w:r w:rsidR="00172AD1">
              <w:rPr>
                <w:sz w:val="18"/>
                <w:szCs w:val="18"/>
                <w:lang w:val="pl-PL"/>
              </w:rPr>
              <w:br/>
            </w:r>
            <w:r w:rsidRPr="00710CB0">
              <w:rPr>
                <w:sz w:val="18"/>
                <w:szCs w:val="18"/>
                <w:lang w:val="pl-PL"/>
              </w:rPr>
              <w:t xml:space="preserve"> Warunki kształcenia (10%)</w:t>
            </w:r>
          </w:p>
        </w:tc>
        <w:tc>
          <w:tcPr>
            <w:tcW w:w="2268" w:type="dxa"/>
            <w:vAlign w:val="center"/>
          </w:tcPr>
          <w:p w14:paraId="704BE87A" w14:textId="474CB9AC" w:rsidR="00E250BD" w:rsidRPr="0007217F" w:rsidRDefault="00710CB0" w:rsidP="003123D7">
            <w:pPr>
              <w:ind w:firstLine="0"/>
              <w:jc w:val="center"/>
              <w:rPr>
                <w:b/>
                <w:bCs/>
                <w:sz w:val="18"/>
                <w:szCs w:val="18"/>
                <w:lang w:val="pl-PL"/>
              </w:rPr>
            </w:pPr>
            <w:r w:rsidRPr="0007217F">
              <w:rPr>
                <w:b/>
                <w:bCs/>
                <w:sz w:val="18"/>
                <w:szCs w:val="18"/>
                <w:lang w:val="pl-PL"/>
              </w:rPr>
              <w:t>0,7978</w:t>
            </w:r>
          </w:p>
        </w:tc>
        <w:tc>
          <w:tcPr>
            <w:tcW w:w="2268" w:type="dxa"/>
            <w:vAlign w:val="center"/>
          </w:tcPr>
          <w:p w14:paraId="2B2290F9" w14:textId="3D07FF79" w:rsidR="00E250BD" w:rsidRPr="009677FC" w:rsidRDefault="00172AD1" w:rsidP="003123D7">
            <w:pPr>
              <w:ind w:firstLine="0"/>
              <w:jc w:val="center"/>
              <w:rPr>
                <w:i/>
                <w:iCs/>
                <w:sz w:val="18"/>
                <w:szCs w:val="18"/>
                <w:lang w:val="pl-PL"/>
              </w:rPr>
            </w:pPr>
            <w:r w:rsidRPr="00FA2FB7">
              <w:rPr>
                <w:i/>
                <w:iCs/>
                <w:sz w:val="18"/>
                <w:szCs w:val="18"/>
                <w:lang w:val="pl-PL"/>
              </w:rPr>
              <w:t>&lt;0,0001</w:t>
            </w:r>
          </w:p>
        </w:tc>
      </w:tr>
      <w:tr w:rsidR="00E250BD" w:rsidRPr="005D59E0" w14:paraId="289891DE" w14:textId="77777777" w:rsidTr="003123D7">
        <w:trPr>
          <w:cantSplit/>
        </w:trPr>
        <w:tc>
          <w:tcPr>
            <w:tcW w:w="4536" w:type="dxa"/>
            <w:vAlign w:val="center"/>
          </w:tcPr>
          <w:p w14:paraId="404E4F4D" w14:textId="5164C939" w:rsidR="00E250BD" w:rsidRPr="005D59E0" w:rsidRDefault="00710CB0" w:rsidP="00172AD1">
            <w:pPr>
              <w:keepNext/>
              <w:spacing w:line="276" w:lineRule="auto"/>
              <w:ind w:firstLine="0"/>
              <w:jc w:val="left"/>
              <w:rPr>
                <w:sz w:val="18"/>
                <w:szCs w:val="18"/>
                <w:lang w:val="pl-PL"/>
              </w:rPr>
            </w:pPr>
            <w:r w:rsidRPr="00710CB0">
              <w:rPr>
                <w:sz w:val="18"/>
                <w:szCs w:val="18"/>
                <w:lang w:val="pl-PL"/>
              </w:rPr>
              <w:t>Korelacja Wskaźnik</w:t>
            </w:r>
            <w:r w:rsidR="00172AD1">
              <w:rPr>
                <w:sz w:val="18"/>
                <w:szCs w:val="18"/>
                <w:lang w:val="pl-PL"/>
              </w:rPr>
              <w:t xml:space="preserve"> </w:t>
            </w:r>
            <w:r w:rsidRPr="00710CB0">
              <w:rPr>
                <w:sz w:val="18"/>
                <w:szCs w:val="18"/>
                <w:lang w:val="pl-PL"/>
              </w:rPr>
              <w:t>Oceny</w:t>
            </w:r>
            <w:r w:rsidR="00172AD1">
              <w:rPr>
                <w:sz w:val="18"/>
                <w:szCs w:val="18"/>
                <w:lang w:val="pl-PL"/>
              </w:rPr>
              <w:t xml:space="preserve"> </w:t>
            </w:r>
            <w:r w:rsidRPr="00710CB0">
              <w:rPr>
                <w:sz w:val="18"/>
                <w:szCs w:val="18"/>
                <w:lang w:val="pl-PL"/>
              </w:rPr>
              <w:t>Punktowej vs</w:t>
            </w:r>
            <w:r w:rsidR="00172AD1">
              <w:rPr>
                <w:sz w:val="18"/>
                <w:szCs w:val="18"/>
                <w:lang w:val="pl-PL"/>
              </w:rPr>
              <w:br/>
            </w:r>
            <w:r w:rsidRPr="00710CB0">
              <w:rPr>
                <w:sz w:val="18"/>
                <w:szCs w:val="18"/>
                <w:lang w:val="pl-PL"/>
              </w:rPr>
              <w:t xml:space="preserve"> Umiędzynarodowienie (15%)</w:t>
            </w:r>
          </w:p>
        </w:tc>
        <w:tc>
          <w:tcPr>
            <w:tcW w:w="2268" w:type="dxa"/>
            <w:vAlign w:val="center"/>
          </w:tcPr>
          <w:p w14:paraId="17450954" w14:textId="6589721E" w:rsidR="00E250BD" w:rsidRPr="0007217F" w:rsidRDefault="00710CB0" w:rsidP="003123D7">
            <w:pPr>
              <w:keepNext/>
              <w:ind w:firstLine="0"/>
              <w:jc w:val="center"/>
              <w:rPr>
                <w:b/>
                <w:bCs/>
                <w:sz w:val="18"/>
                <w:szCs w:val="18"/>
                <w:lang w:val="pl-PL"/>
              </w:rPr>
            </w:pPr>
            <w:r w:rsidRPr="0007217F">
              <w:rPr>
                <w:b/>
                <w:bCs/>
                <w:sz w:val="18"/>
                <w:szCs w:val="18"/>
                <w:lang w:val="pl-PL"/>
              </w:rPr>
              <w:t>0,8749</w:t>
            </w:r>
          </w:p>
        </w:tc>
        <w:tc>
          <w:tcPr>
            <w:tcW w:w="2268" w:type="dxa"/>
            <w:vAlign w:val="center"/>
          </w:tcPr>
          <w:p w14:paraId="4E839283" w14:textId="7F69C575" w:rsidR="00E250BD" w:rsidRPr="009677FC" w:rsidRDefault="00172AD1" w:rsidP="003123D7">
            <w:pPr>
              <w:keepNext/>
              <w:ind w:firstLine="0"/>
              <w:jc w:val="center"/>
              <w:rPr>
                <w:i/>
                <w:iCs/>
                <w:sz w:val="18"/>
                <w:szCs w:val="18"/>
                <w:lang w:val="pl-PL"/>
              </w:rPr>
            </w:pPr>
            <w:r w:rsidRPr="00FA2FB7">
              <w:rPr>
                <w:i/>
                <w:iCs/>
                <w:sz w:val="18"/>
                <w:szCs w:val="18"/>
                <w:lang w:val="pl-PL"/>
              </w:rPr>
              <w:t>&lt;0,0001</w:t>
            </w:r>
          </w:p>
        </w:tc>
      </w:tr>
    </w:tbl>
    <w:p w14:paraId="0020C92B" w14:textId="4D28F5E9" w:rsidR="00E250BD" w:rsidRDefault="00E250BD" w:rsidP="007770AA">
      <w:pPr>
        <w:pStyle w:val="rdo"/>
      </w:pPr>
      <w:r>
        <w:t xml:space="preserve">Źródło: opracowanie własne na podstawie wyników </w:t>
      </w:r>
      <w:r w:rsidR="00287937">
        <w:t xml:space="preserve">rankingu Perspektywy 2022 </w:t>
      </w:r>
      <w:r w:rsidR="00287937">
        <w:fldChar w:fldCharType="begin" w:fldLock="1"/>
      </w:r>
      <w:r w:rsidR="001A2624">
        <w:instrText>ADDIN CSL_CITATION {"citationItems":[{"id":"ITEM-1","itemData":{"URL":"https://i.perspektywy.pl/pages/hak7xpl8xl/tables/akademicki2022.pdf","author":[{"dropping-particle":"","family":"Perspektywy","given":"","non-dropping-particle":"","parse-names":false,"suffix":""}],"id":"ITEM-1","issued":{"date-parts":[["2022"]]},"title":"Wyniki Rankingu Szkół Wyższych Perspektywy 2022","type":"webpage"},"uris":["http://www.mendeley.com/documents/?uuid=971df65c-57f1-4525-ac9e-dadaa886f8a6"]}],"mendeley":{"formattedCitation":"(Perspektywy, 2022b)","plainTextFormattedCitation":"(Perspektywy, 2022b)","previouslyFormattedCitation":"(Perspektywy, 2022b)"},"properties":{"noteIndex":0},"schema":"https://github.com/citation-style-language/schema/raw/master/csl-citation.json"}</w:instrText>
      </w:r>
      <w:r w:rsidR="00287937">
        <w:fldChar w:fldCharType="separate"/>
      </w:r>
      <w:r w:rsidR="00921CC1" w:rsidRPr="00921CC1">
        <w:rPr>
          <w:noProof/>
        </w:rPr>
        <w:t>(Perspektywy, 2022b)</w:t>
      </w:r>
      <w:r w:rsidR="00287937">
        <w:fldChar w:fldCharType="end"/>
      </w:r>
    </w:p>
    <w:p w14:paraId="640364AF" w14:textId="7A94275D" w:rsidR="00BC2E11" w:rsidRDefault="004D6AFE" w:rsidP="00847F16">
      <w:r>
        <w:t>Warto zwrócić uwagę na to, że niemal wszystkie</w:t>
      </w:r>
      <w:r w:rsidR="00ED7466">
        <w:t xml:space="preserve"> uwzględnione w tabeli po</w:t>
      </w:r>
      <w:r w:rsidR="00ED7466">
        <w:fldChar w:fldCharType="begin"/>
      </w:r>
      <w:r w:rsidR="00ED7466">
        <w:instrText xml:space="preserve"> REF _Ref137889313 \p \h </w:instrText>
      </w:r>
      <w:r w:rsidR="00ED7466">
        <w:fldChar w:fldCharType="separate"/>
      </w:r>
      <w:r w:rsidR="009E351C">
        <w:t>wyżej</w:t>
      </w:r>
      <w:r w:rsidR="00ED7466">
        <w:fldChar w:fldCharType="end"/>
      </w:r>
      <w:r w:rsidR="00ED7466">
        <w:t xml:space="preserve"> (</w:t>
      </w:r>
      <w:r w:rsidR="00ED7466">
        <w:fldChar w:fldCharType="begin"/>
      </w:r>
      <w:r w:rsidR="00ED7466">
        <w:instrText xml:space="preserve"> REF _Ref137889325 \h </w:instrText>
      </w:r>
      <w:r w:rsidR="00ED7466">
        <w:fldChar w:fldCharType="separate"/>
      </w:r>
      <w:r w:rsidR="009E351C">
        <w:t xml:space="preserve">Tabela </w:t>
      </w:r>
      <w:r w:rsidR="009E351C">
        <w:rPr>
          <w:noProof/>
        </w:rPr>
        <w:t>74</w:t>
      </w:r>
      <w:r w:rsidR="00ED7466">
        <w:fldChar w:fldCharType="end"/>
      </w:r>
      <w:r w:rsidR="00ED7466">
        <w:t>)</w:t>
      </w:r>
      <w:r>
        <w:t xml:space="preserve"> składowe elementy oceny rankingowej </w:t>
      </w:r>
      <w:r w:rsidR="004C310F">
        <w:t>r</w:t>
      </w:r>
      <w:r>
        <w:t>ankingu Perspektywy 2022 są dla uczelni technicznych uwzględnionych w badaniu bardzo silnie skorelowane z oceną ogólną zarówno tą wyrażona poprzez pozycję rankingową jak i tą wynikającą ze Wskaźnika Oceny Punktowej (WOP).</w:t>
      </w:r>
      <w:r w:rsidR="004C310F">
        <w:t xml:space="preserve"> W tej grupie wyróżnia się jedynie miara Innowacyjności stanowiąca 8% oceny ogólnej Rankingu, dla której siła korelacji z wybranymi wskaźnikami oceny ogólnej jest na poziomie wysokim wg klasyfikacji </w:t>
      </w:r>
      <w:proofErr w:type="spellStart"/>
      <w:r w:rsidR="004C310F">
        <w:t>Guilford’a</w:t>
      </w:r>
      <w:proofErr w:type="spellEnd"/>
      <w:r w:rsidR="004C310F">
        <w:t xml:space="preserve"> choć bliżej dolnej granicy przedziału odpowiadającego tej kategorii siły korelacji. Tu należy nadmienić, że ponieważ w przypadku Pozycji w rankingu wartość lepsza to wartość niższa, a dla pozostałych ocen wartości lepsze </w:t>
      </w:r>
      <w:r w:rsidR="00EB4278">
        <w:t xml:space="preserve">są wyrażane wyższymi wartościami wyników to korelacje dotyczące Pozycji rankingu mają wartości ujemne, co oznacza, że im wyższe wartości w ramach poszczególnych ocen uzyskała dana uczelnia tym niższa wartość numeru pozycji w rankingu (wyższa pozycja) została jej przypisana. </w:t>
      </w:r>
      <w:r w:rsidR="00287937">
        <w:t>Wśród zbadanych korelacji wyróżniają się te mające siłę powiązania powyżej r = 0,9, gdyż w przypad</w:t>
      </w:r>
      <w:r w:rsidR="00287937">
        <w:lastRenderedPageBreak/>
        <w:t>ku tak silnej relacji można wnioskować, że w istotnie dane parametry są nośnikiem tych samych informacji. W zaprezentowanym w tabeli po</w:t>
      </w:r>
      <w:r w:rsidR="00287937">
        <w:fldChar w:fldCharType="begin"/>
      </w:r>
      <w:r w:rsidR="00287937">
        <w:instrText xml:space="preserve"> REF _Ref137889313 \p \h </w:instrText>
      </w:r>
      <w:r w:rsidR="00287937">
        <w:fldChar w:fldCharType="separate"/>
      </w:r>
      <w:r w:rsidR="009E351C">
        <w:t>wyżej</w:t>
      </w:r>
      <w:r w:rsidR="00287937">
        <w:fldChar w:fldCharType="end"/>
      </w:r>
      <w:r w:rsidR="00287937">
        <w:t xml:space="preserve"> (</w:t>
      </w:r>
      <w:r w:rsidR="00287937">
        <w:fldChar w:fldCharType="begin"/>
      </w:r>
      <w:r w:rsidR="00287937">
        <w:instrText xml:space="preserve"> REF _Ref137889325 \h </w:instrText>
      </w:r>
      <w:r w:rsidR="00287937">
        <w:fldChar w:fldCharType="separate"/>
      </w:r>
      <w:r w:rsidR="009E351C">
        <w:t xml:space="preserve">Tabela </w:t>
      </w:r>
      <w:r w:rsidR="009E351C">
        <w:rPr>
          <w:noProof/>
        </w:rPr>
        <w:t>74</w:t>
      </w:r>
      <w:r w:rsidR="00287937">
        <w:fldChar w:fldCharType="end"/>
      </w:r>
      <w:r w:rsidR="00287937">
        <w:t xml:space="preserve">) zestawie takich korelacji jest kilka. Przede wszystkim zarówno z Pozycją w rankingu jak i Wskaźnikiem Oceny Punktowej bardzo silnie </w:t>
      </w:r>
      <w:r w:rsidR="005E701A">
        <w:t>powiązana jest ocena w kategorii Efektywność naukowa. W tym przypadku uzasadnieniem może być największy udział tej kategorii w ogólnej ocenie (28%) w porównaniu do pozostałych kategorii oceny. Natomiast dość zaskakującym wydaje się, że nawet jeszcze nieco silniejsza korelacja występuje w przypadku kategorii Potencjał naukowy. Zarówno wobec Pozycji w rankingu jak i wobec Wskaźnika Oceny Punktowej tak podkategoria oceny rankingowej wykazuje korelację przekraczającą wartość 0,9. Kategoria ta ma znacznie niższą wagę w ocenie ogólnej (15%) niż Efektywność naukowa, a jednak wykazuje jeszcze silniejszą korelację z oceną ogólną. Kategoria ta ocenę w ramach czterech podkategorii: Ocena parametryczna (10%), Nasycenie kadry osobami o najwyższych kwalifikacjach (3%), Uprawnienia habilitacyjne (1%) oraz Uprawnienia d</w:t>
      </w:r>
      <w:r w:rsidR="00DF7489">
        <w:t xml:space="preserve">oktorskie (1%) (por. </w:t>
      </w:r>
      <w:r w:rsidR="00DF7489">
        <w:fldChar w:fldCharType="begin"/>
      </w:r>
      <w:r w:rsidR="00DF7489">
        <w:instrText xml:space="preserve"> REF _Ref134515427 \h </w:instrText>
      </w:r>
      <w:r w:rsidR="00DF7489">
        <w:fldChar w:fldCharType="separate"/>
      </w:r>
      <w:r w:rsidR="009E351C">
        <w:t xml:space="preserve">Tabela </w:t>
      </w:r>
      <w:r w:rsidR="009E351C">
        <w:rPr>
          <w:noProof/>
        </w:rPr>
        <w:t>26</w:t>
      </w:r>
      <w:r w:rsidR="00DF7489">
        <w:fldChar w:fldCharType="end"/>
      </w:r>
      <w:r w:rsidR="00DF7489">
        <w:t>).</w:t>
      </w:r>
      <w:r w:rsidR="005E701A">
        <w:t xml:space="preserve"> </w:t>
      </w:r>
      <w:r w:rsidR="00DF7489">
        <w:t xml:space="preserve">W związku z tym ocena w kategorii Potencjał naukowy w największym stopniu jest wynikiem Oceny </w:t>
      </w:r>
      <w:r w:rsidR="005E701A">
        <w:t>parametrycznej</w:t>
      </w:r>
      <w:r w:rsidR="00DF7489">
        <w:t xml:space="preserve">. Natomiast wynik tego parametru jest wprost rezultatem oceny parametrycznej </w:t>
      </w:r>
      <w:r w:rsidR="005E701A">
        <w:t>uczelni dokonywanej przez KEJN</w:t>
      </w:r>
      <w:r w:rsidR="00DF7489">
        <w:t xml:space="preserve"> (Komitet Ewaluacji Jednostek Naukowych). Wg metodologii rankingu Perspektywy 2022 sposób wyliczenia wartości oceny parametrycznej uczelni jest analogiczny to wskaźnika </w:t>
      </w:r>
      <w:proofErr w:type="spellStart"/>
      <w:r w:rsidR="00DF7489">
        <w:t>Yi</w:t>
      </w:r>
      <w:proofErr w:type="spellEnd"/>
      <w:r w:rsidR="00DF7489">
        <w:t xml:space="preserve"> stosowanego przy procesie określania dotacji dla uczelni </w:t>
      </w:r>
      <w:r w:rsidR="00DF7489">
        <w:fldChar w:fldCharType="begin" w:fldLock="1"/>
      </w:r>
      <w:r w:rsidR="001A2624">
        <w:instrText>ADDIN CSL_CITATION {"citationItems":[{"id":"ITEM-1","itemData":{"URL":"https://ranking.perspektywy.pl/2022/article/metodologia-rankingu-uczelni-akademickich-2022r","author":[{"dropping-particle":"","family":"Perspektywy","given":"","non-dropping-particle":"","parse-names":false,"suffix":""}],"id":"ITEM-1","issued":{"date-parts":[["2022"]]},"title":"Metodologia Rankingu Szkół Wyższych Perspektywy 2022","type":"webpage"},"uris":["http://www.mendeley.com/documents/?uuid=f0c19ce4-6d78-476a-a61f-03e90968f61e"]}],"mendeley":{"formattedCitation":"(Perspektywy, 2022a)","plainTextFormattedCitation":"(Perspektywy, 2022a)","previouslyFormattedCitation":"(Perspektywy, 2022a)"},"properties":{"noteIndex":0},"schema":"https://github.com/citation-style-language/schema/raw/master/csl-citation.json"}</w:instrText>
      </w:r>
      <w:r w:rsidR="00DF7489">
        <w:fldChar w:fldCharType="separate"/>
      </w:r>
      <w:r w:rsidR="00921CC1" w:rsidRPr="00921CC1">
        <w:rPr>
          <w:noProof/>
        </w:rPr>
        <w:t>(Perspektywy, 2022a)</w:t>
      </w:r>
      <w:r w:rsidR="00DF7489">
        <w:fldChar w:fldCharType="end"/>
      </w:r>
      <w:r w:rsidR="00DF7489">
        <w:t>. Wskaźnik ten jest określany w rozporządzeniu ministra właściwego ds. uczelni (Minister Nauki i Edukacji) i jest on obliczany jako średnia ważona z liczby dyscyplin naukowych lub artystycznych, w których uczelnia posiada konkretną kategorię naukową</w:t>
      </w:r>
      <w:r w:rsidR="00DF7489">
        <w:fldChar w:fldCharType="begin" w:fldLock="1"/>
      </w:r>
      <w:r w:rsidR="001A2624">
        <w:instrText>ADDIN CSL_CITATION {"citationItems":[{"id":"ITEM-1","itemData":{"abstract":"w sprawie ogłoszenia jednolitego tekstu rozporządzenia Ministra Nauki i Szkolnictwa Wyższego w sprawie sposobu podziału środków finansowych na utrzymanie i rozwój potencjału dydaktycznego oraz potencjału badawczego znajdujących się w dyspozycji ministra właściwego do spraw szkolnictwa wyższego i nauki oraz na zadania związane z utrzymaniem powietrznych statków szkolnych i specjalistycznych ośrodków szkoleniowych kadr powietrznych","author":[{"dropping-particle":"","family":"Dz. U. 305","given":"","non-dropping-particle":"","parse-names":false,"suffix":""}],"id":"ITEM-1","issued":{"date-parts":[["2022"]]},"publisher":"Dziennik Ustaw RP","publisher-place":"Warszawa","title":"Rozporządzenie Ministra Nauki i Szkolnictwa wyższego z dnia 8 lutego 2022","type":"article"},"uris":["http://www.mendeley.com/documents/?uuid=062e6698-c76b-4f08-91ea-217ba25f0bd4"]}],"mendeley":{"formattedCitation":"(Dz. U. 305, 2022)","plainTextFormattedCitation":"(Dz. U. 305, 2022)","previouslyFormattedCitation":"(Dz. U. 305, 2022)"},"properties":{"noteIndex":0},"schema":"https://github.com/citation-style-language/schema/raw/master/csl-citation.json"}</w:instrText>
      </w:r>
      <w:r w:rsidR="00DF7489">
        <w:fldChar w:fldCharType="separate"/>
      </w:r>
      <w:r w:rsidR="00921CC1" w:rsidRPr="00921CC1">
        <w:rPr>
          <w:noProof/>
        </w:rPr>
        <w:t>(Dz. U. 305, 2022)</w:t>
      </w:r>
      <w:r w:rsidR="00DF7489">
        <w:fldChar w:fldCharType="end"/>
      </w:r>
      <w:r w:rsidR="00DF7489">
        <w:t xml:space="preserve">. </w:t>
      </w:r>
      <w:r w:rsidR="003205A8">
        <w:t>Dl</w:t>
      </w:r>
      <w:r w:rsidR="00DF7489">
        <w:t xml:space="preserve">a kategorii A+ przypisano wagę 1,75, dla kategorii A – 1,25, dla kategorii </w:t>
      </w:r>
      <w:r w:rsidR="003205A8">
        <w:t xml:space="preserve">B+ – 1,00, dla kategorii B – 0,75, a dla kategorii C – 0,00 </w:t>
      </w:r>
      <w:r w:rsidR="003205A8">
        <w:fldChar w:fldCharType="begin" w:fldLock="1"/>
      </w:r>
      <w:r w:rsidR="001A2624">
        <w:instrText>ADDIN CSL_CITATION {"citationItems":[{"id":"ITEM-1","itemData":{"abstract":"w sprawie ogłoszenia jednolitego tekstu rozporządzenia Ministra Nauki i Szkolnictwa Wyższego w sprawie sposobu podziału środków finansowych na utrzymanie i rozwój potencjału dydaktycznego oraz potencjału badawczego znajdujących się w dyspozycji ministra właściwego do spraw szkolnictwa wyższego i nauki oraz na zadania związane z utrzymaniem powietrznych statków szkolnych i specjalistycznych ośrodków szkoleniowych kadr powietrznych","author":[{"dropping-particle":"","family":"Dz. U. 305","given":"","non-dropping-particle":"","parse-names":false,"suffix":""}],"id":"ITEM-1","issued":{"date-parts":[["2022"]]},"publisher":"Dziennik Ustaw RP","publisher-place":"Warszawa","title":"Rozporządzenie Ministra Nauki i Szkolnictwa wyższego z dnia 8 lutego 2022","type":"article"},"uris":["http://www.mendeley.com/documents/?uuid=062e6698-c76b-4f08-91ea-217ba25f0bd4"]}],"mendeley":{"formattedCitation":"(Dz. U. 305, 2022)","plainTextFormattedCitation":"(Dz. U. 305, 2022)","previouslyFormattedCitation":"(Dz. U. 305, 2022)"},"properties":{"noteIndex":0},"schema":"https://github.com/citation-style-language/schema/raw/master/csl-citation.json"}</w:instrText>
      </w:r>
      <w:r w:rsidR="003205A8">
        <w:fldChar w:fldCharType="separate"/>
      </w:r>
      <w:r w:rsidR="00921CC1" w:rsidRPr="00921CC1">
        <w:rPr>
          <w:noProof/>
        </w:rPr>
        <w:t>(Dz. U. 305, 2022)</w:t>
      </w:r>
      <w:r w:rsidR="003205A8">
        <w:fldChar w:fldCharType="end"/>
      </w:r>
      <w:r w:rsidR="003205A8">
        <w:t xml:space="preserve">. Warto zauważyć, że sama wartość Oceny parametrycznej jest skorelowana z pozycją uczelni w Rankingu na poziomie przekraczającym r = 0,9, a z wartością Wskaźnika Oceny Punktowej na poziomie bardzo niewiele niższym. Takie wyniki korelacji mogą wskazywać na to, że wartości Oceny parametrycznej są bardzo dobrym </w:t>
      </w:r>
      <w:proofErr w:type="spellStart"/>
      <w:r w:rsidR="003205A8">
        <w:t>predyktorem</w:t>
      </w:r>
      <w:proofErr w:type="spellEnd"/>
      <w:r w:rsidR="003205A8">
        <w:t xml:space="preserve"> jakości uczelni mierzonej ogólną oceną rankingową. Może to wynikać z faktu, iż osiągnięcie przez uczelnię wysokiej kategorii naukowej dla dyscypliny naukowej wymaga spełnienia wielu wymagań sformułowanych przez KEJN, które składają się na bardzo kompleksową ocenę potencjału uczelni do świadczenia wysokiej jakości usług.</w:t>
      </w:r>
    </w:p>
    <w:p w14:paraId="692DD8B6" w14:textId="364483D9" w:rsidR="00BC2E11" w:rsidRDefault="003205A8" w:rsidP="00847F16">
      <w:r>
        <w:t>Kolejnym parametrem, który spełnia kryterium korelacji przekraczającej poziom r = 0,9 z oceną ogólną jest kategoria Prestiżu. Korelacja na tym poziomie występuje jednak jedynie dla Wskaźnika Oceny Punktowej, gdyż dla Pozycji uczelni w rankingu siła tego powiązania jest wyraźnie niższa.</w:t>
      </w:r>
      <w:r w:rsidR="00A16BC8">
        <w:t xml:space="preserve"> Podobnie n</w:t>
      </w:r>
      <w:r w:rsidR="00343D95">
        <w:t>a uwagę zasługuje również fakt, iż z wyjątkiem powiązań z miarami Innowacyjność oraz Potencjał naukowy Wskaźnik Oceny Punktowej wykazywał silniejszą korelację z elementami składowymi oceny rankingowej niż Pozycja w rankingu.</w:t>
      </w:r>
      <w:r w:rsidR="00287937">
        <w:t xml:space="preserve"> Z tego względu to ta miara zostanie wybrana jako punkt odniesienia oceny jakości przy pomocy rankingu Perspektywy 2022 w dalszych analizach.</w:t>
      </w:r>
    </w:p>
    <w:p w14:paraId="7605FEE1" w14:textId="458DCCF5" w:rsidR="00F20D9E" w:rsidRDefault="008D6992" w:rsidP="00847F16">
      <w:r>
        <w:t xml:space="preserve">Biorąc pod uwagę wnioski z analizy korelacji wskaźnika IWRA z satysfakcją, oraz analizy korelacji </w:t>
      </w:r>
      <w:r w:rsidR="000B21EF">
        <w:t xml:space="preserve">pomiędzy elementami składowymi wskaźnika IWRA obliczanego na podstawie bazy danych ELA (por. rozdz. </w:t>
      </w:r>
      <w:r w:rsidR="000B21EF">
        <w:fldChar w:fldCharType="begin"/>
      </w:r>
      <w:r w:rsidR="000B21EF">
        <w:instrText xml:space="preserve"> REF _Ref137910300 \r \h </w:instrText>
      </w:r>
      <w:r w:rsidR="000B21EF">
        <w:fldChar w:fldCharType="separate"/>
      </w:r>
      <w:r w:rsidR="009E351C">
        <w:t>2.3.1</w:t>
      </w:r>
      <w:r w:rsidR="000B21EF">
        <w:fldChar w:fldCharType="end"/>
      </w:r>
      <w:r w:rsidR="000B21EF">
        <w:t xml:space="preserve">) należy też wspomnieć o modyfikacji indeksu IWRA zbudowanej na podstawie informacji o Względnym Wskaźniku Zatrudnienia (WWZ). Taki wskaźnik, nazwany IWRA-WWZ, charakteryzuje się tym, że jego wyniki nie są wyrażane w jednostce waluty, a w jednostce ułamka </w:t>
      </w:r>
      <w:r w:rsidR="000B21EF">
        <w:lastRenderedPageBreak/>
        <w:t xml:space="preserve">odpowiadającego wskaźnikowi WWZ odpowiednio zmniejszonemu o wartość wynikającą ze stopy zatrudnienia w odpowiednim okresie czasu dla wybranej grupy absolwentów. Ze względu na to, iż wartości WWZ nie były możliwe do określania korelacji z miarami satysfakcji z badania kwestionariuszowego, oraz ze względu na to, że wszystkie przeanalizowane korelacje odnoszące się do wskaźnika IWRA-WWZ charakteryzowały się mniejszą siłą niż analogiczne korelacje dla IWRA wskaźnik IWRA-WWZ nie został uwzględniony w analizach przestawionych w rozdziale </w:t>
      </w:r>
      <w:r w:rsidR="000B21EF">
        <w:fldChar w:fldCharType="begin"/>
      </w:r>
      <w:r w:rsidR="000B21EF">
        <w:instrText xml:space="preserve"> REF _Ref137910300 \r \h </w:instrText>
      </w:r>
      <w:r w:rsidR="000B21EF">
        <w:fldChar w:fldCharType="separate"/>
      </w:r>
      <w:r w:rsidR="009E351C">
        <w:t>2.3.1</w:t>
      </w:r>
      <w:r w:rsidR="000B21EF">
        <w:fldChar w:fldCharType="end"/>
      </w:r>
      <w:r w:rsidR="000B21EF">
        <w:t xml:space="preserve">. Ponieważ jednak w </w:t>
      </w:r>
      <w:r w:rsidR="00707AA5">
        <w:t xml:space="preserve">kolejnych analizach zostaną uwzględnione parametry pochodzące z danych z rankingów (Perspektywy 2022 oraz </w:t>
      </w:r>
      <w:proofErr w:type="spellStart"/>
      <w:r w:rsidR="00707AA5">
        <w:t>Webometrics</w:t>
      </w:r>
      <w:proofErr w:type="spellEnd"/>
      <w:r w:rsidR="00707AA5">
        <w:t xml:space="preserve"> z 1. poł. 2023 r.) oraz bazy danych ELA, to również wskaźnik IWRA-WWZ zostanie uwzględniony.</w:t>
      </w:r>
      <w:r w:rsidR="0092119E">
        <w:t xml:space="preserve"> Niemal wszystkie przeanalizowane korelacje wskazują na silniejsze związki parametrów związanych z zatrudnieniem i zarobkami absolwentów gdy dotyczą one okresu 3 lat po uzyskaniu dyplomu niż gdy dotyczą roku po ukończeniu studiów.</w:t>
      </w:r>
      <w:r w:rsidR="00383C8A">
        <w:t xml:space="preserve"> Stąd też w tabeli po</w:t>
      </w:r>
      <w:r w:rsidR="00FB0BA8">
        <w:fldChar w:fldCharType="begin"/>
      </w:r>
      <w:r w:rsidR="00FB0BA8">
        <w:instrText xml:space="preserve"> REF _Ref162954839 \p \h </w:instrText>
      </w:r>
      <w:r w:rsidR="00FB0BA8">
        <w:fldChar w:fldCharType="separate"/>
      </w:r>
      <w:r w:rsidR="00FB0BA8">
        <w:t>niżej</w:t>
      </w:r>
      <w:r w:rsidR="00FB0BA8">
        <w:fldChar w:fldCharType="end"/>
      </w:r>
      <w:r w:rsidR="00383C8A">
        <w:t xml:space="preserve"> (</w:t>
      </w:r>
      <w:r w:rsidR="00FB0BA8">
        <w:fldChar w:fldCharType="begin"/>
      </w:r>
      <w:r w:rsidR="00FB0BA8">
        <w:instrText xml:space="preserve"> REF _Ref162954853 \h </w:instrText>
      </w:r>
      <w:r w:rsidR="00FB0BA8">
        <w:fldChar w:fldCharType="separate"/>
      </w:r>
      <w:r w:rsidR="00FB0BA8">
        <w:t xml:space="preserve">Tabela </w:t>
      </w:r>
      <w:r w:rsidR="00FB0BA8">
        <w:rPr>
          <w:noProof/>
        </w:rPr>
        <w:t>75</w:t>
      </w:r>
      <w:r w:rsidR="00FB0BA8">
        <w:fldChar w:fldCharType="end"/>
      </w:r>
      <w:r w:rsidR="00383C8A">
        <w:t>) przedstawiono niemal jedynie te korelacje, które odnoszą się do wartości mierzonych dla okresu po trzech latach od uzyskania dyplomu przez badanych absolwentów.</w:t>
      </w:r>
    </w:p>
    <w:p w14:paraId="5B0B8535" w14:textId="673DCD2B" w:rsidR="00083628" w:rsidRDefault="00083628" w:rsidP="00083628">
      <w:pPr>
        <w:pStyle w:val="Tytutabeli"/>
      </w:pPr>
      <w:bookmarkStart w:id="122" w:name="_Ref162954853"/>
      <w:bookmarkStart w:id="123" w:name="_Ref162954839"/>
      <w:bookmarkStart w:id="124" w:name="_Toc163576364"/>
      <w:r>
        <w:t xml:space="preserve">Tabela </w:t>
      </w:r>
      <w:r>
        <w:fldChar w:fldCharType="begin"/>
      </w:r>
      <w:r>
        <w:instrText xml:space="preserve"> SEQ Tabela \* ARABIC </w:instrText>
      </w:r>
      <w:r>
        <w:fldChar w:fldCharType="separate"/>
      </w:r>
      <w:r w:rsidR="00DA2A4D">
        <w:rPr>
          <w:noProof/>
        </w:rPr>
        <w:t>75</w:t>
      </w:r>
      <w:r>
        <w:rPr>
          <w:noProof/>
        </w:rPr>
        <w:fldChar w:fldCharType="end"/>
      </w:r>
      <w:bookmarkEnd w:id="122"/>
      <w:r>
        <w:t xml:space="preserve"> Korelacje pomiędzy wartościami IWRA i jego składowymi, a miarami ogólnej oceny uczelni technicznych w rankingu Perspektywy 2022, oraz wynikami rankingu </w:t>
      </w:r>
      <w:proofErr w:type="spellStart"/>
      <w:r>
        <w:t>Webometrics</w:t>
      </w:r>
      <w:proofErr w:type="spellEnd"/>
      <w:r>
        <w:t xml:space="preserve"> i wartościami pomiaru prestiżu.</w:t>
      </w:r>
      <w:bookmarkEnd w:id="123"/>
      <w:bookmarkEnd w:id="124"/>
    </w:p>
    <w:tbl>
      <w:tblPr>
        <w:tblStyle w:val="Tabela-Siatka"/>
        <w:tblW w:w="0" w:type="auto"/>
        <w:tblInd w:w="113" w:type="dxa"/>
        <w:tblLook w:val="04A0" w:firstRow="1" w:lastRow="0" w:firstColumn="1" w:lastColumn="0" w:noHBand="0" w:noVBand="1"/>
      </w:tblPr>
      <w:tblGrid>
        <w:gridCol w:w="4536"/>
        <w:gridCol w:w="2268"/>
        <w:gridCol w:w="2268"/>
      </w:tblGrid>
      <w:tr w:rsidR="00083628" w:rsidRPr="005D59E0" w14:paraId="7BF4AC82" w14:textId="77777777" w:rsidTr="003123D7">
        <w:trPr>
          <w:cantSplit/>
          <w:tblHeader/>
        </w:trPr>
        <w:tc>
          <w:tcPr>
            <w:tcW w:w="4536" w:type="dxa"/>
            <w:vAlign w:val="center"/>
          </w:tcPr>
          <w:p w14:paraId="640217D2" w14:textId="77777777" w:rsidR="00083628" w:rsidRPr="005D59E0" w:rsidRDefault="00083628" w:rsidP="004C1815">
            <w:pPr>
              <w:keepNext/>
              <w:ind w:firstLine="0"/>
              <w:jc w:val="left"/>
              <w:rPr>
                <w:b/>
                <w:bCs/>
                <w:sz w:val="18"/>
                <w:szCs w:val="18"/>
              </w:rPr>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2268" w:type="dxa"/>
            <w:vAlign w:val="center"/>
          </w:tcPr>
          <w:p w14:paraId="3F58BDC3" w14:textId="77777777" w:rsidR="00083628" w:rsidRPr="005D59E0" w:rsidRDefault="00083628"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korelacji</w:t>
            </w:r>
            <w:proofErr w:type="spellEnd"/>
            <w:r w:rsidRPr="005D59E0">
              <w:rPr>
                <w:b/>
                <w:bCs/>
                <w:sz w:val="18"/>
                <w:szCs w:val="18"/>
              </w:rPr>
              <w:t xml:space="preserve"> r-</w:t>
            </w:r>
            <w:proofErr w:type="spellStart"/>
            <w:r w:rsidRPr="005D59E0">
              <w:rPr>
                <w:b/>
                <w:bCs/>
                <w:sz w:val="18"/>
                <w:szCs w:val="18"/>
              </w:rPr>
              <w:t>Pearsona</w:t>
            </w:r>
            <w:proofErr w:type="spellEnd"/>
          </w:p>
        </w:tc>
        <w:tc>
          <w:tcPr>
            <w:tcW w:w="2268" w:type="dxa"/>
            <w:vAlign w:val="center"/>
          </w:tcPr>
          <w:p w14:paraId="4A74BFF3" w14:textId="77777777" w:rsidR="00083628" w:rsidRPr="005D59E0" w:rsidRDefault="00083628"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istotności</w:t>
            </w:r>
            <w:proofErr w:type="spellEnd"/>
            <w:r>
              <w:rPr>
                <w:b/>
                <w:bCs/>
                <w:sz w:val="18"/>
                <w:szCs w:val="18"/>
              </w:rPr>
              <w:t xml:space="preserve"> </w:t>
            </w:r>
            <w:proofErr w:type="spellStart"/>
            <w:r>
              <w:rPr>
                <w:b/>
                <w:bCs/>
                <w:sz w:val="18"/>
                <w:szCs w:val="18"/>
              </w:rPr>
              <w:t>statystycznej</w:t>
            </w:r>
            <w:proofErr w:type="spellEnd"/>
            <w:r w:rsidRPr="005D59E0">
              <w:rPr>
                <w:b/>
                <w:bCs/>
                <w:sz w:val="18"/>
                <w:szCs w:val="18"/>
              </w:rPr>
              <w:t xml:space="preserve"> p</w:t>
            </w:r>
          </w:p>
        </w:tc>
      </w:tr>
      <w:tr w:rsidR="00083628" w:rsidRPr="005D59E0" w14:paraId="3EDA1669" w14:textId="77777777" w:rsidTr="003123D7">
        <w:trPr>
          <w:cantSplit/>
        </w:trPr>
        <w:tc>
          <w:tcPr>
            <w:tcW w:w="4536" w:type="dxa"/>
            <w:vAlign w:val="center"/>
          </w:tcPr>
          <w:p w14:paraId="748AF242" w14:textId="587A3B4F" w:rsidR="00083628" w:rsidRPr="005D59E0" w:rsidRDefault="00083628" w:rsidP="003123D7">
            <w:pPr>
              <w:spacing w:line="276" w:lineRule="auto"/>
              <w:ind w:firstLine="0"/>
              <w:jc w:val="left"/>
              <w:rPr>
                <w:sz w:val="18"/>
                <w:szCs w:val="18"/>
                <w:lang w:val="pl-PL"/>
              </w:rPr>
            </w:pPr>
            <w:proofErr w:type="spellStart"/>
            <w:r w:rsidRPr="00083628">
              <w:rPr>
                <w:sz w:val="18"/>
                <w:szCs w:val="18"/>
                <w:lang w:val="pl-PL"/>
              </w:rPr>
              <w:t>WskaźnikOcenyPunktowej</w:t>
            </w:r>
            <w:proofErr w:type="spellEnd"/>
            <w:r w:rsidRPr="00083628">
              <w:rPr>
                <w:sz w:val="18"/>
                <w:szCs w:val="18"/>
                <w:lang w:val="pl-PL"/>
              </w:rPr>
              <w:t xml:space="preserve"> vs IWRA_3R</w:t>
            </w:r>
          </w:p>
        </w:tc>
        <w:tc>
          <w:tcPr>
            <w:tcW w:w="2268" w:type="dxa"/>
            <w:vAlign w:val="center"/>
          </w:tcPr>
          <w:p w14:paraId="117CB1B6" w14:textId="39D5B613" w:rsidR="00083628" w:rsidRPr="0007217F" w:rsidRDefault="00083628" w:rsidP="003123D7">
            <w:pPr>
              <w:ind w:firstLine="0"/>
              <w:jc w:val="center"/>
              <w:rPr>
                <w:b/>
                <w:bCs/>
                <w:sz w:val="18"/>
                <w:szCs w:val="18"/>
                <w:lang w:val="pl-PL"/>
              </w:rPr>
            </w:pPr>
            <w:r w:rsidRPr="00083628">
              <w:rPr>
                <w:b/>
                <w:bCs/>
                <w:sz w:val="18"/>
                <w:szCs w:val="18"/>
                <w:lang w:val="pl-PL"/>
              </w:rPr>
              <w:t>0,8292</w:t>
            </w:r>
          </w:p>
        </w:tc>
        <w:tc>
          <w:tcPr>
            <w:tcW w:w="2268" w:type="dxa"/>
            <w:vAlign w:val="center"/>
          </w:tcPr>
          <w:p w14:paraId="77BA3D99" w14:textId="77777777" w:rsidR="00083628" w:rsidRPr="009677FC" w:rsidRDefault="00083628" w:rsidP="003123D7">
            <w:pPr>
              <w:ind w:firstLine="0"/>
              <w:jc w:val="center"/>
              <w:rPr>
                <w:i/>
                <w:iCs/>
                <w:sz w:val="18"/>
                <w:szCs w:val="18"/>
                <w:lang w:val="pl-PL"/>
              </w:rPr>
            </w:pPr>
            <w:r w:rsidRPr="00FA2FB7">
              <w:rPr>
                <w:i/>
                <w:iCs/>
                <w:sz w:val="18"/>
                <w:szCs w:val="18"/>
                <w:lang w:val="pl-PL"/>
              </w:rPr>
              <w:t>&lt;0,0001</w:t>
            </w:r>
          </w:p>
        </w:tc>
      </w:tr>
      <w:tr w:rsidR="00083628" w:rsidRPr="005D59E0" w14:paraId="2AA0336F" w14:textId="77777777" w:rsidTr="003123D7">
        <w:trPr>
          <w:cantSplit/>
        </w:trPr>
        <w:tc>
          <w:tcPr>
            <w:tcW w:w="4536" w:type="dxa"/>
            <w:vAlign w:val="center"/>
          </w:tcPr>
          <w:p w14:paraId="4F9A8F7D" w14:textId="644237D0" w:rsidR="00083628" w:rsidRPr="005D59E0" w:rsidRDefault="0081517D" w:rsidP="003123D7">
            <w:pPr>
              <w:spacing w:line="276" w:lineRule="auto"/>
              <w:ind w:firstLine="0"/>
              <w:jc w:val="left"/>
              <w:rPr>
                <w:sz w:val="18"/>
                <w:szCs w:val="18"/>
                <w:lang w:val="pl-PL"/>
              </w:rPr>
            </w:pPr>
            <w:proofErr w:type="spellStart"/>
            <w:r w:rsidRPr="0081517D">
              <w:rPr>
                <w:sz w:val="18"/>
                <w:szCs w:val="18"/>
                <w:lang w:val="pl-PL"/>
              </w:rPr>
              <w:t>WskaźnikOcenyPunktowej</w:t>
            </w:r>
            <w:proofErr w:type="spellEnd"/>
            <w:r w:rsidRPr="0081517D">
              <w:rPr>
                <w:sz w:val="18"/>
                <w:szCs w:val="18"/>
                <w:lang w:val="pl-PL"/>
              </w:rPr>
              <w:t xml:space="preserve"> vs Zatrudnienie_3R</w:t>
            </w:r>
          </w:p>
        </w:tc>
        <w:tc>
          <w:tcPr>
            <w:tcW w:w="2268" w:type="dxa"/>
            <w:vAlign w:val="center"/>
          </w:tcPr>
          <w:p w14:paraId="777F83FA" w14:textId="03031D43" w:rsidR="00083628" w:rsidRPr="0081517D" w:rsidRDefault="0081517D" w:rsidP="003123D7">
            <w:pPr>
              <w:ind w:firstLine="0"/>
              <w:jc w:val="center"/>
              <w:rPr>
                <w:sz w:val="18"/>
                <w:szCs w:val="18"/>
                <w:lang w:val="pl-PL"/>
              </w:rPr>
            </w:pPr>
            <w:r w:rsidRPr="0081517D">
              <w:rPr>
                <w:sz w:val="18"/>
                <w:szCs w:val="18"/>
                <w:lang w:val="pl-PL"/>
              </w:rPr>
              <w:t>0,2436</w:t>
            </w:r>
          </w:p>
        </w:tc>
        <w:tc>
          <w:tcPr>
            <w:tcW w:w="2268" w:type="dxa"/>
            <w:vAlign w:val="center"/>
          </w:tcPr>
          <w:p w14:paraId="71F6F84A" w14:textId="1A8F97E0" w:rsidR="00083628" w:rsidRPr="009677FC" w:rsidRDefault="002569CD" w:rsidP="003123D7">
            <w:pPr>
              <w:ind w:firstLine="0"/>
              <w:jc w:val="center"/>
              <w:rPr>
                <w:i/>
                <w:iCs/>
                <w:sz w:val="18"/>
                <w:szCs w:val="18"/>
                <w:lang w:val="pl-PL"/>
              </w:rPr>
            </w:pPr>
            <w:r w:rsidRPr="002569CD">
              <w:rPr>
                <w:i/>
                <w:iCs/>
                <w:sz w:val="18"/>
                <w:szCs w:val="18"/>
                <w:lang w:val="pl-PL"/>
              </w:rPr>
              <w:t>0,2747</w:t>
            </w:r>
          </w:p>
        </w:tc>
      </w:tr>
      <w:tr w:rsidR="00083628" w:rsidRPr="005D59E0" w14:paraId="6189B543" w14:textId="77777777" w:rsidTr="003123D7">
        <w:trPr>
          <w:cantSplit/>
        </w:trPr>
        <w:tc>
          <w:tcPr>
            <w:tcW w:w="4536" w:type="dxa"/>
            <w:vAlign w:val="center"/>
          </w:tcPr>
          <w:p w14:paraId="5EE1E93D" w14:textId="5B6418E7" w:rsidR="00083628" w:rsidRPr="00F310B6" w:rsidRDefault="002569CD" w:rsidP="003123D7">
            <w:pPr>
              <w:spacing w:line="276" w:lineRule="auto"/>
              <w:ind w:firstLine="0"/>
              <w:jc w:val="left"/>
              <w:rPr>
                <w:sz w:val="18"/>
                <w:szCs w:val="18"/>
                <w:lang w:val="pl-PL"/>
              </w:rPr>
            </w:pPr>
            <w:proofErr w:type="spellStart"/>
            <w:r w:rsidRPr="002569CD">
              <w:rPr>
                <w:sz w:val="18"/>
                <w:szCs w:val="18"/>
                <w:lang w:val="pl-PL"/>
              </w:rPr>
              <w:t>WskaźnikOcenyPunktowej</w:t>
            </w:r>
            <w:proofErr w:type="spellEnd"/>
            <w:r w:rsidRPr="002569CD">
              <w:rPr>
                <w:sz w:val="18"/>
                <w:szCs w:val="18"/>
                <w:lang w:val="pl-PL"/>
              </w:rPr>
              <w:t xml:space="preserve"> vs Zarobki_3R</w:t>
            </w:r>
          </w:p>
        </w:tc>
        <w:tc>
          <w:tcPr>
            <w:tcW w:w="2268" w:type="dxa"/>
            <w:vAlign w:val="center"/>
          </w:tcPr>
          <w:p w14:paraId="1BBDA0AE" w14:textId="0AD3CD31" w:rsidR="00083628" w:rsidRPr="0007217F" w:rsidRDefault="002569CD" w:rsidP="003123D7">
            <w:pPr>
              <w:ind w:firstLine="0"/>
              <w:jc w:val="center"/>
              <w:rPr>
                <w:b/>
                <w:bCs/>
                <w:sz w:val="18"/>
                <w:szCs w:val="18"/>
                <w:lang w:val="pl-PL"/>
              </w:rPr>
            </w:pPr>
            <w:r w:rsidRPr="002569CD">
              <w:rPr>
                <w:b/>
                <w:bCs/>
                <w:sz w:val="18"/>
                <w:szCs w:val="18"/>
                <w:lang w:val="pl-PL"/>
              </w:rPr>
              <w:t>0,8297</w:t>
            </w:r>
          </w:p>
        </w:tc>
        <w:tc>
          <w:tcPr>
            <w:tcW w:w="2268" w:type="dxa"/>
            <w:vAlign w:val="center"/>
          </w:tcPr>
          <w:p w14:paraId="54C9ECAE" w14:textId="77777777" w:rsidR="00083628" w:rsidRPr="00F310B6" w:rsidRDefault="00083628" w:rsidP="003123D7">
            <w:pPr>
              <w:ind w:firstLine="0"/>
              <w:jc w:val="center"/>
              <w:rPr>
                <w:i/>
                <w:iCs/>
                <w:sz w:val="18"/>
                <w:szCs w:val="18"/>
                <w:lang w:val="pl-PL"/>
              </w:rPr>
            </w:pPr>
            <w:r w:rsidRPr="00FA2FB7">
              <w:rPr>
                <w:i/>
                <w:iCs/>
                <w:sz w:val="18"/>
                <w:szCs w:val="18"/>
                <w:lang w:val="pl-PL"/>
              </w:rPr>
              <w:t>&lt;0,0001</w:t>
            </w:r>
          </w:p>
        </w:tc>
      </w:tr>
      <w:tr w:rsidR="00083628" w:rsidRPr="005D59E0" w14:paraId="3D44AE75" w14:textId="77777777" w:rsidTr="003123D7">
        <w:trPr>
          <w:cantSplit/>
        </w:trPr>
        <w:tc>
          <w:tcPr>
            <w:tcW w:w="4536" w:type="dxa"/>
            <w:vAlign w:val="center"/>
          </w:tcPr>
          <w:p w14:paraId="7AFBB450" w14:textId="2A1C36CD" w:rsidR="00083628" w:rsidRPr="00F310B6" w:rsidRDefault="002569CD" w:rsidP="003123D7">
            <w:pPr>
              <w:spacing w:line="276" w:lineRule="auto"/>
              <w:ind w:firstLine="0"/>
              <w:jc w:val="left"/>
              <w:rPr>
                <w:sz w:val="18"/>
                <w:szCs w:val="18"/>
                <w:lang w:val="pl-PL"/>
              </w:rPr>
            </w:pPr>
            <w:proofErr w:type="spellStart"/>
            <w:r w:rsidRPr="002569CD">
              <w:rPr>
                <w:sz w:val="18"/>
                <w:szCs w:val="18"/>
                <w:lang w:val="pl-PL"/>
              </w:rPr>
              <w:t>WskaźnikOcenyPunktowej</w:t>
            </w:r>
            <w:proofErr w:type="spellEnd"/>
            <w:r w:rsidRPr="002569CD">
              <w:rPr>
                <w:sz w:val="18"/>
                <w:szCs w:val="18"/>
                <w:lang w:val="pl-PL"/>
              </w:rPr>
              <w:t xml:space="preserve"> vs WWZ_3R</w:t>
            </w:r>
          </w:p>
        </w:tc>
        <w:tc>
          <w:tcPr>
            <w:tcW w:w="2268" w:type="dxa"/>
            <w:vAlign w:val="center"/>
          </w:tcPr>
          <w:p w14:paraId="25414D43" w14:textId="2C8C56CF" w:rsidR="00083628" w:rsidRPr="0007217F" w:rsidRDefault="002569CD" w:rsidP="003123D7">
            <w:pPr>
              <w:ind w:firstLine="0"/>
              <w:jc w:val="center"/>
              <w:rPr>
                <w:b/>
                <w:bCs/>
                <w:sz w:val="18"/>
                <w:szCs w:val="18"/>
                <w:lang w:val="pl-PL"/>
              </w:rPr>
            </w:pPr>
            <w:r w:rsidRPr="002569CD">
              <w:rPr>
                <w:b/>
                <w:bCs/>
                <w:sz w:val="18"/>
                <w:szCs w:val="18"/>
                <w:lang w:val="pl-PL"/>
              </w:rPr>
              <w:t>0,8656</w:t>
            </w:r>
          </w:p>
        </w:tc>
        <w:tc>
          <w:tcPr>
            <w:tcW w:w="2268" w:type="dxa"/>
            <w:vAlign w:val="center"/>
          </w:tcPr>
          <w:p w14:paraId="553DC1E7" w14:textId="77777777" w:rsidR="00083628" w:rsidRPr="00F310B6" w:rsidRDefault="00083628" w:rsidP="003123D7">
            <w:pPr>
              <w:ind w:firstLine="0"/>
              <w:jc w:val="center"/>
              <w:rPr>
                <w:i/>
                <w:iCs/>
                <w:sz w:val="18"/>
                <w:szCs w:val="18"/>
                <w:lang w:val="pl-PL"/>
              </w:rPr>
            </w:pPr>
            <w:r w:rsidRPr="00FA2FB7">
              <w:rPr>
                <w:i/>
                <w:iCs/>
                <w:sz w:val="18"/>
                <w:szCs w:val="18"/>
                <w:lang w:val="pl-PL"/>
              </w:rPr>
              <w:t>&lt;0,0001</w:t>
            </w:r>
          </w:p>
        </w:tc>
      </w:tr>
      <w:tr w:rsidR="00083628" w:rsidRPr="005D59E0" w14:paraId="47EC5EA5" w14:textId="77777777" w:rsidTr="003123D7">
        <w:trPr>
          <w:cantSplit/>
        </w:trPr>
        <w:tc>
          <w:tcPr>
            <w:tcW w:w="4536" w:type="dxa"/>
            <w:vAlign w:val="center"/>
          </w:tcPr>
          <w:p w14:paraId="0EE59BCB" w14:textId="176F2AFF" w:rsidR="00083628" w:rsidRPr="003205A8" w:rsidRDefault="002569CD" w:rsidP="003123D7">
            <w:pPr>
              <w:spacing w:line="276" w:lineRule="auto"/>
              <w:ind w:firstLine="0"/>
              <w:jc w:val="left"/>
              <w:rPr>
                <w:sz w:val="18"/>
                <w:szCs w:val="18"/>
                <w:lang w:val="pl-PL"/>
              </w:rPr>
            </w:pPr>
            <w:proofErr w:type="spellStart"/>
            <w:r w:rsidRPr="002569CD">
              <w:rPr>
                <w:sz w:val="18"/>
                <w:szCs w:val="18"/>
                <w:lang w:val="pl-PL"/>
              </w:rPr>
              <w:t>WskaźnikOcenyPunktowej</w:t>
            </w:r>
            <w:proofErr w:type="spellEnd"/>
            <w:r w:rsidRPr="002569CD">
              <w:rPr>
                <w:sz w:val="18"/>
                <w:szCs w:val="18"/>
                <w:lang w:val="pl-PL"/>
              </w:rPr>
              <w:t xml:space="preserve"> vs IWRA-WWZ_3R</w:t>
            </w:r>
          </w:p>
        </w:tc>
        <w:tc>
          <w:tcPr>
            <w:tcW w:w="2268" w:type="dxa"/>
            <w:vAlign w:val="center"/>
          </w:tcPr>
          <w:p w14:paraId="199673B2" w14:textId="0F7EE20D" w:rsidR="00083628" w:rsidRPr="00343D95" w:rsidRDefault="002569CD" w:rsidP="003123D7">
            <w:pPr>
              <w:ind w:firstLine="0"/>
              <w:jc w:val="center"/>
              <w:rPr>
                <w:b/>
                <w:bCs/>
                <w:sz w:val="18"/>
                <w:szCs w:val="18"/>
                <w:lang w:val="pl-PL"/>
              </w:rPr>
            </w:pPr>
            <w:r w:rsidRPr="002569CD">
              <w:rPr>
                <w:b/>
                <w:bCs/>
                <w:sz w:val="18"/>
                <w:szCs w:val="18"/>
                <w:lang w:val="pl-PL"/>
              </w:rPr>
              <w:t>0,8282</w:t>
            </w:r>
          </w:p>
        </w:tc>
        <w:tc>
          <w:tcPr>
            <w:tcW w:w="2268" w:type="dxa"/>
            <w:vAlign w:val="center"/>
          </w:tcPr>
          <w:p w14:paraId="3BE128F0" w14:textId="77777777" w:rsidR="00083628" w:rsidRPr="00F310B6" w:rsidRDefault="00083628" w:rsidP="003123D7">
            <w:pPr>
              <w:ind w:firstLine="0"/>
              <w:jc w:val="center"/>
              <w:rPr>
                <w:i/>
                <w:iCs/>
                <w:sz w:val="18"/>
                <w:szCs w:val="18"/>
                <w:lang w:val="pl-PL"/>
              </w:rPr>
            </w:pPr>
            <w:r w:rsidRPr="00FA2FB7">
              <w:rPr>
                <w:i/>
                <w:iCs/>
                <w:sz w:val="18"/>
                <w:szCs w:val="18"/>
                <w:lang w:val="pl-PL"/>
              </w:rPr>
              <w:t>&lt;0,0001</w:t>
            </w:r>
          </w:p>
        </w:tc>
      </w:tr>
      <w:tr w:rsidR="00083628" w:rsidRPr="005D59E0" w14:paraId="2D99E717" w14:textId="77777777" w:rsidTr="003123D7">
        <w:trPr>
          <w:cantSplit/>
        </w:trPr>
        <w:tc>
          <w:tcPr>
            <w:tcW w:w="4536" w:type="dxa"/>
            <w:vAlign w:val="center"/>
          </w:tcPr>
          <w:p w14:paraId="51F7C984" w14:textId="1ED127EB" w:rsidR="00083628" w:rsidRPr="003205A8" w:rsidRDefault="002569CD" w:rsidP="003123D7">
            <w:pPr>
              <w:spacing w:line="276" w:lineRule="auto"/>
              <w:ind w:firstLine="0"/>
              <w:jc w:val="left"/>
              <w:rPr>
                <w:sz w:val="18"/>
                <w:szCs w:val="18"/>
                <w:lang w:val="pl-PL"/>
              </w:rPr>
            </w:pPr>
            <w:r w:rsidRPr="002569CD">
              <w:rPr>
                <w:sz w:val="18"/>
                <w:szCs w:val="18"/>
                <w:lang w:val="pl-PL"/>
              </w:rPr>
              <w:t xml:space="preserve">Pozycja </w:t>
            </w:r>
            <w:proofErr w:type="spellStart"/>
            <w:r w:rsidRPr="002569CD">
              <w:rPr>
                <w:sz w:val="18"/>
                <w:szCs w:val="18"/>
                <w:lang w:val="pl-PL"/>
              </w:rPr>
              <w:t>Webometrics</w:t>
            </w:r>
            <w:proofErr w:type="spellEnd"/>
            <w:r w:rsidRPr="002569CD">
              <w:rPr>
                <w:sz w:val="18"/>
                <w:szCs w:val="18"/>
                <w:lang w:val="pl-PL"/>
              </w:rPr>
              <w:t xml:space="preserve"> World 2023H1 vs IWRA_3R</w:t>
            </w:r>
          </w:p>
        </w:tc>
        <w:tc>
          <w:tcPr>
            <w:tcW w:w="2268" w:type="dxa"/>
            <w:vAlign w:val="center"/>
          </w:tcPr>
          <w:p w14:paraId="29FAA42C" w14:textId="65C85F6F" w:rsidR="00083628" w:rsidRPr="0007217F" w:rsidRDefault="002569CD" w:rsidP="003123D7">
            <w:pPr>
              <w:ind w:firstLine="0"/>
              <w:jc w:val="center"/>
              <w:rPr>
                <w:b/>
                <w:bCs/>
                <w:sz w:val="18"/>
                <w:szCs w:val="18"/>
                <w:lang w:val="pl-PL"/>
              </w:rPr>
            </w:pPr>
            <w:r w:rsidRPr="002569CD">
              <w:rPr>
                <w:b/>
                <w:bCs/>
                <w:sz w:val="18"/>
                <w:szCs w:val="18"/>
                <w:lang w:val="pl-PL"/>
              </w:rPr>
              <w:t>-0,4799</w:t>
            </w:r>
          </w:p>
        </w:tc>
        <w:tc>
          <w:tcPr>
            <w:tcW w:w="2268" w:type="dxa"/>
            <w:vAlign w:val="center"/>
          </w:tcPr>
          <w:p w14:paraId="0F78EFF3" w14:textId="6309F582" w:rsidR="00083628" w:rsidRPr="00F310B6" w:rsidRDefault="002569CD" w:rsidP="003123D7">
            <w:pPr>
              <w:ind w:firstLine="0"/>
              <w:jc w:val="center"/>
              <w:rPr>
                <w:i/>
                <w:iCs/>
                <w:sz w:val="18"/>
                <w:szCs w:val="18"/>
                <w:lang w:val="pl-PL"/>
              </w:rPr>
            </w:pPr>
            <w:r w:rsidRPr="002569CD">
              <w:rPr>
                <w:i/>
                <w:iCs/>
                <w:sz w:val="18"/>
                <w:szCs w:val="18"/>
                <w:lang w:val="pl-PL"/>
              </w:rPr>
              <w:t>0,0238</w:t>
            </w:r>
          </w:p>
        </w:tc>
      </w:tr>
      <w:tr w:rsidR="00425FAC" w:rsidRPr="005D59E0" w14:paraId="27235472" w14:textId="77777777" w:rsidTr="003123D7">
        <w:trPr>
          <w:cantSplit/>
        </w:trPr>
        <w:tc>
          <w:tcPr>
            <w:tcW w:w="4536" w:type="dxa"/>
            <w:vAlign w:val="center"/>
          </w:tcPr>
          <w:p w14:paraId="434DF2F5" w14:textId="0CDD8298" w:rsidR="00425FAC" w:rsidRPr="00425FAC" w:rsidRDefault="00425FAC" w:rsidP="00425FAC">
            <w:pPr>
              <w:spacing w:line="276" w:lineRule="auto"/>
              <w:ind w:firstLine="0"/>
              <w:jc w:val="left"/>
              <w:rPr>
                <w:sz w:val="18"/>
                <w:szCs w:val="18"/>
                <w:lang w:val="pl-PL"/>
              </w:rPr>
            </w:pPr>
            <w:r w:rsidRPr="00563624">
              <w:rPr>
                <w:sz w:val="18"/>
                <w:szCs w:val="18"/>
                <w:lang w:val="pl-PL"/>
              </w:rPr>
              <w:t xml:space="preserve">Pozycja </w:t>
            </w:r>
            <w:proofErr w:type="spellStart"/>
            <w:r w:rsidRPr="00563624">
              <w:rPr>
                <w:sz w:val="18"/>
                <w:szCs w:val="18"/>
                <w:lang w:val="pl-PL"/>
              </w:rPr>
              <w:t>Webometrics</w:t>
            </w:r>
            <w:proofErr w:type="spellEnd"/>
            <w:r w:rsidRPr="00563624">
              <w:rPr>
                <w:sz w:val="18"/>
                <w:szCs w:val="18"/>
                <w:lang w:val="pl-PL"/>
              </w:rPr>
              <w:t xml:space="preserve"> World 2023H1 vs</w:t>
            </w:r>
            <w:r>
              <w:rPr>
                <w:sz w:val="18"/>
                <w:szCs w:val="18"/>
                <w:lang w:val="pl-PL"/>
              </w:rPr>
              <w:br/>
            </w:r>
            <w:r w:rsidRPr="00563624">
              <w:rPr>
                <w:sz w:val="18"/>
                <w:szCs w:val="18"/>
                <w:lang w:val="pl-PL"/>
              </w:rPr>
              <w:t xml:space="preserve"> IWRA-WWZ_3R</w:t>
            </w:r>
          </w:p>
        </w:tc>
        <w:tc>
          <w:tcPr>
            <w:tcW w:w="2268" w:type="dxa"/>
            <w:vAlign w:val="center"/>
          </w:tcPr>
          <w:p w14:paraId="206E6BC9" w14:textId="7F2BFDE3" w:rsidR="00425FAC" w:rsidRPr="002569CD" w:rsidRDefault="00425FAC" w:rsidP="00425FAC">
            <w:pPr>
              <w:ind w:firstLine="0"/>
              <w:jc w:val="center"/>
              <w:rPr>
                <w:b/>
                <w:bCs/>
                <w:sz w:val="18"/>
                <w:szCs w:val="18"/>
              </w:rPr>
            </w:pPr>
            <w:r w:rsidRPr="00563624">
              <w:rPr>
                <w:b/>
                <w:bCs/>
                <w:sz w:val="18"/>
                <w:szCs w:val="18"/>
                <w:lang w:val="pl-PL"/>
              </w:rPr>
              <w:t>-0,5818</w:t>
            </w:r>
          </w:p>
        </w:tc>
        <w:tc>
          <w:tcPr>
            <w:tcW w:w="2268" w:type="dxa"/>
            <w:vAlign w:val="center"/>
          </w:tcPr>
          <w:p w14:paraId="4729BC23" w14:textId="55B7F276" w:rsidR="00425FAC" w:rsidRPr="002569CD" w:rsidRDefault="00425FAC" w:rsidP="00425FAC">
            <w:pPr>
              <w:ind w:firstLine="0"/>
              <w:jc w:val="center"/>
              <w:rPr>
                <w:i/>
                <w:iCs/>
                <w:sz w:val="18"/>
                <w:szCs w:val="18"/>
              </w:rPr>
            </w:pPr>
            <w:r w:rsidRPr="00563624">
              <w:rPr>
                <w:i/>
                <w:iCs/>
                <w:sz w:val="18"/>
                <w:szCs w:val="18"/>
                <w:lang w:val="pl-PL"/>
              </w:rPr>
              <w:t>0,0045</w:t>
            </w:r>
          </w:p>
        </w:tc>
      </w:tr>
      <w:tr w:rsidR="00425FAC" w:rsidRPr="005D59E0" w14:paraId="0472FCAB" w14:textId="77777777" w:rsidTr="003123D7">
        <w:trPr>
          <w:cantSplit/>
        </w:trPr>
        <w:tc>
          <w:tcPr>
            <w:tcW w:w="4536" w:type="dxa"/>
            <w:vAlign w:val="center"/>
          </w:tcPr>
          <w:p w14:paraId="04431E79" w14:textId="28E7C003" w:rsidR="00425FAC" w:rsidRPr="00F310B6" w:rsidRDefault="00425FAC" w:rsidP="00425FAC">
            <w:pPr>
              <w:spacing w:line="276" w:lineRule="auto"/>
              <w:ind w:firstLine="0"/>
              <w:jc w:val="left"/>
              <w:rPr>
                <w:sz w:val="18"/>
                <w:szCs w:val="18"/>
                <w:lang w:val="pl-PL"/>
              </w:rPr>
            </w:pPr>
            <w:r w:rsidRPr="002569CD">
              <w:rPr>
                <w:sz w:val="18"/>
                <w:szCs w:val="18"/>
                <w:lang w:val="pl-PL"/>
              </w:rPr>
              <w:t xml:space="preserve">Pozycja </w:t>
            </w:r>
            <w:proofErr w:type="spellStart"/>
            <w:r w:rsidRPr="002569CD">
              <w:rPr>
                <w:sz w:val="18"/>
                <w:szCs w:val="18"/>
                <w:lang w:val="pl-PL"/>
              </w:rPr>
              <w:t>Webometrics</w:t>
            </w:r>
            <w:proofErr w:type="spellEnd"/>
            <w:r w:rsidRPr="002569CD">
              <w:rPr>
                <w:sz w:val="18"/>
                <w:szCs w:val="18"/>
                <w:lang w:val="pl-PL"/>
              </w:rPr>
              <w:t xml:space="preserve"> World 2023H1 vs</w:t>
            </w:r>
            <w:r>
              <w:rPr>
                <w:sz w:val="18"/>
                <w:szCs w:val="18"/>
                <w:lang w:val="pl-PL"/>
              </w:rPr>
              <w:br/>
            </w:r>
            <w:r w:rsidRPr="002569CD">
              <w:rPr>
                <w:sz w:val="18"/>
                <w:szCs w:val="18"/>
                <w:lang w:val="pl-PL"/>
              </w:rPr>
              <w:t xml:space="preserve"> Zatrudnienie_3R</w:t>
            </w:r>
          </w:p>
        </w:tc>
        <w:tc>
          <w:tcPr>
            <w:tcW w:w="2268" w:type="dxa"/>
            <w:vAlign w:val="center"/>
          </w:tcPr>
          <w:p w14:paraId="1DF4B584" w14:textId="4C883A70" w:rsidR="00425FAC" w:rsidRPr="0007217F" w:rsidRDefault="00425FAC" w:rsidP="00425FAC">
            <w:pPr>
              <w:ind w:firstLine="0"/>
              <w:jc w:val="center"/>
              <w:rPr>
                <w:b/>
                <w:bCs/>
                <w:sz w:val="18"/>
                <w:szCs w:val="18"/>
                <w:lang w:val="pl-PL"/>
              </w:rPr>
            </w:pPr>
            <w:r w:rsidRPr="002569CD">
              <w:rPr>
                <w:b/>
                <w:bCs/>
                <w:sz w:val="18"/>
                <w:szCs w:val="18"/>
                <w:lang w:val="pl-PL"/>
              </w:rPr>
              <w:t>-0,8163</w:t>
            </w:r>
          </w:p>
        </w:tc>
        <w:tc>
          <w:tcPr>
            <w:tcW w:w="2268" w:type="dxa"/>
            <w:vAlign w:val="center"/>
          </w:tcPr>
          <w:p w14:paraId="4FE44D36" w14:textId="46C9B449" w:rsidR="00425FAC" w:rsidRPr="00F310B6" w:rsidRDefault="00425FAC" w:rsidP="00425FAC">
            <w:pPr>
              <w:ind w:firstLine="0"/>
              <w:jc w:val="center"/>
              <w:rPr>
                <w:i/>
                <w:iCs/>
                <w:sz w:val="18"/>
                <w:szCs w:val="18"/>
                <w:lang w:val="pl-PL"/>
              </w:rPr>
            </w:pPr>
            <w:r w:rsidRPr="00FA2FB7">
              <w:rPr>
                <w:i/>
                <w:iCs/>
                <w:sz w:val="18"/>
                <w:szCs w:val="18"/>
                <w:lang w:val="pl-PL"/>
              </w:rPr>
              <w:t>&lt;0,0001</w:t>
            </w:r>
          </w:p>
        </w:tc>
      </w:tr>
      <w:tr w:rsidR="00425FAC" w:rsidRPr="005D59E0" w14:paraId="4A4739E2" w14:textId="77777777" w:rsidTr="003123D7">
        <w:trPr>
          <w:cantSplit/>
        </w:trPr>
        <w:tc>
          <w:tcPr>
            <w:tcW w:w="4536" w:type="dxa"/>
            <w:vAlign w:val="center"/>
          </w:tcPr>
          <w:p w14:paraId="4A53DCC0" w14:textId="50DD6EC4" w:rsidR="00425FAC" w:rsidRPr="003205A8" w:rsidRDefault="00425FAC" w:rsidP="00425FAC">
            <w:pPr>
              <w:spacing w:line="276" w:lineRule="auto"/>
              <w:ind w:firstLine="0"/>
              <w:jc w:val="left"/>
              <w:rPr>
                <w:sz w:val="18"/>
                <w:szCs w:val="18"/>
                <w:lang w:val="pl-PL"/>
              </w:rPr>
            </w:pPr>
            <w:r w:rsidRPr="002569CD">
              <w:rPr>
                <w:sz w:val="18"/>
                <w:szCs w:val="18"/>
                <w:lang w:val="pl-PL"/>
              </w:rPr>
              <w:t xml:space="preserve">Pozycja </w:t>
            </w:r>
            <w:proofErr w:type="spellStart"/>
            <w:r w:rsidRPr="002569CD">
              <w:rPr>
                <w:sz w:val="18"/>
                <w:szCs w:val="18"/>
                <w:lang w:val="pl-PL"/>
              </w:rPr>
              <w:t>Webometrics</w:t>
            </w:r>
            <w:proofErr w:type="spellEnd"/>
            <w:r w:rsidRPr="002569CD">
              <w:rPr>
                <w:sz w:val="18"/>
                <w:szCs w:val="18"/>
                <w:lang w:val="pl-PL"/>
              </w:rPr>
              <w:t xml:space="preserve"> World 2023H1 vs Zarobki_3R</w:t>
            </w:r>
          </w:p>
        </w:tc>
        <w:tc>
          <w:tcPr>
            <w:tcW w:w="2268" w:type="dxa"/>
            <w:vAlign w:val="center"/>
          </w:tcPr>
          <w:p w14:paraId="0E48872C" w14:textId="4C950D9F" w:rsidR="00425FAC" w:rsidRPr="002569CD" w:rsidRDefault="00425FAC" w:rsidP="00425FAC">
            <w:pPr>
              <w:ind w:firstLine="0"/>
              <w:jc w:val="center"/>
              <w:rPr>
                <w:sz w:val="18"/>
                <w:szCs w:val="18"/>
                <w:lang w:val="pl-PL"/>
              </w:rPr>
            </w:pPr>
            <w:r w:rsidRPr="002569CD">
              <w:rPr>
                <w:sz w:val="18"/>
                <w:szCs w:val="18"/>
                <w:lang w:val="pl-PL"/>
              </w:rPr>
              <w:t>-0,2779</w:t>
            </w:r>
          </w:p>
        </w:tc>
        <w:tc>
          <w:tcPr>
            <w:tcW w:w="2268" w:type="dxa"/>
            <w:vAlign w:val="center"/>
          </w:tcPr>
          <w:p w14:paraId="0F765929" w14:textId="148F544D" w:rsidR="00425FAC" w:rsidRPr="00F310B6" w:rsidRDefault="00425FAC" w:rsidP="00425FAC">
            <w:pPr>
              <w:ind w:firstLine="0"/>
              <w:jc w:val="center"/>
              <w:rPr>
                <w:i/>
                <w:iCs/>
                <w:sz w:val="18"/>
                <w:szCs w:val="18"/>
                <w:lang w:val="pl-PL"/>
              </w:rPr>
            </w:pPr>
            <w:r w:rsidRPr="002569CD">
              <w:rPr>
                <w:i/>
                <w:iCs/>
                <w:sz w:val="18"/>
                <w:szCs w:val="18"/>
                <w:lang w:val="pl-PL"/>
              </w:rPr>
              <w:t>0,2105</w:t>
            </w:r>
          </w:p>
        </w:tc>
      </w:tr>
      <w:tr w:rsidR="00425FAC" w:rsidRPr="005D59E0" w14:paraId="7DFE10E0" w14:textId="77777777" w:rsidTr="003123D7">
        <w:trPr>
          <w:cantSplit/>
        </w:trPr>
        <w:tc>
          <w:tcPr>
            <w:tcW w:w="4536" w:type="dxa"/>
            <w:vAlign w:val="center"/>
          </w:tcPr>
          <w:p w14:paraId="29847196" w14:textId="59EF34CF" w:rsidR="00425FAC" w:rsidRPr="00F310B6" w:rsidRDefault="00425FAC" w:rsidP="00425FAC">
            <w:pPr>
              <w:spacing w:line="276" w:lineRule="auto"/>
              <w:ind w:firstLine="0"/>
              <w:jc w:val="left"/>
              <w:rPr>
                <w:sz w:val="18"/>
                <w:szCs w:val="18"/>
                <w:lang w:val="pl-PL"/>
              </w:rPr>
            </w:pPr>
            <w:r w:rsidRPr="002569CD">
              <w:rPr>
                <w:sz w:val="18"/>
                <w:szCs w:val="18"/>
                <w:lang w:val="pl-PL"/>
              </w:rPr>
              <w:t xml:space="preserve">Pozycja </w:t>
            </w:r>
            <w:proofErr w:type="spellStart"/>
            <w:r w:rsidRPr="002569CD">
              <w:rPr>
                <w:sz w:val="18"/>
                <w:szCs w:val="18"/>
                <w:lang w:val="pl-PL"/>
              </w:rPr>
              <w:t>Webometrics</w:t>
            </w:r>
            <w:proofErr w:type="spellEnd"/>
            <w:r w:rsidRPr="002569CD">
              <w:rPr>
                <w:sz w:val="18"/>
                <w:szCs w:val="18"/>
                <w:lang w:val="pl-PL"/>
              </w:rPr>
              <w:t xml:space="preserve"> World 2023H1 vs WWZ_3R</w:t>
            </w:r>
          </w:p>
        </w:tc>
        <w:tc>
          <w:tcPr>
            <w:tcW w:w="2268" w:type="dxa"/>
            <w:vAlign w:val="center"/>
          </w:tcPr>
          <w:p w14:paraId="59066334" w14:textId="5A5BF4BD" w:rsidR="00425FAC" w:rsidRPr="002569CD" w:rsidRDefault="00425FAC" w:rsidP="00425FAC">
            <w:pPr>
              <w:ind w:firstLine="0"/>
              <w:jc w:val="center"/>
              <w:rPr>
                <w:sz w:val="18"/>
                <w:szCs w:val="18"/>
                <w:lang w:val="pl-PL"/>
              </w:rPr>
            </w:pPr>
            <w:r w:rsidRPr="002569CD">
              <w:rPr>
                <w:sz w:val="18"/>
                <w:szCs w:val="18"/>
                <w:lang w:val="pl-PL"/>
              </w:rPr>
              <w:t>-0,3651</w:t>
            </w:r>
          </w:p>
        </w:tc>
        <w:tc>
          <w:tcPr>
            <w:tcW w:w="2268" w:type="dxa"/>
            <w:vAlign w:val="center"/>
          </w:tcPr>
          <w:p w14:paraId="6518A851" w14:textId="3782B80C" w:rsidR="00425FAC" w:rsidRPr="00F310B6" w:rsidRDefault="00425FAC" w:rsidP="00425FAC">
            <w:pPr>
              <w:ind w:firstLine="0"/>
              <w:jc w:val="center"/>
              <w:rPr>
                <w:i/>
                <w:iCs/>
                <w:sz w:val="18"/>
                <w:szCs w:val="18"/>
                <w:lang w:val="pl-PL"/>
              </w:rPr>
            </w:pPr>
            <w:r w:rsidRPr="002569CD">
              <w:rPr>
                <w:i/>
                <w:iCs/>
                <w:sz w:val="18"/>
                <w:szCs w:val="18"/>
                <w:lang w:val="pl-PL"/>
              </w:rPr>
              <w:t>0,0947</w:t>
            </w:r>
          </w:p>
        </w:tc>
      </w:tr>
      <w:tr w:rsidR="00425FAC" w:rsidRPr="005D59E0" w14:paraId="4B355702" w14:textId="77777777" w:rsidTr="003123D7">
        <w:trPr>
          <w:cantSplit/>
        </w:trPr>
        <w:tc>
          <w:tcPr>
            <w:tcW w:w="4536" w:type="dxa"/>
            <w:vAlign w:val="center"/>
          </w:tcPr>
          <w:p w14:paraId="3ED397A9" w14:textId="03BE7518" w:rsidR="00425FAC" w:rsidRPr="001F5E75" w:rsidRDefault="00425FAC" w:rsidP="00425FAC">
            <w:pPr>
              <w:spacing w:line="276" w:lineRule="auto"/>
              <w:ind w:firstLine="0"/>
              <w:jc w:val="left"/>
              <w:rPr>
                <w:sz w:val="18"/>
                <w:szCs w:val="18"/>
                <w:lang w:val="en-GB"/>
              </w:rPr>
            </w:pPr>
            <w:proofErr w:type="spellStart"/>
            <w:r w:rsidRPr="001F5E75">
              <w:rPr>
                <w:sz w:val="18"/>
                <w:szCs w:val="18"/>
                <w:lang w:val="en-GB"/>
              </w:rPr>
              <w:t>Pozycja</w:t>
            </w:r>
            <w:proofErr w:type="spellEnd"/>
            <w:r w:rsidRPr="001F5E75">
              <w:rPr>
                <w:sz w:val="18"/>
                <w:szCs w:val="18"/>
                <w:lang w:val="en-GB"/>
              </w:rPr>
              <w:t xml:space="preserve"> Webometrics Country 2023H1 vs IWRA_3R</w:t>
            </w:r>
          </w:p>
        </w:tc>
        <w:tc>
          <w:tcPr>
            <w:tcW w:w="2268" w:type="dxa"/>
            <w:vAlign w:val="center"/>
          </w:tcPr>
          <w:p w14:paraId="566DFB32" w14:textId="2DD7E556" w:rsidR="00425FAC" w:rsidRPr="0007217F" w:rsidRDefault="00425FAC" w:rsidP="00425FAC">
            <w:pPr>
              <w:ind w:firstLine="0"/>
              <w:jc w:val="center"/>
              <w:rPr>
                <w:b/>
                <w:bCs/>
                <w:sz w:val="18"/>
                <w:szCs w:val="18"/>
                <w:lang w:val="pl-PL"/>
              </w:rPr>
            </w:pPr>
            <w:r w:rsidRPr="00877C7F">
              <w:rPr>
                <w:b/>
                <w:bCs/>
                <w:sz w:val="18"/>
                <w:szCs w:val="18"/>
                <w:lang w:val="pl-PL"/>
              </w:rPr>
              <w:t>-0,5160</w:t>
            </w:r>
          </w:p>
        </w:tc>
        <w:tc>
          <w:tcPr>
            <w:tcW w:w="2268" w:type="dxa"/>
            <w:vAlign w:val="center"/>
          </w:tcPr>
          <w:p w14:paraId="544A8DF8" w14:textId="059D8EA3" w:rsidR="00425FAC" w:rsidRPr="00F310B6" w:rsidRDefault="00425FAC" w:rsidP="00425FAC">
            <w:pPr>
              <w:ind w:firstLine="0"/>
              <w:jc w:val="center"/>
              <w:rPr>
                <w:i/>
                <w:iCs/>
                <w:sz w:val="18"/>
                <w:szCs w:val="18"/>
                <w:lang w:val="pl-PL"/>
              </w:rPr>
            </w:pPr>
            <w:r w:rsidRPr="00877C7F">
              <w:rPr>
                <w:i/>
                <w:iCs/>
                <w:sz w:val="18"/>
                <w:szCs w:val="18"/>
                <w:lang w:val="pl-PL"/>
              </w:rPr>
              <w:t>0,0140</w:t>
            </w:r>
          </w:p>
        </w:tc>
      </w:tr>
      <w:tr w:rsidR="00425FAC" w:rsidRPr="005D59E0" w14:paraId="76B50496" w14:textId="77777777" w:rsidTr="003123D7">
        <w:trPr>
          <w:cantSplit/>
        </w:trPr>
        <w:tc>
          <w:tcPr>
            <w:tcW w:w="4536" w:type="dxa"/>
            <w:vAlign w:val="center"/>
          </w:tcPr>
          <w:p w14:paraId="6959A84B" w14:textId="5DBDEECE" w:rsidR="00425FAC" w:rsidRPr="001F5E75" w:rsidRDefault="00425FAC" w:rsidP="00425FAC">
            <w:pPr>
              <w:spacing w:line="276" w:lineRule="auto"/>
              <w:ind w:firstLine="0"/>
              <w:jc w:val="left"/>
              <w:rPr>
                <w:sz w:val="18"/>
                <w:szCs w:val="18"/>
                <w:lang w:val="en-GB"/>
              </w:rPr>
            </w:pPr>
            <w:proofErr w:type="spellStart"/>
            <w:r w:rsidRPr="001F5E75">
              <w:rPr>
                <w:sz w:val="18"/>
                <w:szCs w:val="18"/>
                <w:lang w:val="en-GB"/>
              </w:rPr>
              <w:t>Pozycja</w:t>
            </w:r>
            <w:proofErr w:type="spellEnd"/>
            <w:r w:rsidRPr="001F5E75">
              <w:rPr>
                <w:sz w:val="18"/>
                <w:szCs w:val="18"/>
                <w:lang w:val="en-GB"/>
              </w:rPr>
              <w:t xml:space="preserve"> Webometrics Country 2023H1 vs</w:t>
            </w:r>
            <w:r>
              <w:rPr>
                <w:sz w:val="18"/>
                <w:szCs w:val="18"/>
                <w:lang w:val="en-GB"/>
              </w:rPr>
              <w:br/>
            </w:r>
            <w:r w:rsidRPr="001F5E75">
              <w:rPr>
                <w:sz w:val="18"/>
                <w:szCs w:val="18"/>
                <w:lang w:val="en-GB"/>
              </w:rPr>
              <w:t xml:space="preserve"> IWRA-WWZ_3R</w:t>
            </w:r>
          </w:p>
        </w:tc>
        <w:tc>
          <w:tcPr>
            <w:tcW w:w="2268" w:type="dxa"/>
            <w:vAlign w:val="center"/>
          </w:tcPr>
          <w:p w14:paraId="2F9A2395" w14:textId="1CFF3242" w:rsidR="00425FAC" w:rsidRPr="00877C7F" w:rsidRDefault="00425FAC" w:rsidP="00425FAC">
            <w:pPr>
              <w:ind w:firstLine="0"/>
              <w:jc w:val="center"/>
              <w:rPr>
                <w:b/>
                <w:bCs/>
                <w:sz w:val="18"/>
                <w:szCs w:val="18"/>
              </w:rPr>
            </w:pPr>
            <w:r w:rsidRPr="00877C7F">
              <w:rPr>
                <w:b/>
                <w:bCs/>
                <w:sz w:val="18"/>
                <w:szCs w:val="18"/>
                <w:lang w:val="pl-PL"/>
              </w:rPr>
              <w:t>-0,6192</w:t>
            </w:r>
          </w:p>
        </w:tc>
        <w:tc>
          <w:tcPr>
            <w:tcW w:w="2268" w:type="dxa"/>
            <w:vAlign w:val="center"/>
          </w:tcPr>
          <w:p w14:paraId="4753D8E8" w14:textId="0537E0DA" w:rsidR="00425FAC" w:rsidRPr="00877C7F" w:rsidRDefault="00425FAC" w:rsidP="00425FAC">
            <w:pPr>
              <w:ind w:firstLine="0"/>
              <w:jc w:val="center"/>
              <w:rPr>
                <w:i/>
                <w:iCs/>
                <w:sz w:val="18"/>
                <w:szCs w:val="18"/>
              </w:rPr>
            </w:pPr>
            <w:r w:rsidRPr="00877C7F">
              <w:rPr>
                <w:i/>
                <w:iCs/>
                <w:sz w:val="18"/>
                <w:szCs w:val="18"/>
                <w:lang w:val="pl-PL"/>
              </w:rPr>
              <w:t>0,0021</w:t>
            </w:r>
          </w:p>
        </w:tc>
      </w:tr>
      <w:tr w:rsidR="00425FAC" w:rsidRPr="005D59E0" w14:paraId="7253FB3A" w14:textId="77777777" w:rsidTr="003123D7">
        <w:trPr>
          <w:cantSplit/>
        </w:trPr>
        <w:tc>
          <w:tcPr>
            <w:tcW w:w="4536" w:type="dxa"/>
            <w:vAlign w:val="center"/>
          </w:tcPr>
          <w:p w14:paraId="5857C17D" w14:textId="5A7F4C1F" w:rsidR="00425FAC" w:rsidRPr="00083628" w:rsidRDefault="00425FAC" w:rsidP="00425FAC">
            <w:pPr>
              <w:spacing w:line="276" w:lineRule="auto"/>
              <w:ind w:firstLine="0"/>
              <w:jc w:val="left"/>
              <w:rPr>
                <w:sz w:val="18"/>
                <w:szCs w:val="18"/>
                <w:lang w:val="pl-PL"/>
              </w:rPr>
            </w:pPr>
            <w:r w:rsidRPr="00877C7F">
              <w:rPr>
                <w:sz w:val="18"/>
                <w:szCs w:val="18"/>
                <w:lang w:val="pl-PL"/>
              </w:rPr>
              <w:t xml:space="preserve">Pozycja </w:t>
            </w:r>
            <w:proofErr w:type="spellStart"/>
            <w:r w:rsidRPr="00877C7F">
              <w:rPr>
                <w:sz w:val="18"/>
                <w:szCs w:val="18"/>
                <w:lang w:val="pl-PL"/>
              </w:rPr>
              <w:t>Webometrics</w:t>
            </w:r>
            <w:proofErr w:type="spellEnd"/>
            <w:r w:rsidRPr="00877C7F">
              <w:rPr>
                <w:sz w:val="18"/>
                <w:szCs w:val="18"/>
                <w:lang w:val="pl-PL"/>
              </w:rPr>
              <w:t xml:space="preserve"> Country 2023H1 vs</w:t>
            </w:r>
            <w:r>
              <w:rPr>
                <w:sz w:val="18"/>
                <w:szCs w:val="18"/>
                <w:lang w:val="pl-PL"/>
              </w:rPr>
              <w:br/>
            </w:r>
            <w:r w:rsidRPr="00877C7F">
              <w:rPr>
                <w:sz w:val="18"/>
                <w:szCs w:val="18"/>
                <w:lang w:val="pl-PL"/>
              </w:rPr>
              <w:t xml:space="preserve"> Zatrudnienie_3R</w:t>
            </w:r>
          </w:p>
        </w:tc>
        <w:tc>
          <w:tcPr>
            <w:tcW w:w="2268" w:type="dxa"/>
            <w:vAlign w:val="center"/>
          </w:tcPr>
          <w:p w14:paraId="39A6C97A" w14:textId="7AA9EC11" w:rsidR="00425FAC" w:rsidRPr="0007217F" w:rsidRDefault="00425FAC" w:rsidP="00425FAC">
            <w:pPr>
              <w:ind w:firstLine="0"/>
              <w:jc w:val="center"/>
              <w:rPr>
                <w:b/>
                <w:bCs/>
                <w:sz w:val="18"/>
                <w:szCs w:val="18"/>
                <w:lang w:val="pl-PL"/>
              </w:rPr>
            </w:pPr>
            <w:r w:rsidRPr="00877C7F">
              <w:rPr>
                <w:b/>
                <w:bCs/>
                <w:sz w:val="18"/>
                <w:szCs w:val="18"/>
                <w:lang w:val="pl-PL"/>
              </w:rPr>
              <w:t>-0,8037</w:t>
            </w:r>
          </w:p>
        </w:tc>
        <w:tc>
          <w:tcPr>
            <w:tcW w:w="2268" w:type="dxa"/>
            <w:vAlign w:val="center"/>
          </w:tcPr>
          <w:p w14:paraId="4E8C2AD5" w14:textId="5FE09BD3" w:rsidR="00425FAC" w:rsidRPr="00F310B6" w:rsidRDefault="00425FAC" w:rsidP="00425FAC">
            <w:pPr>
              <w:ind w:firstLine="0"/>
              <w:jc w:val="center"/>
              <w:rPr>
                <w:i/>
                <w:iCs/>
                <w:sz w:val="18"/>
                <w:szCs w:val="18"/>
                <w:lang w:val="pl-PL"/>
              </w:rPr>
            </w:pPr>
            <w:r w:rsidRPr="00FA2FB7">
              <w:rPr>
                <w:i/>
                <w:iCs/>
                <w:sz w:val="18"/>
                <w:szCs w:val="18"/>
                <w:lang w:val="pl-PL"/>
              </w:rPr>
              <w:t>&lt;0,0001</w:t>
            </w:r>
          </w:p>
        </w:tc>
      </w:tr>
      <w:tr w:rsidR="00425FAC" w:rsidRPr="005D59E0" w14:paraId="40DBF429" w14:textId="77777777" w:rsidTr="003123D7">
        <w:trPr>
          <w:cantSplit/>
        </w:trPr>
        <w:tc>
          <w:tcPr>
            <w:tcW w:w="4536" w:type="dxa"/>
            <w:vAlign w:val="center"/>
          </w:tcPr>
          <w:p w14:paraId="1AD9D5B6" w14:textId="35C7EB18" w:rsidR="00425FAC" w:rsidRPr="00F310B6" w:rsidRDefault="00425FAC" w:rsidP="00425FAC">
            <w:pPr>
              <w:spacing w:line="276" w:lineRule="auto"/>
              <w:ind w:firstLine="0"/>
              <w:jc w:val="left"/>
              <w:rPr>
                <w:sz w:val="18"/>
                <w:szCs w:val="18"/>
                <w:lang w:val="pl-PL"/>
              </w:rPr>
            </w:pPr>
            <w:r w:rsidRPr="00877C7F">
              <w:rPr>
                <w:sz w:val="18"/>
                <w:szCs w:val="18"/>
                <w:lang w:val="pl-PL"/>
              </w:rPr>
              <w:t xml:space="preserve">Pozycja </w:t>
            </w:r>
            <w:proofErr w:type="spellStart"/>
            <w:r w:rsidRPr="00877C7F">
              <w:rPr>
                <w:sz w:val="18"/>
                <w:szCs w:val="18"/>
                <w:lang w:val="pl-PL"/>
              </w:rPr>
              <w:t>Webometrics</w:t>
            </w:r>
            <w:proofErr w:type="spellEnd"/>
            <w:r w:rsidRPr="00877C7F">
              <w:rPr>
                <w:sz w:val="18"/>
                <w:szCs w:val="18"/>
                <w:lang w:val="pl-PL"/>
              </w:rPr>
              <w:t xml:space="preserve"> Country 2023H1 vs Zarobki_3R</w:t>
            </w:r>
          </w:p>
        </w:tc>
        <w:tc>
          <w:tcPr>
            <w:tcW w:w="2268" w:type="dxa"/>
            <w:vAlign w:val="center"/>
          </w:tcPr>
          <w:p w14:paraId="31E8617D" w14:textId="57A0590E" w:rsidR="00425FAC" w:rsidRPr="00877C7F" w:rsidRDefault="00425FAC" w:rsidP="00425FAC">
            <w:pPr>
              <w:ind w:firstLine="0"/>
              <w:jc w:val="center"/>
              <w:rPr>
                <w:sz w:val="18"/>
                <w:szCs w:val="18"/>
                <w:lang w:val="pl-PL"/>
              </w:rPr>
            </w:pPr>
            <w:r w:rsidRPr="00877C7F">
              <w:rPr>
                <w:sz w:val="18"/>
                <w:szCs w:val="18"/>
                <w:lang w:val="pl-PL"/>
              </w:rPr>
              <w:t>-0,3207</w:t>
            </w:r>
          </w:p>
        </w:tc>
        <w:tc>
          <w:tcPr>
            <w:tcW w:w="2268" w:type="dxa"/>
            <w:vAlign w:val="center"/>
          </w:tcPr>
          <w:p w14:paraId="3AF0BEFE" w14:textId="1B65D2CE" w:rsidR="00425FAC" w:rsidRPr="00F310B6" w:rsidRDefault="00425FAC" w:rsidP="00425FAC">
            <w:pPr>
              <w:ind w:firstLine="0"/>
              <w:jc w:val="center"/>
              <w:rPr>
                <w:i/>
                <w:iCs/>
                <w:sz w:val="18"/>
                <w:szCs w:val="18"/>
                <w:lang w:val="pl-PL"/>
              </w:rPr>
            </w:pPr>
            <w:r w:rsidRPr="00877C7F">
              <w:rPr>
                <w:i/>
                <w:iCs/>
                <w:sz w:val="18"/>
                <w:szCs w:val="18"/>
                <w:lang w:val="pl-PL"/>
              </w:rPr>
              <w:t>0,1456</w:t>
            </w:r>
          </w:p>
        </w:tc>
      </w:tr>
      <w:tr w:rsidR="00425FAC" w:rsidRPr="005D59E0" w14:paraId="418C6F4D" w14:textId="77777777" w:rsidTr="003123D7">
        <w:trPr>
          <w:cantSplit/>
        </w:trPr>
        <w:tc>
          <w:tcPr>
            <w:tcW w:w="4536" w:type="dxa"/>
            <w:vAlign w:val="center"/>
          </w:tcPr>
          <w:p w14:paraId="51329339" w14:textId="5192B5FC" w:rsidR="00425FAC" w:rsidRPr="001F5E75" w:rsidRDefault="00425FAC" w:rsidP="00C63D7B">
            <w:pPr>
              <w:keepNext/>
              <w:spacing w:line="276" w:lineRule="auto"/>
              <w:ind w:firstLine="0"/>
              <w:jc w:val="left"/>
              <w:rPr>
                <w:sz w:val="18"/>
                <w:szCs w:val="18"/>
                <w:lang w:val="en-GB"/>
              </w:rPr>
            </w:pPr>
            <w:proofErr w:type="spellStart"/>
            <w:r w:rsidRPr="001F5E75">
              <w:rPr>
                <w:sz w:val="18"/>
                <w:szCs w:val="18"/>
                <w:lang w:val="en-GB"/>
              </w:rPr>
              <w:t>Pozycja</w:t>
            </w:r>
            <w:proofErr w:type="spellEnd"/>
            <w:r w:rsidRPr="001F5E75">
              <w:rPr>
                <w:sz w:val="18"/>
                <w:szCs w:val="18"/>
                <w:lang w:val="en-GB"/>
              </w:rPr>
              <w:t xml:space="preserve"> Webometrics Country 2023H1 vs WWZ_3R</w:t>
            </w:r>
          </w:p>
        </w:tc>
        <w:tc>
          <w:tcPr>
            <w:tcW w:w="2268" w:type="dxa"/>
            <w:vAlign w:val="center"/>
          </w:tcPr>
          <w:p w14:paraId="1C46D2BE" w14:textId="146A2AAA" w:rsidR="00425FAC" w:rsidRPr="00877C7F" w:rsidRDefault="00425FAC" w:rsidP="00C63D7B">
            <w:pPr>
              <w:keepNext/>
              <w:ind w:firstLine="0"/>
              <w:jc w:val="center"/>
              <w:rPr>
                <w:sz w:val="18"/>
                <w:szCs w:val="18"/>
                <w:lang w:val="pl-PL"/>
              </w:rPr>
            </w:pPr>
            <w:r w:rsidRPr="00877C7F">
              <w:rPr>
                <w:sz w:val="18"/>
                <w:szCs w:val="18"/>
                <w:lang w:val="pl-PL"/>
              </w:rPr>
              <w:t>-0,4128</w:t>
            </w:r>
          </w:p>
        </w:tc>
        <w:tc>
          <w:tcPr>
            <w:tcW w:w="2268" w:type="dxa"/>
            <w:vAlign w:val="center"/>
          </w:tcPr>
          <w:p w14:paraId="640F7F1D" w14:textId="43B315D4" w:rsidR="00425FAC" w:rsidRPr="00F310B6" w:rsidRDefault="00425FAC" w:rsidP="00C63D7B">
            <w:pPr>
              <w:keepNext/>
              <w:ind w:firstLine="0"/>
              <w:jc w:val="center"/>
              <w:rPr>
                <w:i/>
                <w:iCs/>
                <w:sz w:val="18"/>
                <w:szCs w:val="18"/>
                <w:lang w:val="pl-PL"/>
              </w:rPr>
            </w:pPr>
            <w:r w:rsidRPr="00877C7F">
              <w:rPr>
                <w:i/>
                <w:iCs/>
                <w:sz w:val="18"/>
                <w:szCs w:val="18"/>
                <w:lang w:val="pl-PL"/>
              </w:rPr>
              <w:t>0,0562</w:t>
            </w:r>
          </w:p>
        </w:tc>
      </w:tr>
    </w:tbl>
    <w:p w14:paraId="6B6DBCC7" w14:textId="18DECEA7" w:rsidR="00083628" w:rsidRDefault="00083628" w:rsidP="007770AA">
      <w:pPr>
        <w:pStyle w:val="rdo"/>
      </w:pPr>
      <w:r>
        <w:t xml:space="preserve">Źródło: opracowanie własne na podstawie wyników rankingu Perspektywy 2022 </w:t>
      </w:r>
      <w:r>
        <w:fldChar w:fldCharType="begin" w:fldLock="1"/>
      </w:r>
      <w:r w:rsidR="001A2624">
        <w:instrText>ADDIN CSL_CITATION {"citationItems":[{"id":"ITEM-1","itemData":{"URL":"https://i.perspektywy.pl/pages/hak7xpl8xl/tables/akademicki2022.pdf","author":[{"dropping-particle":"","family":"Perspektywy","given":"","non-dropping-particle":"","parse-names":false,"suffix":""}],"id":"ITEM-1","issued":{"date-parts":[["2022"]]},"title":"Wyniki Rankingu Szkół Wyższych Perspektywy 2022","type":"webpage"},"uris":["http://www.mendeley.com/documents/?uuid=971df65c-57f1-4525-ac9e-dadaa886f8a6"]}],"mendeley":{"formattedCitation":"(Perspektywy, 2022b)","plainTextFormattedCitation":"(Perspektywy, 2022b)","previouslyFormattedCitation":"(Perspektywy, 2022b)"},"properties":{"noteIndex":0},"schema":"https://github.com/citation-style-language/schema/raw/master/csl-citation.json"}</w:instrText>
      </w:r>
      <w:r>
        <w:fldChar w:fldCharType="separate"/>
      </w:r>
      <w:r w:rsidR="00921CC1" w:rsidRPr="00921CC1">
        <w:rPr>
          <w:noProof/>
        </w:rPr>
        <w:t>(Perspektywy, 2022b)</w:t>
      </w:r>
      <w:r>
        <w:fldChar w:fldCharType="end"/>
      </w:r>
      <w:r w:rsidR="00A92110">
        <w:t xml:space="preserve">, wyników rankingu </w:t>
      </w:r>
      <w:proofErr w:type="spellStart"/>
      <w:r w:rsidR="00A92110">
        <w:t>Webometrics</w:t>
      </w:r>
      <w:proofErr w:type="spellEnd"/>
      <w:r w:rsidR="00A92110">
        <w:t xml:space="preserve"> </w:t>
      </w:r>
      <w:r w:rsidR="00A92110">
        <w:fldChar w:fldCharType="begin" w:fldLock="1"/>
      </w:r>
      <w:r w:rsidR="001A2624">
        <w:instrText>ADDIN CSL_CITATION {"citationItems":[{"id":"ITEM-1","itemData":{"URL":"https://www.webometrics.info/en/world","author":[{"dropping-particle":"","family":"Cybermetrics Lab","given":"","non-dropping-particle":"","parse-names":false,"suffix":""}],"container-title":"Webometrics 2023 Jan Ranking","id":"ITEM-1","issued":{"date-parts":[["2023"]]},"title":"Ranking Web of Universities 2023","type":"webpage"},"uris":["http://www.mendeley.com/documents/?uuid=e4f67507-4d50-4f1d-9332-976d0928d21e"]}],"mendeley":{"formattedCitation":"(Cybermetrics Lab, 2023)","plainTextFormattedCitation":"(Cybermetrics Lab, 2023)","previouslyFormattedCitation":"(Cybermetrics Lab, 2023)"},"properties":{"noteIndex":0},"schema":"https://github.com/citation-style-language/schema/raw/master/csl-citation.json"}</w:instrText>
      </w:r>
      <w:r w:rsidR="00A92110">
        <w:fldChar w:fldCharType="separate"/>
      </w:r>
      <w:r w:rsidR="00921CC1" w:rsidRPr="00921CC1">
        <w:rPr>
          <w:noProof/>
        </w:rPr>
        <w:t>(Cybermetrics Lab, 2023)</w:t>
      </w:r>
      <w:r w:rsidR="00A92110">
        <w:fldChar w:fldCharType="end"/>
      </w:r>
      <w:r w:rsidR="00A92110">
        <w:t xml:space="preserve"> oraz danych z bazy ELA </w:t>
      </w:r>
      <w:r w:rsidR="00A92110">
        <w:fldChar w:fldCharType="begin" w:fldLock="1"/>
      </w:r>
      <w:r w:rsidR="001A2624">
        <w:instrText>ADDIN CSL_CITATION {"citationItems":[{"id":"ITEM-1","itemData":{"URL":"https://ela.nauka.gov.pl/pl/experts/source-data","author":[{"dropping-particle":"","family":"ELA 2020","given":"","non-dropping-particle":"","parse-names":false,"suffix":""}],"id":"ITEM-1","issued":{"date-parts":[["2021"]]},"title":"Ekonomiczne Losy Absolwentów - zbiór danych źródłowych dla Uczelni obejmujący dane absolwentów studiów I, II stopnia i jednolitych studiów magiserskich do 2020 roku","type":"webpage"},"uris":["http://www.mendeley.com/documents/?uuid=090c4a91-b756-446d-9b1f-1fc1628ea982"]}],"mendeley":{"formattedCitation":"(ELA 2020, 2021)","plainTextFormattedCitation":"(ELA 2020, 2021)","previouslyFormattedCitation":"(ELA 2020, 2021)"},"properties":{"noteIndex":0},"schema":"https://github.com/citation-style-language/schema/raw/master/csl-citation.json"}</w:instrText>
      </w:r>
      <w:r w:rsidR="00A92110">
        <w:fldChar w:fldCharType="separate"/>
      </w:r>
      <w:r w:rsidR="00921CC1" w:rsidRPr="00921CC1">
        <w:rPr>
          <w:noProof/>
        </w:rPr>
        <w:t>(ELA 2020, 2021)</w:t>
      </w:r>
      <w:r w:rsidR="00A92110">
        <w:fldChar w:fldCharType="end"/>
      </w:r>
    </w:p>
    <w:p w14:paraId="71620A82" w14:textId="3B8AA31B" w:rsidR="00093D9F" w:rsidRDefault="00383C8A" w:rsidP="00093D9F">
      <w:r>
        <w:lastRenderedPageBreak/>
        <w:t xml:space="preserve">Wśród korelacji wskaźników IWRA i ich składowych ze Wskaźnikiem Oceny Punktowej (WOP), wybranym na podstawie wcześniejszych analiz do reprezentowania ogólnej oceny rankingowej rankingu Perspektywy 2022, niemal wszystkie z przedstawionych w tabeli </w:t>
      </w:r>
      <w:r w:rsidR="00FB0BA8">
        <w:t>po</w:t>
      </w:r>
      <w:r w:rsidR="00FB0BA8">
        <w:fldChar w:fldCharType="begin"/>
      </w:r>
      <w:r w:rsidR="00FB0BA8">
        <w:instrText xml:space="preserve"> REF _Ref162954839 \p \h </w:instrText>
      </w:r>
      <w:r w:rsidR="00FB0BA8">
        <w:fldChar w:fldCharType="separate"/>
      </w:r>
      <w:r w:rsidR="00FB0BA8">
        <w:t>wyżej</w:t>
      </w:r>
      <w:r w:rsidR="00FB0BA8">
        <w:fldChar w:fldCharType="end"/>
      </w:r>
      <w:r w:rsidR="00FB0BA8">
        <w:t xml:space="preserve"> (</w:t>
      </w:r>
      <w:r w:rsidR="00FB0BA8">
        <w:fldChar w:fldCharType="begin"/>
      </w:r>
      <w:r w:rsidR="00FB0BA8">
        <w:instrText xml:space="preserve"> REF _Ref162954853 \h </w:instrText>
      </w:r>
      <w:r w:rsidR="00FB0BA8">
        <w:fldChar w:fldCharType="separate"/>
      </w:r>
      <w:r w:rsidR="00FB0BA8">
        <w:t xml:space="preserve">Tabela </w:t>
      </w:r>
      <w:r w:rsidR="00FB0BA8">
        <w:rPr>
          <w:noProof/>
        </w:rPr>
        <w:t>75</w:t>
      </w:r>
      <w:r w:rsidR="00FB0BA8">
        <w:fldChar w:fldCharType="end"/>
      </w:r>
      <w:r w:rsidR="00FB0BA8">
        <w:t>)</w:t>
      </w:r>
      <w:r>
        <w:t xml:space="preserve"> są silnie pozytywnie skorelowane i istotne statystycznie na poziomie istotności </w:t>
      </w:r>
      <w:r w:rsidR="00282C0B">
        <w:rPr>
          <w:rFonts w:cs="Arial"/>
        </w:rPr>
        <w:t>α</w:t>
      </w:r>
      <w:r w:rsidR="00282C0B">
        <w:t xml:space="preserve"> = 0,05</w:t>
      </w:r>
      <w:r>
        <w:t xml:space="preserve">. Jedynym wyjątkiem jest relacja WOP z wartościami stopy zatrudnienia, dla których korelacja jest na tyle słaba, że nie jest istotna statystycznie. </w:t>
      </w:r>
      <w:r w:rsidR="006162B8">
        <w:t xml:space="preserve">Najwyższą siłę korelacji z WOP stwierdzono dla Względnego Wskaźnika Zatrudnienia (WWZ). </w:t>
      </w:r>
      <w:r>
        <w:t xml:space="preserve">Należy tu </w:t>
      </w:r>
      <w:r w:rsidR="006162B8">
        <w:t xml:space="preserve">jednak </w:t>
      </w:r>
      <w:r>
        <w:t xml:space="preserve">podkreślić, że </w:t>
      </w:r>
      <w:r w:rsidR="006162B8">
        <w:t xml:space="preserve">zarówno </w:t>
      </w:r>
      <w:r>
        <w:t>poziom zarobków po 3 latach jak i oba rodzaje wskaźnika IWRA wykazują korelację bardzo silną z WOP (r &gt; 0,82)</w:t>
      </w:r>
      <w:r w:rsidR="006162B8">
        <w:t xml:space="preserve">. </w:t>
      </w:r>
    </w:p>
    <w:p w14:paraId="09833FE3" w14:textId="102F4FBF" w:rsidR="00093D9F" w:rsidRDefault="00093D9F" w:rsidP="00093D9F">
      <w:r>
        <w:t xml:space="preserve">W odniesieniu do </w:t>
      </w:r>
      <w:r w:rsidRPr="00093D9F">
        <w:rPr>
          <w:b/>
          <w:bCs/>
        </w:rPr>
        <w:t>hipotezy H4</w:t>
      </w:r>
      <w:r>
        <w:t xml:space="preserve"> należy odrzucić hipotezę zerową mówiącą o braku związku między wynikami Indeksu Wyceny Rynkowej Absolwenta polskich uczelni technicznych a wynikami pomiaru jakości przy pomocy rankingu Perspektywy 2022. W związku z tym </w:t>
      </w:r>
      <w:r w:rsidR="00783960">
        <w:t xml:space="preserve">uwzględniając kontekst przeprowadzonych badań </w:t>
      </w:r>
      <w:r>
        <w:t xml:space="preserve">należy stwierdzić, że: </w:t>
      </w:r>
    </w:p>
    <w:p w14:paraId="0B368FC8" w14:textId="51489C5B" w:rsidR="00093D9F" w:rsidRPr="007A7290" w:rsidRDefault="00093D9F" w:rsidP="00093D9F">
      <w:pPr>
        <w:pStyle w:val="Wypunktowanie"/>
        <w:numPr>
          <w:ilvl w:val="0"/>
          <w:numId w:val="0"/>
        </w:numPr>
        <w:ind w:left="709"/>
        <w:rPr>
          <w:i/>
          <w:iCs/>
        </w:rPr>
      </w:pPr>
      <w:r w:rsidRPr="00D81125">
        <w:rPr>
          <w:i/>
          <w:iCs/>
        </w:rPr>
        <w:t>Wyniki Indeksu Wyceny Rynkowej Absolwenta polskich publicznych uczelni technicznych</w:t>
      </w:r>
      <w:r w:rsidR="00783960">
        <w:rPr>
          <w:i/>
          <w:iCs/>
        </w:rPr>
        <w:t>, wyliczanego w odniesieniu do wyników absolwentów uzyskiwanych po 3 latach od uzyskania dyplomu,</w:t>
      </w:r>
      <w:r w:rsidRPr="00D81125">
        <w:rPr>
          <w:i/>
          <w:iCs/>
        </w:rPr>
        <w:t xml:space="preserve"> są pozytywnie skorelowane z jakością usług uczelni mierzoną przy pomocy rankingu Perspektywy</w:t>
      </w:r>
      <w:r>
        <w:rPr>
          <w:i/>
          <w:iCs/>
        </w:rPr>
        <w:t xml:space="preserve"> wg metodologii z roku 2022.</w:t>
      </w:r>
    </w:p>
    <w:p w14:paraId="5F82C0BA" w14:textId="64273A4B" w:rsidR="00083628" w:rsidRDefault="00093D9F" w:rsidP="00847F16">
      <w:r>
        <w:t xml:space="preserve">Co więcej na podstawie przedstawionych wyników analiz można stwierdzić, że wyniki IWRA są również </w:t>
      </w:r>
      <w:r w:rsidR="001F5E75">
        <w:t xml:space="preserve">pozytywnie skorelowane z wynikami rankingu </w:t>
      </w:r>
      <w:proofErr w:type="spellStart"/>
      <w:r w:rsidR="001F5E75">
        <w:t>Webometrics</w:t>
      </w:r>
      <w:proofErr w:type="spellEnd"/>
      <w:r w:rsidR="001F5E75">
        <w:t xml:space="preserve"> dla polskich uczelni technicznych. </w:t>
      </w:r>
      <w:r w:rsidR="00A92110">
        <w:t>Wartości tych korelacji mają znak ujemny, gdyż są to korelacje obliczane na podstawie numeru pozycji w rankingu, a więc im lepsza pozycja uczelni w rankingu tym niższa wartość numeru pozycji. Pozytywne</w:t>
      </w:r>
      <w:r w:rsidR="00CC7DA6">
        <w:t xml:space="preserve">, istotne statystycznie na poziomie istotności </w:t>
      </w:r>
      <w:r w:rsidR="00CC7DA6">
        <w:rPr>
          <w:rFonts w:cs="Arial"/>
        </w:rPr>
        <w:t>α</w:t>
      </w:r>
      <w:r w:rsidR="00CC7DA6">
        <w:t xml:space="preserve"> = 0,05 </w:t>
      </w:r>
      <w:r w:rsidR="00A92110">
        <w:t>korelacje IWRA</w:t>
      </w:r>
      <w:r w:rsidR="00CC7DA6">
        <w:t xml:space="preserve">, IWRA-WWZ </w:t>
      </w:r>
      <w:r w:rsidR="00A92110">
        <w:t xml:space="preserve">i </w:t>
      </w:r>
      <w:r w:rsidR="00CC7DA6">
        <w:t>stopy zatrudnienia absolwentów po 3 latach od ukończenia studiów występują zarówno dla pozycji polskich uczelni technicznych w wersji globalnej Rankingu (</w:t>
      </w:r>
      <w:proofErr w:type="spellStart"/>
      <w:r w:rsidR="00CC7DA6" w:rsidRPr="00CC7DA6">
        <w:t>Webometrics</w:t>
      </w:r>
      <w:proofErr w:type="spellEnd"/>
      <w:r w:rsidR="00CC7DA6" w:rsidRPr="00CC7DA6">
        <w:t xml:space="preserve"> World 2023H1</w:t>
      </w:r>
      <w:r w:rsidR="00CC7DA6">
        <w:t>) jak i w wersji tylko dla Polski (</w:t>
      </w:r>
      <w:proofErr w:type="spellStart"/>
      <w:r w:rsidR="00CC7DA6" w:rsidRPr="00CC7DA6">
        <w:t>Webometrics</w:t>
      </w:r>
      <w:proofErr w:type="spellEnd"/>
      <w:r w:rsidR="00CC7DA6" w:rsidRPr="00CC7DA6">
        <w:t xml:space="preserve"> Country 2023H1</w:t>
      </w:r>
      <w:r w:rsidR="00CC7DA6">
        <w:t xml:space="preserve">). Analizy te odnoszą się do wyników rankingu </w:t>
      </w:r>
      <w:proofErr w:type="spellStart"/>
      <w:r w:rsidR="00CC7DA6">
        <w:t>Webometrics</w:t>
      </w:r>
      <w:proofErr w:type="spellEnd"/>
      <w:r w:rsidR="00CC7DA6">
        <w:t xml:space="preserve"> w edycji ze stycznia 2023 roku (no 1 poł. roku). Co ciekawe wartości korelacji dla wersji krajowej Rankingu </w:t>
      </w:r>
      <w:r w:rsidR="00425FAC">
        <w:t xml:space="preserve">i obu wskaźników IWRA </w:t>
      </w:r>
      <w:r w:rsidR="00CC7DA6">
        <w:t>są wyraźnie</w:t>
      </w:r>
      <w:r w:rsidR="00425FAC">
        <w:t xml:space="preserve"> wyższe niż w przypadku wersji światowej rankingu. Można to odnieść do faktu iż w rankingu światowym pozycje polskich uczelni technicznych mogą dzielić dość duże odstępy wynikające ze znajdowania się pomiędzy nimi uczelni z innych krajów o zbliżonych wynikach. Natomiast na szczególną uwagę zasługuje bardzo silna korelacja pomiędzy wynikami stopy zatrudnienia absolwentów polskich uczelni technicznych, a pozycją uczelni w rankingu </w:t>
      </w:r>
      <w:proofErr w:type="spellStart"/>
      <w:r w:rsidR="00425FAC">
        <w:t>Webometrics</w:t>
      </w:r>
      <w:proofErr w:type="spellEnd"/>
      <w:r w:rsidR="00425FAC">
        <w:t>. Jest to o tyle zaskakujące, że zarówno dla wersji światowej jak i krajowej korelacje te osiągają wartości powyżej r = 0,8, a w przypadku oceny ogólnej rankingu Perspektywy 2022 (WOP) analogiczna korelacja jest tak słaba, że nie jest istotna statystycznie.</w:t>
      </w:r>
      <w:r w:rsidR="00C63D7B">
        <w:t xml:space="preserve"> Wyniki takie wskazują na zjawisko istotnie większego powiązania statystycznego rezultatów rankingu Perspektywy 2022 z wynikami pomiarów zarobków absolwentów, a rezultatów rankingu </w:t>
      </w:r>
      <w:proofErr w:type="spellStart"/>
      <w:r w:rsidR="00C63D7B">
        <w:t>Webometrics</w:t>
      </w:r>
      <w:proofErr w:type="spellEnd"/>
      <w:r w:rsidR="00C63D7B">
        <w:t xml:space="preserve"> z 1. poł. 2023 z wynikami pomiarów stopy zatrudnienia absolwentów.</w:t>
      </w:r>
      <w:r w:rsidR="00B44776">
        <w:t xml:space="preserve"> Stąd też prawdopodobnie wskaźniki IWRA, czy to w wersji bazującej na nominalnych miarach zarobków czy w wersji bazującej na względnych miarach zarobków, wykazują pozytywne korelacje z wynikami tych rankingów, ale o mniejszej sile niż te dla wspom</w:t>
      </w:r>
      <w:r w:rsidR="00905C85">
        <w:t>nian</w:t>
      </w:r>
      <w:r w:rsidR="00B44776">
        <w:t xml:space="preserve">ych wyżej </w:t>
      </w:r>
      <w:r w:rsidR="00905C85">
        <w:t>zależności.</w:t>
      </w:r>
    </w:p>
    <w:p w14:paraId="4BA68D38" w14:textId="38B8E406" w:rsidR="00083628" w:rsidRDefault="00007816" w:rsidP="00847F16">
      <w:r>
        <w:lastRenderedPageBreak/>
        <w:t>W tabeli po</w:t>
      </w:r>
      <w:r w:rsidR="005065DB">
        <w:fldChar w:fldCharType="begin"/>
      </w:r>
      <w:r w:rsidR="005065DB">
        <w:instrText xml:space="preserve"> REF _Ref137917781 \p \h </w:instrText>
      </w:r>
      <w:r w:rsidR="005065DB">
        <w:fldChar w:fldCharType="separate"/>
      </w:r>
      <w:r w:rsidR="009E351C">
        <w:t>niżej</w:t>
      </w:r>
      <w:r w:rsidR="005065DB">
        <w:fldChar w:fldCharType="end"/>
      </w:r>
      <w:r>
        <w:t xml:space="preserve"> (</w:t>
      </w:r>
      <w:r w:rsidR="005065DB">
        <w:fldChar w:fldCharType="begin"/>
      </w:r>
      <w:r w:rsidR="005065DB">
        <w:instrText xml:space="preserve"> REF _Ref137917794 \h </w:instrText>
      </w:r>
      <w:r w:rsidR="005065DB">
        <w:fldChar w:fldCharType="separate"/>
      </w:r>
      <w:r w:rsidR="009E351C" w:rsidRPr="003A7FBB">
        <w:t>Tabela</w:t>
      </w:r>
      <w:r w:rsidR="009E351C">
        <w:t xml:space="preserve"> </w:t>
      </w:r>
      <w:r w:rsidR="009E351C">
        <w:rPr>
          <w:noProof/>
        </w:rPr>
        <w:t>76</w:t>
      </w:r>
      <w:r w:rsidR="005065DB">
        <w:fldChar w:fldCharType="end"/>
      </w:r>
      <w:r>
        <w:t xml:space="preserve">) przedstawiono wyniki analizy korelacji pomiaru prestiżu polskich uczelni technicznych z </w:t>
      </w:r>
      <w:r w:rsidR="005065DB">
        <w:t xml:space="preserve">rezultatami wybranych rankingów oraz wartościami indeksów IWRA i IWRA-WWZ i ich elementów składowych. Nieco zaskakującym wydaje się, że pomimo iż korelacja rezultatów pomiaru prestiżu uczelni z wynikami rankingu Perspektywy 2022 jest bardzo wysoka, korelacje z wynikami obu analizowanych wersji rankingu </w:t>
      </w:r>
      <w:proofErr w:type="spellStart"/>
      <w:r w:rsidR="005065DB">
        <w:t>Webometrics</w:t>
      </w:r>
      <w:proofErr w:type="spellEnd"/>
      <w:r w:rsidR="005065DB">
        <w:t xml:space="preserve"> 2023H1 są na tyle słabe, że nie są istotne statystycznie na przyjętym poziomie ufności.</w:t>
      </w:r>
      <w:r w:rsidR="003A7FBB">
        <w:t xml:space="preserve"> Taki wyniki są o tyle zaskakujące, że pewien (choć wprawdzie niewielki) wpływ na wartość Prestiżu mają również wyniki rankingu </w:t>
      </w:r>
      <w:proofErr w:type="spellStart"/>
      <w:r w:rsidR="003A7FBB">
        <w:t>Webometrics</w:t>
      </w:r>
      <w:proofErr w:type="spellEnd"/>
      <w:r w:rsidR="003A7FBB">
        <w:t xml:space="preserve"> (por. </w:t>
      </w:r>
      <w:r w:rsidR="003A7FBB">
        <w:fldChar w:fldCharType="begin"/>
      </w:r>
      <w:r w:rsidR="003A7FBB">
        <w:instrText xml:space="preserve"> REF _Ref134515427 \h </w:instrText>
      </w:r>
      <w:r w:rsidR="003A7FBB">
        <w:fldChar w:fldCharType="separate"/>
      </w:r>
      <w:r w:rsidR="009E351C">
        <w:t xml:space="preserve">Tabela </w:t>
      </w:r>
      <w:r w:rsidR="009E351C">
        <w:rPr>
          <w:noProof/>
        </w:rPr>
        <w:t>26</w:t>
      </w:r>
      <w:r w:rsidR="003A7FBB">
        <w:fldChar w:fldCharType="end"/>
      </w:r>
      <w:r w:rsidR="003A7FBB">
        <w:t>).</w:t>
      </w:r>
    </w:p>
    <w:p w14:paraId="36340494" w14:textId="3212A4E5" w:rsidR="00425FAC" w:rsidRDefault="00425FAC" w:rsidP="003A7FBB">
      <w:pPr>
        <w:pStyle w:val="Tytutabeli"/>
      </w:pPr>
      <w:bookmarkStart w:id="125" w:name="_Ref137917794"/>
      <w:bookmarkStart w:id="126" w:name="_Ref137917781"/>
      <w:bookmarkStart w:id="127" w:name="_Toc163576365"/>
      <w:r w:rsidRPr="003A7FBB">
        <w:t>Tabela</w:t>
      </w:r>
      <w:r>
        <w:t xml:space="preserve"> </w:t>
      </w:r>
      <w:r>
        <w:fldChar w:fldCharType="begin"/>
      </w:r>
      <w:r>
        <w:instrText xml:space="preserve"> SEQ Tabela \* ARABIC </w:instrText>
      </w:r>
      <w:r>
        <w:fldChar w:fldCharType="separate"/>
      </w:r>
      <w:r w:rsidR="00DA2A4D">
        <w:rPr>
          <w:noProof/>
        </w:rPr>
        <w:t>76</w:t>
      </w:r>
      <w:r>
        <w:rPr>
          <w:noProof/>
        </w:rPr>
        <w:fldChar w:fldCharType="end"/>
      </w:r>
      <w:bookmarkEnd w:id="125"/>
      <w:r>
        <w:t xml:space="preserve"> Korelacje pomiędzy wartościami pomiaru prestiżu polskich uczelni technicznych a wynikami miar IWRA i jego składowymi</w:t>
      </w:r>
      <w:r w:rsidR="00C63D7B">
        <w:t xml:space="preserve"> </w:t>
      </w:r>
      <w:r>
        <w:t xml:space="preserve">oraz wynikami rankingu </w:t>
      </w:r>
      <w:proofErr w:type="spellStart"/>
      <w:r>
        <w:t>Webometrics</w:t>
      </w:r>
      <w:proofErr w:type="spellEnd"/>
      <w:r>
        <w:t>.</w:t>
      </w:r>
      <w:bookmarkEnd w:id="126"/>
      <w:bookmarkEnd w:id="127"/>
    </w:p>
    <w:tbl>
      <w:tblPr>
        <w:tblStyle w:val="Tabela-Siatka"/>
        <w:tblW w:w="0" w:type="auto"/>
        <w:tblInd w:w="113" w:type="dxa"/>
        <w:tblLook w:val="04A0" w:firstRow="1" w:lastRow="0" w:firstColumn="1" w:lastColumn="0" w:noHBand="0" w:noVBand="1"/>
      </w:tblPr>
      <w:tblGrid>
        <w:gridCol w:w="4536"/>
        <w:gridCol w:w="2268"/>
        <w:gridCol w:w="2268"/>
      </w:tblGrid>
      <w:tr w:rsidR="00425FAC" w:rsidRPr="005D59E0" w14:paraId="4DE54C27" w14:textId="77777777" w:rsidTr="003123D7">
        <w:trPr>
          <w:cantSplit/>
          <w:tblHeader/>
        </w:trPr>
        <w:tc>
          <w:tcPr>
            <w:tcW w:w="4536" w:type="dxa"/>
            <w:vAlign w:val="center"/>
          </w:tcPr>
          <w:p w14:paraId="04A06953" w14:textId="77777777" w:rsidR="00425FAC" w:rsidRPr="005D59E0" w:rsidRDefault="00425FAC" w:rsidP="004C1815">
            <w:pPr>
              <w:keepNext/>
              <w:ind w:firstLine="0"/>
              <w:jc w:val="left"/>
              <w:rPr>
                <w:b/>
                <w:bCs/>
                <w:sz w:val="18"/>
                <w:szCs w:val="18"/>
              </w:rPr>
            </w:pPr>
            <w:proofErr w:type="spellStart"/>
            <w:r w:rsidRPr="005D59E0">
              <w:rPr>
                <w:b/>
                <w:bCs/>
                <w:sz w:val="18"/>
                <w:szCs w:val="18"/>
              </w:rPr>
              <w:t>Opis</w:t>
            </w:r>
            <w:proofErr w:type="spellEnd"/>
            <w:r w:rsidRPr="005D59E0">
              <w:rPr>
                <w:b/>
                <w:bCs/>
                <w:sz w:val="18"/>
                <w:szCs w:val="18"/>
              </w:rPr>
              <w:t xml:space="preserve"> </w:t>
            </w:r>
            <w:proofErr w:type="spellStart"/>
            <w:r w:rsidRPr="005D59E0">
              <w:rPr>
                <w:b/>
                <w:bCs/>
                <w:sz w:val="18"/>
                <w:szCs w:val="18"/>
              </w:rPr>
              <w:t>badanej</w:t>
            </w:r>
            <w:proofErr w:type="spellEnd"/>
            <w:r w:rsidRPr="005D59E0">
              <w:rPr>
                <w:b/>
                <w:bCs/>
                <w:sz w:val="18"/>
                <w:szCs w:val="18"/>
              </w:rPr>
              <w:t xml:space="preserve"> </w:t>
            </w:r>
            <w:proofErr w:type="spellStart"/>
            <w:r w:rsidRPr="005D59E0">
              <w:rPr>
                <w:b/>
                <w:bCs/>
                <w:sz w:val="18"/>
                <w:szCs w:val="18"/>
              </w:rPr>
              <w:t>korelacji</w:t>
            </w:r>
            <w:proofErr w:type="spellEnd"/>
          </w:p>
        </w:tc>
        <w:tc>
          <w:tcPr>
            <w:tcW w:w="2268" w:type="dxa"/>
            <w:vAlign w:val="center"/>
          </w:tcPr>
          <w:p w14:paraId="18F55A8A" w14:textId="2279DB77" w:rsidR="00425FAC" w:rsidRPr="005D59E0" w:rsidRDefault="00425FAC"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korelacji</w:t>
            </w:r>
            <w:proofErr w:type="spellEnd"/>
            <w:r w:rsidRPr="005D59E0">
              <w:rPr>
                <w:b/>
                <w:bCs/>
                <w:sz w:val="18"/>
                <w:szCs w:val="18"/>
              </w:rPr>
              <w:t xml:space="preserve"> </w:t>
            </w:r>
            <w:r w:rsidR="006B26B2">
              <w:rPr>
                <w:b/>
                <w:bCs/>
                <w:sz w:val="18"/>
                <w:szCs w:val="18"/>
              </w:rPr>
              <w:br/>
            </w:r>
            <w:r w:rsidRPr="005D59E0">
              <w:rPr>
                <w:b/>
                <w:bCs/>
                <w:sz w:val="18"/>
                <w:szCs w:val="18"/>
              </w:rPr>
              <w:t>r-</w:t>
            </w:r>
            <w:proofErr w:type="spellStart"/>
            <w:r w:rsidRPr="005D59E0">
              <w:rPr>
                <w:b/>
                <w:bCs/>
                <w:sz w:val="18"/>
                <w:szCs w:val="18"/>
              </w:rPr>
              <w:t>Pearsona</w:t>
            </w:r>
            <w:proofErr w:type="spellEnd"/>
          </w:p>
        </w:tc>
        <w:tc>
          <w:tcPr>
            <w:tcW w:w="2268" w:type="dxa"/>
            <w:vAlign w:val="center"/>
          </w:tcPr>
          <w:p w14:paraId="179F1B41" w14:textId="77777777" w:rsidR="00425FAC" w:rsidRPr="005D59E0" w:rsidRDefault="00425FAC" w:rsidP="004C1815">
            <w:pPr>
              <w:keepNext/>
              <w:ind w:firstLine="0"/>
              <w:jc w:val="center"/>
              <w:rPr>
                <w:b/>
                <w:bCs/>
                <w:sz w:val="18"/>
                <w:szCs w:val="18"/>
              </w:rPr>
            </w:pPr>
            <w:proofErr w:type="spellStart"/>
            <w:r w:rsidRPr="005D59E0">
              <w:rPr>
                <w:b/>
                <w:bCs/>
                <w:sz w:val="18"/>
                <w:szCs w:val="18"/>
              </w:rPr>
              <w:t>Wartość</w:t>
            </w:r>
            <w:proofErr w:type="spellEnd"/>
            <w:r w:rsidRPr="005D59E0">
              <w:rPr>
                <w:b/>
                <w:bCs/>
                <w:sz w:val="18"/>
                <w:szCs w:val="18"/>
              </w:rPr>
              <w:t xml:space="preserve"> </w:t>
            </w:r>
            <w:proofErr w:type="spellStart"/>
            <w:r>
              <w:rPr>
                <w:b/>
                <w:bCs/>
                <w:sz w:val="18"/>
                <w:szCs w:val="18"/>
              </w:rPr>
              <w:t>istotności</w:t>
            </w:r>
            <w:proofErr w:type="spellEnd"/>
            <w:r>
              <w:rPr>
                <w:b/>
                <w:bCs/>
                <w:sz w:val="18"/>
                <w:szCs w:val="18"/>
              </w:rPr>
              <w:t xml:space="preserve"> </w:t>
            </w:r>
            <w:proofErr w:type="spellStart"/>
            <w:r>
              <w:rPr>
                <w:b/>
                <w:bCs/>
                <w:sz w:val="18"/>
                <w:szCs w:val="18"/>
              </w:rPr>
              <w:t>statystycznej</w:t>
            </w:r>
            <w:proofErr w:type="spellEnd"/>
            <w:r w:rsidRPr="005D59E0">
              <w:rPr>
                <w:b/>
                <w:bCs/>
                <w:sz w:val="18"/>
                <w:szCs w:val="18"/>
              </w:rPr>
              <w:t xml:space="preserve"> p</w:t>
            </w:r>
          </w:p>
        </w:tc>
      </w:tr>
      <w:tr w:rsidR="00425FAC" w:rsidRPr="005D59E0" w14:paraId="6FD9E95B" w14:textId="77777777" w:rsidTr="003123D7">
        <w:trPr>
          <w:cantSplit/>
        </w:trPr>
        <w:tc>
          <w:tcPr>
            <w:tcW w:w="4536" w:type="dxa"/>
            <w:vAlign w:val="center"/>
          </w:tcPr>
          <w:p w14:paraId="201F375D" w14:textId="77777777" w:rsidR="00425FAC" w:rsidRPr="00F310B6" w:rsidRDefault="00425FAC" w:rsidP="003123D7">
            <w:pPr>
              <w:spacing w:line="276" w:lineRule="auto"/>
              <w:ind w:firstLine="0"/>
              <w:jc w:val="left"/>
              <w:rPr>
                <w:sz w:val="18"/>
                <w:szCs w:val="18"/>
                <w:lang w:val="pl-PL"/>
              </w:rPr>
            </w:pPr>
            <w:r w:rsidRPr="00877C7F">
              <w:rPr>
                <w:sz w:val="18"/>
                <w:szCs w:val="18"/>
                <w:lang w:val="pl-PL"/>
              </w:rPr>
              <w:t>Pozycja Perspektywy 2022 vs Prestiż</w:t>
            </w:r>
          </w:p>
        </w:tc>
        <w:tc>
          <w:tcPr>
            <w:tcW w:w="2268" w:type="dxa"/>
            <w:vAlign w:val="center"/>
          </w:tcPr>
          <w:p w14:paraId="689BA740" w14:textId="77777777" w:rsidR="00425FAC" w:rsidRPr="0007217F" w:rsidRDefault="00425FAC" w:rsidP="003123D7">
            <w:pPr>
              <w:ind w:firstLine="0"/>
              <w:jc w:val="center"/>
              <w:rPr>
                <w:b/>
                <w:bCs/>
                <w:sz w:val="18"/>
                <w:szCs w:val="18"/>
                <w:lang w:val="pl-PL"/>
              </w:rPr>
            </w:pPr>
            <w:r w:rsidRPr="00877C7F">
              <w:rPr>
                <w:b/>
                <w:bCs/>
                <w:sz w:val="18"/>
                <w:szCs w:val="18"/>
                <w:lang w:val="pl-PL"/>
              </w:rPr>
              <w:t>-0,8345</w:t>
            </w:r>
          </w:p>
        </w:tc>
        <w:tc>
          <w:tcPr>
            <w:tcW w:w="2268" w:type="dxa"/>
            <w:vAlign w:val="center"/>
          </w:tcPr>
          <w:p w14:paraId="366C327E" w14:textId="77777777" w:rsidR="00425FAC" w:rsidRPr="00F310B6" w:rsidRDefault="00425FAC" w:rsidP="003123D7">
            <w:pPr>
              <w:ind w:firstLine="0"/>
              <w:jc w:val="center"/>
              <w:rPr>
                <w:i/>
                <w:iCs/>
                <w:sz w:val="18"/>
                <w:szCs w:val="18"/>
                <w:lang w:val="pl-PL"/>
              </w:rPr>
            </w:pPr>
            <w:r w:rsidRPr="00FA2FB7">
              <w:rPr>
                <w:i/>
                <w:iCs/>
                <w:sz w:val="18"/>
                <w:szCs w:val="18"/>
                <w:lang w:val="pl-PL"/>
              </w:rPr>
              <w:t>&lt;0,0001</w:t>
            </w:r>
          </w:p>
        </w:tc>
      </w:tr>
      <w:tr w:rsidR="00425FAC" w:rsidRPr="005D59E0" w14:paraId="2224FF7A" w14:textId="77777777" w:rsidTr="003123D7">
        <w:trPr>
          <w:cantSplit/>
        </w:trPr>
        <w:tc>
          <w:tcPr>
            <w:tcW w:w="4536" w:type="dxa"/>
            <w:vAlign w:val="center"/>
          </w:tcPr>
          <w:p w14:paraId="15DA433E" w14:textId="77777777" w:rsidR="00425FAC" w:rsidRPr="00F310B6" w:rsidRDefault="00425FAC" w:rsidP="003123D7">
            <w:pPr>
              <w:spacing w:line="276" w:lineRule="auto"/>
              <w:ind w:firstLine="0"/>
              <w:jc w:val="left"/>
              <w:rPr>
                <w:sz w:val="18"/>
                <w:szCs w:val="18"/>
                <w:lang w:val="pl-PL"/>
              </w:rPr>
            </w:pPr>
            <w:proofErr w:type="spellStart"/>
            <w:r w:rsidRPr="00877C7F">
              <w:rPr>
                <w:sz w:val="18"/>
                <w:szCs w:val="18"/>
                <w:lang w:val="pl-PL"/>
              </w:rPr>
              <w:t>WskaźnikOcenyPunktowej</w:t>
            </w:r>
            <w:proofErr w:type="spellEnd"/>
            <w:r w:rsidRPr="00877C7F">
              <w:rPr>
                <w:sz w:val="18"/>
                <w:szCs w:val="18"/>
                <w:lang w:val="pl-PL"/>
              </w:rPr>
              <w:t xml:space="preserve"> vs Prestiż</w:t>
            </w:r>
          </w:p>
        </w:tc>
        <w:tc>
          <w:tcPr>
            <w:tcW w:w="2268" w:type="dxa"/>
            <w:vAlign w:val="center"/>
          </w:tcPr>
          <w:p w14:paraId="71526CAD" w14:textId="77777777" w:rsidR="00425FAC" w:rsidRPr="0007217F" w:rsidRDefault="00425FAC" w:rsidP="003123D7">
            <w:pPr>
              <w:ind w:firstLine="0"/>
              <w:jc w:val="center"/>
              <w:rPr>
                <w:b/>
                <w:bCs/>
                <w:sz w:val="18"/>
                <w:szCs w:val="18"/>
                <w:lang w:val="pl-PL"/>
              </w:rPr>
            </w:pPr>
            <w:r w:rsidRPr="00877C7F">
              <w:rPr>
                <w:b/>
                <w:bCs/>
                <w:sz w:val="18"/>
                <w:szCs w:val="18"/>
                <w:lang w:val="pl-PL"/>
              </w:rPr>
              <w:t>0,9088</w:t>
            </w:r>
          </w:p>
        </w:tc>
        <w:tc>
          <w:tcPr>
            <w:tcW w:w="2268" w:type="dxa"/>
            <w:vAlign w:val="center"/>
          </w:tcPr>
          <w:p w14:paraId="022009CF" w14:textId="77777777" w:rsidR="00425FAC" w:rsidRPr="00F310B6" w:rsidRDefault="00425FAC" w:rsidP="003123D7">
            <w:pPr>
              <w:ind w:firstLine="0"/>
              <w:jc w:val="center"/>
              <w:rPr>
                <w:i/>
                <w:iCs/>
                <w:sz w:val="18"/>
                <w:szCs w:val="18"/>
                <w:lang w:val="pl-PL"/>
              </w:rPr>
            </w:pPr>
            <w:r w:rsidRPr="00FA2FB7">
              <w:rPr>
                <w:i/>
                <w:iCs/>
                <w:sz w:val="18"/>
                <w:szCs w:val="18"/>
                <w:lang w:val="pl-PL"/>
              </w:rPr>
              <w:t>&lt;0,0001</w:t>
            </w:r>
          </w:p>
        </w:tc>
      </w:tr>
      <w:tr w:rsidR="00425FAC" w:rsidRPr="005D59E0" w14:paraId="043D3FB1" w14:textId="77777777" w:rsidTr="003123D7">
        <w:trPr>
          <w:cantSplit/>
        </w:trPr>
        <w:tc>
          <w:tcPr>
            <w:tcW w:w="4536" w:type="dxa"/>
            <w:vAlign w:val="center"/>
          </w:tcPr>
          <w:p w14:paraId="0069A46C" w14:textId="77777777" w:rsidR="00425FAC" w:rsidRPr="003205A8" w:rsidRDefault="00425FAC" w:rsidP="003123D7">
            <w:pPr>
              <w:spacing w:line="276" w:lineRule="auto"/>
              <w:ind w:firstLine="0"/>
              <w:jc w:val="left"/>
              <w:rPr>
                <w:sz w:val="18"/>
                <w:szCs w:val="18"/>
                <w:lang w:val="pl-PL"/>
              </w:rPr>
            </w:pPr>
            <w:r w:rsidRPr="00877C7F">
              <w:rPr>
                <w:sz w:val="18"/>
                <w:szCs w:val="18"/>
                <w:lang w:val="pl-PL"/>
              </w:rPr>
              <w:t xml:space="preserve">Pozycja </w:t>
            </w:r>
            <w:proofErr w:type="spellStart"/>
            <w:r w:rsidRPr="00877C7F">
              <w:rPr>
                <w:sz w:val="18"/>
                <w:szCs w:val="18"/>
                <w:lang w:val="pl-PL"/>
              </w:rPr>
              <w:t>Webometrics</w:t>
            </w:r>
            <w:proofErr w:type="spellEnd"/>
            <w:r w:rsidRPr="00877C7F">
              <w:rPr>
                <w:sz w:val="18"/>
                <w:szCs w:val="18"/>
                <w:lang w:val="pl-PL"/>
              </w:rPr>
              <w:t xml:space="preserve"> World 2023H1 vs Prestiż</w:t>
            </w:r>
          </w:p>
        </w:tc>
        <w:tc>
          <w:tcPr>
            <w:tcW w:w="2268" w:type="dxa"/>
            <w:vAlign w:val="center"/>
          </w:tcPr>
          <w:p w14:paraId="6FD57715" w14:textId="77777777" w:rsidR="00425FAC" w:rsidRPr="00877C7F" w:rsidRDefault="00425FAC" w:rsidP="003123D7">
            <w:pPr>
              <w:ind w:firstLine="0"/>
              <w:jc w:val="center"/>
              <w:rPr>
                <w:sz w:val="18"/>
                <w:szCs w:val="18"/>
                <w:lang w:val="pl-PL"/>
              </w:rPr>
            </w:pPr>
            <w:r w:rsidRPr="00877C7F">
              <w:rPr>
                <w:sz w:val="18"/>
                <w:szCs w:val="18"/>
                <w:lang w:val="pl-PL"/>
              </w:rPr>
              <w:t>-0,3184</w:t>
            </w:r>
          </w:p>
        </w:tc>
        <w:tc>
          <w:tcPr>
            <w:tcW w:w="2268" w:type="dxa"/>
            <w:vAlign w:val="center"/>
          </w:tcPr>
          <w:p w14:paraId="6B465524" w14:textId="77777777" w:rsidR="00425FAC" w:rsidRPr="00F310B6" w:rsidRDefault="00425FAC" w:rsidP="003123D7">
            <w:pPr>
              <w:ind w:firstLine="0"/>
              <w:jc w:val="center"/>
              <w:rPr>
                <w:i/>
                <w:iCs/>
                <w:sz w:val="18"/>
                <w:szCs w:val="18"/>
                <w:lang w:val="pl-PL"/>
              </w:rPr>
            </w:pPr>
            <w:r w:rsidRPr="00877C7F">
              <w:rPr>
                <w:i/>
                <w:iCs/>
                <w:sz w:val="18"/>
                <w:szCs w:val="18"/>
                <w:lang w:val="pl-PL"/>
              </w:rPr>
              <w:t>0,1486</w:t>
            </w:r>
          </w:p>
        </w:tc>
      </w:tr>
      <w:tr w:rsidR="00425FAC" w:rsidRPr="005D59E0" w14:paraId="26A3EF36" w14:textId="77777777" w:rsidTr="003123D7">
        <w:trPr>
          <w:cantSplit/>
        </w:trPr>
        <w:tc>
          <w:tcPr>
            <w:tcW w:w="4536" w:type="dxa"/>
            <w:vAlign w:val="center"/>
          </w:tcPr>
          <w:p w14:paraId="3CC11549" w14:textId="77777777" w:rsidR="00425FAC" w:rsidRPr="001F5E75" w:rsidRDefault="00425FAC" w:rsidP="003123D7">
            <w:pPr>
              <w:spacing w:line="276" w:lineRule="auto"/>
              <w:ind w:firstLine="0"/>
              <w:jc w:val="left"/>
              <w:rPr>
                <w:sz w:val="18"/>
                <w:szCs w:val="18"/>
                <w:lang w:val="en-GB"/>
              </w:rPr>
            </w:pPr>
            <w:proofErr w:type="spellStart"/>
            <w:r w:rsidRPr="001F5E75">
              <w:rPr>
                <w:sz w:val="18"/>
                <w:szCs w:val="18"/>
                <w:lang w:val="en-GB"/>
              </w:rPr>
              <w:t>Pozycja</w:t>
            </w:r>
            <w:proofErr w:type="spellEnd"/>
            <w:r w:rsidRPr="001F5E75">
              <w:rPr>
                <w:sz w:val="18"/>
                <w:szCs w:val="18"/>
                <w:lang w:val="en-GB"/>
              </w:rPr>
              <w:t xml:space="preserve"> Webometrics Country 2023H1 vs </w:t>
            </w:r>
            <w:proofErr w:type="spellStart"/>
            <w:r w:rsidRPr="001F5E75">
              <w:rPr>
                <w:sz w:val="18"/>
                <w:szCs w:val="18"/>
                <w:lang w:val="en-GB"/>
              </w:rPr>
              <w:t>Prestiż</w:t>
            </w:r>
            <w:proofErr w:type="spellEnd"/>
          </w:p>
        </w:tc>
        <w:tc>
          <w:tcPr>
            <w:tcW w:w="2268" w:type="dxa"/>
            <w:vAlign w:val="center"/>
          </w:tcPr>
          <w:p w14:paraId="565A5CE5" w14:textId="77777777" w:rsidR="00425FAC" w:rsidRPr="00E62695" w:rsidRDefault="00425FAC" w:rsidP="003123D7">
            <w:pPr>
              <w:ind w:firstLine="0"/>
              <w:jc w:val="center"/>
              <w:rPr>
                <w:sz w:val="18"/>
                <w:szCs w:val="18"/>
                <w:lang w:val="pl-PL"/>
              </w:rPr>
            </w:pPr>
            <w:r w:rsidRPr="00E62695">
              <w:rPr>
                <w:sz w:val="18"/>
                <w:szCs w:val="18"/>
                <w:lang w:val="pl-PL"/>
              </w:rPr>
              <w:t>-0,3728</w:t>
            </w:r>
          </w:p>
        </w:tc>
        <w:tc>
          <w:tcPr>
            <w:tcW w:w="2268" w:type="dxa"/>
            <w:vAlign w:val="center"/>
          </w:tcPr>
          <w:p w14:paraId="63AAB30D" w14:textId="77777777" w:rsidR="00425FAC" w:rsidRPr="00F310B6" w:rsidRDefault="00425FAC" w:rsidP="003123D7">
            <w:pPr>
              <w:ind w:firstLine="0"/>
              <w:jc w:val="center"/>
              <w:rPr>
                <w:i/>
                <w:iCs/>
                <w:sz w:val="18"/>
                <w:szCs w:val="18"/>
                <w:lang w:val="pl-PL"/>
              </w:rPr>
            </w:pPr>
            <w:r w:rsidRPr="00E62695">
              <w:rPr>
                <w:i/>
                <w:iCs/>
                <w:sz w:val="18"/>
                <w:szCs w:val="18"/>
                <w:lang w:val="pl-PL"/>
              </w:rPr>
              <w:t>0,0875</w:t>
            </w:r>
          </w:p>
        </w:tc>
      </w:tr>
      <w:tr w:rsidR="00425FAC" w:rsidRPr="005D59E0" w14:paraId="5E0F2629" w14:textId="77777777" w:rsidTr="003123D7">
        <w:trPr>
          <w:cantSplit/>
        </w:trPr>
        <w:tc>
          <w:tcPr>
            <w:tcW w:w="4536" w:type="dxa"/>
            <w:vAlign w:val="center"/>
          </w:tcPr>
          <w:p w14:paraId="7A1CBD43" w14:textId="77777777" w:rsidR="00425FAC" w:rsidRPr="005D59E0" w:rsidRDefault="00425FAC" w:rsidP="003123D7">
            <w:pPr>
              <w:spacing w:line="276" w:lineRule="auto"/>
              <w:ind w:firstLine="0"/>
              <w:jc w:val="left"/>
              <w:rPr>
                <w:sz w:val="18"/>
                <w:szCs w:val="18"/>
                <w:lang w:val="pl-PL"/>
              </w:rPr>
            </w:pPr>
            <w:r w:rsidRPr="00E62695">
              <w:rPr>
                <w:sz w:val="18"/>
                <w:szCs w:val="18"/>
                <w:lang w:val="pl-PL"/>
              </w:rPr>
              <w:t>IWRA_3R vs Prestiż</w:t>
            </w:r>
          </w:p>
        </w:tc>
        <w:tc>
          <w:tcPr>
            <w:tcW w:w="2268" w:type="dxa"/>
            <w:vAlign w:val="center"/>
          </w:tcPr>
          <w:p w14:paraId="3B959A97" w14:textId="77777777" w:rsidR="00425FAC" w:rsidRPr="0007217F" w:rsidRDefault="00425FAC" w:rsidP="003123D7">
            <w:pPr>
              <w:ind w:firstLine="0"/>
              <w:jc w:val="center"/>
              <w:rPr>
                <w:b/>
                <w:bCs/>
                <w:sz w:val="18"/>
                <w:szCs w:val="18"/>
                <w:lang w:val="pl-PL"/>
              </w:rPr>
            </w:pPr>
            <w:r w:rsidRPr="00E62695">
              <w:rPr>
                <w:b/>
                <w:bCs/>
                <w:sz w:val="18"/>
                <w:szCs w:val="18"/>
                <w:lang w:val="pl-PL"/>
              </w:rPr>
              <w:t>0,8267</w:t>
            </w:r>
          </w:p>
        </w:tc>
        <w:tc>
          <w:tcPr>
            <w:tcW w:w="2268" w:type="dxa"/>
            <w:vAlign w:val="center"/>
          </w:tcPr>
          <w:p w14:paraId="75587861" w14:textId="77777777" w:rsidR="00425FAC" w:rsidRPr="009677FC" w:rsidRDefault="00425FAC" w:rsidP="003123D7">
            <w:pPr>
              <w:ind w:firstLine="0"/>
              <w:jc w:val="center"/>
              <w:rPr>
                <w:i/>
                <w:iCs/>
                <w:sz w:val="18"/>
                <w:szCs w:val="18"/>
                <w:lang w:val="pl-PL"/>
              </w:rPr>
            </w:pPr>
            <w:r w:rsidRPr="00FA2FB7">
              <w:rPr>
                <w:i/>
                <w:iCs/>
                <w:sz w:val="18"/>
                <w:szCs w:val="18"/>
                <w:lang w:val="pl-PL"/>
              </w:rPr>
              <w:t>&lt;0,0001</w:t>
            </w:r>
          </w:p>
        </w:tc>
      </w:tr>
      <w:tr w:rsidR="00425FAC" w:rsidRPr="005D59E0" w14:paraId="27F0B39B" w14:textId="77777777" w:rsidTr="003123D7">
        <w:trPr>
          <w:cantSplit/>
        </w:trPr>
        <w:tc>
          <w:tcPr>
            <w:tcW w:w="4536" w:type="dxa"/>
            <w:vAlign w:val="center"/>
          </w:tcPr>
          <w:p w14:paraId="0637D5BB" w14:textId="77777777" w:rsidR="00425FAC" w:rsidRPr="00E62695" w:rsidRDefault="00425FAC" w:rsidP="003123D7">
            <w:pPr>
              <w:spacing w:line="276" w:lineRule="auto"/>
              <w:ind w:firstLine="0"/>
              <w:jc w:val="left"/>
              <w:rPr>
                <w:sz w:val="18"/>
                <w:szCs w:val="18"/>
                <w:lang w:val="pl-PL"/>
              </w:rPr>
            </w:pPr>
            <w:r w:rsidRPr="00E62695">
              <w:rPr>
                <w:sz w:val="18"/>
                <w:szCs w:val="18"/>
                <w:lang w:val="pl-PL"/>
              </w:rPr>
              <w:t>IWRA-WWZ_3R vs Prestiż</w:t>
            </w:r>
          </w:p>
        </w:tc>
        <w:tc>
          <w:tcPr>
            <w:tcW w:w="2268" w:type="dxa"/>
            <w:vAlign w:val="center"/>
          </w:tcPr>
          <w:p w14:paraId="270F0A74" w14:textId="77777777" w:rsidR="00425FAC" w:rsidRPr="00E62695" w:rsidRDefault="00425FAC" w:rsidP="003123D7">
            <w:pPr>
              <w:ind w:firstLine="0"/>
              <w:jc w:val="center"/>
              <w:rPr>
                <w:b/>
                <w:bCs/>
                <w:sz w:val="18"/>
                <w:szCs w:val="18"/>
                <w:lang w:val="pl-PL"/>
              </w:rPr>
            </w:pPr>
            <w:r w:rsidRPr="00E62695">
              <w:rPr>
                <w:b/>
                <w:bCs/>
                <w:sz w:val="18"/>
                <w:szCs w:val="18"/>
                <w:lang w:val="pl-PL"/>
              </w:rPr>
              <w:t>0,7979</w:t>
            </w:r>
          </w:p>
        </w:tc>
        <w:tc>
          <w:tcPr>
            <w:tcW w:w="2268" w:type="dxa"/>
            <w:vAlign w:val="center"/>
          </w:tcPr>
          <w:p w14:paraId="0710BB5E" w14:textId="77777777" w:rsidR="00425FAC" w:rsidRPr="00E62695" w:rsidRDefault="00425FAC" w:rsidP="003123D7">
            <w:pPr>
              <w:ind w:firstLine="0"/>
              <w:jc w:val="center"/>
              <w:rPr>
                <w:i/>
                <w:iCs/>
                <w:sz w:val="18"/>
                <w:szCs w:val="18"/>
                <w:lang w:val="pl-PL"/>
              </w:rPr>
            </w:pPr>
            <w:r w:rsidRPr="00FA2FB7">
              <w:rPr>
                <w:i/>
                <w:iCs/>
                <w:sz w:val="18"/>
                <w:szCs w:val="18"/>
                <w:lang w:val="pl-PL"/>
              </w:rPr>
              <w:t>&lt;0,0001</w:t>
            </w:r>
          </w:p>
        </w:tc>
      </w:tr>
      <w:tr w:rsidR="00425FAC" w:rsidRPr="005D59E0" w14:paraId="3E0B0BAD" w14:textId="77777777" w:rsidTr="003123D7">
        <w:trPr>
          <w:cantSplit/>
        </w:trPr>
        <w:tc>
          <w:tcPr>
            <w:tcW w:w="4536" w:type="dxa"/>
            <w:vAlign w:val="center"/>
          </w:tcPr>
          <w:p w14:paraId="58270C76" w14:textId="77777777" w:rsidR="00425FAC" w:rsidRPr="00E62695" w:rsidRDefault="00425FAC" w:rsidP="003123D7">
            <w:pPr>
              <w:spacing w:line="276" w:lineRule="auto"/>
              <w:ind w:firstLine="0"/>
              <w:jc w:val="left"/>
              <w:rPr>
                <w:sz w:val="18"/>
                <w:szCs w:val="18"/>
                <w:lang w:val="pl-PL"/>
              </w:rPr>
            </w:pPr>
            <w:r w:rsidRPr="00E62695">
              <w:rPr>
                <w:sz w:val="18"/>
                <w:szCs w:val="18"/>
                <w:lang w:val="pl-PL"/>
              </w:rPr>
              <w:t>Zatrudnienie 3R vs Prestiż</w:t>
            </w:r>
          </w:p>
        </w:tc>
        <w:tc>
          <w:tcPr>
            <w:tcW w:w="2268" w:type="dxa"/>
            <w:vAlign w:val="center"/>
          </w:tcPr>
          <w:p w14:paraId="6D15EBD2" w14:textId="77777777" w:rsidR="00425FAC" w:rsidRPr="00A92110" w:rsidRDefault="00425FAC" w:rsidP="003123D7">
            <w:pPr>
              <w:ind w:firstLine="0"/>
              <w:jc w:val="center"/>
              <w:rPr>
                <w:sz w:val="18"/>
                <w:szCs w:val="18"/>
                <w:lang w:val="pl-PL"/>
              </w:rPr>
            </w:pPr>
            <w:r w:rsidRPr="00A92110">
              <w:rPr>
                <w:sz w:val="18"/>
                <w:szCs w:val="18"/>
                <w:lang w:val="pl-PL"/>
              </w:rPr>
              <w:t>0,1190</w:t>
            </w:r>
          </w:p>
        </w:tc>
        <w:tc>
          <w:tcPr>
            <w:tcW w:w="2268" w:type="dxa"/>
            <w:vAlign w:val="center"/>
          </w:tcPr>
          <w:p w14:paraId="7D04D923" w14:textId="77777777" w:rsidR="00425FAC" w:rsidRPr="00E62695" w:rsidRDefault="00425FAC" w:rsidP="003123D7">
            <w:pPr>
              <w:ind w:firstLine="0"/>
              <w:jc w:val="center"/>
              <w:rPr>
                <w:i/>
                <w:iCs/>
                <w:sz w:val="18"/>
                <w:szCs w:val="18"/>
                <w:lang w:val="pl-PL"/>
              </w:rPr>
            </w:pPr>
            <w:r w:rsidRPr="00E62695">
              <w:rPr>
                <w:i/>
                <w:iCs/>
                <w:sz w:val="18"/>
                <w:szCs w:val="18"/>
                <w:lang w:val="pl-PL"/>
              </w:rPr>
              <w:t>0,5979</w:t>
            </w:r>
          </w:p>
        </w:tc>
      </w:tr>
      <w:tr w:rsidR="00425FAC" w:rsidRPr="005D59E0" w14:paraId="6172E42A" w14:textId="77777777" w:rsidTr="003123D7">
        <w:trPr>
          <w:cantSplit/>
        </w:trPr>
        <w:tc>
          <w:tcPr>
            <w:tcW w:w="4536" w:type="dxa"/>
            <w:vAlign w:val="center"/>
          </w:tcPr>
          <w:p w14:paraId="48CBBE58" w14:textId="77777777" w:rsidR="00425FAC" w:rsidRPr="00E62695" w:rsidRDefault="00425FAC" w:rsidP="003123D7">
            <w:pPr>
              <w:spacing w:line="276" w:lineRule="auto"/>
              <w:ind w:firstLine="0"/>
              <w:jc w:val="left"/>
              <w:rPr>
                <w:sz w:val="18"/>
                <w:szCs w:val="18"/>
                <w:lang w:val="pl-PL"/>
              </w:rPr>
            </w:pPr>
            <w:r>
              <w:rPr>
                <w:sz w:val="18"/>
                <w:szCs w:val="18"/>
                <w:lang w:val="pl-PL"/>
              </w:rPr>
              <w:t>*</w:t>
            </w:r>
            <w:r w:rsidRPr="00E62695">
              <w:rPr>
                <w:lang w:val="pl-PL"/>
              </w:rPr>
              <w:t xml:space="preserve"> </w:t>
            </w:r>
            <w:r w:rsidRPr="00E62695">
              <w:rPr>
                <w:sz w:val="18"/>
                <w:szCs w:val="18"/>
                <w:lang w:val="pl-PL"/>
              </w:rPr>
              <w:t>Zatrudnienie 1R vs Prestiż</w:t>
            </w:r>
          </w:p>
        </w:tc>
        <w:tc>
          <w:tcPr>
            <w:tcW w:w="2268" w:type="dxa"/>
            <w:vAlign w:val="center"/>
          </w:tcPr>
          <w:p w14:paraId="4B520F48" w14:textId="77777777" w:rsidR="00425FAC" w:rsidRPr="00E62695" w:rsidRDefault="00425FAC" w:rsidP="003123D7">
            <w:pPr>
              <w:ind w:firstLine="0"/>
              <w:jc w:val="center"/>
              <w:rPr>
                <w:sz w:val="18"/>
                <w:szCs w:val="18"/>
                <w:u w:val="single"/>
                <w:lang w:val="pl-PL"/>
              </w:rPr>
            </w:pPr>
            <w:r w:rsidRPr="00E62695">
              <w:rPr>
                <w:sz w:val="18"/>
                <w:szCs w:val="18"/>
                <w:u w:val="single"/>
                <w:lang w:val="pl-PL"/>
              </w:rPr>
              <w:t>-0,3746</w:t>
            </w:r>
          </w:p>
        </w:tc>
        <w:tc>
          <w:tcPr>
            <w:tcW w:w="2268" w:type="dxa"/>
            <w:vAlign w:val="center"/>
          </w:tcPr>
          <w:p w14:paraId="26212AC7" w14:textId="77777777" w:rsidR="00425FAC" w:rsidRPr="00E62695" w:rsidRDefault="00425FAC" w:rsidP="003123D7">
            <w:pPr>
              <w:ind w:firstLine="0"/>
              <w:jc w:val="center"/>
              <w:rPr>
                <w:i/>
                <w:iCs/>
                <w:sz w:val="18"/>
                <w:szCs w:val="18"/>
                <w:lang w:val="pl-PL"/>
              </w:rPr>
            </w:pPr>
            <w:r w:rsidRPr="00E62695">
              <w:rPr>
                <w:i/>
                <w:iCs/>
                <w:sz w:val="18"/>
                <w:szCs w:val="18"/>
                <w:lang w:val="pl-PL"/>
              </w:rPr>
              <w:t>0,0859</w:t>
            </w:r>
          </w:p>
        </w:tc>
      </w:tr>
      <w:tr w:rsidR="00425FAC" w:rsidRPr="005D59E0" w14:paraId="00A88262" w14:textId="77777777" w:rsidTr="003123D7">
        <w:trPr>
          <w:cantSplit/>
        </w:trPr>
        <w:tc>
          <w:tcPr>
            <w:tcW w:w="4536" w:type="dxa"/>
            <w:vAlign w:val="center"/>
          </w:tcPr>
          <w:p w14:paraId="0FA8113A" w14:textId="77777777" w:rsidR="00425FAC" w:rsidRPr="00E62695" w:rsidRDefault="00425FAC" w:rsidP="003123D7">
            <w:pPr>
              <w:spacing w:line="276" w:lineRule="auto"/>
              <w:ind w:firstLine="0"/>
              <w:jc w:val="left"/>
              <w:rPr>
                <w:sz w:val="18"/>
                <w:szCs w:val="18"/>
                <w:lang w:val="pl-PL"/>
              </w:rPr>
            </w:pPr>
            <w:r w:rsidRPr="00E62695">
              <w:rPr>
                <w:sz w:val="18"/>
                <w:szCs w:val="18"/>
                <w:lang w:val="pl-PL"/>
              </w:rPr>
              <w:t>Zarobki 3R vs Prestiż</w:t>
            </w:r>
          </w:p>
        </w:tc>
        <w:tc>
          <w:tcPr>
            <w:tcW w:w="2268" w:type="dxa"/>
            <w:vAlign w:val="center"/>
          </w:tcPr>
          <w:p w14:paraId="3DA99C1D" w14:textId="77777777" w:rsidR="00425FAC" w:rsidRPr="00E62695" w:rsidRDefault="00425FAC" w:rsidP="003123D7">
            <w:pPr>
              <w:ind w:firstLine="0"/>
              <w:jc w:val="center"/>
              <w:rPr>
                <w:b/>
                <w:bCs/>
                <w:sz w:val="18"/>
                <w:szCs w:val="18"/>
                <w:lang w:val="pl-PL"/>
              </w:rPr>
            </w:pPr>
            <w:r w:rsidRPr="00E62695">
              <w:rPr>
                <w:b/>
                <w:bCs/>
                <w:sz w:val="18"/>
                <w:szCs w:val="18"/>
                <w:lang w:val="pl-PL"/>
              </w:rPr>
              <w:t>0,8675</w:t>
            </w:r>
          </w:p>
        </w:tc>
        <w:tc>
          <w:tcPr>
            <w:tcW w:w="2268" w:type="dxa"/>
            <w:vAlign w:val="center"/>
          </w:tcPr>
          <w:p w14:paraId="2ED6C74C" w14:textId="77777777" w:rsidR="00425FAC" w:rsidRPr="00E62695" w:rsidRDefault="00425FAC" w:rsidP="003123D7">
            <w:pPr>
              <w:ind w:firstLine="0"/>
              <w:jc w:val="center"/>
              <w:rPr>
                <w:i/>
                <w:iCs/>
                <w:sz w:val="18"/>
                <w:szCs w:val="18"/>
                <w:lang w:val="pl-PL"/>
              </w:rPr>
            </w:pPr>
            <w:r w:rsidRPr="00FA2FB7">
              <w:rPr>
                <w:i/>
                <w:iCs/>
                <w:sz w:val="18"/>
                <w:szCs w:val="18"/>
                <w:lang w:val="pl-PL"/>
              </w:rPr>
              <w:t>&lt;0,0001</w:t>
            </w:r>
          </w:p>
        </w:tc>
      </w:tr>
      <w:tr w:rsidR="00425FAC" w:rsidRPr="005D59E0" w14:paraId="7185A0E8" w14:textId="77777777" w:rsidTr="003123D7">
        <w:trPr>
          <w:cantSplit/>
        </w:trPr>
        <w:tc>
          <w:tcPr>
            <w:tcW w:w="4536" w:type="dxa"/>
            <w:vAlign w:val="center"/>
          </w:tcPr>
          <w:p w14:paraId="5B9E9FEC" w14:textId="77777777" w:rsidR="00425FAC" w:rsidRPr="005D59E0" w:rsidRDefault="00425FAC" w:rsidP="003123D7">
            <w:pPr>
              <w:keepNext/>
              <w:spacing w:line="276" w:lineRule="auto"/>
              <w:ind w:firstLine="0"/>
              <w:jc w:val="left"/>
              <w:rPr>
                <w:sz w:val="18"/>
                <w:szCs w:val="18"/>
                <w:lang w:val="pl-PL"/>
              </w:rPr>
            </w:pPr>
            <w:r w:rsidRPr="00E62695">
              <w:rPr>
                <w:sz w:val="18"/>
                <w:szCs w:val="18"/>
                <w:lang w:val="pl-PL"/>
              </w:rPr>
              <w:t>WWZ 3R vs Prestiż</w:t>
            </w:r>
          </w:p>
        </w:tc>
        <w:tc>
          <w:tcPr>
            <w:tcW w:w="2268" w:type="dxa"/>
            <w:vAlign w:val="center"/>
          </w:tcPr>
          <w:p w14:paraId="6F6A1506" w14:textId="77777777" w:rsidR="00425FAC" w:rsidRPr="0007217F" w:rsidRDefault="00425FAC" w:rsidP="003123D7">
            <w:pPr>
              <w:keepNext/>
              <w:ind w:firstLine="0"/>
              <w:jc w:val="center"/>
              <w:rPr>
                <w:b/>
                <w:bCs/>
                <w:sz w:val="18"/>
                <w:szCs w:val="18"/>
                <w:lang w:val="pl-PL"/>
              </w:rPr>
            </w:pPr>
            <w:r w:rsidRPr="00E62695">
              <w:rPr>
                <w:b/>
                <w:bCs/>
                <w:sz w:val="18"/>
                <w:szCs w:val="18"/>
                <w:lang w:val="pl-PL"/>
              </w:rPr>
              <w:t>0,8811</w:t>
            </w:r>
          </w:p>
        </w:tc>
        <w:tc>
          <w:tcPr>
            <w:tcW w:w="2268" w:type="dxa"/>
            <w:vAlign w:val="center"/>
          </w:tcPr>
          <w:p w14:paraId="53B568E3" w14:textId="77777777" w:rsidR="00425FAC" w:rsidRPr="009677FC" w:rsidRDefault="00425FAC" w:rsidP="003123D7">
            <w:pPr>
              <w:keepNext/>
              <w:ind w:firstLine="0"/>
              <w:jc w:val="center"/>
              <w:rPr>
                <w:i/>
                <w:iCs/>
                <w:sz w:val="18"/>
                <w:szCs w:val="18"/>
                <w:lang w:val="pl-PL"/>
              </w:rPr>
            </w:pPr>
            <w:r w:rsidRPr="00FA2FB7">
              <w:rPr>
                <w:i/>
                <w:iCs/>
                <w:sz w:val="18"/>
                <w:szCs w:val="18"/>
                <w:lang w:val="pl-PL"/>
              </w:rPr>
              <w:t>&lt;0,0001</w:t>
            </w:r>
          </w:p>
        </w:tc>
      </w:tr>
    </w:tbl>
    <w:p w14:paraId="2E7AD952" w14:textId="377A35BE" w:rsidR="00425FAC" w:rsidRDefault="00425FAC" w:rsidP="007770AA">
      <w:pPr>
        <w:pStyle w:val="rdo"/>
      </w:pPr>
      <w:r>
        <w:t xml:space="preserve">Źródło: opracowanie własne na podstawie wyników rankingu Perspektywy 2022 </w:t>
      </w:r>
      <w:r>
        <w:fldChar w:fldCharType="begin" w:fldLock="1"/>
      </w:r>
      <w:r w:rsidR="001A2624">
        <w:instrText>ADDIN CSL_CITATION {"citationItems":[{"id":"ITEM-1","itemData":{"URL":"https://i.perspektywy.pl/pages/hak7xpl8xl/tables/akademicki2022.pdf","author":[{"dropping-particle":"","family":"Perspektywy","given":"","non-dropping-particle":"","parse-names":false,"suffix":""}],"id":"ITEM-1","issued":{"date-parts":[["2022"]]},"title":"Wyniki Rankingu Szkół Wyższych Perspektywy 2022","type":"webpage"},"uris":["http://www.mendeley.com/documents/?uuid=971df65c-57f1-4525-ac9e-dadaa886f8a6"]}],"mendeley":{"formattedCitation":"(Perspektywy, 2022b)","plainTextFormattedCitation":"(Perspektywy, 2022b)","previouslyFormattedCitation":"(Perspektywy, 2022b)"},"properties":{"noteIndex":0},"schema":"https://github.com/citation-style-language/schema/raw/master/csl-citation.json"}</w:instrText>
      </w:r>
      <w:r>
        <w:fldChar w:fldCharType="separate"/>
      </w:r>
      <w:r w:rsidR="00921CC1" w:rsidRPr="00921CC1">
        <w:rPr>
          <w:noProof/>
        </w:rPr>
        <w:t>(Perspektywy, 2022b)</w:t>
      </w:r>
      <w:r>
        <w:fldChar w:fldCharType="end"/>
      </w:r>
      <w:r>
        <w:t xml:space="preserve">, wyników rankingu </w:t>
      </w:r>
      <w:proofErr w:type="spellStart"/>
      <w:r>
        <w:t>Webometrics</w:t>
      </w:r>
      <w:proofErr w:type="spellEnd"/>
      <w:r>
        <w:t xml:space="preserve"> </w:t>
      </w:r>
      <w:r>
        <w:fldChar w:fldCharType="begin" w:fldLock="1"/>
      </w:r>
      <w:r w:rsidR="001A2624">
        <w:instrText>ADDIN CSL_CITATION {"citationItems":[{"id":"ITEM-1","itemData":{"URL":"https://www.webometrics.info/en/world","author":[{"dropping-particle":"","family":"Cybermetrics Lab","given":"","non-dropping-particle":"","parse-names":false,"suffix":""}],"container-title":"Webometrics 2023 Jan Ranking","id":"ITEM-1","issued":{"date-parts":[["2023"]]},"title":"Ranking Web of Universities 2023","type":"webpage"},"uris":["http://www.mendeley.com/documents/?uuid=e4f67507-4d50-4f1d-9332-976d0928d21e"]}],"mendeley":{"formattedCitation":"(Cybermetrics Lab, 2023)","plainTextFormattedCitation":"(Cybermetrics Lab, 2023)","previouslyFormattedCitation":"(Cybermetrics Lab, 2023)"},"properties":{"noteIndex":0},"schema":"https://github.com/citation-style-language/schema/raw/master/csl-citation.json"}</w:instrText>
      </w:r>
      <w:r>
        <w:fldChar w:fldCharType="separate"/>
      </w:r>
      <w:r w:rsidR="00921CC1" w:rsidRPr="00921CC1">
        <w:rPr>
          <w:noProof/>
        </w:rPr>
        <w:t>(Cybermetrics Lab, 2023)</w:t>
      </w:r>
      <w:r>
        <w:fldChar w:fldCharType="end"/>
      </w:r>
      <w:r>
        <w:t xml:space="preserve"> oraz danych z bazy ELA </w:t>
      </w:r>
      <w:r>
        <w:fldChar w:fldCharType="begin" w:fldLock="1"/>
      </w:r>
      <w:r w:rsidR="001A2624">
        <w:instrText>ADDIN CSL_CITATION {"citationItems":[{"id":"ITEM-1","itemData":{"URL":"https://ela.nauka.gov.pl/pl/experts/source-data","author":[{"dropping-particle":"","family":"ELA 2020","given":"","non-dropping-particle":"","parse-names":false,"suffix":""}],"id":"ITEM-1","issued":{"date-parts":[["2021"]]},"title":"Ekonomiczne Losy Absolwentów - zbiór danych źródłowych dla Uczelni obejmujący dane absolwentów studiów I, II stopnia i jednolitych studiów magiserskich do 2020 roku","type":"webpage"},"uris":["http://www.mendeley.com/documents/?uuid=090c4a91-b756-446d-9b1f-1fc1628ea982"]}],"mendeley":{"formattedCitation":"(ELA 2020, 2021)","plainTextFormattedCitation":"(ELA 2020, 2021)","previouslyFormattedCitation":"(ELA 2020, 2021)"},"properties":{"noteIndex":0},"schema":"https://github.com/citation-style-language/schema/raw/master/csl-citation.json"}</w:instrText>
      </w:r>
      <w:r>
        <w:fldChar w:fldCharType="separate"/>
      </w:r>
      <w:r w:rsidR="00921CC1" w:rsidRPr="00921CC1">
        <w:rPr>
          <w:noProof/>
        </w:rPr>
        <w:t>(ELA 2020, 2021)</w:t>
      </w:r>
      <w:r>
        <w:fldChar w:fldCharType="end"/>
      </w:r>
    </w:p>
    <w:p w14:paraId="2824F484" w14:textId="6E9D1874" w:rsidR="00083628" w:rsidRDefault="003A7FBB" w:rsidP="003A7FBB">
      <w:r>
        <w:t>Analizując korelacje wartość uzyskiwanych przez polskie uczelnie techniczne w kategorii Prestiż obliczanej w ramach rankingu Perspektywy 2022 ze wskaźnikami IWRA i ich elementami składowymi można zauważyć, że szczególnie wysoką siłą korelacji odznaczają się miary odnoszące się bezpośrednio do zarobków, czyli wartości średnich zarobków uzyskiwanych przez absolwentów uczelni po 3 latach od ukończenia studiów i wartości Względnego Wskaźnika Zarobków również po 3 latach od ukończenia studiów. Najsilniejszą korelację wykazuje ten drugi parametr (</w:t>
      </w:r>
      <w:r w:rsidR="00282C0B">
        <w:t>r = 0,8811</w:t>
      </w:r>
      <w:r>
        <w:t>).</w:t>
      </w:r>
      <w:r w:rsidR="00282C0B">
        <w:t xml:space="preserve"> Niemniej korelacje wartości Prestiżu i IWRA po trzech latach oraz IWRA -WWZ po 3 latach również są bardzo silne – zbliżone do wartości r = 0,8. Warto tu podkreślić również, że wartości pomiaru w kategorii Prestiż, podobnie jak ma to w przypadku miar odnoszących się do ogólnej oceny rankingu Perspektywy 2022, są silnie skorelowane z miarami stworzonymi na bazie informacji o zarobkach absolwentów polskich uczelni technicznych po 3 latach. Natomiast nie ma istotnej statystycznie (na przyjętym poziomie ufności) korelacji Prestiżu ze wynikami stopy zatrudnienia. W tabeli po</w:t>
      </w:r>
      <w:r w:rsidR="00282C0B">
        <w:fldChar w:fldCharType="begin"/>
      </w:r>
      <w:r w:rsidR="00282C0B">
        <w:instrText xml:space="preserve"> REF _Ref137917781 \p \h </w:instrText>
      </w:r>
      <w:r w:rsidR="00282C0B">
        <w:fldChar w:fldCharType="separate"/>
      </w:r>
      <w:r w:rsidR="009E351C">
        <w:t>wyżej</w:t>
      </w:r>
      <w:r w:rsidR="00282C0B">
        <w:fldChar w:fldCharType="end"/>
      </w:r>
      <w:r w:rsidR="00282C0B">
        <w:t xml:space="preserve"> (</w:t>
      </w:r>
      <w:r w:rsidR="00282C0B">
        <w:fldChar w:fldCharType="begin"/>
      </w:r>
      <w:r w:rsidR="00282C0B">
        <w:instrText xml:space="preserve"> REF _Ref137917794 \h </w:instrText>
      </w:r>
      <w:r w:rsidR="00282C0B">
        <w:fldChar w:fldCharType="separate"/>
      </w:r>
      <w:r w:rsidR="009E351C" w:rsidRPr="003A7FBB">
        <w:t>Tabela</w:t>
      </w:r>
      <w:r w:rsidR="009E351C">
        <w:t xml:space="preserve"> </w:t>
      </w:r>
      <w:r w:rsidR="009E351C">
        <w:rPr>
          <w:noProof/>
        </w:rPr>
        <w:t>76</w:t>
      </w:r>
      <w:r w:rsidR="00282C0B">
        <w:fldChar w:fldCharType="end"/>
      </w:r>
      <w:r w:rsidR="00282C0B">
        <w:t xml:space="preserve">) uwzględniono też jedną miarę odnoszącą się do wyników absolwentów osiąganych w </w:t>
      </w:r>
      <w:r w:rsidR="00282C0B">
        <w:lastRenderedPageBreak/>
        <w:t>okresie 1. roku po ukończeniu studiów. Miara ta bowiem wskazuje na dość zaskakujący wynik negatywnej korelacji wyników uczelni w kategorii Prestiż ze stopą zatrudnienia absolwentów. Wprawdzie wynik nie spełnia przyjętego kryterium poziomu istotności statystycznej (</w:t>
      </w:r>
      <w:r w:rsidR="006E22F8">
        <w:rPr>
          <w:rFonts w:cs="Arial"/>
        </w:rPr>
        <w:t>α</w:t>
      </w:r>
      <w:r w:rsidR="006E22F8">
        <w:t xml:space="preserve"> = 0,05</w:t>
      </w:r>
      <w:r w:rsidR="00282C0B">
        <w:t>)</w:t>
      </w:r>
      <w:r w:rsidR="006E22F8">
        <w:t xml:space="preserve"> jednak wartość istotności statystycznej dla tej korelacji jest dość bliska wartości tego kryterium (p = 0,859). Wynik taki może wskazywać zarówno na jakąś prawidłowość związaną z niższą szybkością podejmowania zatrudnienia przez absolwentów uczelni bardziej prestiżowych, ale też może być wynikiem częstszych migracji zagranicznych absolwentów uczelni uważanych za bardziej prestiżowe w pierwszym roku od uzyskania dyplomu. Być może też absolwenci takich uczelni częściej kontynuują karierę naukową co może również w pewnym stopniu wpływać na ich mniejszą liczbę w statystykach zatrudnienia w systemie ZUS. Niemniej niniejsze wyniki mogą być inspiracją do dalszych badań tego zjawiska, które mogłyby byś wykonane w szerszym zakresie i w dłuższym horyzoncie czasu.</w:t>
      </w:r>
    </w:p>
    <w:p w14:paraId="545F7852" w14:textId="0E80F40E" w:rsidR="00425FAC" w:rsidRDefault="00855E39" w:rsidP="00847F16">
      <w:r>
        <w:t xml:space="preserve">Powyżej opisane wyniki pozwalają na weryfikację </w:t>
      </w:r>
      <w:r w:rsidRPr="00B14780">
        <w:rPr>
          <w:b/>
          <w:bCs/>
        </w:rPr>
        <w:t>hipotezy H5</w:t>
      </w:r>
      <w:r>
        <w:t xml:space="preserve">, gdyż na ich podstawie można z całą pewnością odrzucić hipotezę zerową mówiącą o braku związku </w:t>
      </w:r>
      <w:r w:rsidR="00D27F1C">
        <w:t>między wartościami IWRA a wynikami z oceny prestiżu polskich uczelni technicznych. W związku z tym, uwzględniając kontekst przeprowadzonych badań należy stwierdzić, że:</w:t>
      </w:r>
    </w:p>
    <w:p w14:paraId="2E2E0160" w14:textId="671B9B00" w:rsidR="00855E39" w:rsidRPr="00D81125" w:rsidRDefault="00855E39" w:rsidP="00855E39">
      <w:pPr>
        <w:rPr>
          <w:i/>
          <w:iCs/>
        </w:rPr>
      </w:pPr>
      <w:r w:rsidRPr="00D81125">
        <w:rPr>
          <w:i/>
          <w:iCs/>
        </w:rPr>
        <w:t>Wyniki Indeksu Wyceny Rynkowej Absolwenta</w:t>
      </w:r>
      <w:r w:rsidR="00783960">
        <w:rPr>
          <w:i/>
          <w:iCs/>
        </w:rPr>
        <w:t xml:space="preserve"> polskich uczelni technicznych</w:t>
      </w:r>
      <w:r w:rsidR="00D27F1C">
        <w:rPr>
          <w:i/>
          <w:iCs/>
        </w:rPr>
        <w:t>, wyliczanego w odniesieniu do wyników absolwentów uzyskiwanych po 3 latach od uzyskania dyplomu,</w:t>
      </w:r>
      <w:r w:rsidRPr="00D81125">
        <w:rPr>
          <w:i/>
          <w:iCs/>
        </w:rPr>
        <w:t xml:space="preserve"> są pozytywnie skorelowane z wynikami oceny prestiżu uczelni</w:t>
      </w:r>
      <w:r>
        <w:rPr>
          <w:i/>
          <w:iCs/>
        </w:rPr>
        <w:t>.</w:t>
      </w:r>
    </w:p>
    <w:p w14:paraId="29445CD0" w14:textId="164070F5" w:rsidR="00847F16" w:rsidRPr="00847F16" w:rsidRDefault="00783960" w:rsidP="00BC04EA">
      <w:r>
        <w:t xml:space="preserve">Podsumowując, można stwierdzić, że opisane w niniejszym rozdziale wyniki badań zależności między wynikami pomiaru jakości usług uczelni przy pomocy rankingów: ogólnopolskiego – Perspektywy 2022 oraz międzynarodowego </w:t>
      </w:r>
      <w:proofErr w:type="spellStart"/>
      <w:r>
        <w:t>Webometrics</w:t>
      </w:r>
      <w:proofErr w:type="spellEnd"/>
      <w:r>
        <w:t xml:space="preserve"> w wydaniu na pierwszą połowę roku 2023 są pozytywnie skorelowane z wartościami Indeksu Wyceny Rynkowej Absolwenta wyliczonego na podstawie danych dla okresu 3 lat po uzyskaniu dyplomu. W związku z tym wartości IWRA można uznać za dobry </w:t>
      </w:r>
      <w:proofErr w:type="spellStart"/>
      <w:r>
        <w:t>predyktor</w:t>
      </w:r>
      <w:proofErr w:type="spellEnd"/>
      <w:r>
        <w:t xml:space="preserve"> jakości usługo polskich uczelni technicznych. Podobnie wartości pomiaru prestiżu uczelni, będąc pozytywnie skorelowanymi zarówno z wynikami wyżej wymienionych rankingów jak i z wartościami IWRA obliczanego jak opisano powyżej mogą być dobrym </w:t>
      </w:r>
      <w:proofErr w:type="spellStart"/>
      <w:r>
        <w:t>predyktorem</w:t>
      </w:r>
      <w:proofErr w:type="spellEnd"/>
      <w:r>
        <w:t xml:space="preserve"> jakości usług tych uczelni. W dalszej części rozważań niniejszej pracy zostaną omówione możliwości zastosowania opisanych tu wskaźników </w:t>
      </w:r>
      <w:r w:rsidR="00000137">
        <w:t xml:space="preserve">oraz wskaźników dotyczących poziomu satysfakcji interesariuszy </w:t>
      </w:r>
      <w:r>
        <w:t xml:space="preserve">do doskonalenia Systemów Zarządzania Jakością uczelni technicznych </w:t>
      </w:r>
      <w:r w:rsidR="00773931">
        <w:t>i</w:t>
      </w:r>
      <w:r w:rsidR="00000137">
        <w:t> </w:t>
      </w:r>
      <w:r w:rsidR="00773931">
        <w:t>wspierania skutecznych decyzji zarządczych w zakresie jakości usług uczelni.</w:t>
      </w:r>
    </w:p>
    <w:p w14:paraId="2FECAA7F" w14:textId="77777777" w:rsidR="0021443A" w:rsidRPr="00000137" w:rsidRDefault="0021443A" w:rsidP="0021443A">
      <w:pPr>
        <w:pStyle w:val="Nagwek3"/>
      </w:pPr>
      <w:bookmarkStart w:id="128" w:name="_Toc157667020"/>
      <w:bookmarkStart w:id="129" w:name="_Toc157667021"/>
      <w:r w:rsidRPr="00000137">
        <w:t>Zastosowanie informacji o satysfakcji interesariuszy w doskonaleniu systemu zarządzania jakością uczelni</w:t>
      </w:r>
      <w:bookmarkEnd w:id="128"/>
    </w:p>
    <w:p w14:paraId="25559B5C" w14:textId="48F127DA" w:rsidR="0021443A" w:rsidRDefault="0021443A" w:rsidP="0021443A">
      <w:r w:rsidRPr="00000137">
        <w:t xml:space="preserve">Spośród normatywnych systemów zarządzania implementujących filozofię TQM najbardziej dostosowanym do potrzeby instytucji edukacyjnej takiej jak uczelnia techniczna jest norma ISO 21001 (patrz rozdz. </w:t>
      </w:r>
      <w:r>
        <w:fldChar w:fldCharType="begin"/>
      </w:r>
      <w:r>
        <w:instrText xml:space="preserve"> REF _Ref156758230 \r \h </w:instrText>
      </w:r>
      <w:r>
        <w:fldChar w:fldCharType="separate"/>
      </w:r>
      <w:r w:rsidR="009E351C">
        <w:t>1.4.1</w:t>
      </w:r>
      <w:r>
        <w:fldChar w:fldCharType="end"/>
      </w:r>
      <w:r>
        <w:t xml:space="preserve"> i </w:t>
      </w:r>
      <w:r>
        <w:fldChar w:fldCharType="begin"/>
      </w:r>
      <w:r>
        <w:instrText xml:space="preserve"> REF _Ref162612597 \r \h </w:instrText>
      </w:r>
      <w:r>
        <w:fldChar w:fldCharType="separate"/>
      </w:r>
      <w:r w:rsidR="009E351C">
        <w:t>1.5.3</w:t>
      </w:r>
      <w:r>
        <w:fldChar w:fldCharType="end"/>
      </w:r>
      <w:r>
        <w:t>)</w:t>
      </w:r>
      <w:r w:rsidRPr="00000137">
        <w:t>. Wprawdzie norma ta została opracowana dla szerokiego spektrum organizacji edukacyjnych to jej swoista uniwersalność sprawia, że wymagania w niej zawarte zdają się być jak najbardziej odpowiednie również dla tak dużych i złożonych organizacji jak uniwersytety. Jak zostało to już wspomniane w niniejszej pracy</w:t>
      </w:r>
      <w:r>
        <w:t>,</w:t>
      </w:r>
      <w:r w:rsidRPr="00000137">
        <w:t xml:space="preserve"> szczególnie dla publicznych uczelni technicznych</w:t>
      </w:r>
      <w:r>
        <w:t>,</w:t>
      </w:r>
      <w:r w:rsidRPr="00000137">
        <w:t xml:space="preserve"> środowisko interesariuszy jest niezwykle złożone</w:t>
      </w:r>
      <w:r>
        <w:t xml:space="preserve"> (por. rozdz. </w:t>
      </w:r>
      <w:r>
        <w:fldChar w:fldCharType="begin"/>
      </w:r>
      <w:r>
        <w:instrText xml:space="preserve"> REF _Ref162612683 \r \h </w:instrText>
      </w:r>
      <w:r>
        <w:fldChar w:fldCharType="separate"/>
      </w:r>
      <w:r w:rsidR="009E351C">
        <w:t>1.5.2</w:t>
      </w:r>
      <w:r>
        <w:fldChar w:fldCharType="end"/>
      </w:r>
      <w:r>
        <w:t>)</w:t>
      </w:r>
      <w:r w:rsidRPr="00000137">
        <w:t>.</w:t>
      </w:r>
      <w:r>
        <w:t xml:space="preserve"> Ponadto w odniesieniu do usług </w:t>
      </w:r>
      <w:r>
        <w:lastRenderedPageBreak/>
        <w:t>finansowanych ze środków publicznych przedstawiciele żadnej z tych grup nie pełnią klasycznej roli klienta, lecz różne częściowe formy tej roli są rozproszone pomiędzy różnymi grupami interesariuszy. W przypadku uczelni technicznych (nietechnicznych w mniejszym stopniu) można co prawda wskazać na obszar działań związany z komercjalizacją wyników badań lub usługami świadczonymi odpłatnie dla biznesu lub innych instytucji. Pomimo możliwości występowania w tym obszarze relacji typu dostawca-klient należy zauważyć, że ten rodzaj działalności nie stanowi podstawowego obszaru działań związanych z misją uniwersytetów. A zatem pomiar efektów działań uczelni (w szczególności technicznej, publicznej) powinien odnosić się do odpowiednio szerokiego grona różnych interesariuszy. W tym miejscu należy też wspomnieć, że norma ISO 21001 określa wymagania systemu zarządzania organizacją edukacyjną. Odnosi się ona jednak do analogicznych założeń jak cała grup norm zbudowanych na podstawie ISO 9001 – Systemy Zarządzania Jakością. Podstawą struktury zarówno ISO 21001 jak i pozostałych norm należących do grupy norm odnoszących się do systemu zarządzania tzw. MSS (</w:t>
      </w:r>
      <w:r w:rsidRPr="00FA0DAA">
        <w:rPr>
          <w:i/>
          <w:iCs/>
        </w:rPr>
        <w:t xml:space="preserve">Management System </w:t>
      </w:r>
      <w:proofErr w:type="spellStart"/>
      <w:r w:rsidRPr="00FA0DAA">
        <w:rPr>
          <w:i/>
          <w:iCs/>
        </w:rPr>
        <w:t>Standards</w:t>
      </w:r>
      <w:proofErr w:type="spellEnd"/>
      <w:r>
        <w:t xml:space="preserve">) jest tzw. cykl </w:t>
      </w:r>
      <w:proofErr w:type="spellStart"/>
      <w:r>
        <w:t>Deminga</w:t>
      </w:r>
      <w:proofErr w:type="spellEnd"/>
      <w:r>
        <w:t xml:space="preserve"> – PDCA </w:t>
      </w:r>
      <w:r>
        <w:fldChar w:fldCharType="begin" w:fldLock="1"/>
      </w:r>
      <w:r>
        <w:instrText>ADDIN CSL_CITATION {"citationItems":[{"id":"ITEM-1","itemData":{"DOI":"10.1108/TQM-09-2022-0279","ISSN":"1754-2731","author":[{"dropping-particle":"","family":"Ronalter","given":"Louis Maximilian","non-dropping-particle":"","parse-names":false,"suffix":""},{"dropping-particle":"","family":"Poltronieri","given":"Camila Fabrício","non-dropping-particle":"","parse-names":false,"suffix":""},{"dropping-particle":"","family":"Gerolamo","given":"Mateus Cecilio","non-dropping-particle":"","parse-names":false,"suffix":""}],"container-title":"The TQM Journal","id":"ITEM-1","issue":"9","issued":{"date-parts":[["2023","12","18"]]},"page":"256-298","title":"ISO management system standards in the light of corporate sustainability: a bibliometric analysis","type":"article-journal","volume":"35"},"uris":["http://www.mendeley.com/documents/?uuid=8fef49cd-2b8f-41bc-9ccb-c33041419a9e"]},{"id":"ITEM-2","itemData":{"DOI":"10.17512/pjms.2017.15.1.13","ISSN":"20817452","author":[{"dropping-particle":"","family":"Majerník","given":"Milan","non-dropping-particle":"","parse-names":false,"suffix":""},{"dropping-particle":"","family":"Daneshjo","given":"Naqib","non-dropping-particle":"","parse-names":false,"suffix":""},{"dropping-particle":"","family":"Sančiová","given":"Gabriela","non-dropping-particle":"","parse-names":false,"suffix":""},{"dropping-particle":"","family":"Chovancová","given":"Jana","non-dropping-particle":"","parse-names":false,"suffix":""}],"container-title":"Polish Journal of Management Studies","id":"ITEM-2","issue":"1","issued":{"date-parts":[["2017","6"]]},"page":"135-143","title":"Design Of Integrated Management Systems According To The Revised Iso Standards","type":"article-journal","volume":"15"},"prefix":"por.","uris":["http://www.mendeley.com/documents/?uuid=261a5849-f4a7-422c-8552-6b080e015fcc"]},{"id":"ITEM-3","itemData":{"DOI":"10.3390/su12155892","ISSN":"2071-1050","abstract":"Companies need to develop more sustainable management models to support a strategy focused on the environment and society, preventing the sole ambition to maximize economic profits. Several specific tools and frameworks have been developed for the implementation of sustainability management. However, the isolated adoption of new management practices could increase bureaucracy and constrain the development of an effective and systematic sustainability strategy. Based on the development of four case studies of relevant companies based in Portugal, this research presents a cyclical process with the structures, inputs and outputs, and roles in embodying sustainability in Integrated Management Systems (IMS). The originality of the work lies in the level of integration. Beyond identifying interconnection areas, it also specifies the Management Systems Standards (MSS) requirements in each area, assigning different roles in the integration process: drivers, efficient enablers, pathways, and evaluators. These four roles promote the claimed integration in a systematic cyclical process, plan–do–check–act (PDCA), to assist the consolidation of sustainability management. This research reinforces the added value of the IMS. It expands its scope, helping companies implement sustainability effectively and systematically, resulting in the presentation of Conceptual Sustainable Management Systems Standards (SMSS).","author":[{"dropping-particle":"","family":"Silva","g</w:instrText>
      </w:r>
      <w:r w:rsidRPr="00B61EC4">
        <w:rPr>
          <w:lang w:val="en-GB"/>
        </w:rPr>
        <w:instrText>iven":"Cláudia","non-dropping-particle":"","parse-names":false,"suffix":""},{"dropping-particle":"","family":"Magano","given":"José","non-dropping-particle":"","parse-names":false,"suffix":""},{"dropping-particle":"","family":"Moskalenko","given":"Anna","non-dropping-particle":"","parse-names":false,"suffix":""},{"dropping-particle":"","family":"Nogueira","given":"Teresa","non-dropping-particle":"","parse-names":false,"suffix":""},{"dropping-particle":"","family":"Dinis","given":"Maria Alzira Pimenta","non-dropping-particle":"","parse-names":false,"suffix":""},{"dropping-particle":"","family":"Pedrosa e Sousa","given":"Hélder Fernando","non-dropping-particle":"","parse-names":false,"suffix":""}],"container-title":"Sustainability","id":"ITEM-3","issue":"15","issued":{"date-parts":[["2020","7","22"]]},"page":"5892","title":"Sustainable Management Systems Standards (SMSS): Structures, Roles, and Practices in Corporate Sustainability","type":"article-journal","volume":"12"},"uris":["http://www.mendeley.com/documents/?uuid=d27d200e-85b8-48f2-9562-bccc6eb8889d"]}],"mendeley":{"formattedCitation":"(por. Majerník i in., 2017; Ronalter i in., 2023; Silva i in., 2020)","plainTextFormattedCitation":"(por. Majerník i in., 2017; Ronalter i in., 2023; Silva i in., 2020)","previouslyFormattedCitation":"(por. Majerník i in., 2017; Ronalter i in., 2023; Silva i in., 2020)"},"properties":{"noteIndex":0},"schema":"https://github.com/citation-style-language/schema/raw/master/csl-citation.json"}</w:instrText>
      </w:r>
      <w:r>
        <w:fldChar w:fldCharType="separate"/>
      </w:r>
      <w:r w:rsidRPr="00A65F36">
        <w:rPr>
          <w:noProof/>
          <w:lang w:val="en-GB"/>
        </w:rPr>
        <w:t>(por. Majerník i in., 2017; Ronalter i in., 2023; Silva i in., 2020)</w:t>
      </w:r>
      <w:r>
        <w:fldChar w:fldCharType="end"/>
      </w:r>
      <w:r w:rsidRPr="00A65F36">
        <w:rPr>
          <w:lang w:val="en-GB"/>
        </w:rPr>
        <w:t xml:space="preserve">. </w:t>
      </w:r>
      <w:r>
        <w:t xml:space="preserve">Ponadto norma ISO 21001:2018 należy do tzw. grupy norm zharmonizowanych, które „posiadają taką samą strukturę i wiele wspólnych terminów” </w:t>
      </w:r>
      <w:r>
        <w:fldChar w:fldCharType="begin" w:fldLock="1"/>
      </w:r>
      <w:r>
        <w:instrText>ADDIN CSL_CITATION {"citationItems":[{"id":"ITEM-1","itemData":{"URL":"https://www.iso.org/management-system-standards-list.html","author":[{"dropping-particle":"","family":"ISO","given":"","non-dropping-particle":"","parse-names":false,"suffix":""}],"id":"ITEM-1","issued":{"date-parts":[["2024"]]},"title":"Management System Standards list","type":"webpage"},"uris":["http://www.mendeley.com/documents/?uuid=ca502ba3-f3f2-47a6-94ca-5090ed59cf8d"]}],"mendeley":{"formattedCitation":"(ISO, 2024)","plainTextFormattedCitation":"(ISO, 2024)","previouslyFormattedCitation":"(ISO, 2024)"},"properties":{"noteIndex":0},"schema":"https://github.com/citation-style-language/schema/raw/master/csl-citation.json"}</w:instrText>
      </w:r>
      <w:r>
        <w:fldChar w:fldCharType="separate"/>
      </w:r>
      <w:r w:rsidRPr="006D7578">
        <w:rPr>
          <w:noProof/>
        </w:rPr>
        <w:t>(ISO, 2024)</w:t>
      </w:r>
      <w:r>
        <w:fldChar w:fldCharType="end"/>
      </w:r>
      <w:r>
        <w:t xml:space="preserve">. Spośród 127 norm ujętych w ramach MSS 70 podlega harmonizacji, w tym większość (53 z 64.) norm określanych przez Międzynarodową Organizację Normalizacyjną jako należące do typu A, czyli takich w których zawarte są wymagania, a nie jedynie rekomendacje </w:t>
      </w:r>
      <w:r>
        <w:fldChar w:fldCharType="begin" w:fldLock="1"/>
      </w:r>
      <w:r>
        <w:instrText>ADDIN CSL_CITATION {"citationItems":[{"id":"ITEM-1","itemData":{"URL":"https://www.iso.org/management-system-standards-list.html","author":[{"dropping-particle":"","family":"ISO","given":"","non-dropping-particle":"","parse-names":false,"suffix":""}],"id":"ITEM-1","issued":{"date-parts":[["2024"]]},"title":"Management System Standards list","type":"webpage"},"uris":["http://www.mendeley.com/documents/?uuid=ca502ba3-f3f2-47a6-94ca-5090ed59cf8d"]}],"mendeley":{"formattedCitation":"(ISO, 2024)","plainTextFormattedCitation":"(ISO, 2024)","previouslyFormattedCitation":"(ISO, 2024)"},"properties":{"noteIndex":0},"schema":"https://github.com/citation-style-language/schema/raw/master/csl-citation.json"}</w:instrText>
      </w:r>
      <w:r>
        <w:fldChar w:fldCharType="separate"/>
      </w:r>
      <w:r w:rsidRPr="006D7578">
        <w:rPr>
          <w:noProof/>
        </w:rPr>
        <w:t>(ISO, 2024)</w:t>
      </w:r>
      <w:r>
        <w:fldChar w:fldCharType="end"/>
      </w:r>
      <w:r>
        <w:t>.</w:t>
      </w:r>
    </w:p>
    <w:p w14:paraId="6035EE5D" w14:textId="24E27629" w:rsidR="0021443A" w:rsidRDefault="0021443A" w:rsidP="0021443A">
      <w:r>
        <w:t xml:space="preserve">Ponadto cechą charakterystyczną wymagań normy ISO 21001 dotyczącej systemu zarządzania organizacją edukacyjną (EOMS) oraz wymagań normy ISO 9001 dotyczącej systemu zarządzania jakością (QMS), jak i innych norm z grupy MSS wg ISO jest obejmowanie swoim zakresem całości organizacji. Ściślej rzecz biorąc całości systemu zarządzania organizacją, choć z różnie rozłożonymi akcentami i szczegółowymi wymaganiami w zależności od zakresu konkretnego standardu. Ponadto jeśli przyjmiemy definicję jakości rozumianej jako stopień spełnienia wymagań (por. rozdz. </w:t>
      </w:r>
      <w:r>
        <w:fldChar w:fldCharType="begin"/>
      </w:r>
      <w:r>
        <w:instrText xml:space="preserve"> REF _Ref135920762 \r \h </w:instrText>
      </w:r>
      <w:r>
        <w:fldChar w:fldCharType="separate"/>
      </w:r>
      <w:r w:rsidR="009E351C">
        <w:t>1.3.1</w:t>
      </w:r>
      <w:r>
        <w:fldChar w:fldCharType="end"/>
      </w:r>
      <w:r>
        <w:t xml:space="preserve">) to wszelkie działania związane ze spełnianiem różnorodnych wymagań podejmowane w ramach szeroko rozumianego systemy zarządzania organizacją odnoszą się do osiągania wysokiej jakości. A zatem można przyjąć, że w swej istocie każdy system zarządzania jest również systemem zarządzania jakością w rozumieniu zgodnym z filozofią kompleksowego zarządzania jakością, które w sposób holistyczny obejmuje całą organizację </w:t>
      </w:r>
      <w:r>
        <w:rPr>
          <w:lang w:val="en-GB"/>
        </w:rPr>
        <w:fldChar w:fldCharType="begin" w:fldLock="1"/>
      </w:r>
      <w:r>
        <w:instrText>ADDIN CSL_CITATION {"citationItems":[{"id":"ITEM-1","itemData":{"DOI":"10.1111/hequ.12227","ISSN":"0951-5224","author":[{"dropping-particle":"","family":"Nasim","given":"Kanwal","non-dropping-particle":"","parse-names":false,"suffix":""},{"dropping-particle":"","family":"Sikander","given":"Arif","non-dropping-particle":"","parse-names":false,"suffix":""},{"dropping-particle":"","family":"Tian","given":"Xiaowen","non-dropping-particle":"","parse-names":false,"suffix":""}],"container-title":"Higher Education Quarterly","id":"ITEM-1","issue":"1","issued":{"date-parts":[["2020","1","28"]]},"page":"75-97","title":"Twenty years of research on total quality management in Higher Education: A systematic literature review","type":"article-journal","volume":"74"},"uris":["http://www.mendeley.com/documents/?uuid=33668a0c-39a3-4908-ba04-e3936d08f7b4"]}],"mendeley":{"formattedCitation":"(Nasim i in., 2020)","plainTextFormattedCitation":"(Nasim i in., 2020)","previouslyFormattedCitation":"(Nasim i in., 2020)"},"properties":{"noteIndex":0},"schema":"https://github.com/citation-style-language/schema/raw/master/csl-citation.json"}</w:instrText>
      </w:r>
      <w:r>
        <w:rPr>
          <w:lang w:val="en-GB"/>
        </w:rPr>
        <w:fldChar w:fldCharType="separate"/>
      </w:r>
      <w:r w:rsidRPr="00E3014B">
        <w:rPr>
          <w:noProof/>
        </w:rPr>
        <w:t>(Nasim i in., 2020)</w:t>
      </w:r>
      <w:r>
        <w:rPr>
          <w:lang w:val="en-GB"/>
        </w:rPr>
        <w:fldChar w:fldCharType="end"/>
      </w:r>
      <w:r>
        <w:t>. Na tej podstawie w dalszych rozważaniach dotyczących roli pomiaru satysfakcji interesariuszy analizy na podstawie wymagań normy ISO 21001:2018 będą uogólniane do systemów zarządzania jakością.</w:t>
      </w:r>
    </w:p>
    <w:p w14:paraId="10064CBD" w14:textId="77777777" w:rsidR="0021443A" w:rsidRDefault="0021443A" w:rsidP="0021443A">
      <w:r>
        <w:t xml:space="preserve">W tekście normy ISO 21001:2018 znajdują się </w:t>
      </w:r>
      <w:r w:rsidRPr="00977041">
        <w:t>33 wzmianki o satysfakcji</w:t>
      </w:r>
      <w:r>
        <w:t>,</w:t>
      </w:r>
      <w:r w:rsidRPr="00977041">
        <w:t xml:space="preserve"> </w:t>
      </w:r>
      <w:r>
        <w:t xml:space="preserve">odnoszącej się do różnych interesariuszy, </w:t>
      </w:r>
      <w:r w:rsidRPr="00977041">
        <w:t>pocz</w:t>
      </w:r>
      <w:r>
        <w:t>ąwszy</w:t>
      </w:r>
      <w:r w:rsidRPr="00977041">
        <w:t xml:space="preserve"> od nawiązania do tego terminu zaraz na wstępie przy wprowadzeniu do tekstu normy: „0.5 Podejście procesowe 0.5.1 Ogólne: Dokument ten promuje zastosowanie podejścia procesowego do rozwoju, wdrażania i poprawiania efektywności SZOE, w celu wzmocnienia satysfakcji uczniów i innych beneficjentów poprzez spełniania ich wymagań” </w:t>
      </w:r>
      <w:r w:rsidRPr="00977041">
        <w:fldChar w:fldCharType="begin" w:fldLock="1"/>
      </w:r>
      <w:r w:rsidRPr="00977041">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Pr="00977041">
        <w:fldChar w:fldCharType="separate"/>
      </w:r>
      <w:r w:rsidRPr="00977041">
        <w:rPr>
          <w:noProof/>
        </w:rPr>
        <w:t>(ISO 21001, 2018)</w:t>
      </w:r>
      <w:r w:rsidRPr="00977041">
        <w:fldChar w:fldCharType="end"/>
      </w:r>
      <w:r>
        <w:t xml:space="preserve">. W każdym rozdziale normy znajduje się nawiązanie do satysfakcji interesariuszy, a </w:t>
      </w:r>
      <w:r w:rsidRPr="004D4F46">
        <w:t xml:space="preserve">cały rozdział 9.1.2 </w:t>
      </w:r>
      <w:r>
        <w:t>jest poświęcony</w:t>
      </w:r>
      <w:r w:rsidRPr="004D4F46">
        <w:t xml:space="preserve"> jej pomiarowi oraz podejmowaniu praktycznych działań w trosce o jak najwyższy jej poziom</w:t>
      </w:r>
      <w:r>
        <w:t xml:space="preserve">. Dodatkowo w załączniku B dla 4 z 11 zasad Systemu Zarządzania Organizacją Edukacyjną wg ISO 21001 wprost wymieniono wzrost satysfakcji interesariuszy wśród kluczowych korzyści ze </w:t>
      </w:r>
      <w:r>
        <w:lastRenderedPageBreak/>
        <w:t xml:space="preserve">stosowania tych zasad. Wszystko to świadczy tym jak bardzo </w:t>
      </w:r>
      <w:proofErr w:type="spellStart"/>
      <w:r>
        <w:t>interesariuszo</w:t>
      </w:r>
      <w:proofErr w:type="spellEnd"/>
      <w:r>
        <w:t>-centryczne podejście proponuje norma ISO 21001:2018.</w:t>
      </w:r>
    </w:p>
    <w:p w14:paraId="5CBAB82A" w14:textId="29E832E1" w:rsidR="0021443A" w:rsidRDefault="0021443A" w:rsidP="0021443A">
      <w:r>
        <w:t xml:space="preserve">Zastosowania pomiaru satysfakcji interesariuszy, a w tym indeksu satysfakcji interesariuszy (SSI) w odniesieniu do jego różnych wariantów w ramach systemów zgodnych z normą ISO 21001:2018 znajdują się w wielu miejscach. Niewątpliwie stosowanie pomiaru SSI będzie wspierać rozumienie potrzeb i oczekiwań interesariuszy zgodnie z pkt. 4.2 Normy. Wykorzystywanie analizy wskaźników z grupy SSI również będzie pomocne dla dobrego spełniania wymagań związanych z punktem 5.1 „Przywództwo i zaangażowanie” wzmacniając w organizacji </w:t>
      </w:r>
      <w:proofErr w:type="spellStart"/>
      <w:r>
        <w:t>interesariuszo</w:t>
      </w:r>
      <w:proofErr w:type="spellEnd"/>
      <w:r>
        <w:t>-centryzm. Ponadto wskaźniki te dostarczając możliwości pomiaru efektów działań organizacji będą wspierać procesy związane z odpowiedzialnością za efektywność SZJ jednocześnie pozwalając na podejmowanie decyzji na podstawie faktów. Informacje pozyskiwane przez organizację w ramach pomiarów satysfakcji interesariuszy mogą też być niezwykle pomocne przy planowaniu (pkt. 6. „Planowanie”), wspierając procesy wyznaczania celów oraz ustanawiania mierzalnych metod weryfikacji podejmowanych działań. Również osiągnięcie zgodności z wymaganiami rozdziału 7 „Wsparcie” może być znacznie łatwiejsze przy właściwym wykorzystaniu pomiaru satysfakcji interesariuszy oraz różnych wersji wskaźników SSI. Wymagania w tym rozdziale obejmują wiele zagadnień, od zasobów (7.1) poprzez kompetencje (7.2), świadomość (7.3), komunikację (7.4), aż po odpowiednie udokumentowanie informacji (7.5). Spośród tych obszarów szczególnie ten pierwszy dotyczący zasobów może być wsparty przez zastosowanie informacji o rzeczywistych poziomach satysfakcji w różnych grupach interesariuszy, a monitorowanie zmian wartości stosowanych wskaźników SSI może pomóc zweryfikować efektywność działań podejmowanych w celu spełniania odpowiednich wymagań. Także w ramach wymagań rozdziału 8. „Działanie” (</w:t>
      </w:r>
      <w:proofErr w:type="spellStart"/>
      <w:r w:rsidRPr="005254D7">
        <w:rPr>
          <w:i/>
          <w:iCs/>
        </w:rPr>
        <w:t>Operation</w:t>
      </w:r>
      <w:proofErr w:type="spellEnd"/>
      <w:r>
        <w:t xml:space="preserve">) korzystanie ze wskaźników satysfakcji interesariuszy oraz innych metod pomiaru satysfakcji różnych grup zainteresowanych jakością działań uczelni może być niezwykle korzystne dostarczając łatwych w stosowaniu miar do monitorowania na bieżąco efektów bieżących działań. Wiele spośród wymagań w ramach tego rozdziału odnosi się do przejmowania kontroli nad procesami, a w tym wiarygodne pomiary i relatywnie łatwe do stosowania i monitorowania wskaźniki znacznie mogą pomóc. Zastosowania pomiaru satysfakcji interesariuszy w ramach wymagań w rozdziale 9. „Ocena wyników” zostały już wcześniej wspomniane, gdyż jest to część systemu, która wprost odnosi się do pomiarów efektów działań całej organizacji. Dla uczelni wyższych, więc wskaźniki satysfakcji interesariuszy wydają się więc nieodzowne do wykorzystania do oceny wyników. Co więcej w tym rozdziale wprost jest mowa o konieczności mierzenia i monitorowania satysfakcji interesariuszy w punkcie 9.1.2.1. W notkach do tego punktu jest wprost określone, że do monitorowania można wykorzystać narzędzia takie jak ankiety, bezpośrednie spotkania z interesariuszami, a także analizy rynkowe. Ponadto wskazano, że istotnym jest by monitorować zarówno negatywne jak i pozytywne informacje zwrotne </w:t>
      </w:r>
      <w:r>
        <w:fldChar w:fldCharType="begin" w:fldLock="1"/>
      </w:r>
      <w:r w:rsidR="00E45933">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fldChar w:fldCharType="separate"/>
      </w:r>
      <w:r w:rsidRPr="00C2407A">
        <w:rPr>
          <w:noProof/>
        </w:rPr>
        <w:t>(ISO 21001, 2018)</w:t>
      </w:r>
      <w:r>
        <w:fldChar w:fldCharType="end"/>
      </w:r>
      <w:r>
        <w:t xml:space="preserve">. Ponadto w ramach punktów 9.2 „Audyt wewnętrzny” oraz 9.3 „Przegląd zarządzania” zawarte są wymagania, których spełnienie może być znacznie ułatwione utrzymując metody regularnego pozyskiwania informacji o satysfakcji interesariuszy i wykorzystując wnioski płynące z tych pomiarów. W ramach rozdziału 10. „Doskonalenie” wszystkie wymagania dotyczące reakcji organizacji na niezgodności poprzez wprowadzanie działań korygujących (10.1) oraz dotyczące ciągłej poprawy (10.2), a także poszukiwania możliwości (okazji) </w:t>
      </w:r>
      <w:r>
        <w:lastRenderedPageBreak/>
        <w:t>do doskonalenia (10.3) będą znacznie łatwiejsze do spełnienia przy wykorzystaniu wiarygodnych metod i wskaźników do mierzenia efektów działań organizacji, a także zmian wartości tych efektów w czasie. Do tego pomiar satysfakcji interesariuszy obok innym mierników może być niezwykle przydatny.</w:t>
      </w:r>
    </w:p>
    <w:p w14:paraId="0238045E" w14:textId="30A5C59D" w:rsidR="0021443A" w:rsidRDefault="0021443A" w:rsidP="0021443A">
      <w:r>
        <w:t xml:space="preserve">Uczelnie w Polsce są poddawane ocenie programowej PKA, a zatem spełnianie jej kryteriów jest wymaganiem obligatoryjnym istotnie wpływającym na możliwość funkcjonowania tych instytucji (por. rozdz. </w:t>
      </w:r>
      <w:r>
        <w:fldChar w:fldCharType="begin"/>
      </w:r>
      <w:r>
        <w:instrText xml:space="preserve"> REF _Ref137319715 \r \h </w:instrText>
      </w:r>
      <w:r>
        <w:fldChar w:fldCharType="separate"/>
      </w:r>
      <w:r w:rsidR="009E351C">
        <w:t>1.3.2</w:t>
      </w:r>
      <w:r>
        <w:fldChar w:fldCharType="end"/>
      </w:r>
      <w:r>
        <w:t xml:space="preserve"> i </w:t>
      </w:r>
      <w:r>
        <w:fldChar w:fldCharType="begin"/>
      </w:r>
      <w:r>
        <w:instrText xml:space="preserve"> REF _Ref156758230 \r \h </w:instrText>
      </w:r>
      <w:r>
        <w:fldChar w:fldCharType="separate"/>
      </w:r>
      <w:r w:rsidR="009E351C">
        <w:t>1.4.1</w:t>
      </w:r>
      <w:r>
        <w:fldChar w:fldCharType="end"/>
      </w:r>
      <w:r>
        <w:t xml:space="preserve">). Odniesienia do interesariuszy w ramach kryteriów PKA, a także konkretnych standardach jakości kształcenia zostały omówione w ramach rozdziału </w:t>
      </w:r>
      <w:r>
        <w:fldChar w:fldCharType="begin"/>
      </w:r>
      <w:r>
        <w:instrText xml:space="preserve"> REF _Ref162639110 \r \h </w:instrText>
      </w:r>
      <w:r>
        <w:fldChar w:fldCharType="separate"/>
      </w:r>
      <w:r w:rsidR="009E351C">
        <w:t>1.5.3</w:t>
      </w:r>
      <w:r>
        <w:fldChar w:fldCharType="end"/>
      </w:r>
      <w:r>
        <w:t xml:space="preserve"> (por. </w:t>
      </w:r>
      <w:r>
        <w:fldChar w:fldCharType="begin"/>
      </w:r>
      <w:r>
        <w:instrText xml:space="preserve"> REF _Ref134898257 \h </w:instrText>
      </w:r>
      <w:r>
        <w:fldChar w:fldCharType="separate"/>
      </w:r>
      <w:r w:rsidR="009E351C" w:rsidRPr="00ED45D2">
        <w:t xml:space="preserve">Tabela </w:t>
      </w:r>
      <w:r w:rsidR="009E351C">
        <w:rPr>
          <w:noProof/>
        </w:rPr>
        <w:t>57</w:t>
      </w:r>
      <w:r>
        <w:fldChar w:fldCharType="end"/>
      </w:r>
      <w:r>
        <w:t xml:space="preserve">) jednak warto również przeanalizować czy i w jakim stopni dokonywanie regularnych pomiarów satysfakcji interesariuszy uczelni może wspierać zdolność takiej organizacji do spełniania tych wymagań. Wydaje się, że nie wszystkie SJK będą wspierane przez taki pomiar. Natomiast na pewno SJK 2.3 odnoszący się do metod kształcenia zorientowanych na studentów i motywujących ich do aktywnego uczelnia się może być weryfikowany poprzez pozyskiwanie informacji zwrotnych od studentów. Podobnie w ramach SJK 4.2 w części odnoszącej się do oceny kadry nauczającej przeprowadzanej z udziałem studentów można wykorzystać formy pozyskiwania informacji zwrotnej od studentów do spełnienia tego wymagania. Niewątpliwie w bardzo istotnym stopniu wspierany przez pomiar satysfakcji różnych grup interesariuszy, a tak że szeroko rozumiane pozyskiwanie od nich informacji zwrotnej może być SJK 6.2 odnoszący się do regularnych ocen relacji z otoczeniem społeczno-gospodarczym oraz wykorzystywania wniosków z tych ocen do doskonalenia. Podobnie SJK 9.2 odnoszące się do systematycznych ocen jakości informacji o studiach również mogą być wspierane przez pozyskiwanie informacji zwrotnej od studentów lub innych odpowiednich interesariuszy. Natomiast standardem jakości kształcenia, który w największym stopniu będzie osiągany przy pomocy pomiarów satysfakcji interesariuszy jest SJK 10.1 odnoszący się do prowadzenia systematycznych ocen na podstawie wyników analiz wiarygodnych danych z udziałem interesariuszy wewnętrznych oraz zewnętrznych. Inne standardy jakości spośród tych nawiązujących do interesariuszy mogą być wspierane w znacznie mniejszym zakresie przez pomiary satysfakcji interesariuszy. Wśród nich można wskazać np. SKJ 4.1, SJK 5.2, czy SJK 8.1. Jak więc można stwierdzić na podstawie powyższych analiz dążenie do spełniania kryteriów oceny programowej PKA może być w wspierane przez ustanowienie regularnego pozyskiwania informacji zwrotnej od interesariuszy oraz pomiary ich satysfakcji. Jednak gdy porównamy to do wymagań określanych przez normę ISO 21001 nie sposób nie zauważyć, że wymaganiom PKA bardzo daleko do idei </w:t>
      </w:r>
      <w:proofErr w:type="spellStart"/>
      <w:r>
        <w:t>interesariuszo</w:t>
      </w:r>
      <w:proofErr w:type="spellEnd"/>
      <w:r>
        <w:t xml:space="preserve">-centryzmu. </w:t>
      </w:r>
    </w:p>
    <w:p w14:paraId="3A0C4D36" w14:textId="77777777" w:rsidR="0021443A" w:rsidRPr="00D215CD" w:rsidRDefault="0021443A" w:rsidP="0021443A">
      <w:r w:rsidRPr="00D215CD">
        <w:t>Te dwa przykłady zastosowania i</w:t>
      </w:r>
      <w:r>
        <w:t xml:space="preserve">nformacji o satysfakcji interesariuszy w ramach działań związanych z zarządzaniem jakością usług uczelni pozwalają na dostrzeżenie, że takie informacje mogą istotnie pomóc w coraz lepszym spełnianiu wymagań standardów odnośnie tych systemów. W związku z tym również konkretne wdrożone wersje (praktyczne stosowanie) SZJ na konkretnych uczelniach też mogą być doskonalone by lepiej spełniać wymagania nie tylko zewnętrznych kryteriów, czy standardów, ale co istotniejsze prowadzić do skuteczniejszego osiągania celów przez organizację. Temu jakie kroki postępowania mogą efektywnie służyć doskonaleniu systemów zarządzania jakością uczelni przy wykorzystaniu pomiaru satysfakcji interesariuszy, a także jakie mierniki (wskaźniki) mogą być najbardziej pomocne do stosowania w ramach tego procesu będzie poświęcony kolejny rozdział. </w:t>
      </w:r>
    </w:p>
    <w:p w14:paraId="3D7F7B89" w14:textId="119582AF" w:rsidR="00DD50DE" w:rsidRPr="00787121" w:rsidRDefault="00DD50DE" w:rsidP="00787121">
      <w:pPr>
        <w:pStyle w:val="Nagwek1"/>
      </w:pPr>
      <w:r w:rsidRPr="00787121">
        <w:rPr>
          <w:rStyle w:val="Nagwek1Znak"/>
          <w:b/>
          <w:bCs/>
          <w:caps/>
        </w:rPr>
        <w:lastRenderedPageBreak/>
        <w:t>Model doskonalenia systemów zarządzania jakością polskich uczelni technicznych wy</w:t>
      </w:r>
      <w:r w:rsidRPr="00787121">
        <w:t>korzystujący informacje z pomiaru satysfakcji interesariuszy</w:t>
      </w:r>
      <w:bookmarkEnd w:id="129"/>
    </w:p>
    <w:p w14:paraId="70CE9FFB" w14:textId="64C7BC42" w:rsidR="0056796C" w:rsidRDefault="00B61EC4" w:rsidP="00DD50DE">
      <w:r>
        <w:t>Jak wykazano w poprzednim rozdziale</w:t>
      </w:r>
      <w:r w:rsidR="0021443A">
        <w:t>,</w:t>
      </w:r>
      <w:r>
        <w:t xml:space="preserve"> </w:t>
      </w:r>
      <w:r w:rsidR="0021443A">
        <w:t>dzięki</w:t>
      </w:r>
      <w:r>
        <w:t xml:space="preserve"> </w:t>
      </w:r>
      <w:r w:rsidR="0021443A">
        <w:t>z</w:t>
      </w:r>
      <w:r>
        <w:t>definiowani</w:t>
      </w:r>
      <w:r w:rsidR="0021443A">
        <w:t>u</w:t>
      </w:r>
      <w:r>
        <w:t xml:space="preserve"> jakości jako stopnia spełnienia wymagań</w:t>
      </w:r>
      <w:r w:rsidR="0021443A">
        <w:t>,</w:t>
      </w:r>
      <w:r>
        <w:t xml:space="preserve"> można uznać wszelkie systemy zarządzania uczelnią za zgodne z pojęciem SZJ poprzez to, że celem ich istnienia jest lepsze spełnianie różnorodnych wymagań. W związku z tym każdy, istniejący w praktyce, system zarządzania w różnych organizacjach, choćby był w swej formie niespójny i tworzony w sposób chaotyczny jest również systemem zarządzania jakością, który może być bardziej lub mniej efektywnie doskonalony. Efekty doskonalenia konkretnego SZJ powinny być oceniane, podobnie jak efekty stosowania takiego SZJ poprzez efekty działań organizacji. Nie jest to jednak zagadnienie łatwe gdyż przy ocenie efektów doskonalenia SZJ należy uwzględnić możliwość wszelkich nieprawidłowości w stosowaniu ustalonych reguł działania. Ponadto oceniając proces doskonalenia poprzez efekty działalności organizacji powinno się uwzględnić wpływ otoczenia zewnętrznego uczelni, które może determinować taki, a nie inny poziom wyników działań uczelni.</w:t>
      </w:r>
      <w:r w:rsidR="002D490F">
        <w:t xml:space="preserve"> Z inspiracji przeprowadzonymi analizami literatury oraz badaniami satysfakcji interesariuszy wraz z analizą różnych mierników odnoszących się do </w:t>
      </w:r>
      <w:r w:rsidR="00BE4789">
        <w:t xml:space="preserve">efektów działań uczelni został opracowany autorski model opisujący praktyczne kroki postępowania w celu doskonalenia systemu zarządzania jakością uczelni. </w:t>
      </w:r>
      <w:r w:rsidR="0001442F">
        <w:t xml:space="preserve">Pojęcie model jest w tym kontekście użyte jako pewna reprezentacja rzeczywistości. Natomiast tu konkretnie odnosi się ono, poprzez analogię do definicji modelu biznesowego, do ustalonej „logiki działań] (…) dla tworzenia wartości” </w:t>
      </w:r>
      <w:r w:rsidR="0001442F">
        <w:fldChar w:fldCharType="begin" w:fldLock="1"/>
      </w:r>
      <w:r w:rsidR="0045106D">
        <w:instrText>ADDIN CSL_CITATION {"citationItems":[{"id":"ITEM-1","itemData":{"DOI":"10.1016/j.bushor.2004.10.014","ISSN":"00076813","author":[{"dropping-particle":"","family":"Shafer","given":"Scott M.","non-dropping-particle":"","parse-names":false,"suffix":""},{"dropping-particle":"","family":"Smith","given":"H. Jeff","non-dropping-particle":"","parse-names":false,"suffix":""},{"dropping-particle":"","family":"Linder","given":"Jane C.","non-dropping-particle":"","parse-names":false,"suffix":""}],"container-title":"Business Horizons","id":"ITEM-1","issue":"3","issued":{"date-parts":[["2005","5"]]},"page":"199-207","title":"The power of business models","type":"article-journal","volume":"48"},"locator":"202","uris":["http://www.mendeley.com/documents/?uuid=ae4ebf53-aea7-44f3-8398-1c25c82cb58d"]}],"mendeley":{"formattedCitation":"(Shafer i in., 2005, s. 202)","plainTextFormattedCitation":"(Shafer i in., 2005, s. 202)","previouslyFormattedCitation":"(Shafer i in., 2005, s. 202)"},"properties":{"noteIndex":0},"schema":"https://github.com/citation-style-language/schema/raw/master/csl-citation.json"}</w:instrText>
      </w:r>
      <w:r w:rsidR="0001442F">
        <w:fldChar w:fldCharType="separate"/>
      </w:r>
      <w:r w:rsidR="0001442F" w:rsidRPr="0001442F">
        <w:rPr>
          <w:noProof/>
        </w:rPr>
        <w:t>(Shafer i in., 2005, s. 202)</w:t>
      </w:r>
      <w:r w:rsidR="0001442F">
        <w:fldChar w:fldCharType="end"/>
      </w:r>
      <w:r w:rsidR="0001442F">
        <w:t>. Opracowany model</w:t>
      </w:r>
      <w:r w:rsidR="00BE4789">
        <w:t xml:space="preserve"> uwzględnia szczególny kontekst uwarunkowań polski publicznych uczelni technicznych. Natomiast jego charakterystyczną cechą jest wykorzystanie pomiarów informacji zwrotnych od interesariuszy. W związku z tym model ten pozwala na praktyczną realizację idei </w:t>
      </w:r>
      <w:proofErr w:type="spellStart"/>
      <w:r w:rsidR="00BE4789">
        <w:t>interesariuszo</w:t>
      </w:r>
      <w:proofErr w:type="spellEnd"/>
      <w:r w:rsidR="00BE4789">
        <w:t xml:space="preserve">-centryzmu w zarządzaniu organizacją jaką jest uczelnia. </w:t>
      </w:r>
    </w:p>
    <w:p w14:paraId="1D9B38A1" w14:textId="63BBB424" w:rsidR="00787121" w:rsidRDefault="0001442F" w:rsidP="00DD50DE">
      <w:r>
        <w:t xml:space="preserve">W kolejnych </w:t>
      </w:r>
      <w:r w:rsidR="00BE4789">
        <w:t>rozdziałach zostanie zaprezentowana struktura tego modelu wraz z szczegółowym uzasadnieniem dla jej formy, a także rekomendacjami dla konkretnych działań doskonalących. Ponadto zostaną też omówione relacje modelu do wymagań określonych w normie ISO 21001 w aspekcie wsparcia wdrażania dojrzałego systemu zarządzania jakością w instytucji edukacji wyższej przy pomocy stosowania proponowanych narzędzi. Praktyczny aspekt proponowanych rozwiązań zostanie również uzupełniony o zestaw wskaźników przydatnych do stosowania w ramach doskonalenia SZJ uczelni wraz z uzasadnieniem odnoszący</w:t>
      </w:r>
      <w:r w:rsidR="00EA2C49">
        <w:t>m</w:t>
      </w:r>
      <w:r w:rsidR="00BE4789">
        <w:t xml:space="preserve"> się do wyników analiz wykonanych w ramach niniejszej pracy.</w:t>
      </w:r>
    </w:p>
    <w:p w14:paraId="0E8B8F5D" w14:textId="7F1E5778" w:rsidR="00787121" w:rsidRDefault="00787121" w:rsidP="00787121">
      <w:pPr>
        <w:pStyle w:val="Nagwek2"/>
      </w:pPr>
      <w:r>
        <w:t xml:space="preserve">Struktura Modelu </w:t>
      </w:r>
      <w:r w:rsidRPr="00ED2996">
        <w:t>Doskonalenia Systemu Zarządzania Jakością Uczelni Inspirowanego Satysfakcją Interesariuszy</w:t>
      </w:r>
    </w:p>
    <w:p w14:paraId="4FF6862A" w14:textId="315916A0" w:rsidR="00276213" w:rsidRDefault="003826FE" w:rsidP="00DD50DE">
      <w:r>
        <w:t xml:space="preserve">Na podstawie </w:t>
      </w:r>
      <w:r w:rsidR="002D490F">
        <w:t>przedstawionego powyżej</w:t>
      </w:r>
      <w:r w:rsidR="007B0AE1">
        <w:t xml:space="preserve"> rozumienia pojęcia systemu zarządzania jakością uczelni, a także </w:t>
      </w:r>
      <w:r>
        <w:t>wniosków z badań literatury oraz wywiadów badania jakościowego</w:t>
      </w:r>
      <w:r w:rsidR="00AF75C2">
        <w:t xml:space="preserve"> i</w:t>
      </w:r>
      <w:r>
        <w:t xml:space="preserve"> badań ilościowych został opracowany autorski </w:t>
      </w:r>
      <w:r w:rsidRPr="00ED2996">
        <w:rPr>
          <w:b/>
          <w:bCs/>
        </w:rPr>
        <w:t xml:space="preserve">model doskonalenia systemu zarządzania jakością uczelni inspirowanego satysfakcją interesariuszy (ang. </w:t>
      </w:r>
      <w:proofErr w:type="spellStart"/>
      <w:r w:rsidRPr="00B61EC4">
        <w:rPr>
          <w:b/>
          <w:bCs/>
          <w:i/>
          <w:iCs/>
        </w:rPr>
        <w:t>Stakeholder</w:t>
      </w:r>
      <w:proofErr w:type="spellEnd"/>
      <w:r w:rsidRPr="00B61EC4">
        <w:rPr>
          <w:b/>
          <w:bCs/>
          <w:i/>
          <w:iCs/>
        </w:rPr>
        <w:t xml:space="preserve"> </w:t>
      </w:r>
      <w:proofErr w:type="spellStart"/>
      <w:r w:rsidRPr="00B61EC4">
        <w:rPr>
          <w:b/>
          <w:bCs/>
          <w:i/>
          <w:iCs/>
        </w:rPr>
        <w:t>Satisfaction</w:t>
      </w:r>
      <w:proofErr w:type="spellEnd"/>
      <w:r w:rsidRPr="00B61EC4">
        <w:rPr>
          <w:b/>
          <w:bCs/>
          <w:i/>
          <w:iCs/>
        </w:rPr>
        <w:t xml:space="preserve"> </w:t>
      </w:r>
      <w:proofErr w:type="spellStart"/>
      <w:r w:rsidRPr="00B61EC4">
        <w:rPr>
          <w:b/>
          <w:bCs/>
          <w:i/>
          <w:iCs/>
        </w:rPr>
        <w:t>Driven</w:t>
      </w:r>
      <w:proofErr w:type="spellEnd"/>
      <w:r w:rsidRPr="00B61EC4">
        <w:rPr>
          <w:b/>
          <w:bCs/>
          <w:i/>
          <w:iCs/>
        </w:rPr>
        <w:t xml:space="preserve"> </w:t>
      </w:r>
      <w:proofErr w:type="spellStart"/>
      <w:r w:rsidRPr="00B61EC4">
        <w:rPr>
          <w:b/>
          <w:bCs/>
          <w:i/>
          <w:iCs/>
        </w:rPr>
        <w:t>Quality</w:t>
      </w:r>
      <w:proofErr w:type="spellEnd"/>
      <w:r w:rsidRPr="00ED2996">
        <w:rPr>
          <w:b/>
          <w:bCs/>
          <w:i/>
          <w:iCs/>
        </w:rPr>
        <w:t xml:space="preserve"> management system </w:t>
      </w:r>
      <w:proofErr w:type="spellStart"/>
      <w:r w:rsidRPr="00B61EC4">
        <w:rPr>
          <w:b/>
          <w:bCs/>
          <w:i/>
          <w:iCs/>
        </w:rPr>
        <w:t>improvement</w:t>
      </w:r>
      <w:proofErr w:type="spellEnd"/>
      <w:r w:rsidRPr="00ED2996">
        <w:rPr>
          <w:b/>
          <w:bCs/>
          <w:i/>
          <w:iCs/>
        </w:rPr>
        <w:t xml:space="preserve"> Model</w:t>
      </w:r>
      <w:r w:rsidRPr="00ED2996">
        <w:rPr>
          <w:b/>
          <w:bCs/>
        </w:rPr>
        <w:t xml:space="preserve"> – SSDQM)</w:t>
      </w:r>
      <w:r w:rsidRPr="00ED2996">
        <w:t xml:space="preserve">. </w:t>
      </w:r>
      <w:r w:rsidRPr="003826FE">
        <w:t xml:space="preserve">Celem </w:t>
      </w:r>
      <w:r w:rsidR="00276213">
        <w:t xml:space="preserve">opracowania </w:t>
      </w:r>
      <w:r w:rsidRPr="003826FE">
        <w:t xml:space="preserve">tego modelu jest pokazanie </w:t>
      </w:r>
      <w:r w:rsidRPr="003826FE">
        <w:lastRenderedPageBreak/>
        <w:t>całościowego pr</w:t>
      </w:r>
      <w:r>
        <w:t>o</w:t>
      </w:r>
      <w:r w:rsidRPr="003826FE">
        <w:t>cesu doskon</w:t>
      </w:r>
      <w:r>
        <w:t xml:space="preserve">alenia implementujące koncepcję </w:t>
      </w:r>
      <w:proofErr w:type="spellStart"/>
      <w:r>
        <w:t>interesariuszo</w:t>
      </w:r>
      <w:proofErr w:type="spellEnd"/>
      <w:r>
        <w:t xml:space="preserve">-centryzmu. </w:t>
      </w:r>
      <w:r w:rsidR="00276213">
        <w:t>Dzięki uwzględnieniu poszerzonej analizy interesariuszy oraz sposobów pozyskiwania informacji zwrotnej od nich j</w:t>
      </w:r>
      <w:r>
        <w:t>est to koncepcja odpowiednia dla złożonego środowiska uczelni, a szczególnie uczelni publicznych. Jednocześnie model ten zawiera niezbędne etapy procesu postępowania wyselekcjonowane przy próbie opracowania narzędzia nieprzytłaczającego poziomem złożoności przy implementacji, a jednocześnie odpowiednim zarówno dla organizacji niewielkich jak i dużych uniwersytetów.</w:t>
      </w:r>
      <w:r w:rsidR="00ED2996">
        <w:t xml:space="preserve"> Zaproponowane etapy postępowania i narzędzia do zastosowania przy analizie udoskonaleń i ich wdrażaniu nie stanowią bowiem zamkniętego katalogu lecz propozycję konkretnej logiki postępowania, gdzie podkreślona jest rola pomiaru satysfakcji interesariuszy oraz pozyskiwania od nich informacji zwrotnej. </w:t>
      </w:r>
      <w:r w:rsidR="00276213">
        <w:t>U</w:t>
      </w:r>
      <w:r w:rsidR="00ED2996">
        <w:t xml:space="preserve">względniona jest także konieczność </w:t>
      </w:r>
      <w:r w:rsidR="00276213">
        <w:t>analizowania</w:t>
      </w:r>
      <w:r w:rsidR="00ED2996">
        <w:t xml:space="preserve"> innych </w:t>
      </w:r>
      <w:r w:rsidR="00276213">
        <w:t xml:space="preserve">źródeł </w:t>
      </w:r>
      <w:r w:rsidR="00ED2996">
        <w:t xml:space="preserve">informacji w celu weryfikacji zakresu potrzeb i obszarów do doskonalenia. </w:t>
      </w:r>
      <w:r w:rsidR="00276213">
        <w:t>Głównym celem zastosowania tego modelu jest wprowadzanie udoskonaleń do systemu zarządzania jakością uczelni rozumianego zgodnie z filozofią TQM</w:t>
      </w:r>
      <w:r w:rsidR="001F58C2">
        <w:t xml:space="preserve">, jako „nieustannie ewoluującego systemu zarządzania” </w:t>
      </w:r>
      <w:r w:rsidR="001F58C2">
        <w:fldChar w:fldCharType="begin" w:fldLock="1"/>
      </w:r>
      <w:r w:rsidR="0050518C">
        <w:instrText>ADDIN CSL_CITATION {"citationItems":[{"id":"ITEM-1","itemData":{"DOI":"10.1108/09544780610660004","ISSN":"0954-478X","abstract":"Purpose - During the last decades, different quality management concepts, including total quality management (TQM), six sigma and lean, have been applied by many different organisations. Although much important work has been documented regarding TQM, six sigma and lean, a number of questions remain concerning the applicability of these concepts in various organisations and contexts. Hence, the purpose of this paper is to describe the similarities and differences between the concepts, including an evaluation and criticism of each concept. Design/methodology/approach - Within a case study, a literature review and face-to-face interviews in typical TQM, six sigma and lean organisations have been carried out. Findings - While TQM, six sigma and lean have many similarities, especially concerning origin, methodologies, tools and effects, they differ in some areas, in particular concerning the main theory, approach and the main criticism. The lean concept is slightly different from TQM and six sigma. However, there is a lot to gain if organisations are able to combine these three concepts, as they are complementary. Six sigma and lean are excellent road-maps, which could be used one by one or combined, together with the values in TQM. Originality/value - The paper provides guidance to organisations regarding the applicability and properties of quality concepts. Organisations need to work continuously with customer-orientated activities in order to survive; irrespective of how these activities are labelled. The paper will also serve as a basis for further research in this area, focusing on practical experience of these concepts. © Emerald Group Publishing Limited.","author":[{"dropping-particle":"","family":"Andersson","given":"Roy","non-dropping-particle":"","parse-names":false,"suffix":""},{"dropping-particle":"","family":"Eriksson","given":"Henrik","non-dropping-particle":"","parse-names":false,"suffix":""},{"dropping-particle":"","family":"Torstensson","given":"Håkan","non-dropping-particle":"","parse-names":false,"suffix":""}],"container-title":"The TQM Magazine","editor":[{"dropping-particle":"","family":"Mi Dahlgaard</w:instrText>
      </w:r>
      <w:r w:rsidR="0050518C">
        <w:rPr>
          <w:rFonts w:ascii="Cambria Math" w:hAnsi="Cambria Math" w:cs="Cambria Math"/>
        </w:rPr>
        <w:instrText>‐</w:instrText>
      </w:r>
      <w:r w:rsidR="0050518C">
        <w:instrText>Park","given":"Su","non-dropping-particle":"","parse-names":false,"suffix":""}],"id":"ITEM-1","issue":"3","issued":{"date-parts":[["2006","5","1"]]},"page":"282-296","title":"Similarities and differences between TQM, six sigma and lean","type":"article-journal","volume":"18"},"locator":"283","uris":["http://www.mendeley.com/documents/?uuid=4ba9081e-66f4-3545-a7f8-55f47ae4e8bc"]}],"mendeley":{"formattedCitation":"(Andersson i in., 2006, s. 283)","plainTextFormattedCitation":"(Andersson i in., 2006, s. 283)","previouslyFormattedCitation":"(Andersson i in., 2006, s. 283)"},"properties":{"noteIndex":0},"schema":"https://github.com/citation-style-language/schema/raw/master/csl-citation.json"}</w:instrText>
      </w:r>
      <w:r w:rsidR="001F58C2">
        <w:fldChar w:fldCharType="separate"/>
      </w:r>
      <w:r w:rsidR="001F58C2" w:rsidRPr="001F58C2">
        <w:rPr>
          <w:noProof/>
        </w:rPr>
        <w:t>(Andersson i in., 2006, s. 283)</w:t>
      </w:r>
      <w:r w:rsidR="001F58C2">
        <w:fldChar w:fldCharType="end"/>
      </w:r>
      <w:r w:rsidR="00276213">
        <w:t>.</w:t>
      </w:r>
      <w:r w:rsidR="001F58C2">
        <w:t xml:space="preserve"> A zatem w tym rozumieniu wszelkie działania mające na celu wdrożenie udoskonaleń w funkcjonowaniu organizacji stanowią udoskonalenia systemu zarządzania jakością organizacji.</w:t>
      </w:r>
    </w:p>
    <w:p w14:paraId="5A148494" w14:textId="3D7BA49D" w:rsidR="00AF75C2" w:rsidRDefault="00AF75C2" w:rsidP="00DD50DE">
      <w:r>
        <w:t>Anglojęzyczna nazwa tego modelu jest podstawą do utworzenia skrótu SSDQM, który będzie szeroko stosowany w dalszych opisach. Określenie „</w:t>
      </w:r>
      <w:proofErr w:type="spellStart"/>
      <w:r>
        <w:t>stakeholder</w:t>
      </w:r>
      <w:proofErr w:type="spellEnd"/>
      <w:r>
        <w:t xml:space="preserve"> </w:t>
      </w:r>
      <w:proofErr w:type="spellStart"/>
      <w:r>
        <w:t>satisfaction</w:t>
      </w:r>
      <w:proofErr w:type="spellEnd"/>
      <w:r>
        <w:t xml:space="preserve"> </w:t>
      </w:r>
      <w:proofErr w:type="spellStart"/>
      <w:r>
        <w:t>driven</w:t>
      </w:r>
      <w:proofErr w:type="spellEnd"/>
      <w:r>
        <w:t xml:space="preserve">” w języku angielski w sposób syntetyczny oddaje istotę tego podejścia w sposób znacznie bardziej przystępny niż możliwe do stosowania określenia w języku polskim. Zdecydowano się na użycie polskiego terminu „inspirowany satysfakcją interesariuszy” gdyż zdaniem autora w odniesieniu do istoty działań w ramach Modelu jest to określenie lepsze niż często spotykane w literaturze przedmioty zwroty takie jak „sterowany” lub „napędzany” lub „zorientowany na”. Nie jest to jednak określenie w pełni oddające istotę tego terminu, gdyż opracowany model ma inspirować do praktycznego wyrażania idei </w:t>
      </w:r>
      <w:proofErr w:type="spellStart"/>
      <w:r>
        <w:t>interesariuszo</w:t>
      </w:r>
      <w:proofErr w:type="spellEnd"/>
      <w:r>
        <w:t xml:space="preserve">-centryzmu. W związku z tym zarówno inspiracje do doskonalenia czerpane z koncentracji na </w:t>
      </w:r>
      <w:r w:rsidR="002E4C53">
        <w:t>interesariuszach i ich satysfakcji, a także pomiar efektów działań uczelni ze szczególnym uwzględnieniem mierników odnoszących się do satysfakcji interesariuszy, jak i traktowanie osiągnięcia podniesienia poziomu satysfakcji interesariuszy jako celu działań doskonalących są osnową dla idei modelu SSDQM.</w:t>
      </w:r>
    </w:p>
    <w:p w14:paraId="37A21A0F" w14:textId="42B699C2" w:rsidR="000B1253" w:rsidRDefault="002E4C53" w:rsidP="00DD50DE">
      <w:r>
        <w:t>Sam model zostanie zaprezentowany poniżej w kilku etapach na dwóch poziomach szczegółowości. Zanim więc zostaną zaprezentowane szczegółowe kroki postepowania wraz z ich zależnościami, to zostanie omówiona s</w:t>
      </w:r>
      <w:r w:rsidR="00ED2996">
        <w:t>truktura etapów głównych modelu SSDQM</w:t>
      </w:r>
      <w:r>
        <w:t>.</w:t>
      </w:r>
      <w:r w:rsidR="00ED2996">
        <w:t xml:space="preserve"> </w:t>
      </w:r>
      <w:r>
        <w:t>Z</w:t>
      </w:r>
      <w:r w:rsidR="00ED2996">
        <w:t xml:space="preserve">ostała </w:t>
      </w:r>
      <w:r>
        <w:t xml:space="preserve">ona </w:t>
      </w:r>
      <w:r w:rsidR="00ED2996">
        <w:t>przedstawiona na rysunku po</w:t>
      </w:r>
      <w:r w:rsidR="00276213">
        <w:fldChar w:fldCharType="begin"/>
      </w:r>
      <w:r w:rsidR="00276213">
        <w:instrText xml:space="preserve"> REF _Ref162330010 \p \h </w:instrText>
      </w:r>
      <w:r w:rsidR="00276213">
        <w:fldChar w:fldCharType="separate"/>
      </w:r>
      <w:r w:rsidR="009E351C">
        <w:t>niżej</w:t>
      </w:r>
      <w:r w:rsidR="00276213">
        <w:fldChar w:fldCharType="end"/>
      </w:r>
      <w:r w:rsidR="00ED2996">
        <w:t xml:space="preserve"> (</w:t>
      </w:r>
      <w:r w:rsidR="00276213">
        <w:fldChar w:fldCharType="begin"/>
      </w:r>
      <w:r w:rsidR="00276213">
        <w:instrText xml:space="preserve"> REF _Ref162330018 \h </w:instrText>
      </w:r>
      <w:r w:rsidR="00276213">
        <w:fldChar w:fldCharType="separate"/>
      </w:r>
      <w:r w:rsidR="009E351C">
        <w:t xml:space="preserve">Rysunek </w:t>
      </w:r>
      <w:r w:rsidR="009E351C">
        <w:rPr>
          <w:noProof/>
        </w:rPr>
        <w:t>47</w:t>
      </w:r>
      <w:r w:rsidR="00276213">
        <w:fldChar w:fldCharType="end"/>
      </w:r>
      <w:r w:rsidR="00ED2996">
        <w:t>).</w:t>
      </w:r>
    </w:p>
    <w:p w14:paraId="6DF9392F" w14:textId="77777777" w:rsidR="00B12AF3" w:rsidRDefault="00B12AF3" w:rsidP="00B12AF3">
      <w:pPr>
        <w:pStyle w:val="Rysunek"/>
      </w:pPr>
      <w:r>
        <w:rPr>
          <w:noProof/>
        </w:rPr>
        <w:lastRenderedPageBreak/>
        <w:drawing>
          <wp:inline distT="0" distB="0" distL="0" distR="0" wp14:anchorId="07AF413C" wp14:editId="6934EB96">
            <wp:extent cx="4680000" cy="6179603"/>
            <wp:effectExtent l="0" t="0" r="0" b="0"/>
            <wp:docPr id="2400323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80000" cy="6179603"/>
                    </a:xfrm>
                    <a:prstGeom prst="rect">
                      <a:avLst/>
                    </a:prstGeom>
                    <a:noFill/>
                    <a:ln>
                      <a:noFill/>
                    </a:ln>
                  </pic:spPr>
                </pic:pic>
              </a:graphicData>
            </a:graphic>
          </wp:inline>
        </w:drawing>
      </w:r>
    </w:p>
    <w:p w14:paraId="21C56ECC" w14:textId="3082EDCF" w:rsidR="00795F42" w:rsidRDefault="00B12AF3" w:rsidP="00B12AF3">
      <w:pPr>
        <w:pStyle w:val="Tytutabeli"/>
      </w:pPr>
      <w:bookmarkStart w:id="130" w:name="_Ref162330018"/>
      <w:bookmarkStart w:id="131" w:name="_Ref162330010"/>
      <w:r>
        <w:t xml:space="preserve">Rysunek </w:t>
      </w:r>
      <w:r>
        <w:fldChar w:fldCharType="begin"/>
      </w:r>
      <w:r>
        <w:instrText xml:space="preserve"> SEQ Rysunek \* ARABIC </w:instrText>
      </w:r>
      <w:r>
        <w:fldChar w:fldCharType="separate"/>
      </w:r>
      <w:r w:rsidR="009E351C">
        <w:rPr>
          <w:noProof/>
        </w:rPr>
        <w:t>47</w:t>
      </w:r>
      <w:r>
        <w:fldChar w:fldCharType="end"/>
      </w:r>
      <w:bookmarkEnd w:id="130"/>
      <w:r>
        <w:t xml:space="preserve"> Struktura głównych elementów modelu doskonalenia SZJ uczelni inspirowanego satysfakcją interesariuszy (SSDQM)</w:t>
      </w:r>
      <w:bookmarkEnd w:id="131"/>
    </w:p>
    <w:p w14:paraId="3ED6F537" w14:textId="0A6914F4" w:rsidR="00795F42" w:rsidRDefault="00B12AF3" w:rsidP="00B12AF3">
      <w:pPr>
        <w:pStyle w:val="rdo"/>
      </w:pPr>
      <w:r>
        <w:t>Źródło: opracowanie własne</w:t>
      </w:r>
    </w:p>
    <w:p w14:paraId="5D33CED0" w14:textId="2874EC0B" w:rsidR="00DE5B26" w:rsidRDefault="003826FE" w:rsidP="00DD50DE">
      <w:r w:rsidRPr="003573C2">
        <w:t xml:space="preserve">Analogicznie do uznanych i szeroko stosowanych modeli doskonalenia jakości również model SSDQM nawiązuje swoją strukturą do klasycznego cyklu PDCA. Nie stanowi on jednak adaptacji tego cyklu lecz jest </w:t>
      </w:r>
      <w:r w:rsidR="003573C2" w:rsidRPr="003573C2">
        <w:t xml:space="preserve">opracowany jako cykl postępowania uwzględniający analizę interesariuszy uczelni, a także </w:t>
      </w:r>
      <w:r w:rsidR="00ED2996">
        <w:t>przygotowywanie</w:t>
      </w:r>
      <w:r w:rsidR="003573C2" w:rsidRPr="003573C2">
        <w:t xml:space="preserve"> i wdrażanie udoskonaleń w sposób optymalny przy uwzględnieniu charakterystyki i zasobów konkretnej uczelni.</w:t>
      </w:r>
      <w:r w:rsidR="003573C2">
        <w:t xml:space="preserve"> Niemniej kolejne etapy związane z analizą interesariuszy oraz problemów do poprawy przypominają fazę planowania</w:t>
      </w:r>
      <w:r w:rsidR="00ED2996">
        <w:t xml:space="preserve"> (</w:t>
      </w:r>
      <w:r w:rsidR="00ED2996" w:rsidRPr="00ED2996">
        <w:rPr>
          <w:i/>
          <w:iCs/>
        </w:rPr>
        <w:t>Plan</w:t>
      </w:r>
      <w:r w:rsidR="00ED2996">
        <w:t>)</w:t>
      </w:r>
      <w:r w:rsidR="003573C2">
        <w:t xml:space="preserve"> w cyklu PDCA. Następne związane z implementacją propozycji zmian, ustanowieniem regularnego pozyskiwania informacji zwrotnej, a także stałej praktyki działań doskonalących przypominają następujące po sobie fazy wykonaj (</w:t>
      </w:r>
      <w:r w:rsidR="003573C2" w:rsidRPr="003573C2">
        <w:rPr>
          <w:i/>
          <w:iCs/>
        </w:rPr>
        <w:t>Do</w:t>
      </w:r>
      <w:r w:rsidR="003573C2">
        <w:t xml:space="preserve">), </w:t>
      </w:r>
      <w:r w:rsidR="003573C2">
        <w:lastRenderedPageBreak/>
        <w:t>sprawdzaj (</w:t>
      </w:r>
      <w:proofErr w:type="spellStart"/>
      <w:r w:rsidR="003573C2" w:rsidRPr="003573C2">
        <w:rPr>
          <w:i/>
          <w:iCs/>
        </w:rPr>
        <w:t>Check</w:t>
      </w:r>
      <w:proofErr w:type="spellEnd"/>
      <w:r w:rsidR="003573C2">
        <w:t>) oraz działaj (</w:t>
      </w:r>
      <w:proofErr w:type="spellStart"/>
      <w:r w:rsidR="003573C2" w:rsidRPr="003573C2">
        <w:rPr>
          <w:i/>
          <w:iCs/>
        </w:rPr>
        <w:t>Act</w:t>
      </w:r>
      <w:proofErr w:type="spellEnd"/>
      <w:r w:rsidR="003573C2">
        <w:t>).</w:t>
      </w:r>
      <w:r w:rsidR="00BD20EC">
        <w:t xml:space="preserve"> </w:t>
      </w:r>
      <w:r w:rsidR="00DE5B26">
        <w:t>W podobny sposób zbudowane są uznane i szeroko stosowane normatywne systemy zarządzania opracowane na podstawie normy ISO 9001</w:t>
      </w:r>
      <w:r w:rsidR="00BE2ACB">
        <w:t xml:space="preserve">, w tym norma ISO 21001:2018. </w:t>
      </w:r>
      <w:r w:rsidR="00BD20EC">
        <w:t xml:space="preserve">Warto podkreślić też, że </w:t>
      </w:r>
      <w:r w:rsidR="00BE2ACB">
        <w:t xml:space="preserve">podobnie jak dla systemów normatywnych </w:t>
      </w:r>
      <w:r w:rsidR="00BD20EC">
        <w:t>fazie planowania zostało poświęconych najwięcej etapów głównych</w:t>
      </w:r>
      <w:r w:rsidR="00BE2ACB">
        <w:t xml:space="preserve"> (patrz </w:t>
      </w:r>
      <w:r w:rsidR="00BE2ACB">
        <w:fldChar w:fldCharType="begin"/>
      </w:r>
      <w:r w:rsidR="00BE2ACB">
        <w:instrText xml:space="preserve"> REF _Ref146984870 \h </w:instrText>
      </w:r>
      <w:r w:rsidR="00BE2ACB">
        <w:fldChar w:fldCharType="separate"/>
      </w:r>
      <w:r w:rsidR="009E351C">
        <w:t xml:space="preserve">Tabela </w:t>
      </w:r>
      <w:r w:rsidR="009E351C">
        <w:rPr>
          <w:noProof/>
        </w:rPr>
        <w:t>29</w:t>
      </w:r>
      <w:r w:rsidR="00BE2ACB">
        <w:fldChar w:fldCharType="end"/>
      </w:r>
      <w:r w:rsidR="00BE2ACB">
        <w:t>)</w:t>
      </w:r>
      <w:r w:rsidR="00BD20EC">
        <w:t xml:space="preserve">. Wynika to z tego, iż dobre planowanie pozwala uniknąć strat lub nieefektywności na dalszych etapach postępowania. W związku z tym zaproponowane etapy analizy satysfakcji interesariuszy i obszarów do poprawy zostały uzupełnione o etap wyboru konkretnych obszarów do wdrażania udoskonaleń. Jest to istotne, gdyż taki sposób postępowania pozwoli na skupienie działań na lepiej sprecyzowanym celu, wybranym w sposób świadomy spośród innych jako ten, który pozwoli uzyskać </w:t>
      </w:r>
      <w:r w:rsidR="00DE5B26">
        <w:t>rezultaty w sposób najbardziej efektywny.</w:t>
      </w:r>
    </w:p>
    <w:p w14:paraId="0D16D453" w14:textId="27E4EC3F" w:rsidR="003826FE" w:rsidRPr="003573C2" w:rsidRDefault="00BD20EC" w:rsidP="00DD50DE">
      <w:r>
        <w:t>Model SSDQM w swej głównej strukturze jest cykliczny. Jednak iteracyjność jest wbudowana w niego również na niższych, szczegółowych poziomach.</w:t>
      </w:r>
      <w:r w:rsidR="00DE5B26">
        <w:t xml:space="preserve"> Całościowy diagram modelu obejmujący wszystkie etapy szczegółowe wraz z ich pełnymi opisami stanowi </w:t>
      </w:r>
      <w:r w:rsidR="002E4C53">
        <w:t>Z</w:t>
      </w:r>
      <w:commentRangeStart w:id="132"/>
      <w:r w:rsidR="00DE5B26">
        <w:t>ałącznik 7</w:t>
      </w:r>
      <w:commentRangeEnd w:id="132"/>
      <w:r w:rsidR="00DE5B26">
        <w:rPr>
          <w:rStyle w:val="Odwoaniedokomentarza"/>
          <w:rFonts w:ascii="Times New Roman" w:eastAsia="Times New Roman" w:hAnsi="Times New Roman"/>
          <w:szCs w:val="20"/>
          <w:lang w:eastAsia="pl-PL"/>
        </w:rPr>
        <w:commentReference w:id="132"/>
      </w:r>
      <w:r w:rsidR="00DE5B26">
        <w:t>. Omówienie szczegółowej struktury Modelu zostanie przedstawione poniżej w częściach wraz z prezentacją szczegółowych diagramów etapów postępowania oraz pełnymi opisami tych etapów. Diagram odnoszący się do pierwszej części modelu obejmującej etapy</w:t>
      </w:r>
      <w:r w:rsidR="00292582">
        <w:t xml:space="preserve"> główne</w:t>
      </w:r>
      <w:r w:rsidR="00DE5B26">
        <w:t xml:space="preserve"> od 1 do 4 znajduj</w:t>
      </w:r>
      <w:r w:rsidR="00292582">
        <w:t>e</w:t>
      </w:r>
      <w:r w:rsidR="00DE5B26">
        <w:t xml:space="preserve"> się po</w:t>
      </w:r>
      <w:r w:rsidR="00DE5B26">
        <w:fldChar w:fldCharType="begin"/>
      </w:r>
      <w:r w:rsidR="00DE5B26">
        <w:instrText xml:space="preserve"> REF _Ref162333832 \p \h </w:instrText>
      </w:r>
      <w:r w:rsidR="00DE5B26">
        <w:fldChar w:fldCharType="separate"/>
      </w:r>
      <w:r w:rsidR="009E351C">
        <w:t>niżej</w:t>
      </w:r>
      <w:r w:rsidR="00DE5B26">
        <w:fldChar w:fldCharType="end"/>
      </w:r>
      <w:r w:rsidR="00DE5B26">
        <w:t xml:space="preserve"> (</w:t>
      </w:r>
      <w:r w:rsidR="00DE5B26">
        <w:fldChar w:fldCharType="begin"/>
      </w:r>
      <w:r w:rsidR="00DE5B26">
        <w:instrText xml:space="preserve"> REF _Ref162333839 \h </w:instrText>
      </w:r>
      <w:r w:rsidR="00DE5B26">
        <w:fldChar w:fldCharType="separate"/>
      </w:r>
      <w:r w:rsidR="009E351C">
        <w:t xml:space="preserve">Rysunek </w:t>
      </w:r>
      <w:r w:rsidR="009E351C">
        <w:rPr>
          <w:noProof/>
        </w:rPr>
        <w:t>48</w:t>
      </w:r>
      <w:r w:rsidR="00DE5B26">
        <w:fldChar w:fldCharType="end"/>
      </w:r>
      <w:r w:rsidR="00DE5B26">
        <w:t>).</w:t>
      </w:r>
      <w:r w:rsidR="00CB2ADC">
        <w:t xml:space="preserve"> </w:t>
      </w:r>
    </w:p>
    <w:p w14:paraId="671FF34E" w14:textId="77777777" w:rsidR="00B12AF3" w:rsidRDefault="00795F42" w:rsidP="00B12AF3">
      <w:pPr>
        <w:pStyle w:val="Rysunek"/>
      </w:pPr>
      <w:r>
        <w:rPr>
          <w:noProof/>
        </w:rPr>
        <w:drawing>
          <wp:inline distT="0" distB="0" distL="0" distR="0" wp14:anchorId="613CF254" wp14:editId="3A6AFA87">
            <wp:extent cx="5400000" cy="4314516"/>
            <wp:effectExtent l="0" t="0" r="0" b="0"/>
            <wp:docPr id="8992871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00" cy="4314516"/>
                    </a:xfrm>
                    <a:prstGeom prst="rect">
                      <a:avLst/>
                    </a:prstGeom>
                    <a:noFill/>
                    <a:ln>
                      <a:noFill/>
                    </a:ln>
                  </pic:spPr>
                </pic:pic>
              </a:graphicData>
            </a:graphic>
          </wp:inline>
        </w:drawing>
      </w:r>
    </w:p>
    <w:p w14:paraId="489B2D45" w14:textId="633CCA9D" w:rsidR="00CB7C1E" w:rsidRDefault="00B12AF3" w:rsidP="00B12AF3">
      <w:pPr>
        <w:pStyle w:val="Tytutabeli"/>
      </w:pPr>
      <w:bookmarkStart w:id="133" w:name="_Ref162333839"/>
      <w:bookmarkStart w:id="134" w:name="_Ref162333832"/>
      <w:r>
        <w:t xml:space="preserve">Rysunek </w:t>
      </w:r>
      <w:r>
        <w:fldChar w:fldCharType="begin"/>
      </w:r>
      <w:r>
        <w:instrText xml:space="preserve"> SEQ Rysunek \* ARABIC </w:instrText>
      </w:r>
      <w:r>
        <w:fldChar w:fldCharType="separate"/>
      </w:r>
      <w:r w:rsidR="009E351C">
        <w:rPr>
          <w:noProof/>
        </w:rPr>
        <w:t>48</w:t>
      </w:r>
      <w:r>
        <w:fldChar w:fldCharType="end"/>
      </w:r>
      <w:bookmarkEnd w:id="133"/>
      <w:r>
        <w:t xml:space="preserve"> Struktura szczegółowa elementów w zakresie punktów od 1 do 4 modelu SSDQM</w:t>
      </w:r>
      <w:bookmarkEnd w:id="134"/>
    </w:p>
    <w:p w14:paraId="52E609B9" w14:textId="77777777" w:rsidR="00B12AF3" w:rsidRDefault="00B12AF3" w:rsidP="00B12AF3">
      <w:pPr>
        <w:pStyle w:val="rdo"/>
      </w:pPr>
      <w:r>
        <w:t>Źródło: opracowanie własne</w:t>
      </w:r>
    </w:p>
    <w:p w14:paraId="07E2856F" w14:textId="25ED91EE" w:rsidR="00CB7C1E" w:rsidRDefault="006E46BB" w:rsidP="00DD50DE">
      <w:r>
        <w:lastRenderedPageBreak/>
        <w:t>Poniżej przedstawiono pełny opis elementów szczegółowych dla punktów od 1 do 4 modelu SSDQM:</w:t>
      </w:r>
    </w:p>
    <w:p w14:paraId="57690C60" w14:textId="78A53237" w:rsidR="00CB7C1E" w:rsidRPr="00CB7C1E" w:rsidRDefault="00CB7C1E" w:rsidP="006E46BB">
      <w:pPr>
        <w:spacing w:before="60" w:line="300" w:lineRule="auto"/>
        <w:ind w:firstLine="0"/>
        <w:rPr>
          <w:sz w:val="18"/>
          <w:szCs w:val="18"/>
        </w:rPr>
      </w:pPr>
      <w:r w:rsidRPr="00CB7C1E">
        <w:rPr>
          <w:sz w:val="18"/>
          <w:szCs w:val="18"/>
        </w:rPr>
        <w:t>1  Identyfikacja misji, wizji i celów uczelni ze szczególnym uwzględnieniem roli interesariuszy w systemie zarządzania jakością.</w:t>
      </w:r>
    </w:p>
    <w:p w14:paraId="740C9E08" w14:textId="2784FE48" w:rsidR="00CB7C1E" w:rsidRPr="00CB7C1E" w:rsidRDefault="00CB7C1E" w:rsidP="006E46BB">
      <w:pPr>
        <w:spacing w:before="60" w:line="300" w:lineRule="auto"/>
        <w:ind w:firstLine="0"/>
        <w:rPr>
          <w:sz w:val="18"/>
          <w:szCs w:val="18"/>
        </w:rPr>
      </w:pPr>
      <w:r w:rsidRPr="00CB7C1E">
        <w:rPr>
          <w:sz w:val="18"/>
          <w:szCs w:val="18"/>
        </w:rPr>
        <w:t xml:space="preserve">2  Identyfikacja istotnych interesariuszy (zastosowanie metod identyfikacji i analizy interesariuszy opisanych w rozdz. </w:t>
      </w:r>
      <w:r w:rsidR="000B58A9">
        <w:rPr>
          <w:color w:val="FF0000"/>
          <w:sz w:val="18"/>
          <w:szCs w:val="18"/>
        </w:rPr>
        <w:fldChar w:fldCharType="begin"/>
      </w:r>
      <w:r w:rsidR="000B58A9">
        <w:rPr>
          <w:sz w:val="18"/>
          <w:szCs w:val="18"/>
        </w:rPr>
        <w:instrText xml:space="preserve"> REF _Ref140912412 \r \h </w:instrText>
      </w:r>
      <w:r w:rsidR="000B58A9">
        <w:rPr>
          <w:color w:val="FF0000"/>
          <w:sz w:val="18"/>
          <w:szCs w:val="18"/>
        </w:rPr>
      </w:r>
      <w:r w:rsidR="000B58A9">
        <w:rPr>
          <w:color w:val="FF0000"/>
          <w:sz w:val="18"/>
          <w:szCs w:val="18"/>
        </w:rPr>
        <w:fldChar w:fldCharType="separate"/>
      </w:r>
      <w:r w:rsidR="009E351C">
        <w:rPr>
          <w:sz w:val="18"/>
          <w:szCs w:val="18"/>
        </w:rPr>
        <w:t>1.5</w:t>
      </w:r>
      <w:r w:rsidR="000B58A9">
        <w:rPr>
          <w:color w:val="FF0000"/>
          <w:sz w:val="18"/>
          <w:szCs w:val="18"/>
        </w:rPr>
        <w:fldChar w:fldCharType="end"/>
      </w:r>
      <w:r w:rsidRPr="00CB7C1E">
        <w:rPr>
          <w:sz w:val="18"/>
          <w:szCs w:val="18"/>
        </w:rPr>
        <w:t>)</w:t>
      </w:r>
    </w:p>
    <w:p w14:paraId="23178CF9" w14:textId="2C997C92" w:rsidR="00CB7C1E" w:rsidRPr="00CB7C1E" w:rsidRDefault="00CB7C1E" w:rsidP="006E46BB">
      <w:pPr>
        <w:spacing w:before="60" w:line="300" w:lineRule="auto"/>
        <w:ind w:left="360" w:firstLine="0"/>
        <w:rPr>
          <w:sz w:val="18"/>
          <w:szCs w:val="18"/>
        </w:rPr>
      </w:pPr>
      <w:r w:rsidRPr="00CB7C1E">
        <w:rPr>
          <w:sz w:val="18"/>
          <w:szCs w:val="18"/>
        </w:rPr>
        <w:t xml:space="preserve">2.1  Analiza szerokiego spektrum potencjalnych interesariuszy uczelni (m.in. wykorzystanie listy z załącznika C do ISO 21001:2018 lub wyników analiz z rozdziału </w:t>
      </w:r>
      <w:r w:rsidR="000B58A9">
        <w:rPr>
          <w:color w:val="FF0000"/>
          <w:sz w:val="18"/>
          <w:szCs w:val="18"/>
        </w:rPr>
        <w:fldChar w:fldCharType="begin"/>
      </w:r>
      <w:r w:rsidR="000B58A9">
        <w:rPr>
          <w:sz w:val="18"/>
          <w:szCs w:val="18"/>
        </w:rPr>
        <w:instrText xml:space="preserve"> REF _Ref140912412 \r \h </w:instrText>
      </w:r>
      <w:r w:rsidR="000B58A9">
        <w:rPr>
          <w:color w:val="FF0000"/>
          <w:sz w:val="18"/>
          <w:szCs w:val="18"/>
        </w:rPr>
      </w:r>
      <w:r w:rsidR="000B58A9">
        <w:rPr>
          <w:color w:val="FF0000"/>
          <w:sz w:val="18"/>
          <w:szCs w:val="18"/>
        </w:rPr>
        <w:fldChar w:fldCharType="separate"/>
      </w:r>
      <w:r w:rsidR="009E351C">
        <w:rPr>
          <w:sz w:val="18"/>
          <w:szCs w:val="18"/>
        </w:rPr>
        <w:t>1.5</w:t>
      </w:r>
      <w:r w:rsidR="000B58A9">
        <w:rPr>
          <w:color w:val="FF0000"/>
          <w:sz w:val="18"/>
          <w:szCs w:val="18"/>
        </w:rPr>
        <w:fldChar w:fldCharType="end"/>
      </w:r>
    </w:p>
    <w:p w14:paraId="5987EDDE" w14:textId="1372A4AC" w:rsidR="00CB7C1E" w:rsidRPr="00CB7C1E" w:rsidRDefault="00CB7C1E" w:rsidP="006E46BB">
      <w:pPr>
        <w:spacing w:before="60" w:line="300" w:lineRule="auto"/>
        <w:ind w:left="360" w:firstLine="0"/>
        <w:rPr>
          <w:sz w:val="18"/>
          <w:szCs w:val="18"/>
        </w:rPr>
      </w:pPr>
      <w:r w:rsidRPr="00CB7C1E">
        <w:rPr>
          <w:sz w:val="18"/>
          <w:szCs w:val="18"/>
        </w:rPr>
        <w:t>2.2  Opis cech każdej z grup w celu ich odpowiedniej klasyfikacji</w:t>
      </w:r>
    </w:p>
    <w:p w14:paraId="4EBD4D71" w14:textId="2544E82C" w:rsidR="00CB7C1E" w:rsidRPr="00CB7C1E" w:rsidRDefault="00CB7C1E" w:rsidP="006E46BB">
      <w:pPr>
        <w:spacing w:before="60" w:line="300" w:lineRule="auto"/>
        <w:ind w:left="360" w:firstLine="0"/>
        <w:rPr>
          <w:sz w:val="18"/>
          <w:szCs w:val="18"/>
        </w:rPr>
      </w:pPr>
      <w:r w:rsidRPr="00CB7C1E">
        <w:rPr>
          <w:sz w:val="18"/>
          <w:szCs w:val="18"/>
        </w:rPr>
        <w:t>2.3  Wybór najistotniejszych grup interesariuszy przy uwzględnieniu misji i celów organizacji</w:t>
      </w:r>
    </w:p>
    <w:p w14:paraId="4F50C230" w14:textId="56D3B856" w:rsidR="00CB7C1E" w:rsidRPr="00CB7C1E" w:rsidRDefault="00CB7C1E" w:rsidP="006E46BB">
      <w:pPr>
        <w:spacing w:before="60" w:line="300" w:lineRule="auto"/>
        <w:ind w:firstLine="0"/>
        <w:rPr>
          <w:sz w:val="18"/>
          <w:szCs w:val="18"/>
        </w:rPr>
      </w:pPr>
      <w:r w:rsidRPr="00CB7C1E">
        <w:rPr>
          <w:sz w:val="18"/>
          <w:szCs w:val="18"/>
        </w:rPr>
        <w:t>3  Identyfikacja istotnych obszarów doskonalenia z punktu widzenia interesariuszy — badanie jakościowe</w:t>
      </w:r>
    </w:p>
    <w:p w14:paraId="683698FB" w14:textId="411E328C" w:rsidR="00CB7C1E" w:rsidRPr="00CB7C1E" w:rsidRDefault="00CB7C1E" w:rsidP="006E46BB">
      <w:pPr>
        <w:spacing w:before="60" w:line="300" w:lineRule="auto"/>
        <w:ind w:left="360" w:firstLine="0"/>
        <w:rPr>
          <w:sz w:val="18"/>
          <w:szCs w:val="18"/>
        </w:rPr>
      </w:pPr>
      <w:r w:rsidRPr="00CB7C1E">
        <w:rPr>
          <w:sz w:val="18"/>
          <w:szCs w:val="18"/>
        </w:rPr>
        <w:t>3.1  Wybór celowy grupy respondentów do wywiadów jakościowych (z uwzględnieniem przedstawicieli władz uczelni oraz przedstawicieli wszystkich istotnych grup interesariuszy)</w:t>
      </w:r>
    </w:p>
    <w:p w14:paraId="1197C475" w14:textId="6EE0A9C8" w:rsidR="00CB7C1E" w:rsidRPr="00CB7C1E" w:rsidRDefault="00CB7C1E" w:rsidP="006E46BB">
      <w:pPr>
        <w:spacing w:before="60" w:line="300" w:lineRule="auto"/>
        <w:ind w:left="360" w:firstLine="0"/>
        <w:rPr>
          <w:sz w:val="18"/>
          <w:szCs w:val="18"/>
        </w:rPr>
      </w:pPr>
      <w:r w:rsidRPr="00CB7C1E">
        <w:rPr>
          <w:sz w:val="18"/>
          <w:szCs w:val="18"/>
        </w:rPr>
        <w:t>3.2  Opracowanie planu wywiadów umożliwiającego osiągnięcie celu badania (identyfikacja obszarów doskonalenia istotnych z punktu widzenia interesariuszy)</w:t>
      </w:r>
    </w:p>
    <w:p w14:paraId="065865DE" w14:textId="70E30C4C" w:rsidR="00CB7C1E" w:rsidRPr="00CB7C1E" w:rsidRDefault="00CB7C1E" w:rsidP="006E46BB">
      <w:pPr>
        <w:spacing w:before="60" w:line="300" w:lineRule="auto"/>
        <w:ind w:left="360" w:firstLine="0"/>
        <w:rPr>
          <w:sz w:val="18"/>
          <w:szCs w:val="18"/>
        </w:rPr>
      </w:pPr>
      <w:r w:rsidRPr="00CB7C1E">
        <w:rPr>
          <w:sz w:val="18"/>
          <w:szCs w:val="18"/>
        </w:rPr>
        <w:t>3.3  Przeprowadzenie wywiadów badania jakościowego</w:t>
      </w:r>
    </w:p>
    <w:p w14:paraId="0848B351" w14:textId="5B441C4F" w:rsidR="00CB7C1E" w:rsidRPr="00CB7C1E" w:rsidRDefault="00CB7C1E" w:rsidP="006E46BB">
      <w:pPr>
        <w:spacing w:before="60" w:line="300" w:lineRule="auto"/>
        <w:ind w:left="360" w:firstLine="0"/>
        <w:rPr>
          <w:sz w:val="18"/>
          <w:szCs w:val="18"/>
        </w:rPr>
      </w:pPr>
      <w:r w:rsidRPr="00CB7C1E">
        <w:rPr>
          <w:sz w:val="18"/>
          <w:szCs w:val="18"/>
        </w:rPr>
        <w:t>3.4  Analiza wyników wywiadu, w tym określenie potencjalnie najistotniejszych obszarów doskonalenia z punktu widzenia interesariuszy</w:t>
      </w:r>
    </w:p>
    <w:p w14:paraId="7C379C46" w14:textId="082FAC16" w:rsidR="00CB7C1E" w:rsidRPr="00CB7C1E" w:rsidRDefault="00CB7C1E" w:rsidP="006E46BB">
      <w:pPr>
        <w:spacing w:before="60" w:line="300" w:lineRule="auto"/>
        <w:ind w:firstLine="0"/>
        <w:rPr>
          <w:sz w:val="18"/>
          <w:szCs w:val="18"/>
        </w:rPr>
      </w:pPr>
      <w:r w:rsidRPr="00CB7C1E">
        <w:rPr>
          <w:sz w:val="18"/>
          <w:szCs w:val="18"/>
        </w:rPr>
        <w:t>4  Analiza zewnętrznych źródeł informacji potencjalnie skorelowanych z wynikami działań organizacji wobec interesariuszy (rankingi, ELA, inne dostępne wyniki zewnętrznych badań)</w:t>
      </w:r>
    </w:p>
    <w:p w14:paraId="46FBA52F" w14:textId="6661340E" w:rsidR="00CB2ADC" w:rsidRDefault="00CB2ADC" w:rsidP="00DD50DE">
      <w:r>
        <w:t>Powyższe pełne opisy poszczególnych etapów zostały zaprezentowane ze względu na ograniczenia wizualne formy diagramu. W przypadku niektórych etapów nazwy na diagramie są skróconą formą opisu. W takiej sytuacji część opisu nie zawarta w diagramie została przedstawiona w nawiasach, aby można było wprost rozróżnić elementy opisu, które można odczytać z diagramu od tych, które stanowią doprecyzowanie lub istotne uzupełnienie danego punktu. Natomiast bardziej szczegółowe omówienie każdego z etapów zostaną zaprezentowane poniżej każdej z prezentowanych części szczegółowego diagramu SSDQM.</w:t>
      </w:r>
    </w:p>
    <w:p w14:paraId="6AC30A25" w14:textId="2CA16710" w:rsidR="00CB7C1E" w:rsidRDefault="006E46BB" w:rsidP="00DD50DE">
      <w:r>
        <w:t xml:space="preserve">Punkty od 1 do 4 stanowią pierwszą część fazy planowania </w:t>
      </w:r>
      <w:r w:rsidR="00FD60D8">
        <w:t>(</w:t>
      </w:r>
      <w:r w:rsidR="00FD60D8" w:rsidRPr="00FD60D8">
        <w:rPr>
          <w:i/>
          <w:iCs/>
        </w:rPr>
        <w:t>Plan</w:t>
      </w:r>
      <w:r w:rsidR="00FD60D8">
        <w:t xml:space="preserve">) w cyklu </w:t>
      </w:r>
      <w:r>
        <w:t>udoskonaleń systemu zarządzania jakością.</w:t>
      </w:r>
      <w:r w:rsidR="00BE2ACB">
        <w:t xml:space="preserve"> Istotą etapów działań w tej części jest przygotowanie do weryfikacji hipotez odnośnie do najistotniejszych obszarów do poprawy przy pomocy badań statystycznych w kolejnych etapach. W tym celu należy przeprowadzić wywiady z wybranymi przedstawicielami różnych grup interesariuszy, aby rozpoznać spektrum potencjalnych problemów istotnych z ich perspektywy, a także lepiej poznać ich rozumienie potrzeb i celów odnoście do relacji jakie utrzymują z uczelnią. Jednak analizy takie nie mogą się odbywać w oderwaniu od misji i wizji uczelni, a także jej istotnych celów długo- i krótkoterminowych. Zatem pierwszym etapem jest ustanowienie kontekstu dla całego procesu doskonalenia poprzez identyfikację punktu odniesienia dla wszelkich kolejnych działań jakim jest identyfikacja strategii uczelni. Łatwo sobie bowiem wyobrazić, że </w:t>
      </w:r>
      <w:r w:rsidR="00A32FA1">
        <w:t>zupełnie inne będą cele działań doskonalących dla niewielkiej uczelni prywatnej o charakterze lokalnym skoncentrowanej na kształceniu w wąskiej dziedzinie, a zupełnie inne dla dużego uniwersytetu z aspiracjami międzynarodowymi obejmującego kształcenie i badania naukowe w wielu dziedzinach nauki.</w:t>
      </w:r>
    </w:p>
    <w:p w14:paraId="2FD2AFD4" w14:textId="27BA9A81" w:rsidR="008F7470" w:rsidRDefault="008F7470" w:rsidP="00021251">
      <w:r>
        <w:t>Etap drugi</w:t>
      </w:r>
      <w:r w:rsidR="002D3260">
        <w:t>, czyli analiza istotnych interesariuszy rozpoczyna się od wstępnej analizy szerokiego spektrum potencjalnych interesariuszy</w:t>
      </w:r>
      <w:r w:rsidR="00223189">
        <w:t xml:space="preserve"> (2.1)</w:t>
      </w:r>
      <w:r w:rsidR="002D3260">
        <w:t xml:space="preserve">. Ma to na celu zidentyfikowanie różnych potencjalnie </w:t>
      </w:r>
      <w:r w:rsidR="002D3260">
        <w:lastRenderedPageBreak/>
        <w:t xml:space="preserve">istotnych grup z punktu widzenia konkretnej uczelni po to, by uzyskać maksymalny poziom pewności, że żadna z istotnych grup nie zostanie pominięta przy kolejnych bardziej szczegółowych analizach. W tym celu warto posłużyć się różnymi listami potencjalnych interesariuszy uczelni jakie można znaleźć w literaturze przedmiotu (patrz rozdz. </w:t>
      </w:r>
      <w:r w:rsidR="002D3260">
        <w:fldChar w:fldCharType="begin"/>
      </w:r>
      <w:r w:rsidR="002D3260">
        <w:instrText xml:space="preserve"> REF _Ref162380476 \r \h </w:instrText>
      </w:r>
      <w:r w:rsidR="002D3260">
        <w:fldChar w:fldCharType="separate"/>
      </w:r>
      <w:r w:rsidR="009E351C">
        <w:t>1.5.1</w:t>
      </w:r>
      <w:r w:rsidR="002D3260">
        <w:fldChar w:fldCharType="end"/>
      </w:r>
      <w:r w:rsidR="002D3260">
        <w:t xml:space="preserve"> oraz </w:t>
      </w:r>
      <w:r w:rsidR="002D3260">
        <w:fldChar w:fldCharType="begin"/>
      </w:r>
      <w:r w:rsidR="002D3260">
        <w:instrText xml:space="preserve"> REF _Ref153916533 \h </w:instrText>
      </w:r>
      <w:r w:rsidR="002D3260">
        <w:fldChar w:fldCharType="separate"/>
      </w:r>
      <w:r w:rsidR="009E351C">
        <w:t xml:space="preserve">Tabela </w:t>
      </w:r>
      <w:r w:rsidR="009E351C">
        <w:rPr>
          <w:noProof/>
        </w:rPr>
        <w:t>50</w:t>
      </w:r>
      <w:r w:rsidR="002D3260">
        <w:fldChar w:fldCharType="end"/>
      </w:r>
      <w:r w:rsidR="002D3260">
        <w:t xml:space="preserve">) lub też w załączniku </w:t>
      </w:r>
      <w:r w:rsidR="00416D06">
        <w:t>C do normy ISO 21001:2018.</w:t>
      </w:r>
      <w:r w:rsidR="009B234C">
        <w:t xml:space="preserve"> Kolejnym krokiem postępowania jest przygotowanie opisu cech każdej z grup interesariuszy</w:t>
      </w:r>
      <w:r w:rsidR="00223189">
        <w:t xml:space="preserve"> (2.2)</w:t>
      </w:r>
      <w:r w:rsidR="009B234C">
        <w:t>, tak by można było każdą z grup zaklasyfikować wg odpowiednich typologii interesariuszy. Warto przy tych opisach wziąć pod uwagę cechy odróżniające poszczególne grupy interesariuszy w ramach kilku rodzajów klasyfikacji jakie można znaleźć w opracowaniach teoretycznych dotyczących interesariuszy (patrz rozdz.</w:t>
      </w:r>
      <w:r w:rsidR="00C7289B">
        <w:t xml:space="preserve"> </w:t>
      </w:r>
      <w:r w:rsidR="00C7289B">
        <w:fldChar w:fldCharType="begin"/>
      </w:r>
      <w:r w:rsidR="00C7289B">
        <w:instrText xml:space="preserve"> REF _Ref162381229 \r \h </w:instrText>
      </w:r>
      <w:r w:rsidR="00C7289B">
        <w:fldChar w:fldCharType="separate"/>
      </w:r>
      <w:r w:rsidR="009E351C">
        <w:t>1.5.1</w:t>
      </w:r>
      <w:r w:rsidR="00C7289B">
        <w:fldChar w:fldCharType="end"/>
      </w:r>
      <w:r w:rsidR="00C7289B">
        <w:t xml:space="preserve"> i </w:t>
      </w:r>
      <w:r w:rsidR="00C7289B">
        <w:fldChar w:fldCharType="begin"/>
      </w:r>
      <w:r w:rsidR="00C7289B">
        <w:instrText xml:space="preserve"> REF _Ref162381255 \r \h </w:instrText>
      </w:r>
      <w:r w:rsidR="00C7289B">
        <w:fldChar w:fldCharType="separate"/>
      </w:r>
      <w:r w:rsidR="009E351C">
        <w:t>1.5.2</w:t>
      </w:r>
      <w:r w:rsidR="00C7289B">
        <w:fldChar w:fldCharType="end"/>
      </w:r>
      <w:r w:rsidR="00C7289B">
        <w:t xml:space="preserve">). </w:t>
      </w:r>
      <w:r w:rsidR="00CC1ACE">
        <w:t>Następny</w:t>
      </w:r>
      <w:r w:rsidR="00C7289B">
        <w:t xml:space="preserve"> krok postępowania, czyli etap szczegółowy 2.3 dotyczy wyboru najistotniejszych grup interesariuszy z punktu widzenia uczelni. W tym celu należy ten wybór poprzedzić odpowiednimi analizami. Przykładowe, wybrane na podstawie literatury metody analizy, które mogą znaleźć zastosowanie dla uczelni zawiera </w:t>
      </w:r>
      <w:r w:rsidR="009B234C">
        <w:fldChar w:fldCharType="begin"/>
      </w:r>
      <w:r w:rsidR="009B234C">
        <w:instrText xml:space="preserve"> REF _Ref156044513 \h </w:instrText>
      </w:r>
      <w:r w:rsidR="009B234C">
        <w:fldChar w:fldCharType="separate"/>
      </w:r>
      <w:r w:rsidR="009E351C">
        <w:t xml:space="preserve">Tabela </w:t>
      </w:r>
      <w:r w:rsidR="009E351C">
        <w:rPr>
          <w:noProof/>
        </w:rPr>
        <w:t>53</w:t>
      </w:r>
      <w:r w:rsidR="009B234C">
        <w:fldChar w:fldCharType="end"/>
      </w:r>
      <w:r w:rsidR="00C7289B">
        <w:t xml:space="preserve">. </w:t>
      </w:r>
      <w:r w:rsidR="00021251">
        <w:t>Następnie warto wybór poprzeć pewną formą decyzji, która pozwoli na doprecyzowanie zakresu dalszych badań i analiz.</w:t>
      </w:r>
    </w:p>
    <w:p w14:paraId="4132230D" w14:textId="6D724F4C" w:rsidR="00CC1ACE" w:rsidRDefault="00CC1ACE" w:rsidP="00021251">
      <w:r>
        <w:t>Etap 3. dotyczy pozyskania informacji zwrotnej od interesariuszy w formie badania jakościowego. Ma to na celu identyfikację potencjalnych obszarów do poprawy, które jednocześnie są istotne dla interesariuszy. Ze względu na charakter tego rodzaju pozyskania informacji – badania opinii – w postaci wywiadów z przedstawicielami wszystkich istotnych grup jest to forma relatywnie łatwa w zastosowaniu i pozwalająca na wzbogacenie własnych analiz</w:t>
      </w:r>
      <w:r w:rsidR="007603CC">
        <w:t xml:space="preserve"> o głos interesariuszy. W związku z tym kluczowym jest by pozyskać opinie od przedstawicieli wszystkich istotnych grup wybranych na wcześniejszym etapie. </w:t>
      </w:r>
      <w:r w:rsidR="000A7BB0">
        <w:t xml:space="preserve">By to badanie dobrze przygotować najpierw należy wybrać grupę respondentów do badania. </w:t>
      </w:r>
      <w:r w:rsidR="006166D7">
        <w:t xml:space="preserve">Niezwykle istotnym jest pozyskanie również opinii od kierownictwa uczelni, zatem należy uwzględnić również tę grupę osób wśród </w:t>
      </w:r>
      <w:r w:rsidR="003A603B">
        <w:t>tych wybranych do badania.</w:t>
      </w:r>
      <w:r w:rsidR="006166D7">
        <w:t xml:space="preserve"> </w:t>
      </w:r>
      <w:r w:rsidR="000A7BB0">
        <w:t>Do osiągnięcia celu tego etapu jest wystarczające</w:t>
      </w:r>
      <w:r w:rsidR="003A603B">
        <w:t>,</w:t>
      </w:r>
      <w:r w:rsidR="000A7BB0">
        <w:t xml:space="preserve"> by posłużyć się doborem celowym, gdyż wnioski i informacje zwrotne od interesariuszy pozyskane w badaniu jakościowym mają na celu umożliwienie postawienia hipotez o</w:t>
      </w:r>
      <w:r w:rsidR="003A603B">
        <w:t> </w:t>
      </w:r>
      <w:r w:rsidR="000A7BB0">
        <w:t>najistotniejszych obszarach do poprawy. Hipotezy te będą weryfikowane przy pomocy bad</w:t>
      </w:r>
      <w:r w:rsidR="006166D7">
        <w:t xml:space="preserve">ania ilościowego stanowiącego jeden z następnych etapów postępowania. Po dokonaniu wyboru respondentów w ramach etapu szczegółowego 3.1, w ramach kolejnego kroku (3.2) należy opracować plan (scenariusz) badania jakościowego, który pomoże pozyskać informacje od interesariuszy na temat ich opinii o istotnych obszarach działań uczelni </w:t>
      </w:r>
      <w:r w:rsidR="003A603B">
        <w:t>wymagających</w:t>
      </w:r>
      <w:r w:rsidR="006166D7">
        <w:t xml:space="preserve"> poprawy.</w:t>
      </w:r>
      <w:r w:rsidR="00227EF6">
        <w:t xml:space="preserve"> Scenariusz taki może mieć dość prostą formę listy pytań, ale też może zawierać bardziej szczegółowe opracowanie dotyczące planu działań podejmowanych prze</w:t>
      </w:r>
      <w:r w:rsidR="00223189">
        <w:t>z</w:t>
      </w:r>
      <w:r w:rsidR="00227EF6">
        <w:t xml:space="preserve"> ankietera w trakcie badania.</w:t>
      </w:r>
      <w:r w:rsidR="00223189">
        <w:t xml:space="preserve"> Następnie należy przeprowadzić badanie (3.3) zgodnie z opracowanym scenariuszem. Po zakończeniu przeprowadzania wywiadów należy opracować pozyskane </w:t>
      </w:r>
      <w:r w:rsidR="006B53D1">
        <w:t>w ich trakcie informacje, a także je przeanalizować (3.4), w celu identyfikacji potencjalnych obszarów do poprawy wynikających z opinii respondentów.</w:t>
      </w:r>
    </w:p>
    <w:p w14:paraId="1629011F" w14:textId="76E64235" w:rsidR="00A96CDE" w:rsidRDefault="00A96CDE" w:rsidP="00021251">
      <w:r>
        <w:t xml:space="preserve">Po zakończeniu badania jakościowego i określeniu obszarów do doskonalenia zgodnych z opiniami respondentów warto wzbogacić obszar poszukiwań o analizy różnych dostępnych źródeł zewnętrznych. Zatem w ramach 4. etapu głównego w zależności od rodzaju uczelni różne </w:t>
      </w:r>
      <w:r w:rsidR="00137BD6">
        <w:t>źródła informacji pozyskiwanych przez zewnętrzne instytucje mogą być dostępne do analizy. Dla polskich uczelni są dostępne rankingi takie jak np. ranking magazynu Perspektywy pozwalający na prześle</w:t>
      </w:r>
      <w:r w:rsidR="00137BD6">
        <w:lastRenderedPageBreak/>
        <w:t xml:space="preserve">dzenie ocen w zakresie wielu składowych oceny na przestrzeni wielu lat, czy ranking </w:t>
      </w:r>
      <w:proofErr w:type="spellStart"/>
      <w:r w:rsidR="00137BD6">
        <w:t>Webometrics</w:t>
      </w:r>
      <w:proofErr w:type="spellEnd"/>
      <w:r w:rsidR="00137BD6">
        <w:t xml:space="preserve"> również uwzględniający większość polskich uczelni. Poza rankingami mogą też istnieć inne istotne z punktu widzenia uczelni źródła informacji pozwalające na </w:t>
      </w:r>
      <w:r w:rsidR="00D910B3">
        <w:t>identyfikację istotnych obszarów do doskonalenia. Analizy z tego etapu powinny zostać zwieńczone podsumowaniem lub raportem, który będzie stanowił uzupełnienie do hipotez dotyczących obszarów do poprawy wynikających z analiz na wcześniejszym etapie. Te dwa zestawy wniosków przeprowadzonych dotychczas badań wyznaczą cele dla weryfikacji statystycznej pozwalającej na określenie tego, które ze zidentyfikowanych obszarów są rzeczywiście istotne dla interesariuszy.</w:t>
      </w:r>
    </w:p>
    <w:p w14:paraId="6486F684" w14:textId="2169B2F7" w:rsidR="005066FA" w:rsidRDefault="00292582" w:rsidP="00DD50DE">
      <w:r>
        <w:t>Diagram przedstawiający drugą części modelu obejmującą etapy główne 5 i 6 został zaprezentowany po</w:t>
      </w:r>
      <w:r>
        <w:fldChar w:fldCharType="begin"/>
      </w:r>
      <w:r>
        <w:instrText xml:space="preserve"> REF _Ref162379019 \p \h </w:instrText>
      </w:r>
      <w:r>
        <w:fldChar w:fldCharType="separate"/>
      </w:r>
      <w:r w:rsidR="009E351C">
        <w:t>niżej</w:t>
      </w:r>
      <w:r>
        <w:fldChar w:fldCharType="end"/>
      </w:r>
      <w:r>
        <w:t xml:space="preserve"> (</w:t>
      </w:r>
      <w:r>
        <w:fldChar w:fldCharType="begin"/>
      </w:r>
      <w:r>
        <w:instrText xml:space="preserve"> REF _Ref162379027 \h </w:instrText>
      </w:r>
      <w:r>
        <w:fldChar w:fldCharType="separate"/>
      </w:r>
      <w:r w:rsidR="009E351C">
        <w:t xml:space="preserve">Rysunek </w:t>
      </w:r>
      <w:r w:rsidR="009E351C">
        <w:rPr>
          <w:noProof/>
        </w:rPr>
        <w:t>49</w:t>
      </w:r>
      <w:r>
        <w:fldChar w:fldCharType="end"/>
      </w:r>
      <w:r>
        <w:t xml:space="preserve">) wraz z pełnymi nazwami każdego z etapów </w:t>
      </w:r>
      <w:r w:rsidR="008F7470">
        <w:t xml:space="preserve">szczegółowych </w:t>
      </w:r>
      <w:r>
        <w:t>poniżej diagramu.</w:t>
      </w:r>
    </w:p>
    <w:p w14:paraId="77990DA4" w14:textId="77777777" w:rsidR="00B12AF3" w:rsidRDefault="00795F42" w:rsidP="00B12AF3">
      <w:pPr>
        <w:pStyle w:val="Rysunek"/>
      </w:pPr>
      <w:r>
        <w:rPr>
          <w:noProof/>
        </w:rPr>
        <w:drawing>
          <wp:inline distT="0" distB="0" distL="0" distR="0" wp14:anchorId="0FA17BC7" wp14:editId="3386189C">
            <wp:extent cx="5400000" cy="4052831"/>
            <wp:effectExtent l="0" t="0" r="0" b="0"/>
            <wp:docPr id="176239030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00" cy="4052831"/>
                    </a:xfrm>
                    <a:prstGeom prst="rect">
                      <a:avLst/>
                    </a:prstGeom>
                    <a:noFill/>
                    <a:ln>
                      <a:noFill/>
                    </a:ln>
                  </pic:spPr>
                </pic:pic>
              </a:graphicData>
            </a:graphic>
          </wp:inline>
        </w:drawing>
      </w:r>
    </w:p>
    <w:p w14:paraId="6FF9993D" w14:textId="3AE390D9" w:rsidR="00CB7C1E" w:rsidRDefault="00B12AF3" w:rsidP="00B12AF3">
      <w:pPr>
        <w:pStyle w:val="Tytutabeli"/>
      </w:pPr>
      <w:bookmarkStart w:id="135" w:name="_Ref162379027"/>
      <w:bookmarkStart w:id="136" w:name="_Ref162379019"/>
      <w:r>
        <w:t xml:space="preserve">Rysunek </w:t>
      </w:r>
      <w:r>
        <w:fldChar w:fldCharType="begin"/>
      </w:r>
      <w:r>
        <w:instrText xml:space="preserve"> SEQ Rysunek \* ARABIC </w:instrText>
      </w:r>
      <w:r>
        <w:fldChar w:fldCharType="separate"/>
      </w:r>
      <w:r w:rsidR="009E351C">
        <w:rPr>
          <w:noProof/>
        </w:rPr>
        <w:t>49</w:t>
      </w:r>
      <w:r>
        <w:fldChar w:fldCharType="end"/>
      </w:r>
      <w:bookmarkEnd w:id="135"/>
      <w:r>
        <w:t xml:space="preserve"> Struktura szczegółowa elementów w zakresie punktów od 5 do 6 modelu SSDQM</w:t>
      </w:r>
      <w:bookmarkEnd w:id="136"/>
    </w:p>
    <w:p w14:paraId="2018AD68" w14:textId="77777777" w:rsidR="00B12AF3" w:rsidRDefault="00B12AF3" w:rsidP="00B12AF3">
      <w:pPr>
        <w:pStyle w:val="rdo"/>
      </w:pPr>
      <w:r>
        <w:t>Źródło: opracowanie własne</w:t>
      </w:r>
    </w:p>
    <w:p w14:paraId="40EF6A0F" w14:textId="77777777" w:rsidR="006E46BB" w:rsidRDefault="006E46BB" w:rsidP="006E46BB">
      <w:r>
        <w:t>Poniżej przedstawiono pełny opis elementów szczegółowych dla punktów 5 i 6 modelu SSDQM:</w:t>
      </w:r>
    </w:p>
    <w:p w14:paraId="006C860D" w14:textId="4451EF55" w:rsidR="00CB7C1E" w:rsidRPr="00CB7C1E" w:rsidRDefault="00CB7C1E" w:rsidP="006E46BB">
      <w:pPr>
        <w:spacing w:before="60" w:line="300" w:lineRule="auto"/>
        <w:ind w:firstLine="0"/>
        <w:rPr>
          <w:sz w:val="18"/>
          <w:szCs w:val="18"/>
        </w:rPr>
      </w:pPr>
      <w:r w:rsidRPr="00CB7C1E">
        <w:rPr>
          <w:sz w:val="18"/>
          <w:szCs w:val="18"/>
        </w:rPr>
        <w:t>5 Statystyczna weryfikacja poziomu satysfakcji interesariuszy oraz istotności innych wniosków z badania jakościowego</w:t>
      </w:r>
    </w:p>
    <w:p w14:paraId="5E5F6222" w14:textId="1F64A66A" w:rsidR="00CB7C1E" w:rsidRPr="00CB7C1E" w:rsidRDefault="00CB7C1E" w:rsidP="006E46BB">
      <w:pPr>
        <w:spacing w:before="60" w:line="300" w:lineRule="auto"/>
        <w:ind w:left="360" w:firstLine="0"/>
        <w:rPr>
          <w:sz w:val="18"/>
          <w:szCs w:val="18"/>
        </w:rPr>
      </w:pPr>
      <w:r w:rsidRPr="00CB7C1E">
        <w:rPr>
          <w:sz w:val="18"/>
          <w:szCs w:val="18"/>
        </w:rPr>
        <w:t>5.1  Opracowanie narzędzia badawczego</w:t>
      </w:r>
    </w:p>
    <w:p w14:paraId="0C44A226" w14:textId="2A81D26C" w:rsidR="00CB7C1E" w:rsidRPr="00CB7C1E" w:rsidRDefault="00CB7C1E" w:rsidP="006E46BB">
      <w:pPr>
        <w:spacing w:before="60" w:line="300" w:lineRule="auto"/>
        <w:ind w:left="720" w:firstLine="0"/>
        <w:rPr>
          <w:sz w:val="18"/>
          <w:szCs w:val="18"/>
        </w:rPr>
      </w:pPr>
      <w:r w:rsidRPr="00CB7C1E">
        <w:rPr>
          <w:sz w:val="18"/>
          <w:szCs w:val="18"/>
        </w:rPr>
        <w:t>5.1.1  Wybór szczegółowych pytań pomiaru SSI (np. doprecyzowanie zakresów czasowych – sugerowane mierzenie satysfakcji absolwentów zaraz po ukończeniu studiów oraz co najmniej w 3 lata po ukończeniu studiów)</w:t>
      </w:r>
    </w:p>
    <w:p w14:paraId="400D4B0B" w14:textId="42EE7B1E" w:rsidR="00CB7C1E" w:rsidRPr="00CB7C1E" w:rsidRDefault="00CB7C1E" w:rsidP="006E46BB">
      <w:pPr>
        <w:spacing w:before="60" w:line="300" w:lineRule="auto"/>
        <w:ind w:left="720" w:firstLine="0"/>
        <w:rPr>
          <w:sz w:val="18"/>
          <w:szCs w:val="18"/>
        </w:rPr>
      </w:pPr>
      <w:r w:rsidRPr="00CB7C1E">
        <w:rPr>
          <w:sz w:val="18"/>
          <w:szCs w:val="18"/>
        </w:rPr>
        <w:lastRenderedPageBreak/>
        <w:t xml:space="preserve">5.1.2  Opracowanie pytań dodatkowych </w:t>
      </w:r>
      <w:r w:rsidR="00EF354C">
        <w:rPr>
          <w:sz w:val="18"/>
          <w:szCs w:val="18"/>
        </w:rPr>
        <w:t>(</w:t>
      </w:r>
      <w:r w:rsidRPr="00CB7C1E">
        <w:rPr>
          <w:sz w:val="18"/>
          <w:szCs w:val="18"/>
        </w:rPr>
        <w:t>pozwalających pozyskać odpowiedzi na istotne pytania wynikające z badania jakościowego</w:t>
      </w:r>
      <w:r w:rsidR="00EF354C">
        <w:rPr>
          <w:sz w:val="18"/>
          <w:szCs w:val="18"/>
        </w:rPr>
        <w:t>)</w:t>
      </w:r>
    </w:p>
    <w:p w14:paraId="5904CA86" w14:textId="140D764B" w:rsidR="00CB7C1E" w:rsidRPr="00CB7C1E" w:rsidRDefault="00CB7C1E" w:rsidP="006E46BB">
      <w:pPr>
        <w:spacing w:before="60" w:line="300" w:lineRule="auto"/>
        <w:ind w:left="360" w:firstLine="0"/>
        <w:rPr>
          <w:sz w:val="18"/>
          <w:szCs w:val="18"/>
        </w:rPr>
      </w:pPr>
      <w:r w:rsidRPr="00CB7C1E">
        <w:rPr>
          <w:sz w:val="18"/>
          <w:szCs w:val="18"/>
        </w:rPr>
        <w:t>5.2  Wybór metody doboru grupy badawczej (pozwalającej na uzyskanie wiarygodnych i statystycznie istotnych odpowiedzi)</w:t>
      </w:r>
    </w:p>
    <w:p w14:paraId="27DA553E" w14:textId="6B9F05D6" w:rsidR="00CB7C1E" w:rsidRPr="00CB7C1E" w:rsidRDefault="00CB7C1E" w:rsidP="006E46BB">
      <w:pPr>
        <w:spacing w:before="60" w:line="300" w:lineRule="auto"/>
        <w:ind w:left="360" w:firstLine="0"/>
        <w:rPr>
          <w:sz w:val="18"/>
          <w:szCs w:val="18"/>
        </w:rPr>
      </w:pPr>
      <w:r w:rsidRPr="00CB7C1E">
        <w:rPr>
          <w:sz w:val="18"/>
          <w:szCs w:val="18"/>
        </w:rPr>
        <w:t>5.3  Weryfikacja narzędzia pomiarowego poprzez przeprowadzenie badania pilotażowego</w:t>
      </w:r>
    </w:p>
    <w:p w14:paraId="7E04E7D6" w14:textId="2537F746" w:rsidR="00CB7C1E" w:rsidRPr="00CB7C1E" w:rsidRDefault="00CB7C1E" w:rsidP="006E46BB">
      <w:pPr>
        <w:spacing w:before="60" w:line="300" w:lineRule="auto"/>
        <w:ind w:left="360" w:firstLine="0"/>
        <w:rPr>
          <w:sz w:val="18"/>
          <w:szCs w:val="18"/>
        </w:rPr>
      </w:pPr>
      <w:r w:rsidRPr="00CB7C1E">
        <w:rPr>
          <w:sz w:val="18"/>
          <w:szCs w:val="18"/>
        </w:rPr>
        <w:t>5.4  Wprowadzenie ewentualnych korekt do narzędzia pomiarowego</w:t>
      </w:r>
    </w:p>
    <w:p w14:paraId="1D3F056A" w14:textId="478533C9" w:rsidR="00CB7C1E" w:rsidRPr="00CB7C1E" w:rsidRDefault="00CB7C1E" w:rsidP="006E46BB">
      <w:pPr>
        <w:spacing w:before="60" w:line="300" w:lineRule="auto"/>
        <w:ind w:left="360" w:firstLine="0"/>
        <w:rPr>
          <w:sz w:val="18"/>
          <w:szCs w:val="18"/>
        </w:rPr>
      </w:pPr>
      <w:r w:rsidRPr="00CB7C1E">
        <w:rPr>
          <w:sz w:val="18"/>
          <w:szCs w:val="18"/>
        </w:rPr>
        <w:t>5.5  Przeprowadzenie badania właściwego</w:t>
      </w:r>
    </w:p>
    <w:p w14:paraId="15BF72FA" w14:textId="40D77E58" w:rsidR="00CB7C1E" w:rsidRPr="00CB7C1E" w:rsidRDefault="00CB7C1E" w:rsidP="006E46BB">
      <w:pPr>
        <w:spacing w:before="60" w:line="300" w:lineRule="auto"/>
        <w:ind w:left="360" w:firstLine="0"/>
        <w:rPr>
          <w:sz w:val="18"/>
          <w:szCs w:val="18"/>
        </w:rPr>
      </w:pPr>
      <w:r w:rsidRPr="00CB7C1E">
        <w:rPr>
          <w:sz w:val="18"/>
          <w:szCs w:val="18"/>
        </w:rPr>
        <w:t>5.6  Analiza wyników badania</w:t>
      </w:r>
    </w:p>
    <w:p w14:paraId="6CAA8E86" w14:textId="75468E94" w:rsidR="00CB7C1E" w:rsidRPr="00CB7C1E" w:rsidRDefault="00CB7C1E" w:rsidP="006E46BB">
      <w:pPr>
        <w:spacing w:before="60" w:line="300" w:lineRule="auto"/>
        <w:ind w:left="720" w:firstLine="0"/>
        <w:rPr>
          <w:sz w:val="18"/>
          <w:szCs w:val="18"/>
        </w:rPr>
      </w:pPr>
      <w:r w:rsidRPr="00CB7C1E">
        <w:rPr>
          <w:sz w:val="18"/>
          <w:szCs w:val="18"/>
        </w:rPr>
        <w:t>5.6.1  Weryfikacja reprezentatywności grupy badawczej</w:t>
      </w:r>
    </w:p>
    <w:p w14:paraId="662AA33D" w14:textId="215C5CCB" w:rsidR="00CB7C1E" w:rsidRPr="00CB7C1E" w:rsidRDefault="00CB7C1E" w:rsidP="006E46BB">
      <w:pPr>
        <w:spacing w:before="60" w:line="300" w:lineRule="auto"/>
        <w:ind w:left="720" w:firstLine="0"/>
        <w:rPr>
          <w:sz w:val="18"/>
          <w:szCs w:val="18"/>
        </w:rPr>
      </w:pPr>
      <w:r w:rsidRPr="00CB7C1E">
        <w:rPr>
          <w:sz w:val="18"/>
          <w:szCs w:val="18"/>
        </w:rPr>
        <w:t>5.6.2  Weryfikacji statystycznej istotności uzyskanych wyników</w:t>
      </w:r>
    </w:p>
    <w:p w14:paraId="0CC53F0B" w14:textId="31509C27" w:rsidR="00CB7C1E" w:rsidRPr="00CB7C1E" w:rsidRDefault="00CB7C1E" w:rsidP="006E46BB">
      <w:pPr>
        <w:spacing w:before="60" w:line="300" w:lineRule="auto"/>
        <w:ind w:left="720" w:firstLine="0"/>
        <w:rPr>
          <w:sz w:val="18"/>
          <w:szCs w:val="18"/>
        </w:rPr>
      </w:pPr>
      <w:r w:rsidRPr="00CB7C1E">
        <w:rPr>
          <w:sz w:val="18"/>
          <w:szCs w:val="18"/>
        </w:rPr>
        <w:t xml:space="preserve">5.6.3  Obliczenie miar istotnych wskaźników, w tym SSI (różnych jego wersji oraz innych istotnych wskaźników z punktu widzenia celu badania: np. IWRA, </w:t>
      </w:r>
      <w:r w:rsidR="00FA3EFF">
        <w:rPr>
          <w:sz w:val="18"/>
          <w:szCs w:val="18"/>
        </w:rPr>
        <w:t xml:space="preserve">itp.) </w:t>
      </w:r>
    </w:p>
    <w:p w14:paraId="06104159" w14:textId="65A433E0" w:rsidR="00CB7C1E" w:rsidRPr="00CB7C1E" w:rsidRDefault="00CB7C1E" w:rsidP="006E46BB">
      <w:pPr>
        <w:spacing w:before="60" w:line="300" w:lineRule="auto"/>
        <w:ind w:left="720" w:firstLine="0"/>
        <w:rPr>
          <w:sz w:val="18"/>
          <w:szCs w:val="18"/>
        </w:rPr>
      </w:pPr>
      <w:r w:rsidRPr="00CB7C1E">
        <w:rPr>
          <w:sz w:val="18"/>
          <w:szCs w:val="18"/>
        </w:rPr>
        <w:t xml:space="preserve">5.6.4  Analiza relacji wartości miar obliczonych na podstawie wyników badania z innymi miarami </w:t>
      </w:r>
      <w:r w:rsidR="00FA3EFF">
        <w:rPr>
          <w:sz w:val="18"/>
          <w:szCs w:val="18"/>
        </w:rPr>
        <w:t>(</w:t>
      </w:r>
      <w:r w:rsidRPr="00CB7C1E">
        <w:rPr>
          <w:sz w:val="18"/>
          <w:szCs w:val="18"/>
        </w:rPr>
        <w:t>odnoszącymi się do wyników organizacji</w:t>
      </w:r>
      <w:r w:rsidR="00FA3EFF">
        <w:rPr>
          <w:sz w:val="18"/>
          <w:szCs w:val="18"/>
        </w:rPr>
        <w:t xml:space="preserve">, np. </w:t>
      </w:r>
      <w:r w:rsidR="00FA3EFF" w:rsidRPr="00CB7C1E">
        <w:rPr>
          <w:sz w:val="18"/>
          <w:szCs w:val="18"/>
        </w:rPr>
        <w:t>wskaźniki opracowane na podstawie rankingów, wskaźniki oceny prestiżu, itp.)</w:t>
      </w:r>
    </w:p>
    <w:p w14:paraId="38A79739" w14:textId="50AFE1F4" w:rsidR="00CB7C1E" w:rsidRPr="00CB7C1E" w:rsidRDefault="00CB7C1E" w:rsidP="006E46BB">
      <w:pPr>
        <w:spacing w:before="60" w:line="300" w:lineRule="auto"/>
        <w:ind w:left="360" w:firstLine="0"/>
        <w:rPr>
          <w:sz w:val="18"/>
          <w:szCs w:val="18"/>
        </w:rPr>
      </w:pPr>
      <w:r w:rsidRPr="00CB7C1E">
        <w:rPr>
          <w:sz w:val="18"/>
          <w:szCs w:val="18"/>
        </w:rPr>
        <w:t>5.7  Opracowanie raportu z badania</w:t>
      </w:r>
    </w:p>
    <w:p w14:paraId="10613FC6" w14:textId="6FB7E5D9" w:rsidR="00CB7C1E" w:rsidRPr="00CB7C1E" w:rsidRDefault="00CB7C1E" w:rsidP="006E46BB">
      <w:pPr>
        <w:spacing w:before="60" w:line="300" w:lineRule="auto"/>
        <w:ind w:firstLine="0"/>
        <w:rPr>
          <w:sz w:val="18"/>
          <w:szCs w:val="18"/>
        </w:rPr>
      </w:pPr>
      <w:r w:rsidRPr="00CB7C1E">
        <w:rPr>
          <w:sz w:val="18"/>
          <w:szCs w:val="18"/>
        </w:rPr>
        <w:t>6  Wybór obszarów do doskonalenia</w:t>
      </w:r>
    </w:p>
    <w:p w14:paraId="7DD84F24" w14:textId="5113505E" w:rsidR="00CB7C1E" w:rsidRPr="00CB7C1E" w:rsidRDefault="00CB7C1E" w:rsidP="006E46BB">
      <w:pPr>
        <w:spacing w:before="60" w:line="300" w:lineRule="auto"/>
        <w:ind w:left="360" w:firstLine="0"/>
        <w:rPr>
          <w:sz w:val="18"/>
          <w:szCs w:val="18"/>
        </w:rPr>
      </w:pPr>
      <w:r w:rsidRPr="00CB7C1E">
        <w:rPr>
          <w:sz w:val="18"/>
          <w:szCs w:val="18"/>
        </w:rPr>
        <w:t xml:space="preserve">6.1  Analiza przyczyn wyzwań w obszarach potwierdzonych przez badanie jako istotne do poprawy (zastosowanie metod analitycznych takich jak np. 5xWHY wraz z tzw. diagramem </w:t>
      </w:r>
      <w:proofErr w:type="spellStart"/>
      <w:r w:rsidRPr="00CB7C1E">
        <w:rPr>
          <w:sz w:val="18"/>
          <w:szCs w:val="18"/>
        </w:rPr>
        <w:t>Ishikawy</w:t>
      </w:r>
      <w:proofErr w:type="spellEnd"/>
      <w:r w:rsidRPr="00CB7C1E">
        <w:rPr>
          <w:sz w:val="18"/>
          <w:szCs w:val="18"/>
        </w:rPr>
        <w:t>, i in.)</w:t>
      </w:r>
    </w:p>
    <w:p w14:paraId="0165E39E" w14:textId="2EC10EBB" w:rsidR="00CB7C1E" w:rsidRPr="00CB7C1E" w:rsidRDefault="00CB7C1E" w:rsidP="006E46BB">
      <w:pPr>
        <w:spacing w:before="60" w:line="300" w:lineRule="auto"/>
        <w:ind w:left="360" w:firstLine="0"/>
        <w:rPr>
          <w:sz w:val="18"/>
          <w:szCs w:val="18"/>
        </w:rPr>
      </w:pPr>
      <w:r w:rsidRPr="00CB7C1E">
        <w:rPr>
          <w:sz w:val="18"/>
          <w:szCs w:val="18"/>
        </w:rPr>
        <w:t>6.2  Analiza potencjału poprawy (w odniesieniu do poszczególnych przyczyn istniejących wyzwań, z uwzględnieniem trudności lub kosztów osiągnięcia celów poprawy, w kontekście celów i wartości organizacji)</w:t>
      </w:r>
    </w:p>
    <w:p w14:paraId="2283F00C" w14:textId="65B376F6" w:rsidR="00CB7C1E" w:rsidRPr="00CB7C1E" w:rsidRDefault="00CB7C1E" w:rsidP="006E46BB">
      <w:pPr>
        <w:spacing w:before="60" w:line="300" w:lineRule="auto"/>
        <w:ind w:left="360" w:firstLine="0"/>
        <w:rPr>
          <w:sz w:val="18"/>
          <w:szCs w:val="18"/>
        </w:rPr>
      </w:pPr>
      <w:r w:rsidRPr="00CB7C1E">
        <w:rPr>
          <w:sz w:val="18"/>
          <w:szCs w:val="18"/>
        </w:rPr>
        <w:t xml:space="preserve">6.3  Wybór szczegółowych obszarów do poprawy (zastosowanie metod analitycznych takich na np. tzw. diagram </w:t>
      </w:r>
      <w:proofErr w:type="spellStart"/>
      <w:r w:rsidRPr="00CB7C1E">
        <w:rPr>
          <w:sz w:val="18"/>
          <w:szCs w:val="18"/>
        </w:rPr>
        <w:t>Pareto</w:t>
      </w:r>
      <w:proofErr w:type="spellEnd"/>
      <w:r w:rsidRPr="00CB7C1E">
        <w:rPr>
          <w:sz w:val="18"/>
          <w:szCs w:val="18"/>
        </w:rPr>
        <w:t>-Lorentza, i in.)</w:t>
      </w:r>
    </w:p>
    <w:p w14:paraId="415AD0BC" w14:textId="7A749F1B" w:rsidR="006E46BB" w:rsidRDefault="006E46BB" w:rsidP="006E46BB">
      <w:r>
        <w:t>Punkty 5 i 6 stanowią drugą część fazy planowania</w:t>
      </w:r>
      <w:r w:rsidR="00FD60D8">
        <w:t xml:space="preserve"> (</w:t>
      </w:r>
      <w:r w:rsidR="00FD60D8" w:rsidRPr="00FD60D8">
        <w:rPr>
          <w:i/>
          <w:iCs/>
        </w:rPr>
        <w:t>Plan</w:t>
      </w:r>
      <w:r w:rsidR="00FD60D8">
        <w:t>)</w:t>
      </w:r>
      <w:r>
        <w:t xml:space="preserve"> </w:t>
      </w:r>
      <w:r w:rsidR="00FD60D8">
        <w:t xml:space="preserve">w cyklu </w:t>
      </w:r>
      <w:r>
        <w:t>udoskonaleń systemu zarządzania jakością.</w:t>
      </w:r>
      <w:r w:rsidR="0096766B">
        <w:t xml:space="preserve"> Są one kluczową częścią planowania gdyż obejmują weryfikację (potwierdzenie) zakresu istotnych obszarów do poprawy przy pomocy metod statystycznych oraz ustalenie przyczyn źródłowych dla zidentyfikowanych problemów i wybór tych, obszarów doskonalenia, które pozwolą osiągnąć poprawę w sposób najbardziej efektywny (czas, nakłady, skala poprawy).</w:t>
      </w:r>
      <w:r w:rsidR="00810B18">
        <w:t xml:space="preserve"> W ramach punktu głównego 5 należy zacząć od opracowania narzędzia badawczego (5.1) przy czym rekomendowane jest najpierw wybranie pytań dotyczących pomiaru satysfakcji interesariuszy</w:t>
      </w:r>
      <w:r w:rsidR="0040473C">
        <w:t xml:space="preserve"> (5.1.1)</w:t>
      </w:r>
      <w:r w:rsidR="00810B18">
        <w:t>. W ramach tych pytań należy ustalić jakich zakresów czasowych mają dotyczyć pytania, czy i jakie kryteria kwalifikacji respondentów stosować oraz jakiej skali odpowiedzi użyć. Na podstawie analiz przedstawionych w</w:t>
      </w:r>
      <w:r w:rsidR="0077784F">
        <w:t> </w:t>
      </w:r>
      <w:r w:rsidR="00810B18">
        <w:t xml:space="preserve">rozdziałach </w:t>
      </w:r>
      <w:r w:rsidR="00810B18">
        <w:fldChar w:fldCharType="begin"/>
      </w:r>
      <w:r w:rsidR="00810B18">
        <w:instrText xml:space="preserve"> REF _Ref137910300 \r \h </w:instrText>
      </w:r>
      <w:r w:rsidR="00810B18">
        <w:fldChar w:fldCharType="separate"/>
      </w:r>
      <w:r w:rsidR="009E351C">
        <w:t>2.3.1</w:t>
      </w:r>
      <w:r w:rsidR="00810B18">
        <w:fldChar w:fldCharType="end"/>
      </w:r>
      <w:r w:rsidR="00810B18">
        <w:t xml:space="preserve"> i </w:t>
      </w:r>
      <w:r w:rsidR="00810B18">
        <w:fldChar w:fldCharType="begin"/>
      </w:r>
      <w:r w:rsidR="00810B18">
        <w:instrText xml:space="preserve"> REF _Ref162436354 \r \h </w:instrText>
      </w:r>
      <w:r w:rsidR="00810B18">
        <w:fldChar w:fldCharType="separate"/>
      </w:r>
      <w:r w:rsidR="009E351C">
        <w:t>2.3.2</w:t>
      </w:r>
      <w:r w:rsidR="00810B18">
        <w:fldChar w:fldCharType="end"/>
      </w:r>
      <w:r w:rsidR="0077784F">
        <w:t xml:space="preserve"> </w:t>
      </w:r>
      <w:r w:rsidR="00810B18">
        <w:t xml:space="preserve">można </w:t>
      </w:r>
      <w:r w:rsidR="0077784F">
        <w:t xml:space="preserve">stwierdzić, że w przypadku grupy absolwentów informacje zwrotne dotyczące satysfakcji od osób po trzech latach od ukończenia studiów będą lepiej skorelowane z innymi miarami wyników uczelni. Podobnie dla innych grup interesariuszy można wybrać szczegółowe kryteria kwalifikacji lub rozróżnienia respondentów, a co za tym idzie umożliwienia określenia różnych wersji wskaźnika satysfakcji interesariuszy. W przypadku wyboru </w:t>
      </w:r>
      <w:proofErr w:type="spellStart"/>
      <w:r w:rsidR="0077784F">
        <w:t>skal</w:t>
      </w:r>
      <w:proofErr w:type="spellEnd"/>
      <w:r w:rsidR="0077784F">
        <w:t xml:space="preserve"> pomiarowych można skorzystać ze </w:t>
      </w:r>
      <w:proofErr w:type="spellStart"/>
      <w:r w:rsidR="0077784F">
        <w:t>skal</w:t>
      </w:r>
      <w:proofErr w:type="spellEnd"/>
      <w:r w:rsidR="0077784F">
        <w:t xml:space="preserve"> </w:t>
      </w:r>
      <w:proofErr w:type="spellStart"/>
      <w:r w:rsidR="0077784F">
        <w:t>Likerta</w:t>
      </w:r>
      <w:proofErr w:type="spellEnd"/>
      <w:r w:rsidR="0077784F">
        <w:t xml:space="preserve"> pięcio- lub siedmiostopniowej w przypadku do preferencji dla </w:t>
      </w:r>
      <w:proofErr w:type="spellStart"/>
      <w:r w:rsidR="0077784F">
        <w:t>skal</w:t>
      </w:r>
      <w:proofErr w:type="spellEnd"/>
      <w:r w:rsidR="0077784F">
        <w:t xml:space="preserve"> niewymuszających (zawierających wartość neutralną odpowiedzi). Natomiast w przypadku preferencji dla </w:t>
      </w:r>
      <w:proofErr w:type="spellStart"/>
      <w:r w:rsidR="0077784F">
        <w:t>skal</w:t>
      </w:r>
      <w:proofErr w:type="spellEnd"/>
      <w:r w:rsidR="0077784F">
        <w:t xml:space="preserve"> wymuszających można skorzystać ze skali dziesięciostopniowej poprzez podobieństwo do metodologii wyliczania wskaźnika NPS (patrz rozdz. </w:t>
      </w:r>
      <w:r w:rsidR="0077784F">
        <w:fldChar w:fldCharType="begin"/>
      </w:r>
      <w:r w:rsidR="0077784F">
        <w:instrText xml:space="preserve"> REF _Ref137319715 \r \h </w:instrText>
      </w:r>
      <w:r w:rsidR="0077784F">
        <w:fldChar w:fldCharType="separate"/>
      </w:r>
      <w:r w:rsidR="009E351C">
        <w:t>1.3.2</w:t>
      </w:r>
      <w:r w:rsidR="0077784F">
        <w:fldChar w:fldCharType="end"/>
      </w:r>
      <w:r w:rsidR="0077784F">
        <w:t>).</w:t>
      </w:r>
      <w:r w:rsidR="0040473C">
        <w:t xml:space="preserve"> Kolejnym krokiem (5.1.2) jest opracowanie pozostałych pytań do badania kwestionariuszowego, tak by uprawdopodobnić uzyskanie wiarygodnych odpowiedzi w zakresie hipotez wynikających z wcześniejszych analiz i badań. Rozbicie etapu opraco</w:t>
      </w:r>
      <w:r w:rsidR="0040473C">
        <w:lastRenderedPageBreak/>
        <w:t>wania narzędzia badawczego na dwa etapy szczegółowe ma na celu podkreślenie roli pomiaru satysfakcji interesariuszy jako kluczowego czynnika dla całego modelu i promowanie koncentracji na interesariuszach poprzez stosowanie odpowiednich miar efektów działań organizacji oraz funkcjonowania istniejącego system</w:t>
      </w:r>
      <w:r w:rsidR="006554F6">
        <w:t>u</w:t>
      </w:r>
      <w:r w:rsidR="0040473C">
        <w:t xml:space="preserve"> zarzadzania jakością</w:t>
      </w:r>
      <w:r w:rsidR="006A3FB6">
        <w:t>. W ramach opracowania pytań dodatkowych warto również rozważyć umożliwienie respondentom udzielenia swobodnej wypowiedzi w ramach pytań otwartych</w:t>
      </w:r>
      <w:r w:rsidR="0040473C">
        <w:t>.</w:t>
      </w:r>
      <w:r w:rsidR="001F0F8F">
        <w:t xml:space="preserve"> </w:t>
      </w:r>
      <w:r w:rsidR="006A3FB6">
        <w:t xml:space="preserve">Niewątpliwie może to stanowić utrudnienie procesu analizy odpowiedzi, ale jednocześnie może pozwolić na uzyskanie istotnej informacji zwrotnej, która bez tego nie byłaby możliwa do pozyskania w ramach pytań zamkniętych. </w:t>
      </w:r>
      <w:r w:rsidR="001F0F8F">
        <w:t>Po opracowaniu narzędzia badawczego należy wybrać metodę doboru próby badawczej (5.2). Przy tym wyborze należy starać się zapewnić dobór losowy tak, by osiągnąć odpowiedni poziom statystycznie potwierdzonej wiarygodności uzyskanych odpowiedzi. Istotna przy tym wyborze jest również kwestia możliwości zapewnienia odpowiednich środków dla przeprowadzenia takiego badania. Uczelnie bowiem mają bardzo złożoną strukturę, która może uzasadniać przeprowadzenie oddzielnych badań dla wśród interesariuszy poszczególnych wydziałów lub kierunków studiów. Takie badanie może być niezwykle kosztowe w związku z tym należy podjąć decyzję co do metody doboru grupy badawczej, która w możliwie najlepszy sposób pozwala na osiągnięcie statystycznej reprezentatywności dla każdej z wybranych do badania grup interesariuszy.</w:t>
      </w:r>
      <w:r w:rsidR="00840BD6">
        <w:t xml:space="preserve"> </w:t>
      </w:r>
      <w:r w:rsidR="00EF354C">
        <w:t xml:space="preserve">W ramach tego kroku należy określić również zakres czasowy badania, co również wiąże się z możliwością uzyskania wiarygodnych rezultatów poprzez dotarcie do odpowiedniej grupy respondentów. Zbyt krótki okres badania może skutkować ograniczeniem możliwości uzyskania rzetelnych informacji. Natomiast zbyt długi może spowodować podwyższone ryzyko obciążenia wyników brakiem porównywalności odpowiedzi, gdyż odpowiedzi udzielone na początku i na końcu badania mogą </w:t>
      </w:r>
      <w:r w:rsidR="0042464B">
        <w:t>się różnić ze względu na wpływ jakiś istotnych losowych wydarzeń odnoszących się do potencjalnie jednorodnej grupy respondentów</w:t>
      </w:r>
      <w:r w:rsidR="00EF354C">
        <w:t xml:space="preserve">. </w:t>
      </w:r>
      <w:r w:rsidR="00840BD6">
        <w:t xml:space="preserve">W następnym kroku (5.3) należy zweryfikować opracowane narzędzie badawcze poprzez przeprowadzenie badania pilotażowego. Takie badanie ma pozwolić na przetestowanie konkretnej formy badania i uwidocznienie istotnych jej cech, które mogłyby zagrozić możliwości osiągnięcia celu badania. Po wykryciu ewentualnych istotnych </w:t>
      </w:r>
      <w:r w:rsidR="00EF354C">
        <w:t>możliwości poprawy narzędzia badawczego,</w:t>
      </w:r>
      <w:r w:rsidR="00840BD6">
        <w:t xml:space="preserve"> </w:t>
      </w:r>
      <w:r w:rsidR="00EF354C">
        <w:t xml:space="preserve">należy </w:t>
      </w:r>
      <w:r w:rsidR="00840BD6">
        <w:t>wprowadz</w:t>
      </w:r>
      <w:r w:rsidR="00EF354C">
        <w:t>ić do niego stosowne</w:t>
      </w:r>
      <w:r w:rsidR="00840BD6">
        <w:t xml:space="preserve"> korekt</w:t>
      </w:r>
      <w:r w:rsidR="00EF354C">
        <w:t>y (5.4). W przypadku znacznych zmian warto przeprowadzić kolejne badanie pilotażowe w celu potwierdzenia czy narzędzie może być uznane za gotowe do zastosowania. Kolejnym krokiem, po stwierdzeniu gotowości do badania jest jego przeprowadzenie (5.5).</w:t>
      </w:r>
      <w:r w:rsidR="00D27D02">
        <w:t xml:space="preserve"> W trakcie przeprowadzenia badania należy zagwarantować niezmienność narzędzia pomiarowego, a także , na ile to możliwe, ograniczyć wpływ czynników zależnych od badaczy na wyniki tego pomiaru.</w:t>
      </w:r>
      <w:r w:rsidR="006A3FB6">
        <w:t xml:space="preserve"> Po zakończeniu badania należy przeanalizować uzyskane odpowiedzi (5.6)</w:t>
      </w:r>
      <w:r w:rsidR="0052405C">
        <w:t>,</w:t>
      </w:r>
      <w:r w:rsidR="006A3FB6">
        <w:t xml:space="preserve"> by dzięki temu uzyskać informacje możliwe do wykorzystania na dalszych etapach procesu doskonalenia.</w:t>
      </w:r>
      <w:r w:rsidR="0052405C">
        <w:t xml:space="preserve"> Proces analizy należy zacząć od weryfikacji </w:t>
      </w:r>
      <w:r w:rsidR="00D568BD">
        <w:t>reprezentatywności grupy badawczej (5.6.1) porównując strukturę grupy badanych respondentów ze strukturą całej populacji. Aby to było możliwe wśród pytań weryfikujących cechy grupy badanej (</w:t>
      </w:r>
      <w:proofErr w:type="spellStart"/>
      <w:r w:rsidR="00D568BD">
        <w:t>metryczkowych</w:t>
      </w:r>
      <w:proofErr w:type="spellEnd"/>
      <w:r w:rsidR="00D568BD">
        <w:t>) należy uwzględnić takie, które pozwolą na uzyskanie informacji o przynależności do odpowiednich znanych grup w zidentyfikowanej wcześniej strukturze badane populacji (grupie interesariuszy).</w:t>
      </w:r>
      <w:r w:rsidR="002348B9">
        <w:t xml:space="preserve"> W kolejnym kroku (5.6.2) należy sprawdzić czy uzyskiwane odpowiedzi na pytania są statystycznie istotnie zgodne z rozkładem normalnym. W przypadku wykrycia odstępstw od rozkładu normalnego w ramach odpowiedzi na jakieś z pytań w jakiejś z </w:t>
      </w:r>
      <w:r w:rsidR="002348B9">
        <w:lastRenderedPageBreak/>
        <w:t xml:space="preserve">grup respondentów należy uwzględnić we wnioskach z badania, że w ramach konkretnego pytania nie możemy wnioskować o populacji powołując się na </w:t>
      </w:r>
      <w:r w:rsidR="006055F0">
        <w:t>cechy i parametry</w:t>
      </w:r>
      <w:r w:rsidR="002348B9">
        <w:t xml:space="preserve"> rozkładu normalnego</w:t>
      </w:r>
      <w:r w:rsidR="006055F0">
        <w:t xml:space="preserve"> (średnia, odchylenie standardowe)</w:t>
      </w:r>
      <w:r w:rsidR="002348B9">
        <w:t>.</w:t>
      </w:r>
      <w:r w:rsidR="00BE211B">
        <w:t xml:space="preserve"> W przypadku badanych zmiennych, które powinny być niezależne można sprawdzić uzyskane wyniki testami statystycznymi na niezależność zmiennych w celu weryfikacji wiarygodności pozyskanych danych.</w:t>
      </w:r>
      <w:r w:rsidR="007A3125">
        <w:t xml:space="preserve"> Ponadto w przypadku pytań dotyczących wstępnych hipotez odnoście do obszarów wymagających udoskonaleń należy również sprawdzić czy uzyskane odpowiedzi wspierają postawione hipotezy w sposób statystycznie istotny lub nie.</w:t>
      </w:r>
      <w:r w:rsidR="00FA3EFF">
        <w:t xml:space="preserve"> Po zweryfikowaniu statystycznej wiarygodności uzyskanych danych można przejść do kolejnego etapu analizy</w:t>
      </w:r>
      <w:r w:rsidR="00831F77">
        <w:t xml:space="preserve"> (5.6.3)</w:t>
      </w:r>
      <w:r w:rsidR="00FA3EFF">
        <w:t xml:space="preserve"> polegającego na wyliczeniu wskaźników odnoszących się do satysfakcji interesariuszy (SSI – patrz rozdz. </w:t>
      </w:r>
      <w:r w:rsidR="00FA3EFF">
        <w:fldChar w:fldCharType="begin"/>
      </w:r>
      <w:r w:rsidR="00FA3EFF">
        <w:instrText xml:space="preserve"> REF _Ref137319715 \r \h </w:instrText>
      </w:r>
      <w:r w:rsidR="00FA3EFF">
        <w:fldChar w:fldCharType="separate"/>
      </w:r>
      <w:r w:rsidR="009E351C">
        <w:t>1.3.2</w:t>
      </w:r>
      <w:r w:rsidR="00FA3EFF">
        <w:fldChar w:fldCharType="end"/>
      </w:r>
      <w:r w:rsidR="00FA3EFF">
        <w:t xml:space="preserve">) lub innych jeśli pytania pozwalające na ich obliczenie zostały uwzględnione w kwestionariuszu badania ilościowego. </w:t>
      </w:r>
      <w:r w:rsidR="00831F77">
        <w:t>Następnym krokiem (5.6.4) jest przeanalizowanie relacji miar wyliczonych w ramach przeprowadzonego badania z miarami obliczonymi na podstawie badań zewnętrznych takich jak np. rankingi lub inne badania niezależne od uczelni.</w:t>
      </w:r>
      <w:r w:rsidR="003E5A63">
        <w:t xml:space="preserve"> Sprawdzenie takie pozwoli bowiem na wzbogacenie wiedzy o tym, które miary są lepsze do oceny wyników działania organizacji, a także pozwoli poszerzyć możliwości poprawnego wnioskowania na temat przyczyn analizowanych problemów wymagających poprawy. Na koniec analizy należy podsumować opracowaniem raportu (5.7)</w:t>
      </w:r>
      <w:r w:rsidR="00F01981">
        <w:t>.</w:t>
      </w:r>
      <w:r w:rsidR="003E5A63">
        <w:t xml:space="preserve"> </w:t>
      </w:r>
      <w:r w:rsidR="00F01981">
        <w:t>W tym raporcie</w:t>
      </w:r>
      <w:r w:rsidR="003E5A63">
        <w:t xml:space="preserve"> należy uwzględnić wnioski płynące z </w:t>
      </w:r>
      <w:r w:rsidR="00F01981">
        <w:t xml:space="preserve">analiz przeprowadzonych w poprzednich krokach, a także wnioski płynące z </w:t>
      </w:r>
      <w:r w:rsidR="003E5A63">
        <w:t>odpowiedzi respondentów na pytania otwart</w:t>
      </w:r>
      <w:r w:rsidR="00F01981">
        <w:t>e</w:t>
      </w:r>
      <w:r w:rsidR="003E5A63">
        <w:t xml:space="preserve"> lub inne wymagające uwzględnienia.</w:t>
      </w:r>
    </w:p>
    <w:p w14:paraId="35672D38" w14:textId="2BF85FBC" w:rsidR="00D242E4" w:rsidRPr="00D242E4" w:rsidRDefault="00F01981" w:rsidP="006E46BB">
      <w:r>
        <w:t>Po zebraniu dotychczas pozyskanej wiedzy na temat stanu systemu zarządzania jakością uczelni oraz efektów jej działań można przejść do etapu 6., którego rezultatem będzie wybranie konkretnych obszarów do doskonalenia. W tym obszarze kluczowym jest przeprowadzenie kolejnych analiz pozwalających na określenie prawdopodobnych przyczyn istnienia problemów, a następnie ustalenie i wybór tych spośród nich, które dają mają największy potencjał na osiągnięcie efektów procesu zmian.</w:t>
      </w:r>
      <w:r w:rsidR="0052132B">
        <w:t xml:space="preserve"> W związku z tym, że na tym etapie procesu doskonalenia wiedza dotycząca istotnych obszarów do poprawy została już pozyskana należy przystąpić do analizy przyczyn problemów (wyzwań) w każdym z tych obszarów</w:t>
      </w:r>
      <w:r w:rsidR="00F7187D">
        <w:t xml:space="preserve"> (6.1)</w:t>
      </w:r>
      <w:r w:rsidR="0052132B">
        <w:t>. Do tego celu można wykorzystać szeroki wachlarz metod analitycznych. Niemniej</w:t>
      </w:r>
      <w:r w:rsidR="00F7187D">
        <w:t xml:space="preserve"> nawet</w:t>
      </w:r>
      <w:r w:rsidR="0052132B">
        <w:t xml:space="preserve"> zastosowanie podstawowych</w:t>
      </w:r>
      <w:r w:rsidR="00F7187D">
        <w:t>,</w:t>
      </w:r>
      <w:r w:rsidR="0052132B">
        <w:t xml:space="preserve"> </w:t>
      </w:r>
      <w:r w:rsidR="00F7187D">
        <w:t>powszechnie znanych technik analizy przyczyn źródłowych,</w:t>
      </w:r>
      <w:r w:rsidR="0052132B">
        <w:t xml:space="preserve"> takich jak analiza 5xWHY </w:t>
      </w:r>
      <w:r w:rsidR="00F7187D">
        <w:t xml:space="preserve">wraz z tzw. diagramem </w:t>
      </w:r>
      <w:proofErr w:type="spellStart"/>
      <w:r w:rsidR="00F7187D">
        <w:t>Ishikawy</w:t>
      </w:r>
      <w:proofErr w:type="spellEnd"/>
      <w:r w:rsidR="00F7187D">
        <w:t xml:space="preserve"> (przyczyn i skutków) pozwoli na szybkie określenie dość szerokiego zakresu przyczyn istniejących wyzwań. W przypadku mierzenia się ze złożonymi i skomplikowanymi problemami można taką analizę poszerzyć również o </w:t>
      </w:r>
      <w:r w:rsidR="00DF63FD">
        <w:t xml:space="preserve">inne techniki pozwalające na opracowanie pomysłów na rozwiązanie problemu korzystając np. z metod takich jak drzewo stanu przyszłego </w:t>
      </w:r>
      <w:r w:rsidR="00DF63FD">
        <w:fldChar w:fldCharType="begin" w:fldLock="1"/>
      </w:r>
      <w:r w:rsidR="00DF63FD">
        <w:instrText>ADDIN CSL_CITATION {"citationItems":[{"id":"ITEM-1","itemData":{"DOI":"10.1080/15623599.2018.1512031","ISSN":"1562-3599","abstract":"© 2018 Informa UK Limited, trading as Taylor &amp; Francis Group. This article aims at developing an enhanced critical chain project management (CCPM) framework for effective implementation of projects related to construction. CCPM is the method for construction scheduling for solving constraints such as project difficulty, resource scarcity, and duration uncertainty. Buffer sizing and multiple resources levelling play a key role in ensuring successful schedule management. The proposed framework improves buffer sizing by integrating the various uncertainties that affect construction scheduling. Case study of a highway project in India has been undertaken and the results showed that the proposed framework out performed existing buffer sizing methods by generating buffers with reasonable sizes and sufficient robustness. Considering the concept of theory of constraints (TOC), the present study also aims at developing a methodology for analysing bottlenecks to promote improvements in the highway projects in India through formulation of current reality tree, evaporating cloud or conflict diagram, future reality tree (FRT) and prerequisite tree (PrT).","author":[{"dropping-particle":"","family":"Sarkar","given":"Debasis","non-dropping-particle":"","parse-names":false,"suffix":""},{"dropping-particle":"","family":"Jha","given":"K. N.","non-dropping-particle":"","parse-names":false,"suffix":""},{"dropping-particle":"","family":"Patel","given":"Shraddha","non-dropping-particle":"","parse-names":false,"suffix":""}],"container-title":"International Journal of Construction Management","id":"ITEM-1","issue":"2","issued":{"date-parts":[["2021","2","1"]]},"page":"194-207","title":"Critical chain project management for a highway construction project with a focus on theory of constraints","type":"article-journal","volume":"21"},"locator":"203","uris":["http://www.mendeley.com/documents/?uuid=70513bbb-032a-3bb1-b0a1-be8b3f4e4d81"]}],"mendeley":{"formattedCitation":"(Sarkar i in., 2021, s. 203)","plainTextFormattedCitation":"(Sarkar i in., 2021, s. 203)","previouslyFormattedCitation":"(Sarkar i in., 2021, s. 203)"},"properties":{"noteIndex":0},"schema":"https://github.com/citation-style-language/schema/raw/master/csl-citation.json"}</w:instrText>
      </w:r>
      <w:r w:rsidR="00DF63FD">
        <w:fldChar w:fldCharType="separate"/>
      </w:r>
      <w:r w:rsidR="00DF63FD" w:rsidRPr="00DF63FD">
        <w:rPr>
          <w:noProof/>
        </w:rPr>
        <w:t>(Sarkar i in., 2021, s. 203)</w:t>
      </w:r>
      <w:r w:rsidR="00DF63FD">
        <w:fldChar w:fldCharType="end"/>
      </w:r>
      <w:r w:rsidR="00DF63FD">
        <w:t xml:space="preserve">, czy szeregu metod wchodzących w skład metodologii TRIZ </w:t>
      </w:r>
      <w:r w:rsidR="0050518C">
        <w:fldChar w:fldCharType="begin" w:fldLock="1"/>
      </w:r>
      <w:r w:rsidR="00F6562D" w:rsidRPr="002851DD">
        <w:instrText>ADDIN CSL_CITATION {"citationItems":[{"id":"ITEM-1","itemData":{"DOI":"10.1177/1094670505276683","ISSN":"1094-6705","abstract":"This article demonstrates the viability of applying the theory of inventive problem solving (TRIZ) to services by proposing a new approach to new service design. Traditionally, the effectiveness of new service design is unpredictable as service design relies largely on inspiration and the past experiences of service designers. By integrating TRIZ problem-solving tools and its knowledge base, the authors propose a new TRIZ-based approach to address this weakness in service design. Through two case studies, the proposed model is verified. This demonstrates the relevance of TRIZ to service design. It is hoped that this article will raise awareness among service researchers so that more studies in this direction are conducted.","author":[{"dropping-particle":"","family":"Chai","given":"Kah-Hin","non-dropping-particle":"","parse-names":false,"suffix":""},{"dropping-particle":"","family":"Zhang","given":"Jun","non-dropping-particle":"","parse-names":false,"suffix":""},{"dropping-particle":"","family":"Tan","given":"Kay-Chuan","non-dropping-particle":"","parse-names":false,"suffix":""}],"container-title":"Journal of Service Research","id":"ITEM-1","issue":"1","issued":{"date-parts":[["2005","8","29"]]},"page":"48-66","title":"A TRIZ-Based Method for New Service Design","type":"article-journal","volume":"8"},"uris":["http://www.mendeley.com/documents/?uuid=eba9fee7-27b1-4834-92b5-bf416f3eb52c"]}],"mendeley":{"formattedCitation":"(Chai i in., 2005)","plainTextFormattedCitation":"(Chai i in., 2005)","previouslyFormattedCitation":"(Chai i in., 2005)"},"properties":{"noteIndex":0},"schema":"https://github.com/citation-style-language/schema/raw/master/csl-citation.json"}</w:instrText>
      </w:r>
      <w:r w:rsidR="0050518C">
        <w:fldChar w:fldCharType="separate"/>
      </w:r>
      <w:r w:rsidR="00DF63FD" w:rsidRPr="002851DD">
        <w:rPr>
          <w:noProof/>
        </w:rPr>
        <w:t>(Chai i in., 2005)</w:t>
      </w:r>
      <w:r w:rsidR="0050518C">
        <w:fldChar w:fldCharType="end"/>
      </w:r>
      <w:r w:rsidR="00DF63FD">
        <w:t>.</w:t>
      </w:r>
      <w:r w:rsidR="000E5D5C">
        <w:t xml:space="preserve"> W następnym kroku (6.2) należy w odniesieniu do zidentyfikowanych przyczyn problemów określić ich potencjalny wpływ na możliwość osiągnięcia poprawy. W tym celu należy oszacować nie tylko efekty jakie można by osiągnąć wprowadzając realne do osiągnięcia korekty, ale również zasoby jakie są do tego wymagane oraz czas potrzebny na wdrożenie. Po uwzględnieniu tych zagadnień można przystąpić do wyboru priorytetów i ustalenia kolejności obszarów w jakich warto podejmować działania doskonalące (6.3). W tym celu warto mieć na uwadze tzw. zasadę </w:t>
      </w:r>
      <w:proofErr w:type="spellStart"/>
      <w:r w:rsidR="000E5D5C">
        <w:t>Pareto</w:t>
      </w:r>
      <w:proofErr w:type="spellEnd"/>
      <w:r w:rsidR="000E5D5C">
        <w:t xml:space="preserve"> (20-80) by działania skupiać na tych obszarach, w których relatywnie niewielkie nakła</w:t>
      </w:r>
      <w:r w:rsidR="000E5D5C">
        <w:lastRenderedPageBreak/>
        <w:t xml:space="preserve">dy pozwolą na osiągnięcie jak największych efektów. W tym celu można skorzystać z różnych narzędzi analitycznych. Jednym z najpopularniejszych i jednocześnie stosunkowo łatwym do zastosowanie jest tzw. diagram </w:t>
      </w:r>
      <w:proofErr w:type="spellStart"/>
      <w:r w:rsidR="000E5D5C">
        <w:t>Pareto-Lorentz’a</w:t>
      </w:r>
      <w:proofErr w:type="spellEnd"/>
      <w:r w:rsidR="000E5D5C">
        <w:t>. Jest to diagram pokazujący na wykresie kolumnowym obszary działań o największym wpływie na potencjalne efekty uszeregowane od najistotniejszych do najmniej istotnych z naniesioną na niego krzywą wartości skumulowanych. Dzięki temu można łatwo wybrać grupę elementów odpowiedzialnych łącznie za pewien poziom efektu, który jest pożądany do osiągnięcia. Zazwyczaj przyjmuje si</w:t>
      </w:r>
      <w:r w:rsidR="002B258A">
        <w:t xml:space="preserve">ę poziom 80% nawiązując do reguły </w:t>
      </w:r>
      <w:proofErr w:type="spellStart"/>
      <w:r w:rsidR="002B258A">
        <w:t>Pareto</w:t>
      </w:r>
      <w:proofErr w:type="spellEnd"/>
      <w:r w:rsidR="002B258A">
        <w:t>. Natomiast w przypadku bardziej złożonych problemów do poprawy taka analiza może jeszcze nie dać zadowalających efektów. W takiej sytuacji można posłużyć się również innymi technikami pomagającymi wybrać właściwe problemy do zajęcia się nimi w pierwszej kolejności. Na przykład można skorzystać z techniki</w:t>
      </w:r>
      <w:r w:rsidR="00D242E4" w:rsidRPr="00D242E4">
        <w:t xml:space="preserve"> WSJF (</w:t>
      </w:r>
      <w:proofErr w:type="spellStart"/>
      <w:r w:rsidR="00D242E4" w:rsidRPr="00D242E4">
        <w:rPr>
          <w:i/>
          <w:iCs/>
        </w:rPr>
        <w:t>Weighted</w:t>
      </w:r>
      <w:proofErr w:type="spellEnd"/>
      <w:r w:rsidR="00D242E4" w:rsidRPr="00D242E4">
        <w:rPr>
          <w:i/>
          <w:iCs/>
        </w:rPr>
        <w:t xml:space="preserve"> </w:t>
      </w:r>
      <w:proofErr w:type="spellStart"/>
      <w:r w:rsidR="00D242E4" w:rsidRPr="00D242E4">
        <w:rPr>
          <w:i/>
          <w:iCs/>
        </w:rPr>
        <w:t>Shortest</w:t>
      </w:r>
      <w:proofErr w:type="spellEnd"/>
      <w:r w:rsidR="00D242E4" w:rsidRPr="00D242E4">
        <w:rPr>
          <w:i/>
          <w:iCs/>
        </w:rPr>
        <w:t xml:space="preserve"> Job First</w:t>
      </w:r>
      <w:r w:rsidR="00D242E4" w:rsidRPr="00D242E4">
        <w:t xml:space="preserve">) </w:t>
      </w:r>
      <w:r w:rsidR="002B258A">
        <w:t xml:space="preserve">określającej </w:t>
      </w:r>
      <w:r w:rsidR="00D242E4" w:rsidRPr="00D242E4">
        <w:t xml:space="preserve">pierwszeństwo </w:t>
      </w:r>
      <w:r w:rsidR="00D242E4">
        <w:t xml:space="preserve">najkrótszych ważonych zadań </w:t>
      </w:r>
      <w:r w:rsidR="00D242E4">
        <w:fldChar w:fldCharType="begin" w:fldLock="1"/>
      </w:r>
      <w:r w:rsidR="00D242E4">
        <w:instrText>ADDIN CSL_CITATION {"citationItems":[{"id":"ITEM-1","itemData":{"DOI":"10.1002/9781119849117","ISBN":"9781119849087","abstract":"Abstract of chapter 4: Cost of Delay (CoD) is the loss in income if a project is delayed one month. For product managers, Net CoD is the same as opportunity cost. Opportunity cost is the profit or income lost by choosing one alternative over the other. This chapter illustrates how Reinertsen's CoD and Weighted Shortest Job First (WSJF) principles. It also introduces three methods for estimating Net CoD for nonlinear income profiles, each with increasing complexity and varying accuracy. These methods include: payback period CoD method, third-year income slope CoD method, and CoD computation method. WSJF prioritization has become more important with shorter release cycles enabled by Agile development. Net Present Value (NPV) is used to compare alternatives that return money at different times in the future. NPV prioritization does not significantly differentiate between projects with different cycle times over a multiyear planning period. WSJF can be related to traditional finance terms used in project planning.","author":[{"dropping-particle":"","family":"Webber","given":"Robert","non-dropping-particle":"","parse-names":false,"suffix":""}],"container-title":"Unlocking Agile's Missed Potential","id":"ITEM-1","issued":{"date-parts":[["2022","7","20"]]},"publisher":"Wiley","title":"Unlocking Agile's Missed Potential","type":"book"},"prefix":"por.","uris":["http://www.mendeley.com/documents/?uuid=c09410da-4ee4-49f7-a528-94ced454e459"]}],"mendeley":{"formattedCitation":"(por. Webber, 2022)","plainTextFormattedCitation":"(por. Webber, 2022)","previouslyFormattedCitation":"(por. Webber, 2022)"},"properties":{"noteIndex":0},"schema":"https://github.com/citation-style-language/schema/raw/master/csl-citation.json"}</w:instrText>
      </w:r>
      <w:r w:rsidR="00D242E4">
        <w:fldChar w:fldCharType="separate"/>
      </w:r>
      <w:r w:rsidR="00D242E4" w:rsidRPr="00D242E4">
        <w:rPr>
          <w:noProof/>
        </w:rPr>
        <w:t>(por. Webber, 2022)</w:t>
      </w:r>
      <w:r w:rsidR="00D242E4">
        <w:fldChar w:fldCharType="end"/>
      </w:r>
      <w:r w:rsidR="002B258A">
        <w:t>.</w:t>
      </w:r>
      <w:r w:rsidR="00D242E4">
        <w:t xml:space="preserve"> </w:t>
      </w:r>
      <w:r w:rsidR="002B258A">
        <w:t>Jest to</w:t>
      </w:r>
      <w:r w:rsidR="00D242E4">
        <w:t xml:space="preserve"> metoda uwzględniająca praktyczne implikacje teorii dotyczących kosztów opóźnień </w:t>
      </w:r>
      <w:r w:rsidR="00D242E4">
        <w:fldChar w:fldCharType="begin" w:fldLock="1"/>
      </w:r>
      <w:r w:rsidR="00DF63FD">
        <w:instrText>ADDIN CSL_CITATION {"citationItems":[{"id":"ITEM-1","itemData":{"author":[{"dropping-particle":"","family":"Reinertsen","given":"Donald G","non-dropping-particle":"","parse-names":false,"suffix":""},{"dropping-particle":"","family":"Smith","given":"Preston G","non-dropping-particle":"","parse-names":false,"suffix":""}],"container-title":"Journal of Business Strategy","id":"ITEM-1","issue":"4","issued":{"date-parts":[["1991"]]},"page":"18-22","publisher":"Thomson Financial Partners","title":"The strategist’s role in shortening product development","type":"article-journal","volume":"12"},"uris":["http://www.mendeley.com/documents/?uuid=ebe66029-2140-4499-b76d-81b8595117bc"]}],"mendeley":{"formattedCitation":"(Reinertsen &amp; Smith, 1991)","plainTextFormattedCitation":"(Reinertsen &amp; Smith, 1991)","previouslyFormattedCitation":"(Reinertsen &amp; Smith, 1991)"},"properties":{"noteIndex":0},"schema":"https://github.com/citation-style-language/schema/raw/master/csl-citation.json"}</w:instrText>
      </w:r>
      <w:r w:rsidR="00D242E4">
        <w:fldChar w:fldCharType="separate"/>
      </w:r>
      <w:r w:rsidR="00D242E4" w:rsidRPr="00D242E4">
        <w:rPr>
          <w:noProof/>
        </w:rPr>
        <w:t>(Reinertsen &amp; Smith, 1991)</w:t>
      </w:r>
      <w:r w:rsidR="00D242E4">
        <w:fldChar w:fldCharType="end"/>
      </w:r>
      <w:r w:rsidR="002B258A">
        <w:t xml:space="preserve"> promującej uwzględnienie czynnika czasu w procesach doskonalenia i podkreślającej wagę skracania cykli doskonalenia</w:t>
      </w:r>
      <w:r w:rsidR="00D242E4">
        <w:t>.</w:t>
      </w:r>
      <w:r w:rsidR="002B258A">
        <w:t xml:space="preserve"> Niezależnie od tego czy na tym etapie procesu doskonalenia ta konkretna technika zostanie zastosowana to warto mieć na uwadze, że brak lub późniejsze wprowadzenie zmian wiąże się z pewnymi potencjalnymi kosztami i przy wyborze kolejności działań doskonalących należy uwzględnić perspektywę minimalizowania tych kosztów.</w:t>
      </w:r>
    </w:p>
    <w:p w14:paraId="691DDE8D" w14:textId="7829A64B" w:rsidR="00292582" w:rsidRDefault="002B258A" w:rsidP="002B258A">
      <w:r w:rsidRPr="002B258A">
        <w:t xml:space="preserve">Po wyborze konkretnych, szczegółowych obszarów do doskonalenia wraz z ustalonymi dla </w:t>
      </w:r>
      <w:r w:rsidR="005B14C0">
        <w:t xml:space="preserve">nich </w:t>
      </w:r>
      <w:r w:rsidRPr="002B258A">
        <w:t>priorytetami i kolejnością wdrażania można przejść do kolejnego 7. etapu. Zostanie on omówiony w ramach trzeciej części prezentacji szczegół</w:t>
      </w:r>
      <w:r w:rsidR="005B14C0">
        <w:t>ów</w:t>
      </w:r>
      <w:r w:rsidRPr="002B258A">
        <w:t xml:space="preserve"> modelu SSDQM</w:t>
      </w:r>
      <w:r w:rsidR="00292582">
        <w:t xml:space="preserve"> obejmując</w:t>
      </w:r>
      <w:r w:rsidR="005B14C0">
        <w:t xml:space="preserve">ej </w:t>
      </w:r>
      <w:r w:rsidR="00292582">
        <w:t>etapy główn</w:t>
      </w:r>
      <w:r w:rsidR="008F7470">
        <w:t>e</w:t>
      </w:r>
      <w:r w:rsidR="00292582">
        <w:t xml:space="preserve"> 7 i </w:t>
      </w:r>
      <w:r w:rsidR="008F7470">
        <w:t>8</w:t>
      </w:r>
      <w:r w:rsidR="00292582">
        <w:t xml:space="preserve"> zaprezentowan</w:t>
      </w:r>
      <w:r w:rsidR="005B14C0">
        <w:t>ej</w:t>
      </w:r>
      <w:r w:rsidR="008F7470">
        <w:t xml:space="preserve"> na diagramie</w:t>
      </w:r>
      <w:r w:rsidR="00292582">
        <w:t xml:space="preserve"> p</w:t>
      </w:r>
      <w:r w:rsidR="008F7470">
        <w:t>o</w:t>
      </w:r>
      <w:r w:rsidR="008F7470">
        <w:fldChar w:fldCharType="begin"/>
      </w:r>
      <w:r w:rsidR="008F7470">
        <w:instrText xml:space="preserve"> REF _Ref162379462 \p \h </w:instrText>
      </w:r>
      <w:r w:rsidR="008F7470">
        <w:fldChar w:fldCharType="separate"/>
      </w:r>
      <w:r w:rsidR="009E351C">
        <w:t>niżej</w:t>
      </w:r>
      <w:r w:rsidR="008F7470">
        <w:fldChar w:fldCharType="end"/>
      </w:r>
      <w:r w:rsidR="00292582">
        <w:t xml:space="preserve"> (</w:t>
      </w:r>
      <w:r w:rsidR="008F7470">
        <w:fldChar w:fldCharType="begin"/>
      </w:r>
      <w:r w:rsidR="008F7470">
        <w:instrText xml:space="preserve"> REF _Ref162379469 \h </w:instrText>
      </w:r>
      <w:r w:rsidR="008F7470">
        <w:fldChar w:fldCharType="separate"/>
      </w:r>
      <w:r w:rsidR="009E351C">
        <w:t xml:space="preserve">Rysunek </w:t>
      </w:r>
      <w:r w:rsidR="009E351C">
        <w:rPr>
          <w:noProof/>
        </w:rPr>
        <w:t>50</w:t>
      </w:r>
      <w:r w:rsidR="008F7470">
        <w:fldChar w:fldCharType="end"/>
      </w:r>
      <w:r w:rsidR="00292582">
        <w:t xml:space="preserve">) wraz z pełnymi nazwami każdego z etapów </w:t>
      </w:r>
      <w:r w:rsidR="008F7470">
        <w:t>szczegółowych</w:t>
      </w:r>
      <w:r w:rsidR="00292582">
        <w:t>.</w:t>
      </w:r>
    </w:p>
    <w:p w14:paraId="162593B8" w14:textId="77777777" w:rsidR="00B12AF3" w:rsidRDefault="00795F42" w:rsidP="00B12AF3">
      <w:pPr>
        <w:pStyle w:val="Rysunek"/>
      </w:pPr>
      <w:r>
        <w:rPr>
          <w:noProof/>
        </w:rPr>
        <w:lastRenderedPageBreak/>
        <w:drawing>
          <wp:inline distT="0" distB="0" distL="0" distR="0" wp14:anchorId="7902DF6B" wp14:editId="4CC16D2C">
            <wp:extent cx="5400000" cy="6172536"/>
            <wp:effectExtent l="0" t="0" r="0" b="0"/>
            <wp:docPr id="150887102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00" cy="6172536"/>
                    </a:xfrm>
                    <a:prstGeom prst="rect">
                      <a:avLst/>
                    </a:prstGeom>
                    <a:noFill/>
                    <a:ln>
                      <a:noFill/>
                    </a:ln>
                  </pic:spPr>
                </pic:pic>
              </a:graphicData>
            </a:graphic>
          </wp:inline>
        </w:drawing>
      </w:r>
    </w:p>
    <w:p w14:paraId="49ECDEC5" w14:textId="515FBA7F" w:rsidR="00E465C8" w:rsidRDefault="00B12AF3" w:rsidP="00B12AF3">
      <w:pPr>
        <w:pStyle w:val="Tytutabeli"/>
        <w:rPr>
          <w:noProof/>
        </w:rPr>
      </w:pPr>
      <w:bookmarkStart w:id="137" w:name="_Ref162379469"/>
      <w:bookmarkStart w:id="138" w:name="_Ref162379462"/>
      <w:r>
        <w:t xml:space="preserve">Rysunek </w:t>
      </w:r>
      <w:r>
        <w:fldChar w:fldCharType="begin"/>
      </w:r>
      <w:r>
        <w:instrText xml:space="preserve"> SEQ Rysunek \* ARABIC </w:instrText>
      </w:r>
      <w:r>
        <w:fldChar w:fldCharType="separate"/>
      </w:r>
      <w:r w:rsidR="009E351C">
        <w:rPr>
          <w:noProof/>
        </w:rPr>
        <w:t>50</w:t>
      </w:r>
      <w:r>
        <w:fldChar w:fldCharType="end"/>
      </w:r>
      <w:bookmarkEnd w:id="137"/>
      <w:r>
        <w:t xml:space="preserve"> Struktura szczegółowa elementów w zakresie punktów od 7 do 9 modelu SSDQM</w:t>
      </w:r>
      <w:bookmarkEnd w:id="138"/>
    </w:p>
    <w:p w14:paraId="16ED418E" w14:textId="77777777" w:rsidR="00B12AF3" w:rsidRDefault="00B12AF3" w:rsidP="00B12AF3">
      <w:pPr>
        <w:pStyle w:val="rdo"/>
      </w:pPr>
      <w:r>
        <w:t>Źródło: opracowanie własne</w:t>
      </w:r>
    </w:p>
    <w:p w14:paraId="2A1303C2" w14:textId="66B6D279" w:rsidR="00FD60D8" w:rsidRDefault="00FD60D8" w:rsidP="00FD60D8">
      <w:r>
        <w:t>Poniżej przedstawiono pełny opis elementów szczegółowych dla punktów 7 i 8 modelu SSDQM:</w:t>
      </w:r>
    </w:p>
    <w:p w14:paraId="7C94D6AD" w14:textId="70921AEC" w:rsidR="00E465C8" w:rsidRPr="00FD60D8" w:rsidRDefault="00CB7C1E" w:rsidP="00FD60D8">
      <w:pPr>
        <w:spacing w:before="60" w:line="300" w:lineRule="auto"/>
        <w:ind w:firstLine="0"/>
        <w:rPr>
          <w:sz w:val="18"/>
          <w:szCs w:val="20"/>
        </w:rPr>
      </w:pPr>
      <w:r w:rsidRPr="00FD60D8">
        <w:rPr>
          <w:sz w:val="18"/>
          <w:szCs w:val="20"/>
        </w:rPr>
        <w:t xml:space="preserve">7  </w:t>
      </w:r>
      <w:r w:rsidR="00E465C8" w:rsidRPr="00FD60D8">
        <w:rPr>
          <w:sz w:val="18"/>
          <w:szCs w:val="20"/>
        </w:rPr>
        <w:t>Implementacja zmian w celu osiągnięcia poprawy w wybranych obszarach</w:t>
      </w:r>
    </w:p>
    <w:p w14:paraId="74FC92D8" w14:textId="301FC85F" w:rsidR="00E465C8" w:rsidRPr="00FD60D8" w:rsidRDefault="00CB7C1E" w:rsidP="00FD60D8">
      <w:pPr>
        <w:spacing w:before="60" w:line="300" w:lineRule="auto"/>
        <w:ind w:left="360" w:firstLine="0"/>
        <w:rPr>
          <w:sz w:val="18"/>
          <w:szCs w:val="20"/>
        </w:rPr>
      </w:pPr>
      <w:r w:rsidRPr="00FD60D8">
        <w:rPr>
          <w:sz w:val="18"/>
          <w:szCs w:val="20"/>
        </w:rPr>
        <w:t xml:space="preserve">7.1  </w:t>
      </w:r>
      <w:r w:rsidR="00E465C8" w:rsidRPr="00FD60D8">
        <w:rPr>
          <w:sz w:val="18"/>
          <w:szCs w:val="20"/>
        </w:rPr>
        <w:t>Zapewnienie zaangażowania i wsparcia najwyższego kierownictwa w zakresie decyzyjności i zasobów niezbędnych do wdrażania zmian</w:t>
      </w:r>
    </w:p>
    <w:p w14:paraId="189A6D2B" w14:textId="616DB730" w:rsidR="00E465C8" w:rsidRPr="00FD60D8" w:rsidRDefault="00CB7C1E" w:rsidP="00FD60D8">
      <w:pPr>
        <w:spacing w:before="60" w:line="300" w:lineRule="auto"/>
        <w:ind w:left="360" w:firstLine="0"/>
        <w:rPr>
          <w:sz w:val="18"/>
          <w:szCs w:val="20"/>
        </w:rPr>
      </w:pPr>
      <w:r w:rsidRPr="00FD60D8">
        <w:rPr>
          <w:sz w:val="18"/>
          <w:szCs w:val="20"/>
        </w:rPr>
        <w:t xml:space="preserve">7.2  </w:t>
      </w:r>
      <w:r w:rsidR="00E465C8" w:rsidRPr="00FD60D8">
        <w:rPr>
          <w:sz w:val="18"/>
          <w:szCs w:val="20"/>
        </w:rPr>
        <w:t xml:space="preserve">Przypisanie metody wdrażania zmian w zależności od charakterystyki problemu: metody zwinne (Agile: </w:t>
      </w:r>
      <w:proofErr w:type="spellStart"/>
      <w:r w:rsidR="00E465C8" w:rsidRPr="00FD60D8">
        <w:rPr>
          <w:sz w:val="18"/>
          <w:szCs w:val="20"/>
        </w:rPr>
        <w:t>Kaizen</w:t>
      </w:r>
      <w:proofErr w:type="spellEnd"/>
      <w:r w:rsidR="00E465C8" w:rsidRPr="00FD60D8">
        <w:rPr>
          <w:sz w:val="18"/>
          <w:szCs w:val="20"/>
        </w:rPr>
        <w:t xml:space="preserve">, </w:t>
      </w:r>
      <w:proofErr w:type="spellStart"/>
      <w:r w:rsidR="00E465C8" w:rsidRPr="00FD60D8">
        <w:rPr>
          <w:sz w:val="18"/>
          <w:szCs w:val="20"/>
        </w:rPr>
        <w:t>Scrum</w:t>
      </w:r>
      <w:proofErr w:type="spellEnd"/>
      <w:r w:rsidR="00E465C8" w:rsidRPr="00FD60D8">
        <w:rPr>
          <w:sz w:val="18"/>
          <w:szCs w:val="20"/>
        </w:rPr>
        <w:t xml:space="preserve">, </w:t>
      </w:r>
      <w:proofErr w:type="spellStart"/>
      <w:r w:rsidR="00E465C8" w:rsidRPr="00FD60D8">
        <w:rPr>
          <w:sz w:val="18"/>
          <w:szCs w:val="20"/>
        </w:rPr>
        <w:t>Kanban</w:t>
      </w:r>
      <w:proofErr w:type="spellEnd"/>
      <w:r w:rsidR="00E465C8" w:rsidRPr="00FD60D8">
        <w:rPr>
          <w:sz w:val="18"/>
          <w:szCs w:val="20"/>
        </w:rPr>
        <w:t xml:space="preserve">, -&gt; wdrożenie Minimalnego Produktu Możliwego do Wprowadzenia </w:t>
      </w:r>
      <w:r w:rsidR="00854B9B" w:rsidRPr="00FD60D8">
        <w:rPr>
          <w:sz w:val="18"/>
          <w:szCs w:val="20"/>
        </w:rPr>
        <w:t xml:space="preserve">– </w:t>
      </w:r>
      <w:r w:rsidR="00E465C8" w:rsidRPr="00FD60D8">
        <w:rPr>
          <w:sz w:val="18"/>
          <w:szCs w:val="20"/>
        </w:rPr>
        <w:t xml:space="preserve">MVP – Minimum </w:t>
      </w:r>
      <w:proofErr w:type="spellStart"/>
      <w:r w:rsidR="00E465C8" w:rsidRPr="00FD60D8">
        <w:rPr>
          <w:sz w:val="18"/>
          <w:szCs w:val="20"/>
        </w:rPr>
        <w:t>Viable</w:t>
      </w:r>
      <w:proofErr w:type="spellEnd"/>
      <w:r w:rsidR="00E465C8" w:rsidRPr="00FD60D8">
        <w:rPr>
          <w:sz w:val="18"/>
          <w:szCs w:val="20"/>
        </w:rPr>
        <w:t xml:space="preserve"> Product) lub metody kaskadowe / projektowe (opracowanie planu i harmonogramów realizacji)</w:t>
      </w:r>
    </w:p>
    <w:p w14:paraId="775AD878" w14:textId="6DA0F918" w:rsidR="00E465C8" w:rsidRPr="00FD60D8" w:rsidRDefault="00CB7C1E" w:rsidP="00FD60D8">
      <w:pPr>
        <w:spacing w:before="60" w:line="300" w:lineRule="auto"/>
        <w:ind w:left="360" w:firstLine="0"/>
        <w:rPr>
          <w:sz w:val="18"/>
          <w:szCs w:val="20"/>
        </w:rPr>
      </w:pPr>
      <w:r w:rsidRPr="00FD60D8">
        <w:rPr>
          <w:sz w:val="18"/>
          <w:szCs w:val="20"/>
        </w:rPr>
        <w:t xml:space="preserve">7.3  </w:t>
      </w:r>
      <w:r w:rsidR="00E465C8" w:rsidRPr="00FD60D8">
        <w:rPr>
          <w:sz w:val="18"/>
          <w:szCs w:val="20"/>
        </w:rPr>
        <w:t>[Z] Określenie wstępnej wizji celu do poprawy</w:t>
      </w:r>
    </w:p>
    <w:p w14:paraId="732F693A" w14:textId="61FDE35F" w:rsidR="00E465C8" w:rsidRPr="00FD60D8" w:rsidRDefault="00CB7C1E" w:rsidP="00FD60D8">
      <w:pPr>
        <w:spacing w:before="60" w:line="300" w:lineRule="auto"/>
        <w:ind w:left="360" w:firstLine="0"/>
        <w:rPr>
          <w:sz w:val="18"/>
          <w:szCs w:val="20"/>
        </w:rPr>
      </w:pPr>
      <w:r w:rsidRPr="00FD60D8">
        <w:rPr>
          <w:sz w:val="18"/>
          <w:szCs w:val="20"/>
        </w:rPr>
        <w:lastRenderedPageBreak/>
        <w:t xml:space="preserve">7.4  </w:t>
      </w:r>
      <w:r w:rsidR="00E465C8" w:rsidRPr="00FD60D8">
        <w:rPr>
          <w:sz w:val="18"/>
          <w:szCs w:val="20"/>
        </w:rPr>
        <w:t>[Z] Określenie przewidywanych etapów wdrożenia i celów cząstkowych (m. in. uwzględnienie potrzeb treningu i wsparcia dla osób będących pod wpływem zmian)</w:t>
      </w:r>
    </w:p>
    <w:p w14:paraId="7CE4DD2A" w14:textId="2CA4C2CB" w:rsidR="00E465C8" w:rsidRPr="00FD60D8" w:rsidRDefault="00CB7C1E" w:rsidP="00FD60D8">
      <w:pPr>
        <w:spacing w:before="60" w:line="300" w:lineRule="auto"/>
        <w:ind w:left="360" w:firstLine="0"/>
        <w:rPr>
          <w:sz w:val="18"/>
          <w:szCs w:val="20"/>
          <w:lang w:val="en-GB"/>
        </w:rPr>
      </w:pPr>
      <w:r w:rsidRPr="00FD60D8">
        <w:rPr>
          <w:sz w:val="18"/>
          <w:szCs w:val="20"/>
        </w:rPr>
        <w:t xml:space="preserve">7.5  </w:t>
      </w:r>
      <w:r w:rsidR="00E465C8" w:rsidRPr="00FD60D8">
        <w:rPr>
          <w:sz w:val="18"/>
          <w:szCs w:val="20"/>
        </w:rPr>
        <w:t xml:space="preserve">[Z] Ustalenie szczegółów pracy zespołu doskonalącego (skład zespołu i role w zespole, długość iteracji/sprintów, stopień zgodności z rekomendacjami konkretnej metody pracy – np. </w:t>
      </w:r>
      <w:r w:rsidR="00E465C8" w:rsidRPr="00FD60D8">
        <w:rPr>
          <w:sz w:val="18"/>
          <w:szCs w:val="20"/>
          <w:lang w:val="en-GB"/>
        </w:rPr>
        <w:t xml:space="preserve">Scrum, </w:t>
      </w:r>
      <w:proofErr w:type="spellStart"/>
      <w:r w:rsidR="00E465C8" w:rsidRPr="00FD60D8">
        <w:rPr>
          <w:sz w:val="18"/>
          <w:szCs w:val="20"/>
          <w:lang w:val="en-GB"/>
        </w:rPr>
        <w:t>SAFe</w:t>
      </w:r>
      <w:proofErr w:type="spellEnd"/>
      <w:r w:rsidR="00E465C8" w:rsidRPr="00FD60D8">
        <w:rPr>
          <w:sz w:val="18"/>
          <w:szCs w:val="20"/>
          <w:lang w:val="en-GB"/>
        </w:rPr>
        <w:t xml:space="preserve">, Kanban, FDD – Feature Driven Development, DSDM – Dynamic Systems Development Method, </w:t>
      </w:r>
      <w:proofErr w:type="spellStart"/>
      <w:r w:rsidR="00E465C8" w:rsidRPr="00FD60D8">
        <w:rPr>
          <w:sz w:val="18"/>
          <w:szCs w:val="20"/>
          <w:lang w:val="en-GB"/>
        </w:rPr>
        <w:t>ScrumBan</w:t>
      </w:r>
      <w:proofErr w:type="spellEnd"/>
      <w:r w:rsidR="00E465C8" w:rsidRPr="00FD60D8">
        <w:rPr>
          <w:sz w:val="18"/>
          <w:szCs w:val="20"/>
          <w:lang w:val="en-GB"/>
        </w:rPr>
        <w:t xml:space="preserve">, </w:t>
      </w:r>
      <w:proofErr w:type="spellStart"/>
      <w:r w:rsidR="00E465C8" w:rsidRPr="00FD60D8">
        <w:rPr>
          <w:sz w:val="18"/>
          <w:szCs w:val="20"/>
          <w:lang w:val="en-GB"/>
        </w:rPr>
        <w:t>LeanStartUp</w:t>
      </w:r>
      <w:proofErr w:type="spellEnd"/>
      <w:r w:rsidR="00E465C8" w:rsidRPr="00FD60D8">
        <w:rPr>
          <w:sz w:val="18"/>
          <w:szCs w:val="20"/>
          <w:lang w:val="en-GB"/>
        </w:rPr>
        <w:t xml:space="preserve">, </w:t>
      </w:r>
      <w:proofErr w:type="spellStart"/>
      <w:r w:rsidR="00E465C8" w:rsidRPr="00FD60D8">
        <w:rPr>
          <w:sz w:val="18"/>
          <w:szCs w:val="20"/>
          <w:lang w:val="en-GB"/>
        </w:rPr>
        <w:t>inne</w:t>
      </w:r>
      <w:proofErr w:type="spellEnd"/>
      <w:r w:rsidR="00E465C8" w:rsidRPr="00FD60D8">
        <w:rPr>
          <w:sz w:val="18"/>
          <w:szCs w:val="20"/>
          <w:lang w:val="en-GB"/>
        </w:rPr>
        <w:t>)</w:t>
      </w:r>
    </w:p>
    <w:p w14:paraId="73058147" w14:textId="3189E80C" w:rsidR="00E465C8" w:rsidRPr="00FD60D8" w:rsidRDefault="00CB7C1E" w:rsidP="00FD60D8">
      <w:pPr>
        <w:spacing w:before="60" w:line="300" w:lineRule="auto"/>
        <w:ind w:left="360" w:firstLine="0"/>
        <w:rPr>
          <w:sz w:val="18"/>
          <w:szCs w:val="20"/>
        </w:rPr>
      </w:pPr>
      <w:r w:rsidRPr="00FD60D8">
        <w:rPr>
          <w:sz w:val="18"/>
          <w:szCs w:val="20"/>
        </w:rPr>
        <w:t xml:space="preserve">7.6  </w:t>
      </w:r>
      <w:r w:rsidR="00E465C8" w:rsidRPr="00FD60D8">
        <w:rPr>
          <w:sz w:val="18"/>
          <w:szCs w:val="20"/>
        </w:rPr>
        <w:t xml:space="preserve">[Z] Określenie minimalnego zakresu pierwszej weryfikowalnej wersji wdrożonych zmian (rodzaj MVP) </w:t>
      </w:r>
    </w:p>
    <w:p w14:paraId="353D65B9" w14:textId="4C8BD1B0" w:rsidR="00E465C8" w:rsidRPr="00FD60D8" w:rsidRDefault="00CB7C1E" w:rsidP="00FD60D8">
      <w:pPr>
        <w:spacing w:before="60" w:line="300" w:lineRule="auto"/>
        <w:ind w:left="360" w:firstLine="0"/>
        <w:rPr>
          <w:sz w:val="18"/>
          <w:szCs w:val="20"/>
        </w:rPr>
      </w:pPr>
      <w:r w:rsidRPr="00FD60D8">
        <w:rPr>
          <w:sz w:val="18"/>
          <w:szCs w:val="20"/>
        </w:rPr>
        <w:t xml:space="preserve">7.7  </w:t>
      </w:r>
      <w:r w:rsidR="00E465C8" w:rsidRPr="00FD60D8">
        <w:rPr>
          <w:sz w:val="18"/>
          <w:szCs w:val="20"/>
        </w:rPr>
        <w:t>[Z] Ustalenie wstępnego planu działań wraz z ich przewidywanymi kosztami oraz wzajemnymi zależnościami</w:t>
      </w:r>
    </w:p>
    <w:p w14:paraId="0F743776" w14:textId="7A787A52" w:rsidR="00E465C8" w:rsidRPr="00FD60D8" w:rsidRDefault="00CB7C1E" w:rsidP="00FD60D8">
      <w:pPr>
        <w:spacing w:before="60" w:line="300" w:lineRule="auto"/>
        <w:ind w:left="360" w:firstLine="0"/>
        <w:rPr>
          <w:sz w:val="18"/>
          <w:szCs w:val="20"/>
        </w:rPr>
      </w:pPr>
      <w:r w:rsidRPr="00FD60D8">
        <w:rPr>
          <w:sz w:val="18"/>
          <w:szCs w:val="20"/>
        </w:rPr>
        <w:t xml:space="preserve">7.8  </w:t>
      </w:r>
      <w:r w:rsidR="00E465C8" w:rsidRPr="00FD60D8">
        <w:rPr>
          <w:sz w:val="18"/>
          <w:szCs w:val="20"/>
        </w:rPr>
        <w:t>[Z] Iteracyjne wdrażanie zmian i ich bieżąca weryfikacja (plan, realizacja, weryfikacja)</w:t>
      </w:r>
    </w:p>
    <w:p w14:paraId="788067C1" w14:textId="37871C7A" w:rsidR="00E465C8" w:rsidRPr="00FD60D8" w:rsidRDefault="00CB7C1E" w:rsidP="00FD60D8">
      <w:pPr>
        <w:spacing w:before="60" w:line="300" w:lineRule="auto"/>
        <w:ind w:left="360" w:firstLine="0"/>
        <w:rPr>
          <w:sz w:val="18"/>
          <w:szCs w:val="20"/>
        </w:rPr>
      </w:pPr>
      <w:r w:rsidRPr="00FD60D8">
        <w:rPr>
          <w:sz w:val="18"/>
          <w:szCs w:val="20"/>
        </w:rPr>
        <w:t xml:space="preserve">7.9  </w:t>
      </w:r>
      <w:r w:rsidR="00E465C8" w:rsidRPr="00FD60D8">
        <w:rPr>
          <w:sz w:val="18"/>
          <w:szCs w:val="20"/>
        </w:rPr>
        <w:t>[Z] Iteracyjne przeglądy i doskonalenie sposobów pracy i współpracy zespołu</w:t>
      </w:r>
    </w:p>
    <w:p w14:paraId="711958A9" w14:textId="79B87E49" w:rsidR="00E465C8" w:rsidRPr="00FD60D8" w:rsidRDefault="00CB7C1E" w:rsidP="00FD60D8">
      <w:pPr>
        <w:spacing w:before="60" w:line="300" w:lineRule="auto"/>
        <w:ind w:left="360" w:firstLine="0"/>
        <w:rPr>
          <w:sz w:val="18"/>
          <w:szCs w:val="20"/>
        </w:rPr>
      </w:pPr>
      <w:r w:rsidRPr="00FD60D8">
        <w:rPr>
          <w:sz w:val="18"/>
          <w:szCs w:val="20"/>
        </w:rPr>
        <w:t xml:space="preserve">7.10  </w:t>
      </w:r>
      <w:r w:rsidR="00E465C8" w:rsidRPr="00FD60D8">
        <w:rPr>
          <w:sz w:val="18"/>
          <w:szCs w:val="20"/>
        </w:rPr>
        <w:t>[Z] Weryfikacja MVP i ustalenie kolejnych etapów najbardziej wartościowych udoskonaleń pierwszej minimalnej wdrożonej wersji zmian (przy osiąganiu celu maksymalizować ilość pracy nie wykonanej)</w:t>
      </w:r>
    </w:p>
    <w:p w14:paraId="746B4DD8" w14:textId="477F4CF7" w:rsidR="00E465C8" w:rsidRPr="00FD60D8" w:rsidRDefault="00CB7C1E" w:rsidP="00FD60D8">
      <w:pPr>
        <w:spacing w:before="60" w:line="300" w:lineRule="auto"/>
        <w:ind w:left="360" w:firstLine="0"/>
        <w:rPr>
          <w:sz w:val="18"/>
          <w:szCs w:val="20"/>
        </w:rPr>
      </w:pPr>
      <w:r w:rsidRPr="00FD60D8">
        <w:rPr>
          <w:sz w:val="18"/>
          <w:szCs w:val="20"/>
        </w:rPr>
        <w:t xml:space="preserve">7.11  </w:t>
      </w:r>
      <w:r w:rsidR="00E465C8" w:rsidRPr="00FD60D8">
        <w:rPr>
          <w:sz w:val="18"/>
          <w:szCs w:val="20"/>
        </w:rPr>
        <w:t>[Z] Iteracyjne wdrażanie kolejnych udoskonaleń do MVP, aż do osiągnięcia celu poprawy lub określenia nowych celów doskonalenia</w:t>
      </w:r>
    </w:p>
    <w:p w14:paraId="53963A73" w14:textId="26C3FAF5" w:rsidR="00E465C8" w:rsidRPr="00FD60D8" w:rsidRDefault="00CB7C1E" w:rsidP="00FD60D8">
      <w:pPr>
        <w:spacing w:before="60" w:line="300" w:lineRule="auto"/>
        <w:ind w:left="360" w:firstLine="0"/>
        <w:rPr>
          <w:sz w:val="18"/>
          <w:szCs w:val="20"/>
        </w:rPr>
      </w:pPr>
      <w:r w:rsidRPr="00FD60D8">
        <w:rPr>
          <w:sz w:val="18"/>
          <w:szCs w:val="20"/>
        </w:rPr>
        <w:t xml:space="preserve">7.12  </w:t>
      </w:r>
      <w:r w:rsidR="00E465C8" w:rsidRPr="00FD60D8">
        <w:rPr>
          <w:sz w:val="18"/>
          <w:szCs w:val="20"/>
        </w:rPr>
        <w:t>[K] Szczegółowe określenie celu do osiągnięcia</w:t>
      </w:r>
    </w:p>
    <w:p w14:paraId="454D25AB" w14:textId="4333A8C1" w:rsidR="00E465C8" w:rsidRPr="00FD60D8" w:rsidRDefault="00CB7C1E" w:rsidP="00FD60D8">
      <w:pPr>
        <w:spacing w:before="60" w:line="300" w:lineRule="auto"/>
        <w:ind w:left="360" w:firstLine="0"/>
        <w:rPr>
          <w:sz w:val="18"/>
          <w:szCs w:val="20"/>
        </w:rPr>
      </w:pPr>
      <w:r w:rsidRPr="00FD60D8">
        <w:rPr>
          <w:sz w:val="18"/>
          <w:szCs w:val="20"/>
        </w:rPr>
        <w:t xml:space="preserve">7.13  </w:t>
      </w:r>
      <w:r w:rsidR="00E465C8" w:rsidRPr="00FD60D8">
        <w:rPr>
          <w:sz w:val="18"/>
          <w:szCs w:val="20"/>
        </w:rPr>
        <w:t>[K] Wykonanie planu wdrożenia, przy wykorzystaniu dostępnych zasobów (m. in. uwzględnienie potrzeb treningu i wsparcia dla osób będących pod wpływem zmian)</w:t>
      </w:r>
    </w:p>
    <w:p w14:paraId="3BAAED6F" w14:textId="6A0E3BD7" w:rsidR="00E465C8" w:rsidRPr="00FD60D8" w:rsidRDefault="00CB7C1E" w:rsidP="00FD60D8">
      <w:pPr>
        <w:spacing w:before="60" w:line="300" w:lineRule="auto"/>
        <w:ind w:left="360" w:firstLine="0"/>
        <w:rPr>
          <w:sz w:val="18"/>
          <w:szCs w:val="20"/>
        </w:rPr>
      </w:pPr>
      <w:r w:rsidRPr="00FD60D8">
        <w:rPr>
          <w:sz w:val="18"/>
          <w:szCs w:val="20"/>
        </w:rPr>
        <w:t xml:space="preserve">7.14  </w:t>
      </w:r>
      <w:r w:rsidR="00E465C8" w:rsidRPr="00FD60D8">
        <w:rPr>
          <w:sz w:val="18"/>
          <w:szCs w:val="20"/>
        </w:rPr>
        <w:t>[K] Weryfikacja planu i opracowanie harmonogramu wraz z harmonogramem wykorzystania zasobów</w:t>
      </w:r>
    </w:p>
    <w:p w14:paraId="27638CC6" w14:textId="5F80B9AB" w:rsidR="00E465C8" w:rsidRPr="00FD60D8" w:rsidRDefault="00CB7C1E" w:rsidP="00FD60D8">
      <w:pPr>
        <w:spacing w:before="60" w:line="300" w:lineRule="auto"/>
        <w:ind w:left="360" w:firstLine="0"/>
        <w:rPr>
          <w:sz w:val="18"/>
          <w:szCs w:val="20"/>
        </w:rPr>
      </w:pPr>
      <w:r w:rsidRPr="00FD60D8">
        <w:rPr>
          <w:sz w:val="18"/>
          <w:szCs w:val="20"/>
        </w:rPr>
        <w:t xml:space="preserve">7.15  </w:t>
      </w:r>
      <w:r w:rsidR="00E465C8" w:rsidRPr="00FD60D8">
        <w:rPr>
          <w:sz w:val="18"/>
          <w:szCs w:val="20"/>
        </w:rPr>
        <w:t xml:space="preserve">[K] Określenie ścieżki krytycznej projektu i najistotniejszych </w:t>
      </w:r>
      <w:proofErr w:type="spellStart"/>
      <w:r w:rsidR="00E465C8" w:rsidRPr="00FD60D8">
        <w:rPr>
          <w:sz w:val="18"/>
          <w:szCs w:val="20"/>
        </w:rPr>
        <w:t>ryzyk</w:t>
      </w:r>
      <w:proofErr w:type="spellEnd"/>
      <w:r w:rsidR="00E465C8" w:rsidRPr="00FD60D8">
        <w:rPr>
          <w:sz w:val="18"/>
          <w:szCs w:val="20"/>
        </w:rPr>
        <w:t xml:space="preserve"> do monitorowania</w:t>
      </w:r>
    </w:p>
    <w:p w14:paraId="311C4C6A" w14:textId="099CBC7A" w:rsidR="00E465C8" w:rsidRPr="00FD60D8" w:rsidRDefault="00CB7C1E" w:rsidP="00FD60D8">
      <w:pPr>
        <w:spacing w:before="60" w:line="300" w:lineRule="auto"/>
        <w:ind w:left="360" w:firstLine="0"/>
        <w:rPr>
          <w:sz w:val="18"/>
          <w:szCs w:val="20"/>
        </w:rPr>
      </w:pPr>
      <w:r w:rsidRPr="00FD60D8">
        <w:rPr>
          <w:sz w:val="18"/>
          <w:szCs w:val="20"/>
        </w:rPr>
        <w:t xml:space="preserve">7.16  </w:t>
      </w:r>
      <w:r w:rsidR="00E465C8" w:rsidRPr="00FD60D8">
        <w:rPr>
          <w:sz w:val="18"/>
          <w:szCs w:val="20"/>
        </w:rPr>
        <w:t>[K] Wprowadzenie ewentualnych korekt do planu</w:t>
      </w:r>
    </w:p>
    <w:p w14:paraId="25AC5919" w14:textId="11B2DD03" w:rsidR="00E465C8" w:rsidRPr="00FD60D8" w:rsidRDefault="00CB7C1E" w:rsidP="00FD60D8">
      <w:pPr>
        <w:spacing w:before="60" w:line="300" w:lineRule="auto"/>
        <w:ind w:left="360" w:firstLine="0"/>
        <w:rPr>
          <w:sz w:val="18"/>
          <w:szCs w:val="20"/>
        </w:rPr>
      </w:pPr>
      <w:r w:rsidRPr="00FD60D8">
        <w:rPr>
          <w:sz w:val="18"/>
          <w:szCs w:val="20"/>
        </w:rPr>
        <w:t xml:space="preserve">7.17  </w:t>
      </w:r>
      <w:r w:rsidR="00E465C8" w:rsidRPr="00FD60D8">
        <w:rPr>
          <w:sz w:val="18"/>
          <w:szCs w:val="20"/>
        </w:rPr>
        <w:t xml:space="preserve">[K] Realizacja planu i monitorowanie sytuacji w celu identyfikacji konieczności wprowadzenie modyfikacji do planu </w:t>
      </w:r>
    </w:p>
    <w:p w14:paraId="5FE2DEB6" w14:textId="15503F42" w:rsidR="00E465C8" w:rsidRPr="00FD60D8" w:rsidRDefault="00CB7C1E" w:rsidP="00FD60D8">
      <w:pPr>
        <w:spacing w:before="60" w:line="300" w:lineRule="auto"/>
        <w:ind w:left="360" w:firstLine="0"/>
        <w:rPr>
          <w:sz w:val="18"/>
          <w:szCs w:val="20"/>
        </w:rPr>
      </w:pPr>
      <w:r w:rsidRPr="00FD60D8">
        <w:rPr>
          <w:sz w:val="18"/>
          <w:szCs w:val="20"/>
        </w:rPr>
        <w:t xml:space="preserve">7.18  </w:t>
      </w:r>
      <w:r w:rsidR="00E465C8" w:rsidRPr="00FD60D8">
        <w:rPr>
          <w:sz w:val="18"/>
          <w:szCs w:val="20"/>
        </w:rPr>
        <w:t>[K] Weryfikacja stopnia osiągnięcia celu poprawy</w:t>
      </w:r>
    </w:p>
    <w:p w14:paraId="1D86C2A9" w14:textId="62FB046E" w:rsidR="00E465C8" w:rsidRPr="00FD60D8" w:rsidRDefault="00CB7C1E" w:rsidP="00FD60D8">
      <w:pPr>
        <w:spacing w:before="60" w:line="300" w:lineRule="auto"/>
        <w:ind w:firstLine="0"/>
        <w:rPr>
          <w:sz w:val="18"/>
          <w:szCs w:val="20"/>
        </w:rPr>
      </w:pPr>
      <w:r w:rsidRPr="00FD60D8">
        <w:rPr>
          <w:sz w:val="18"/>
          <w:szCs w:val="20"/>
        </w:rPr>
        <w:t xml:space="preserve">8  </w:t>
      </w:r>
      <w:r w:rsidR="00E465C8" w:rsidRPr="00FD60D8">
        <w:rPr>
          <w:sz w:val="18"/>
          <w:szCs w:val="20"/>
        </w:rPr>
        <w:t>Zaplanowanie ciągłego pozyskiwania informacji zwrotnej</w:t>
      </w:r>
    </w:p>
    <w:p w14:paraId="55E69F5D" w14:textId="07AF662A" w:rsidR="00E465C8" w:rsidRPr="00FD60D8" w:rsidRDefault="00CB7C1E" w:rsidP="00FD60D8">
      <w:pPr>
        <w:spacing w:before="60" w:line="300" w:lineRule="auto"/>
        <w:ind w:left="360" w:firstLine="0"/>
        <w:rPr>
          <w:sz w:val="18"/>
          <w:szCs w:val="20"/>
        </w:rPr>
      </w:pPr>
      <w:r w:rsidRPr="00FD60D8">
        <w:rPr>
          <w:sz w:val="18"/>
          <w:szCs w:val="20"/>
        </w:rPr>
        <w:t xml:space="preserve">8.1  </w:t>
      </w:r>
      <w:r w:rsidR="00E465C8" w:rsidRPr="00FD60D8">
        <w:rPr>
          <w:sz w:val="18"/>
          <w:szCs w:val="20"/>
        </w:rPr>
        <w:t>Ustalenie szczegółów metod ciągłego pozyskiwania informacji zwrotnej</w:t>
      </w:r>
    </w:p>
    <w:p w14:paraId="0B7CA80D" w14:textId="36842B38" w:rsidR="00E465C8" w:rsidRPr="00FD60D8" w:rsidRDefault="00CB7C1E" w:rsidP="00FD60D8">
      <w:pPr>
        <w:spacing w:before="60" w:line="300" w:lineRule="auto"/>
        <w:ind w:left="360" w:firstLine="0"/>
        <w:rPr>
          <w:sz w:val="18"/>
          <w:szCs w:val="20"/>
        </w:rPr>
      </w:pPr>
      <w:r w:rsidRPr="00FD60D8">
        <w:rPr>
          <w:sz w:val="18"/>
          <w:szCs w:val="20"/>
        </w:rPr>
        <w:t xml:space="preserve">8.2  </w:t>
      </w:r>
      <w:r w:rsidR="00E465C8" w:rsidRPr="00FD60D8">
        <w:rPr>
          <w:sz w:val="18"/>
          <w:szCs w:val="20"/>
        </w:rPr>
        <w:t>Zaplanowanie regularnych cykli pozyskiwania informacji zwrotnej</w:t>
      </w:r>
    </w:p>
    <w:p w14:paraId="4847B877" w14:textId="577E5EA4" w:rsidR="00E465C8" w:rsidRPr="00FD60D8" w:rsidRDefault="00CB7C1E" w:rsidP="00FD60D8">
      <w:pPr>
        <w:spacing w:before="60" w:line="300" w:lineRule="auto"/>
        <w:ind w:left="360" w:firstLine="0"/>
        <w:rPr>
          <w:sz w:val="18"/>
          <w:szCs w:val="20"/>
        </w:rPr>
      </w:pPr>
      <w:r w:rsidRPr="00FD60D8">
        <w:rPr>
          <w:sz w:val="18"/>
          <w:szCs w:val="20"/>
        </w:rPr>
        <w:t xml:space="preserve">8.3  </w:t>
      </w:r>
      <w:r w:rsidR="00E465C8" w:rsidRPr="00FD60D8">
        <w:rPr>
          <w:sz w:val="18"/>
          <w:szCs w:val="20"/>
        </w:rPr>
        <w:t>Automatyzacja procesu pozyskiwania informacji zwrotnej tam</w:t>
      </w:r>
      <w:r w:rsidR="00FD60D8">
        <w:rPr>
          <w:sz w:val="18"/>
          <w:szCs w:val="20"/>
        </w:rPr>
        <w:t>,</w:t>
      </w:r>
      <w:r w:rsidR="00E465C8" w:rsidRPr="00FD60D8">
        <w:rPr>
          <w:sz w:val="18"/>
          <w:szCs w:val="20"/>
        </w:rPr>
        <w:t xml:space="preserve"> gdzie to możliwe (wspierające osiąganie celów pozyskiwania informacji zwrotnej)</w:t>
      </w:r>
    </w:p>
    <w:p w14:paraId="027C7A7C" w14:textId="75F29B07" w:rsidR="00E465C8" w:rsidRPr="00FD60D8" w:rsidRDefault="00CB7C1E" w:rsidP="00FD60D8">
      <w:pPr>
        <w:spacing w:before="60" w:line="300" w:lineRule="auto"/>
        <w:ind w:left="360" w:firstLine="0"/>
        <w:rPr>
          <w:sz w:val="18"/>
          <w:szCs w:val="20"/>
        </w:rPr>
      </w:pPr>
      <w:r w:rsidRPr="00FD60D8">
        <w:rPr>
          <w:sz w:val="18"/>
          <w:szCs w:val="20"/>
        </w:rPr>
        <w:t xml:space="preserve">8.4  </w:t>
      </w:r>
      <w:r w:rsidR="00E465C8" w:rsidRPr="00FD60D8">
        <w:rPr>
          <w:sz w:val="18"/>
          <w:szCs w:val="20"/>
        </w:rPr>
        <w:t>Zaangażowanie interesariuszy w proces udzielania informacji zwrotnej (m. in. poprzez komunikowanie o tym w jaki sposób ich informacja zwrotna przyczyniła się do wdrożenia konkretnych zmian)</w:t>
      </w:r>
    </w:p>
    <w:p w14:paraId="6B23E9CD" w14:textId="19472CFA" w:rsidR="00FD60D8" w:rsidRDefault="00FD60D8" w:rsidP="00FD60D8">
      <w:r>
        <w:t xml:space="preserve">Punkty od 7 i 8 odpowiadają fazom </w:t>
      </w:r>
      <w:r w:rsidR="00EA5D6A">
        <w:t>wykonaj</w:t>
      </w:r>
      <w:r>
        <w:t xml:space="preserve"> (</w:t>
      </w:r>
      <w:r w:rsidRPr="00FD60D8">
        <w:rPr>
          <w:i/>
          <w:iCs/>
        </w:rPr>
        <w:t>Do</w:t>
      </w:r>
      <w:r>
        <w:t>) i sprawdzaj (</w:t>
      </w:r>
      <w:proofErr w:type="spellStart"/>
      <w:r w:rsidRPr="00FD60D8">
        <w:rPr>
          <w:i/>
          <w:iCs/>
        </w:rPr>
        <w:t>Check</w:t>
      </w:r>
      <w:proofErr w:type="spellEnd"/>
      <w:r>
        <w:t>) cyklu udoskonaleń systemu zarządzania jakością.</w:t>
      </w:r>
      <w:r w:rsidR="00F91D1C">
        <w:t xml:space="preserve"> Stanowią one trzon i centralną część procesu doskonalenia. Etap 7. zawiera w sobie ustaloną logikę postępowania w zależności od rodzaju problemu wybranego do doskonalenia. Niezależnie od tego jednak jaki problem będzie podjęty należy najpierw zapewnić odpowiednie wsparcie lub zaangażowanie kierownictwa w procesy doskonalące (7.1). Może mieć to formę bezpośredniego i aktywnego udziału władz uczelni lub wydziałów w zespole doskonalący, lub też szerokiego uprawomocnienia reprezentantów tego zespołu do wprowadzania zmian w ustalonych obszarach systemu zarządzania jakością uczelni. W zależności od efektów analiz przyczyn problemów te działania mogą się charakteryzować różnym stopniem wymaganych interwencji więc również skala potrzebnego wsparcia ze strony kierownictwa organizacji może być różna. Niemniej należy zapewnić, że zespół doskonalący będzie dysponował odpowiednimi zasobami, środkami i możliwościami do szybkiego wdrażania i weryfikacji efektów zaplanowanych zmian.</w:t>
      </w:r>
      <w:r w:rsidR="00B15F87">
        <w:t xml:space="preserve"> Następnym krokiem (7.2) jest wybór metodologii dla procesu wdrażania udoskonaleń. Jest to etap decyzyjny pomiędzy wyborem ścieżki postępowania zgodnej z koncepcją metodologii kaskadowych (projektowych), a wyborem </w:t>
      </w:r>
      <w:r w:rsidR="00B15F87">
        <w:lastRenderedPageBreak/>
        <w:t>ścieżki postępowania zgodnej z filozofią metodologii zwinnych. Te dwa zasadniczo różne podejścia do organizacji procesu implementacji zmian wykazują swoje przewagi w różnych sytuacjach, a zatem nie można stwierdzić, że jedno z nich zawsze będzie lepsze</w:t>
      </w:r>
      <w:r w:rsidR="00256D54">
        <w:t xml:space="preserve"> </w:t>
      </w:r>
      <w:r w:rsidR="00256D54">
        <w:fldChar w:fldCharType="begin" w:fldLock="1"/>
      </w:r>
      <w:r w:rsidR="00256D54">
        <w:instrText>ADDIN CSL_CITATION {"citationItems":[{"id":"ITEM-1","itemData":{"author":[{"dropping-particle":"","family":"Balaji","given":"Sundramoorthy","non-dropping-particle":"","parse-names":false,"suffix":""},{"dropping-particle":"","family":"Murugaiyan","given":"M Sundararajan","non-dropping-particle":"","parse-names":false,"suffix":""}],"container-title":"International Journal of Information Technology and Business Management","id":"ITEM-1","issue":"1","issued":{"date-parts":[["2012"]]},"page":"26-30","title":"Waterfall vs. V-Model vs. Agile: A comparative study on SDLC","type":"article-journal","volume":"2"},"prefix":"por.","uris":["http://www.mendeley.com/documents/?uuid=34a67f53-c14e-46cd-8332-0162ae3b9456"]},{"id":"ITEM-2","itemData":{"DOI":"10.1007/s13198-023-01958-5","ISSN":"0975-6809","abstract":"The use of agile methodology has become widespread in organizations that previously relied on traditional or structured software development methods, such as the waterfall approach. Successful completion rates for agile initiatives are at 40%, whereas only 15% of waterfall projects were successfully completed. To take advantage of the benefits of each method, many organizations are using a hybrid approach that combines Agile with Waterfall and structured software development methodologies. Rather than asking which methodology is superior, it is more productive to determine which one is most effective for a particular project. Agile projects have a failure rate of 10%, while waterfall projects fail 30% of the time. This study aims to compare and contrast agile and waterfall methodologies in order to create a decision tree for selecting the most suitable method for a software development project. Several cases and scenarios are examined using the hybrid development approach. Despite many advantages of Agile methodologies, a combination approach may be necessary, as Waterfall may be required for certain projects or development phases. This study explores the feasibility of combining Waterfall and Agile methodologies in software development management.","author":[{"dropping-particle":"","family":"Mishra","given":"Alok","non-dropping-particle":"","parse-names":false,"suffix":""},{"dropping-particle":"","family":"Alzoubi","given":"Yehia Ibrahim","non-dropping-particle":"","parse-names":false,"suffix":""}],"container-title":"International Journal of System Assurance Engineering and Management","id":"ITEM-2","issue":"4","issued":{"date-parts":[["2023","8","12"]]},"page":"1504-1522","title":"Structured software development versus agile software development: a comparative analysis","type":"article-journal","volume":"14"},"uris":["http://www.mendeley.com/documents/?uuid=4f6b524a-fc0d-4309-baa7-150d174c51bd"]}],"mendeley":{"formattedCitation":"(por. Balaji &amp; Murugaiyan, 2012; Mishra &amp; Alzoubi, 2023)","plainTextFormattedCitation":"(por. Balaji &amp; Murugaiyan, 2012; Mishra &amp; Alzoubi, 2023)","previouslyFormattedCitation":"(por. Balaji &amp; Murugaiyan, 2012; Mishra &amp; Alzoubi, 2023)"},"properties":{"noteIndex":0},"schema":"https://github.com/citation-style-language/schema/raw/master/csl-citation.json"}</w:instrText>
      </w:r>
      <w:r w:rsidR="00256D54">
        <w:fldChar w:fldCharType="separate"/>
      </w:r>
      <w:r w:rsidR="00256D54" w:rsidRPr="00256D54">
        <w:rPr>
          <w:noProof/>
        </w:rPr>
        <w:t>(por. Balaji &amp; Murugaiyan, 2012; Mishra &amp; Alzoubi, 2023)</w:t>
      </w:r>
      <w:r w:rsidR="00256D54">
        <w:fldChar w:fldCharType="end"/>
      </w:r>
      <w:r w:rsidR="00B15F87">
        <w:t>.</w:t>
      </w:r>
      <w:r w:rsidR="00F6562D">
        <w:t xml:space="preserve"> </w:t>
      </w:r>
      <w:r w:rsidR="00256D54">
        <w:t xml:space="preserve">W celu dokonania odpowiedniego wyboru można się posłużyć modelami decyzyjnymi opracowanymi w literaturze przedmiotu jak choćby tym przedstawionym przez </w:t>
      </w:r>
      <w:proofErr w:type="spellStart"/>
      <w:r w:rsidR="00256D54">
        <w:t>Thesinga</w:t>
      </w:r>
      <w:proofErr w:type="spellEnd"/>
      <w:r w:rsidR="00256D54">
        <w:t xml:space="preserve"> i in. </w:t>
      </w:r>
      <w:r w:rsidR="00F6562D">
        <w:fldChar w:fldCharType="begin" w:fldLock="1"/>
      </w:r>
      <w:r w:rsidR="00422643">
        <w:instrText>ADDIN CSL_CITATION {"citationItems":[{"id":"ITEM-1","itemData":{"DOI":"10.1016/j.procs.2021.01.227","ISSN":"18770509","author":[{"dropping-particle":"","family":"Thesing","given":"Theo","non-dropping-particle":"","parse-names":false,"suffix":""},{"dropping-particle":"","family":"Feldmann","given":"Carsten","non-dropping-particle":"","parse-names":false,"suffix":""},{"dropping-particle":"","family":"Burchardt","given":"Martin","non-dropping-particle":"","parse-names":false,"suffix":""}],"container-title":"Procedia Computer Science","id":"ITEM-1","issued":{"date-parts":[["2021"]]},"page":"746-756","title":"Agile versus Waterfall Project Management: Decision Model for Selecting the Appropriate Approach to a Project","type":"article-journal","volume":"181"},"suppress-author":1,"uris":["http://www.mendeley.com/documents/?uuid=a0d02a40-5cad-416d-be37-63af103bb477"]}],"mendeley":{"formattedCitation":"(2021)","plainTextFormattedCitation":"(2021)","previouslyFormattedCitation":"(2021)"},"properties":{"noteIndex":0},"schema":"https://github.com/citation-style-language/schema/raw/master/csl-citation.json"}</w:instrText>
      </w:r>
      <w:r w:rsidR="00F6562D">
        <w:fldChar w:fldCharType="separate"/>
      </w:r>
      <w:r w:rsidR="00256D54" w:rsidRPr="00256D54">
        <w:rPr>
          <w:noProof/>
        </w:rPr>
        <w:t>(2021)</w:t>
      </w:r>
      <w:r w:rsidR="00F6562D">
        <w:fldChar w:fldCharType="end"/>
      </w:r>
      <w:r w:rsidR="00256D54">
        <w:t>. Jednak najistotniejszym parametrem przy podejmowaniu decyzji wydaję się być poziom pewności co do stałości wymagań. Otóż projekty charakteryzujące się istotną niepewnością co do stałości wymagań w czasie, np. duże lub prowadzone w dynamicznie zmieniającym się otoczeniu będą prowadzone znacznie bardziej efektywnie w przypadku zastosowania metodologii zwinnych (</w:t>
      </w:r>
      <w:r w:rsidR="00256D54" w:rsidRPr="00256D54">
        <w:rPr>
          <w:i/>
          <w:iCs/>
        </w:rPr>
        <w:t>agile</w:t>
      </w:r>
      <w:r w:rsidR="00256D54">
        <w:t>). Z drugiej strony wdrożenia związane z precyzyjnie określonymi, stałymi wymaganiami (np. regulacje prawne) lub też mające istotne ograniczenia czasowe, raczej będą łatwiejsze do skutecznego przeprowadzenia przy wykorzystaniu metodologii kaskadowych (</w:t>
      </w:r>
      <w:proofErr w:type="spellStart"/>
      <w:r w:rsidR="00256D54" w:rsidRPr="00256D54">
        <w:rPr>
          <w:i/>
          <w:iCs/>
        </w:rPr>
        <w:t>waterfall</w:t>
      </w:r>
      <w:proofErr w:type="spellEnd"/>
      <w:r w:rsidR="00256D54">
        <w:t xml:space="preserve">). Dotyczy to także zmian </w:t>
      </w:r>
      <w:r w:rsidR="00305A63">
        <w:t xml:space="preserve">stosunkowo </w:t>
      </w:r>
      <w:r w:rsidR="00256D54">
        <w:t xml:space="preserve">niewielkich </w:t>
      </w:r>
      <w:r w:rsidR="00305A63">
        <w:t>o nie budzących wątpliwości metodach wdrożenia. W takich sytuacjach metody projektowe (kaskadowe) zapewniają transparentność postępów w ramach całego procesu wdrożenia.</w:t>
      </w:r>
    </w:p>
    <w:p w14:paraId="6F9B5B9A" w14:textId="539B5734" w:rsidR="008F7470" w:rsidRDefault="00A5698A" w:rsidP="00FD60D8">
      <w:r>
        <w:t>Przy wyborze ścieżki dla metod zwinnych pierwszym krokiem postępowania będzie określenie (doprecyzowanie) wstępnej wizji celu do poprawy (7.3). Z samego faktu wyboru metod zwinnych wynika, że od początku mówimy o pewnej wstępnej wizji dla wybranego celu, ponieważ ze względu na zmienność lub niepewność materii lub środowiska wybranego problemu do poprawy nie jest możliwe określenie dokładnego celu, gdyż w trakcie działań może on ulec pewnym modyfikacjom. Niemniej taka wizja celu jest konieczna do klarownego sprecyzowania, gdyż stanowi punkt odniesienia i ramy w jakich będą podejmowane dalsze działania doskonalące.</w:t>
      </w:r>
      <w:r w:rsidR="00D4228E">
        <w:t xml:space="preserve"> Z podobnych przyczyn w kolejnym kroku powinno się określić przewidywane etapy wdrożenia (7.4) i cele cząstkowe. </w:t>
      </w:r>
      <w:r w:rsidR="00114AF4">
        <w:t>Nie jest sensowe w zmiennym i obarczonym dużą niepewnością środowisku inwestowanie zasobów w określanie dalekosiężnych szczegółowych planów działania. Natomiast warto starannie przeanalizować wymagania dla najbliższych, krótkoterminowych działań, by te, które będą podejmowane mogły szybko przynosić weryfikowalne efekty. W tym miejscu warto też podkreślić, że wdrażane zmiany z dużym prawdopodobieństwem będą oddziaływały na różnych interesariuszy. W związku z tym od samego początku trzeba zidentyfikować ograniczenia związane z potencjalnie negatywnie odbieranymi efektami zmian i zaplanować odpowiednie metody wsparcia dla tych osób.</w:t>
      </w:r>
      <w:r w:rsidR="00D16261">
        <w:t xml:space="preserve"> Przed rozpoczęciem procesu implementacji należy też ustalić zasady współpracy w ramach zespołu wdrożeniowego (7.5). Można skorzystać przy tym z zasad określonych przez uznane metody pracy zespołów zwinnych takie jak </w:t>
      </w:r>
      <w:proofErr w:type="spellStart"/>
      <w:r w:rsidR="00D16261">
        <w:t>Scrum</w:t>
      </w:r>
      <w:proofErr w:type="spellEnd"/>
      <w:r w:rsidR="00D16261">
        <w:t xml:space="preserve">, </w:t>
      </w:r>
      <w:proofErr w:type="spellStart"/>
      <w:r w:rsidR="00D16261">
        <w:t>Kanban</w:t>
      </w:r>
      <w:proofErr w:type="spellEnd"/>
      <w:r w:rsidR="00D16261">
        <w:t>, FDD (</w:t>
      </w:r>
      <w:proofErr w:type="spellStart"/>
      <w:r w:rsidR="00D16261" w:rsidRPr="00D16261">
        <w:rPr>
          <w:i/>
          <w:iCs/>
        </w:rPr>
        <w:t>Feature</w:t>
      </w:r>
      <w:proofErr w:type="spellEnd"/>
      <w:r w:rsidR="00D16261" w:rsidRPr="00D16261">
        <w:rPr>
          <w:i/>
          <w:iCs/>
        </w:rPr>
        <w:t xml:space="preserve"> </w:t>
      </w:r>
      <w:proofErr w:type="spellStart"/>
      <w:r w:rsidR="00D16261" w:rsidRPr="00D16261">
        <w:rPr>
          <w:i/>
          <w:iCs/>
        </w:rPr>
        <w:t>Driven</w:t>
      </w:r>
      <w:proofErr w:type="spellEnd"/>
      <w:r w:rsidR="00D16261" w:rsidRPr="00D16261">
        <w:rPr>
          <w:i/>
          <w:iCs/>
        </w:rPr>
        <w:t xml:space="preserve"> Development</w:t>
      </w:r>
      <w:r w:rsidR="00D16261">
        <w:t>), DSDM (</w:t>
      </w:r>
      <w:proofErr w:type="spellStart"/>
      <w:r w:rsidR="00D16261" w:rsidRPr="00D16261">
        <w:rPr>
          <w:i/>
          <w:iCs/>
        </w:rPr>
        <w:t>Dynamic</w:t>
      </w:r>
      <w:proofErr w:type="spellEnd"/>
      <w:r w:rsidR="00D16261" w:rsidRPr="00D16261">
        <w:rPr>
          <w:i/>
          <w:iCs/>
        </w:rPr>
        <w:t xml:space="preserve"> Systems Development Method</w:t>
      </w:r>
      <w:r w:rsidR="00D16261">
        <w:t>)</w:t>
      </w:r>
      <w:r w:rsidR="00325384">
        <w:t xml:space="preserve">, </w:t>
      </w:r>
      <w:proofErr w:type="spellStart"/>
      <w:r w:rsidR="00325384">
        <w:t>ScrumBan</w:t>
      </w:r>
      <w:proofErr w:type="spellEnd"/>
      <w:r w:rsidR="00325384">
        <w:t xml:space="preserve">, </w:t>
      </w:r>
      <w:proofErr w:type="spellStart"/>
      <w:r w:rsidR="00325384">
        <w:t>LeanStartUp</w:t>
      </w:r>
      <w:proofErr w:type="spellEnd"/>
      <w:r w:rsidR="00325384">
        <w:t xml:space="preserve">, </w:t>
      </w:r>
      <w:proofErr w:type="spellStart"/>
      <w:r w:rsidR="00325384">
        <w:t>SAFe</w:t>
      </w:r>
      <w:proofErr w:type="spellEnd"/>
      <w:r w:rsidR="00325384">
        <w:t>, lub inne, kierując się ich odpowiedniością i znajomością lub łatwością do zastosowania dla konkretnego zespołu. Po ustaleniu zasad pracy zespołu należy określić zakres pierwszej weryfikowalnej wersji wdrożonych zmian (7.6). Jest to nawiązanie do koncepcji MVP (</w:t>
      </w:r>
      <w:r w:rsidR="00325384" w:rsidRPr="00325384">
        <w:rPr>
          <w:i/>
          <w:iCs/>
        </w:rPr>
        <w:t xml:space="preserve">Minimum </w:t>
      </w:r>
      <w:proofErr w:type="spellStart"/>
      <w:r w:rsidR="00325384" w:rsidRPr="00325384">
        <w:rPr>
          <w:i/>
          <w:iCs/>
        </w:rPr>
        <w:t>Viable</w:t>
      </w:r>
      <w:proofErr w:type="spellEnd"/>
      <w:r w:rsidR="00325384" w:rsidRPr="00325384">
        <w:rPr>
          <w:i/>
          <w:iCs/>
        </w:rPr>
        <w:t xml:space="preserve"> Product)</w:t>
      </w:r>
      <w:r w:rsidR="00325384">
        <w:t xml:space="preserve"> stosowanej przez zespoły stosujące metody zwinne</w:t>
      </w:r>
      <w:r w:rsidR="00422643">
        <w:t xml:space="preserve"> </w:t>
      </w:r>
      <w:r w:rsidR="00422643">
        <w:fldChar w:fldCharType="begin" w:fldLock="1"/>
      </w:r>
      <w:r w:rsidR="00800A0B">
        <w:instrText>ADDIN CSL_CITATION {"citationItems":[{"id":"ITEM-1","itemData":{"DOI":"10.1007/978-3-319-33515-5_10","ISBN":"978-3-319-33514-8","abstract":"Minimum viable product (MVP) is the main focus of both business and product development activities in software startups. We empirically explored five early stage software startups to understand how MVP are used in early stages. Data was collected from interviews, observation and documents. We looked at the MVP usage from two angles, software prototyping and boundary spanning theory. We found that roles of MVPs in startups were not fully aware by entrepreneurs. Besides supporting validated learning, MVPs are used to facilitate product design, to bridge communication gaps and to facilitate cost-effective product development activities. Entrepreneurs should consider a systematic approach to fully explore the value of MVP, as a multiple facet product (MFP). The work also implies several research directions about prototyping practices and patterns in software startups.","author":[{"dropping-particle":"","family":"Duc","given":"Anh Nguyen","non-dropping-particle":"","parse-names":false,"suffix":""},{"dropping-particle":"","family":"Abrahamsson","given":"Pekka","non-dropping-particle":"","parse-names":false,"suffix":""}],"collection-title":"Lecture Notes in Business Information Processing","container-title":"Agile Processes, in Software Engineering, and Extreme Programming","editor":[{"dropping-particle":"","family":"Sharp","given":"Helen","non-dropping-particle":"","parse-names":false,"suffix":""},{"dropping-particle":"","family":"Hall","given":"Tracy","non-dropping-particle":"","parse-names":false,"suffix":""}],"id":"ITEM-1","issued":{"date-parts":[["2016"]]},"page":"118-130","publisher":"Springer International Publishing","publisher-place":"Cham","title":"Minimum Viable Product or Multiple Facet Product? The Role of MVP in Software Startups","type":"chapter"},"uris":["http://www.mendeley.com/documents/?uuid=e8dcb70f-fcda-4801-a55e-de09aff3d561"]}],"mendeley":{"formattedCitation":"(Duc &amp; Abrahamsson, 2016)","plainTextFormattedCitation":"(Duc &amp; Abrahamsson, 2016)","previouslyFormattedCitation":"(Duc &amp; Abrahamsson, 2016)"},"properties":{"noteIndex":0},"schema":"https://github.com/citation-style-language/schema/raw/master/csl-citation.json"}</w:instrText>
      </w:r>
      <w:r w:rsidR="00422643">
        <w:fldChar w:fldCharType="separate"/>
      </w:r>
      <w:r w:rsidR="00422643" w:rsidRPr="00422643">
        <w:rPr>
          <w:noProof/>
        </w:rPr>
        <w:t>(Duc &amp; Abrahamsson, 2016)</w:t>
      </w:r>
      <w:r w:rsidR="00422643">
        <w:fldChar w:fldCharType="end"/>
      </w:r>
      <w:r w:rsidR="00325384">
        <w:t xml:space="preserve">. Ze względu bowiem na zmienność i nieprzewidywalność warunków otoczenia, a także brak pewności co do skuteczności wdrażanej koncepcji poprawy należy jak najszybciej zweryfikować, czy wybrana koncepcja może przynieść oczekiwane rezultaty. Ponadto jeśli zmiana dotyczy wprowadzenia jakiegoś udogodnienia dla interesariuszy, to warto jak najszybciej zyskać możliwość korzystania z pozytywnych </w:t>
      </w:r>
      <w:r w:rsidR="00325384">
        <w:lastRenderedPageBreak/>
        <w:t>efektów takiej zmiany. W tym celu zazwyczaj nie jest konieczne wdrożenie wszystkich funkcji rozważanego rozwiązania, ale tylko kilku kluczowych, które pozwolą na upewnienie się, czy wybrana droga działań jest właściwa, a jednocześnie stworzy możliwość jak najszybszego odnoszenia korzyści przez interesariuszy, a także przez uczelnię.</w:t>
      </w:r>
      <w:r w:rsidR="00590478">
        <w:t xml:space="preserve"> Ze względu na to, że w przypadku wprowadzania zmian określenie MVP może być nieco mylące ze względu na konotację z produktem, warto zaproponować określenie bardziej ogólne i odpowiednie dla szerszego zakresu zmian i zastosować autorską propozycję skrótu o brzmieniu </w:t>
      </w:r>
      <w:r w:rsidR="00590478" w:rsidRPr="00422643">
        <w:rPr>
          <w:b/>
          <w:bCs/>
        </w:rPr>
        <w:t>MCV</w:t>
      </w:r>
      <w:r w:rsidR="00590478">
        <w:t xml:space="preserve"> (</w:t>
      </w:r>
      <w:proofErr w:type="spellStart"/>
      <w:r w:rsidR="00590478" w:rsidRPr="00422643">
        <w:rPr>
          <w:b/>
          <w:bCs/>
          <w:i/>
          <w:iCs/>
        </w:rPr>
        <w:t>Minimal</w:t>
      </w:r>
      <w:proofErr w:type="spellEnd"/>
      <w:r w:rsidR="00590478" w:rsidRPr="00422643">
        <w:rPr>
          <w:b/>
          <w:bCs/>
          <w:i/>
          <w:iCs/>
        </w:rPr>
        <w:t xml:space="preserve"> </w:t>
      </w:r>
      <w:proofErr w:type="spellStart"/>
      <w:r w:rsidR="00590478" w:rsidRPr="00422643">
        <w:rPr>
          <w:b/>
          <w:bCs/>
          <w:i/>
          <w:iCs/>
        </w:rPr>
        <w:t>Checkable</w:t>
      </w:r>
      <w:proofErr w:type="spellEnd"/>
      <w:r w:rsidR="00590478" w:rsidRPr="00422643">
        <w:rPr>
          <w:b/>
          <w:bCs/>
          <w:i/>
          <w:iCs/>
        </w:rPr>
        <w:t xml:space="preserve"> Version</w:t>
      </w:r>
      <w:r w:rsidR="00590478">
        <w:t>)</w:t>
      </w:r>
      <w:r w:rsidR="00422643">
        <w:t>, która prawdopodobnie będzie lepiej wspierała zrozumienie tej koncepcji.</w:t>
      </w:r>
      <w:r w:rsidR="00325384">
        <w:t xml:space="preserve"> Po określeniu minimalnej weryfikowalnej wersji zmian d</w:t>
      </w:r>
      <w:r w:rsidR="00422643">
        <w:t>o wdrożenia należy opracować wstępny plan realizacji tak określonego zakresu działań (7.7) wraz z ich przewidywanymi kosztami oraz wzajemnymi zależnościami.</w:t>
      </w:r>
      <w:r w:rsidR="00DB7868">
        <w:t xml:space="preserve"> Następnie należy iteracyjnie wdrażać zmiany i na bieżąco weryfikować efektywność tego procesu (7.8). Ten etap może mieć bardzo zróżnicowaną długość trwania w zależności od poziomu trudności i skomplikowania wybranych do realizacji zmian. Niemniej istotnym jest by kolejne iteracje były jednakowej długości, poprzedzone krótkim planowaniem szczegółów działań</w:t>
      </w:r>
      <w:r w:rsidR="003C206E">
        <w:t xml:space="preserve"> i podziału zadań w zespole</w:t>
      </w:r>
      <w:r w:rsidR="00DB7868">
        <w:t xml:space="preserve">, podsumowane przeglądem osiągniętych rezultatów w trakcie trwania iteracji. </w:t>
      </w:r>
      <w:r w:rsidR="002E66CC">
        <w:t>P</w:t>
      </w:r>
      <w:r w:rsidR="00DB7868">
        <w:t xml:space="preserve">rzegląd osiągniętych rezultatów powinien się odbywać z udziałem odbiorców tych efektów lub ich przedstawicieli co pozwoli na szybkie uzyskanie informacji zwrotnej i weryfikację </w:t>
      </w:r>
      <w:r w:rsidR="003C206E">
        <w:t xml:space="preserve">wprowadzanych zmian. Warto też podkreślić że długość iteracji powinna być odpowiednio krótka, by dało się osiągnąć choćby najmniejsze weryfikowalne efekty, ale jednocześnie jak najkrótsza, by w jak najkrótszych odstępach czasu otrzymywać wartościową informację zwrotną. Niemniej istotnym aspektem jest wielkość i skład zespołu. Przyjmuje się, że zespół mający osiągnąć dobry poziom efektywności i w współpracy powinien być jak najmniejszy. Jednak w zależności od stopnia złożoności zadań kompetencje w zespole powinny być wystarczająco szerokie, by móc osiągnąć zamierzone rezultaty. W metodzie </w:t>
      </w:r>
      <w:proofErr w:type="spellStart"/>
      <w:r w:rsidR="003C206E">
        <w:t>Scrum</w:t>
      </w:r>
      <w:proofErr w:type="spellEnd"/>
      <w:r w:rsidR="003C206E">
        <w:t xml:space="preserve"> za zazwyczaj optymalną wielkość zespołu uznaje się 7 osób</w:t>
      </w:r>
      <w:r w:rsidR="00800A0B">
        <w:t xml:space="preserve"> gdyż powyżej tej liczby ilość wzajemnych relacji istotnie obniża efektywność działania </w:t>
      </w:r>
      <w:r w:rsidR="00800A0B">
        <w:fldChar w:fldCharType="begin" w:fldLock="1"/>
      </w:r>
      <w:r w:rsidR="0055341C">
        <w:instrText>ADDIN CSL_CITATION {"citationItems":[{"id":"ITEM-1","itemData":{"DOI":"10.1109/ICCSA.2013.25","ISBN":"978-0-7695-5045-9","author":[{"dropping-particle":"","family":"Mundra","given":"Ashish","non-dropping-particle":"","parse-names":false,"suffix":""},{"dropping-particle":"","family":"Misra","given":"Sanjay","non-dropping-particle":"","parse-names":false,"suffix":""},{"dropping-particle":"","family":"Dhawale","given":"Chitra A.","non-dropping-particle":"","parse-names":false,"suffix":""}],"container-title":"2013 13th International Conference on Computational Science and Its Applications","id":"ITEM-1","issued":{"date-parts":[["2013","6"]]},"page":"119-123","publisher":"IEEE","title":"Practical Scrum-Scrum Team: Way to Produce Successful and Quality Software","type":"paper-conference"},"uris":["http://www.mendeley.com/documents/?uuid=737fb108-65cd-47df-af26-95b8a951b681"]}],"mendeley":{"formattedCitation":"(Mundra i in., 2013)","plainTextFormattedCitation":"(Mundra i in., 2013)","previouslyFormattedCitation":"(Mundra i in., 2013)"},"properties":{"noteIndex":0},"schema":"https://github.com/citation-style-language/schema/raw/master/csl-citation.json"}</w:instrText>
      </w:r>
      <w:r w:rsidR="00800A0B">
        <w:fldChar w:fldCharType="separate"/>
      </w:r>
      <w:r w:rsidR="00800A0B" w:rsidRPr="00800A0B">
        <w:rPr>
          <w:noProof/>
        </w:rPr>
        <w:t>(Mundra i in., 2013)</w:t>
      </w:r>
      <w:r w:rsidR="00800A0B">
        <w:fldChar w:fldCharType="end"/>
      </w:r>
      <w:r w:rsidR="00800A0B">
        <w:t>.</w:t>
      </w:r>
      <w:r w:rsidR="003C206E">
        <w:t xml:space="preserve"> </w:t>
      </w:r>
      <w:r w:rsidR="0055341C">
        <w:t>C</w:t>
      </w:r>
      <w:r w:rsidR="003C206E">
        <w:t xml:space="preserve">zas trwania iteracji </w:t>
      </w:r>
      <w:r w:rsidR="0055341C">
        <w:t xml:space="preserve">w metodzie </w:t>
      </w:r>
      <w:proofErr w:type="spellStart"/>
      <w:r w:rsidR="0055341C">
        <w:t>Scrum</w:t>
      </w:r>
      <w:proofErr w:type="spellEnd"/>
      <w:r w:rsidR="0055341C">
        <w:t xml:space="preserve"> jest rekomendowany na od 1 do 4 tygodni </w:t>
      </w:r>
      <w:r w:rsidR="0055341C">
        <w:fldChar w:fldCharType="begin" w:fldLock="1"/>
      </w:r>
      <w:r w:rsidR="00FA0DAA">
        <w:instrText>ADDIN CSL_CITATION {"citationItems":[{"id":"ITEM-1","itemData":{"DOI":"10.32604/cmc.2021.017461","ISSN":"1546-2226","abstract":"A carefully planned software development process helps in maintaining the quality of the software. In today’s scenario the primitive software development models have been replaced by the Agile based models like SCRUM, KANBAN, LEAN, etc. Although, every framework has its own boon, the reason for widespread acceptance of the agile-based approach is its evolutionary nature that permits change in the path of software development. The development process occurs in iterative and incremental cycles called sprints. In SCRUM, which is one of the most widely used agile-based software development modeling framework; the sprint length is fixed throughout the process wherein; it is usually taken to be 1–4 weeks. But in practical application, the sprint length should be altered intuitively as per the requirement. To overcome this limitation, in this paper, a methodical work has been presented that determines the optimal sprint length based on two varied and yet connected attributes; the cost incurred and the work intensity required. The approach defines the number of tasks performed in each sprint along with the corresponding cost incurred in performing those tasks. Multi-attribute utility theory (MAUT), a multi-criterion decision making approach, has been utilized to find the required trade-off between two attributes under consideration. The proposed modeling framework has been validated using real life data set. With the use of the model, the optimal sprint for each sprint could be evaluated which was much shorter than the original length. Thus, the results obtained validate the proposal of a dynamic sprint length that can be determined before the start of each sprint. The structure would help in cost as well as time savings for a firm.","author":[{"dropping-particle":"","family":"Anand","given":"Adarsh","non-dropping-particle":"","parse-names":false,"suffix":""},{"dropping-particle":"","family":"Kaur","given":"Jasmine","non-dropping-particle":"","parse-names":false,"suffix":""},{"dropping-particle":"","family":"Singh","given":"Ompal","non-dropping-particle":"","parse-names":false,"suffix":""},{"dropping-particle":"","family":"H. Alhazmi","given":"Omar","non-dropping-particle":"","parse-names":false,"suffix":""}],"container-title":"Computers, Materials &amp; Continua","id":"ITEM-1","issue":"3","issued":{"date-parts":[["2021"]]},"page":"3693-3712","title":"Optimal Sprint Length Determination for Agile-Based Software Development","type":"article-journal","volume":"68"},"uris":["http://www.mendeley.com/documents/?uuid=04475f4f-bee2-4fac-b677-e16f80839d56"]},{"id":"ITEM-2","itemData":{"author":[{"dropping-particle":"","family":"Sutherland","given":"Jeff","non-dropping-particle":"","parse-names":false,"suffix":""},{"dropping-particle":"","family":"Schwaber","given":"Ken","non-dropping-particle":"","parse-names":false,"suffix":""}],"container-title":"Nuts, bolts and origins of an Agile process","id":"ITEM-2","issued":{"date-parts":[["2011"]]},"publisher":"Scrum, Inc Cambridge","title":"The scrum papers","type":"article-journal"},"uris":["http://www.mendeley.com/documents/?uuid=caf0b94d-ca9e-4b2f-bce9-c97d32d927b6"]}],"mendeley":{"formattedCitation":"(Anand i in., 2021; Sutherland &amp; Schwaber, 2011)","plainTextFormattedCitation":"(Anand i in., 2021; Sutherland &amp; Schwaber, 2011)","previouslyFormattedCitation":"(Anand i in., 2021; Sutherland &amp; Schwaber, 2011)"},"properties":{"noteIndex":0},"schema":"https://github.com/citation-style-language/schema/raw/master/csl-citation.json"}</w:instrText>
      </w:r>
      <w:r w:rsidR="0055341C">
        <w:fldChar w:fldCharType="separate"/>
      </w:r>
      <w:r w:rsidR="002E66CC" w:rsidRPr="002E66CC">
        <w:rPr>
          <w:noProof/>
        </w:rPr>
        <w:t>(Anand i in., 2021; Sutherland &amp; Schwaber, 2011)</w:t>
      </w:r>
      <w:r w:rsidR="0055341C">
        <w:fldChar w:fldCharType="end"/>
      </w:r>
      <w:r w:rsidR="002E66CC">
        <w:t xml:space="preserve">. Kolejnym niezwykle istotnym krokiem jest iteracyjne doskonalenie dokonywanie przez zespół przeglądu i refleksji nad metodami pracy i współpracy (7.9). Taki sposób działania pozwoli na usystematyzowane, regularne i </w:t>
      </w:r>
      <w:proofErr w:type="spellStart"/>
      <w:r w:rsidR="002E66CC">
        <w:t>zarządzalne</w:t>
      </w:r>
      <w:proofErr w:type="spellEnd"/>
      <w:r w:rsidR="002E66CC">
        <w:t xml:space="preserve"> zdobywanie doświadczenia przez zespół co przyczyni się do coraz lepszej przewidywalności efektów. Przegląd taki powinien się odbywać po każdej iteracji po przeprowadzeniu weryfikacji efektów pracy zespołu w trakcie </w:t>
      </w:r>
      <w:r w:rsidR="008077AD">
        <w:t>zakończonej iteracji. Po osiągnięciu minimalnej weryfikowalnej wersji (MCV) planowanych zmian po jednej lub kilku iteracjach pracy zespołu należy dokonać weryfikacji tego etapu działań oraz ustalić kolejne etapy najbardziej wartościowych udoskonaleń tej minimalnej wdrożonej wersji</w:t>
      </w:r>
      <w:r w:rsidR="004F6A89">
        <w:t xml:space="preserve"> </w:t>
      </w:r>
      <w:r w:rsidR="008077AD">
        <w:t xml:space="preserve">(7.10). Z dużym prawdopodobieństwem można założyć, że jeśli środowisko wdrażanych udoskonaleń nie uległo istotnym zmianom, ani uzyskane w trakcie przeglądów efektów poszczególnych iteracji informacje zwrotne nie </w:t>
      </w:r>
      <w:r w:rsidR="004F6A89">
        <w:t>zakwestionowały</w:t>
      </w:r>
      <w:r w:rsidR="008077AD">
        <w:t xml:space="preserve"> wiedzy pozyskanej w trakcie wcześniejszych analiz</w:t>
      </w:r>
      <w:r w:rsidR="004F6A89">
        <w:t>,</w:t>
      </w:r>
      <w:r w:rsidR="008077AD">
        <w:t xml:space="preserve"> to wybór kolejnych etapów działania nie będzie wymagał istotnych nakładów czasu i pracy analitycznej. Najprawdopodobniej będzie to raczej kontynuacja wdrażania istniejących już i wstępnie przewidzianych do wdrożenia pomysłów. </w:t>
      </w:r>
      <w:r w:rsidR="004F6A89">
        <w:t xml:space="preserve">Niemniej przed rozpoczęciem kolejnych iteracji implementacji udoskonaleń należy ustalić w sposób celowy </w:t>
      </w:r>
      <w:r w:rsidR="004272FB">
        <w:t xml:space="preserve">zakres podejmowanych działań mając nadal na uwadze osiągnięcie jak największych rezultatów w </w:t>
      </w:r>
      <w:r w:rsidR="004272FB">
        <w:lastRenderedPageBreak/>
        <w:t>relatywnie jak najkrótszym czasie. Po tak dokonanym wyborze należy kontynuować implementację udoskonaleń w ramach kolejnych iteracji (7.11) aż do osiągnięcia celu poprawy lub do określenia nowych celów doskonalenia.</w:t>
      </w:r>
    </w:p>
    <w:p w14:paraId="07F395B7" w14:textId="45770E5A" w:rsidR="008F7470" w:rsidRDefault="002851DD" w:rsidP="00FD60D8">
      <w:r>
        <w:t xml:space="preserve">Przy wyborze ścieżki postępowania dla metod kaskadowych (projektowych) najpierw należy szczegółowo określić cel do osiągnięcia (7.12). Im lepiej doprecyzowany cel tym łatwiej będzie później ocenić stopień jego osiągnięcia. Tak więc opis celu powinien nie tylko określać pożądany efekt ale także ograniczenia związane z jego osiąganiem. Mogą to być ograniczenia czasowe, związane z kosztami, ale również inne określające np. warunki brzegowe dla stosowanych metod lub skutków ubocznych podejmowanych działań. Tego rodzaju ograniczenia mogą być w niektórych sytuacjach bardzo istotne, a często wynikają ze świadomości istnienia różnych </w:t>
      </w:r>
      <w:proofErr w:type="spellStart"/>
      <w:r>
        <w:t>ryzyk</w:t>
      </w:r>
      <w:proofErr w:type="spellEnd"/>
      <w:r>
        <w:t xml:space="preserve"> dla procesu wdrażania zmian oraz z uwarunkowań kultury organizacyjnej konkretnej uczelni. Gdy już cel zostanie wystarczająco szczegółowo określony to należy sporządzić dokładny plan wdrożenia (7.13</w:t>
      </w:r>
      <w:r w:rsidR="00427048">
        <w:t>dzie</w:t>
      </w:r>
      <w:r>
        <w:t>) uwzględniający wykorzystanie dostępnych zasobów. Na tym etapie należy też zidentyfikować ograniczenia wynikające z potencjalnie negatywnie odbieranych przez interesariuszy skutków implementacji zmian, a także przewidzieć odpowiednie metody wsparcia tych osób.</w:t>
      </w:r>
      <w:r w:rsidR="00427048">
        <w:t xml:space="preserve"> W następnym korku należy dokonać weryfikacji opracowanego planu (7.14) oraz wykonać harmonogram działań oraz harmonogram wykorzystania zasobów. Przy weryfikacji planu, w zależności od jego stopnia złożoności, można skorzystać z wiedzy i doświadczeń osób będących w stanie udzielić wartościowych wskazówek w celu osiągnięcia jak najlepszego planu. Gdy już plan zostanie zweryfikowany należy określić ścieżkę krytyczną projektu (7.15) gdyż w swej istocie stanowi ona wąskie gardło procesu realizacji planu, a zatem będzie jednym z najistotniejszych obszarów do koncentracji uwagi zespołu projektowego, gdyż wszelkie opóźnienia na ścieżce krytycznej będą wprost przekładały się na opóźnienia całego projektu. Tak jak ścieżka krytyczna jest związana z ryzykiem dla realizacji projektu tak też należy w tym kroku zidentyfikować inne istotne ryzyka jakie mogą wymagać monitorowania i podejmowania odpowiednich działań by zabezpieczyć możliwość osiągnięcia celu implementowanych zmian. W przypadku stwierdzenia potrzeby wprowadzenia korekt do plany należy go odpowiednio zmodyfikować (7.16) przed przystąpieniem do realizacji.</w:t>
      </w:r>
      <w:r w:rsidR="002A656B">
        <w:t xml:space="preserve"> W trakcie realizacji planu (7.17) należy również nieustannie monitorować postępy projektu w celu identyfikacji potrzeby wdrożenia modyfikacji do pierwotnego planu oraz jak najszybszego podjęcia odpowiednich kroków zmierzających do </w:t>
      </w:r>
      <w:r w:rsidR="0006721F">
        <w:t>zabezpieczenia możliwości osiągnięcia celu projektu. Po zakończeniu realizowania zaplanowanych działań należy zweryfikować w jakim stopniu udało się osiągnąć cele zaplanowanych zmian (7.18).</w:t>
      </w:r>
    </w:p>
    <w:p w14:paraId="02129ECA" w14:textId="2888BCF7" w:rsidR="00427048" w:rsidRDefault="00A35D38" w:rsidP="00FD60D8">
      <w:r>
        <w:t>Niezależnie od rodzaju wybranej ścieżki postępowania dla implementacji zmian po osiągnięciu celu implementacji lub po zakończeniu zaplanowanych wdrożeń działania w ramach 8. etapu głównego będą wykonywane według tego samego schematu postepowania. Celem tego etapu jest opracowanie i ustanowienie systemu (metod) ciągłego pozyskiwania informacji zwrotnej. Użyte określenie „ciągłe”, zamiast określenia „cykliczne” ma tu istotne znaczenie. W przypadku procesu pozyskiwania informacji zwrotnych od interesariuszy działania cykliczne mogłyby powodować nastawienie na cykliczny brak działań. Niemniej proces ciągły też może być realizowany za pomocą pewnych sekwencji działań podejmowanych cyklicznie. Natomiast podkreślenie ciągłości tego procesu ma również na celu ukierunkowanie na metody, które będą w jak największym stopniu zaimplemento</w:t>
      </w:r>
      <w:r>
        <w:lastRenderedPageBreak/>
        <w:t xml:space="preserve">wane w stałe kanały komunikacji z różnymi interesariuszami. W pierwszym kroku tego etapu należy więc ustalić i zaplanować szczegóły metod ciągłego pozyskiwania informacji zwrotnej od interesariuszy (8.1). </w:t>
      </w:r>
      <w:r w:rsidR="004C2B55">
        <w:t xml:space="preserve">Co niezwykle ważne, należy rozpatrzyć możliwe do zastosowania metody biorąc pod uwagę specyfikę każdej z grup interesariuszy, tak by wybrane metody maksymalizowały szanse na pozyskanie wartościowych informacji od każdej spośród wybranych wcześniej najistotniejszych grup. W tym celu warto przeanalizować również zwyczaje w ramach interakcji każdej z grup z uczelnią i wykorzystując istniejące kanały komunikacji zaimplementować do nich odpowiednie sposoby na pozyskanie informacji zwrotnej. Z dużym prawdopodobieństwem można stwierdzić, że informacja zwrotna pozyskiwana w sposób ciągły jest narażona na obciążenia wynikające z motywacji interesariuszy do jej przekazania. Tymi motywatorami mogą być wydarzenia silnie wpływające na emocje poszczególnych osób, a zatem również otrzymywane informacje mogą uwzględniać pewien wycinek, prawdopodobnie raczej skrajnych, opinii. Z tego powodu należy też uwzględnić metody pozyskiwania informacji zwrotnej pozwalające na poznanie bardziej reprezentatywnej grupy badawczej. Często będą to formy badania opinii inspirowane ze strony uczelni, a więc wymagające pewnej cykliczności. Zatem kolejnym krokiem jest zaplanowanie i ustanowienie regularnych cykli pozyskiwania informacji zwrotnej od interesariuszy (8.2). Następnie należy rozważyć wszelkie formy automatyzacji tego procesu (8.3). Ma to na celu nie tylko </w:t>
      </w:r>
      <w:r w:rsidR="00A60099">
        <w:t>ułatwienie działań związanych badaniem opinii interesariuszy, ale również, co niezwykle istotne, standaryzację i utrwalenie tych działań ze względu na wprowadzenie większych barier dla ewentualnego zaniechania działań lub rezygnacji z tego procesu. Niezależnie od zaplanowanych metod pozyskiwania informacji zwrotnej przydatność zdobywanych informacji zależy w dużym stopniu od zaangażowania interesariuszy w ten proces. Z tego powodu należy wdrożyć działania mające na uwadze zwiększenie zaangażowania interesariuszy w komunikację z uczelnią (8.4). Przykładów takich działań może być wiele, ale jednym z najprostszych się wydaje otwarte komunikowanie jakie udoskonalenia zostały wdrożone dzięki informacjom od konkretnych grup interesariuszy. Innych wartościowych wskazówek w tym zakresie może dostarczyć choćby lektura załącznika D do normy ISO 21001:2018, a także punktu 7.4 Normy (komunikacja) oraz innych materiałów dostępnych w literaturze przedmiotu.</w:t>
      </w:r>
    </w:p>
    <w:p w14:paraId="1426B5FD" w14:textId="4FEB1C30" w:rsidR="008F7470" w:rsidRDefault="002320A6" w:rsidP="004B241B">
      <w:r w:rsidRPr="002B258A">
        <w:t xml:space="preserve">Po </w:t>
      </w:r>
      <w:r>
        <w:t>zaplanowaniu ciągłego pozyskiwania informacji zwrotnej od interesariuszy</w:t>
      </w:r>
      <w:r w:rsidRPr="002B258A">
        <w:t xml:space="preserve">, </w:t>
      </w:r>
      <w:r w:rsidR="00C66E08">
        <w:t>należy przejść do ostatniego etapu głównego omawianego modelu doskonalenia systemu zarządzania jakością uczelni związanego z ustanowieniem praktyki ciągłego doskonalenia. Etap ten zostanie zaprezentowany na diagramie po</w:t>
      </w:r>
      <w:r w:rsidR="00C66E08">
        <w:fldChar w:fldCharType="begin"/>
      </w:r>
      <w:r w:rsidR="00C66E08">
        <w:instrText xml:space="preserve"> REF _Ref162599577 \p \h </w:instrText>
      </w:r>
      <w:r w:rsidR="00C66E08">
        <w:fldChar w:fldCharType="separate"/>
      </w:r>
      <w:r w:rsidR="009E351C">
        <w:t>niżej</w:t>
      </w:r>
      <w:r w:rsidR="00C66E08">
        <w:fldChar w:fldCharType="end"/>
      </w:r>
      <w:r w:rsidR="00C66E08">
        <w:t xml:space="preserve"> (</w:t>
      </w:r>
      <w:r w:rsidR="00C66E08">
        <w:fldChar w:fldCharType="begin"/>
      </w:r>
      <w:r w:rsidR="00C66E08">
        <w:instrText xml:space="preserve"> REF _Ref162599588 \h </w:instrText>
      </w:r>
      <w:r w:rsidR="00C66E08">
        <w:fldChar w:fldCharType="separate"/>
      </w:r>
      <w:r w:rsidR="009E351C">
        <w:t xml:space="preserve">Rysunek </w:t>
      </w:r>
      <w:r w:rsidR="009E351C">
        <w:rPr>
          <w:noProof/>
        </w:rPr>
        <w:t>51</w:t>
      </w:r>
      <w:r w:rsidR="00C66E08">
        <w:fldChar w:fldCharType="end"/>
      </w:r>
      <w:r w:rsidR="00C66E08">
        <w:t>)</w:t>
      </w:r>
      <w:r w:rsidR="004B241B">
        <w:t xml:space="preserve"> wraz pełnymi nazwami każdego z etapów szczegółowych jako czwarta, i ostatnia, część omówienia modelu SSDQM.</w:t>
      </w:r>
    </w:p>
    <w:p w14:paraId="080E1340" w14:textId="77777777" w:rsidR="00B12AF3" w:rsidRDefault="00795F42" w:rsidP="00B12AF3">
      <w:pPr>
        <w:pStyle w:val="Rysunek"/>
      </w:pPr>
      <w:r>
        <w:rPr>
          <w:noProof/>
        </w:rPr>
        <w:lastRenderedPageBreak/>
        <w:drawing>
          <wp:inline distT="0" distB="0" distL="0" distR="0" wp14:anchorId="004F89E5" wp14:editId="7A6340FF">
            <wp:extent cx="5400000" cy="3213534"/>
            <wp:effectExtent l="0" t="0" r="0" b="0"/>
            <wp:docPr id="119174082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0000" cy="3213534"/>
                    </a:xfrm>
                    <a:prstGeom prst="rect">
                      <a:avLst/>
                    </a:prstGeom>
                    <a:noFill/>
                    <a:ln>
                      <a:noFill/>
                    </a:ln>
                  </pic:spPr>
                </pic:pic>
              </a:graphicData>
            </a:graphic>
          </wp:inline>
        </w:drawing>
      </w:r>
    </w:p>
    <w:p w14:paraId="1CE791CE" w14:textId="40B0C299" w:rsidR="00E465C8" w:rsidRDefault="00B12AF3" w:rsidP="00B12AF3">
      <w:pPr>
        <w:pStyle w:val="Tytutabeli"/>
      </w:pPr>
      <w:bookmarkStart w:id="139" w:name="_Ref162599588"/>
      <w:bookmarkStart w:id="140" w:name="_Ref162599577"/>
      <w:r>
        <w:t xml:space="preserve">Rysunek </w:t>
      </w:r>
      <w:r>
        <w:fldChar w:fldCharType="begin"/>
      </w:r>
      <w:r>
        <w:instrText xml:space="preserve"> SEQ Rysunek \* ARABIC </w:instrText>
      </w:r>
      <w:r>
        <w:fldChar w:fldCharType="separate"/>
      </w:r>
      <w:r w:rsidR="009E351C">
        <w:rPr>
          <w:noProof/>
        </w:rPr>
        <w:t>51</w:t>
      </w:r>
      <w:r>
        <w:fldChar w:fldCharType="end"/>
      </w:r>
      <w:bookmarkEnd w:id="139"/>
      <w:r>
        <w:t xml:space="preserve"> Struktura szczegółowa elementów w zakresie punktu 9 modelu SSDQM</w:t>
      </w:r>
      <w:bookmarkEnd w:id="140"/>
    </w:p>
    <w:p w14:paraId="7AAF877E" w14:textId="77777777" w:rsidR="00B12AF3" w:rsidRDefault="00B12AF3" w:rsidP="00B12AF3">
      <w:pPr>
        <w:pStyle w:val="rdo"/>
      </w:pPr>
      <w:r>
        <w:t>Źródło: opracowanie własne</w:t>
      </w:r>
    </w:p>
    <w:p w14:paraId="568AC2C1" w14:textId="57760BB1" w:rsidR="00EA5D6A" w:rsidRDefault="00EA5D6A" w:rsidP="00EA5D6A">
      <w:r>
        <w:t>Poniżej przedstawiono pełny opis elementów szczegółowych dla punktu 9 modelu SSDQM:</w:t>
      </w:r>
    </w:p>
    <w:p w14:paraId="7A329152" w14:textId="4074A162" w:rsidR="00CB7C1E" w:rsidRPr="00EA5D6A" w:rsidRDefault="00CB7C1E" w:rsidP="00EA5D6A">
      <w:pPr>
        <w:spacing w:before="60" w:line="300" w:lineRule="auto"/>
        <w:ind w:firstLine="0"/>
        <w:rPr>
          <w:sz w:val="18"/>
          <w:szCs w:val="20"/>
        </w:rPr>
      </w:pPr>
      <w:r w:rsidRPr="00EA5D6A">
        <w:rPr>
          <w:sz w:val="18"/>
          <w:szCs w:val="20"/>
        </w:rPr>
        <w:t>9  Ciągłe doskonalenie</w:t>
      </w:r>
    </w:p>
    <w:p w14:paraId="00FE0169" w14:textId="17E2A2BF" w:rsidR="00CB7C1E" w:rsidRPr="00EA5D6A" w:rsidRDefault="00CB7C1E" w:rsidP="00EA5D6A">
      <w:pPr>
        <w:spacing w:before="60" w:line="300" w:lineRule="auto"/>
        <w:ind w:left="360" w:firstLine="0"/>
        <w:rPr>
          <w:sz w:val="18"/>
          <w:szCs w:val="20"/>
        </w:rPr>
      </w:pPr>
      <w:r w:rsidRPr="00EA5D6A">
        <w:rPr>
          <w:sz w:val="18"/>
          <w:szCs w:val="20"/>
        </w:rPr>
        <w:t>9.1  Identyfikacja i ustanowienie wiarygodnych wskaźników działań uczelni (pozwalających na rzetelne i wiarygodne pozyskiwanie informacji w celu pomiaru i weryfikacji efektów działalności uczelni, w tym wprowadzanych zmian)</w:t>
      </w:r>
    </w:p>
    <w:p w14:paraId="2B88CE1F" w14:textId="7AA19D96" w:rsidR="00CB7C1E" w:rsidRPr="00EA5D6A" w:rsidRDefault="00CB7C1E" w:rsidP="00EA5D6A">
      <w:pPr>
        <w:spacing w:before="60" w:line="300" w:lineRule="auto"/>
        <w:ind w:left="720" w:firstLine="0"/>
        <w:rPr>
          <w:sz w:val="18"/>
          <w:szCs w:val="20"/>
        </w:rPr>
      </w:pPr>
      <w:r w:rsidRPr="00EA5D6A">
        <w:rPr>
          <w:sz w:val="18"/>
          <w:szCs w:val="20"/>
        </w:rPr>
        <w:t>9.1.1  Opracowanie zestawu wskaźników na podstawie dostępnej literatury oraz własnych badań uwzględniających specyfikę organizacji</w:t>
      </w:r>
    </w:p>
    <w:p w14:paraId="3A583ED9" w14:textId="25277503" w:rsidR="00CB7C1E" w:rsidRPr="00EA5D6A" w:rsidRDefault="00CB7C1E" w:rsidP="00EA5D6A">
      <w:pPr>
        <w:spacing w:before="60" w:line="300" w:lineRule="auto"/>
        <w:ind w:left="720" w:firstLine="0"/>
        <w:rPr>
          <w:sz w:val="18"/>
          <w:szCs w:val="20"/>
        </w:rPr>
      </w:pPr>
      <w:r w:rsidRPr="00EA5D6A">
        <w:rPr>
          <w:sz w:val="18"/>
          <w:szCs w:val="20"/>
        </w:rPr>
        <w:t>9.1.2  Podjęcie zobowiązania przez najwyższe kierownictwo do długoterminowego utrzymania pomiaru wybranych stałych wskaźników (obok zestawu wskaźników mogących podlegać zmianom w ramach zmieniających się potrzeb)</w:t>
      </w:r>
    </w:p>
    <w:p w14:paraId="666FEA07" w14:textId="5CEF3325" w:rsidR="00CB7C1E" w:rsidRPr="00EA5D6A" w:rsidRDefault="00CB7C1E" w:rsidP="00EA5D6A">
      <w:pPr>
        <w:spacing w:before="60" w:line="300" w:lineRule="auto"/>
        <w:ind w:left="360" w:firstLine="0"/>
        <w:rPr>
          <w:sz w:val="18"/>
          <w:szCs w:val="20"/>
        </w:rPr>
      </w:pPr>
      <w:r w:rsidRPr="00EA5D6A">
        <w:rPr>
          <w:sz w:val="18"/>
          <w:szCs w:val="20"/>
        </w:rPr>
        <w:t xml:space="preserve">9.2  Ustanowienie cykli pomiaru i weryfikacji efektów działań uczelni (w tym działań doskonalących, np. metod ciągłego i cyklicznego </w:t>
      </w:r>
      <w:r w:rsidR="002320A6">
        <w:rPr>
          <w:sz w:val="18"/>
          <w:szCs w:val="20"/>
        </w:rPr>
        <w:t>analizowania</w:t>
      </w:r>
      <w:r w:rsidRPr="00EA5D6A">
        <w:rPr>
          <w:sz w:val="18"/>
          <w:szCs w:val="20"/>
        </w:rPr>
        <w:t xml:space="preserve"> informacji zwrotnej od interesariuszy)</w:t>
      </w:r>
    </w:p>
    <w:p w14:paraId="6E71F2F2" w14:textId="4B32D7A3" w:rsidR="00CB7C1E" w:rsidRPr="00EA5D6A" w:rsidRDefault="00CB7C1E" w:rsidP="00EA5D6A">
      <w:pPr>
        <w:spacing w:before="60" w:line="300" w:lineRule="auto"/>
        <w:ind w:left="720" w:firstLine="0"/>
        <w:rPr>
          <w:sz w:val="18"/>
          <w:szCs w:val="20"/>
        </w:rPr>
      </w:pPr>
      <w:r w:rsidRPr="00EA5D6A">
        <w:rPr>
          <w:sz w:val="18"/>
          <w:szCs w:val="20"/>
        </w:rPr>
        <w:t>9.2.1  Ustalenie potrzeb w zakresie długości cyklu pomiarów (i weryfikacji efektów działań uczelni w zależności od specyficznych uwarunkowań konkretnej uczelni, tak by pomiar pozwalał na osiągnięcie celów pomiaru)</w:t>
      </w:r>
    </w:p>
    <w:p w14:paraId="2482170A" w14:textId="788753AA" w:rsidR="00CB7C1E" w:rsidRPr="00EA5D6A" w:rsidRDefault="00CB7C1E" w:rsidP="00EA5D6A">
      <w:pPr>
        <w:spacing w:before="60" w:line="300" w:lineRule="auto"/>
        <w:ind w:left="720" w:firstLine="0"/>
        <w:rPr>
          <w:sz w:val="18"/>
          <w:szCs w:val="20"/>
        </w:rPr>
      </w:pPr>
      <w:r w:rsidRPr="00EA5D6A">
        <w:rPr>
          <w:sz w:val="18"/>
          <w:szCs w:val="20"/>
        </w:rPr>
        <w:t>9.2.2  Ustanowienie zestawu metod pomiaru i weryfikacji efektów działań (uczelni, w tym procesów zmian/doskonalenia)</w:t>
      </w:r>
    </w:p>
    <w:p w14:paraId="2DBAAE7B" w14:textId="4E866DC0" w:rsidR="00CB7C1E" w:rsidRPr="00EA5D6A" w:rsidRDefault="00CB7C1E" w:rsidP="00EA5D6A">
      <w:pPr>
        <w:spacing w:before="60" w:line="300" w:lineRule="auto"/>
        <w:ind w:left="360" w:firstLine="0"/>
        <w:rPr>
          <w:sz w:val="18"/>
          <w:szCs w:val="20"/>
        </w:rPr>
      </w:pPr>
      <w:r w:rsidRPr="00EA5D6A">
        <w:rPr>
          <w:sz w:val="18"/>
          <w:szCs w:val="20"/>
        </w:rPr>
        <w:t>9.3  Ustanowienie cykli przeglądu wniosków z pomiarów (efektów działań uczelni, w tym działań doskonalących) oraz pozyskiwania informacji zwrotnej (od interesariuszy)</w:t>
      </w:r>
    </w:p>
    <w:p w14:paraId="6DC461F9" w14:textId="18A87FCD" w:rsidR="00CB7C1E" w:rsidRPr="00EA5D6A" w:rsidRDefault="00CB7C1E" w:rsidP="00EA5D6A">
      <w:pPr>
        <w:spacing w:before="60" w:line="300" w:lineRule="auto"/>
        <w:ind w:left="360" w:firstLine="0"/>
        <w:rPr>
          <w:sz w:val="18"/>
          <w:szCs w:val="20"/>
        </w:rPr>
      </w:pPr>
      <w:r w:rsidRPr="00EA5D6A">
        <w:rPr>
          <w:sz w:val="18"/>
          <w:szCs w:val="20"/>
        </w:rPr>
        <w:t>9.4  Ustanowienie cykli regularnej analizy (kolejnych) obszarów do poprawy oraz wdrażania zmian</w:t>
      </w:r>
    </w:p>
    <w:p w14:paraId="21EF7DA0" w14:textId="3B3722AA" w:rsidR="00CB7C1E" w:rsidRPr="00EA5D6A" w:rsidRDefault="00CB7C1E" w:rsidP="00EA5D6A">
      <w:pPr>
        <w:spacing w:before="60" w:line="300" w:lineRule="auto"/>
        <w:ind w:left="360" w:firstLine="0"/>
        <w:rPr>
          <w:sz w:val="18"/>
          <w:szCs w:val="20"/>
        </w:rPr>
      </w:pPr>
      <w:r w:rsidRPr="00EA5D6A">
        <w:rPr>
          <w:sz w:val="18"/>
          <w:szCs w:val="20"/>
        </w:rPr>
        <w:t>9.5  Zaplanowanie sposobów na świętowanie sukcesów w ramach organizacji (w zakresie wybranych spośród najistotniejszych wskaźników efektów działań, np. osiągnięcia wzrostu poziomu satysfakcji interesariuszy, tak by wzmocnić zaangażowanie społeczności uczelni w udzielanie informacji zwrotniej oraz podejmowanie działań doskonalących)</w:t>
      </w:r>
    </w:p>
    <w:p w14:paraId="7BB339D0" w14:textId="35F1FCD1" w:rsidR="00CB7C1E" w:rsidRPr="00EA5D6A" w:rsidRDefault="00CB7C1E" w:rsidP="00EA5D6A">
      <w:pPr>
        <w:spacing w:before="60" w:line="300" w:lineRule="auto"/>
        <w:ind w:left="360" w:firstLine="0"/>
        <w:rPr>
          <w:sz w:val="18"/>
          <w:szCs w:val="20"/>
        </w:rPr>
      </w:pPr>
      <w:r w:rsidRPr="00EA5D6A">
        <w:rPr>
          <w:sz w:val="18"/>
          <w:szCs w:val="20"/>
        </w:rPr>
        <w:t>9.6  Ustanowienie sposobów transparentnego gromadzenia wiedzy (w zakresie działań doskonalących)</w:t>
      </w:r>
    </w:p>
    <w:p w14:paraId="25BDE6D6" w14:textId="45657645" w:rsidR="00CB7C1E" w:rsidRPr="00EA5D6A" w:rsidRDefault="00CB7C1E" w:rsidP="00EA5D6A">
      <w:pPr>
        <w:spacing w:before="60" w:line="300" w:lineRule="auto"/>
        <w:ind w:left="360" w:firstLine="0"/>
        <w:rPr>
          <w:sz w:val="18"/>
          <w:szCs w:val="20"/>
        </w:rPr>
      </w:pPr>
      <w:r w:rsidRPr="00EA5D6A">
        <w:rPr>
          <w:sz w:val="18"/>
          <w:szCs w:val="20"/>
        </w:rPr>
        <w:t xml:space="preserve">9.7  Ustanowienie regularnych przeglądów (np. retrospektywy) procesu ciągłego doskonalenia </w:t>
      </w:r>
    </w:p>
    <w:p w14:paraId="014D6667" w14:textId="327F67AD" w:rsidR="00CB7C1E" w:rsidRPr="00EA5D6A" w:rsidRDefault="00CB7C1E" w:rsidP="00EA5D6A">
      <w:pPr>
        <w:spacing w:before="60" w:line="300" w:lineRule="auto"/>
        <w:ind w:left="360" w:firstLine="0"/>
        <w:rPr>
          <w:sz w:val="18"/>
          <w:szCs w:val="20"/>
        </w:rPr>
      </w:pPr>
      <w:r w:rsidRPr="00EA5D6A">
        <w:rPr>
          <w:sz w:val="18"/>
          <w:szCs w:val="20"/>
        </w:rPr>
        <w:t>9.8  Regularne wdrażanie usprawnień (potrzebnych modyfikacji) procesu ciągłego doskonalenia.</w:t>
      </w:r>
    </w:p>
    <w:p w14:paraId="20F07B7D" w14:textId="3541600E" w:rsidR="00EA5D6A" w:rsidRDefault="00EA5D6A" w:rsidP="00EA5D6A">
      <w:r>
        <w:lastRenderedPageBreak/>
        <w:t>Punkt 9</w:t>
      </w:r>
      <w:r w:rsidR="004B241B">
        <w:t>.</w:t>
      </w:r>
      <w:r>
        <w:t xml:space="preserve"> stanowi fazę działaj (</w:t>
      </w:r>
      <w:proofErr w:type="spellStart"/>
      <w:r w:rsidRPr="00EA5D6A">
        <w:rPr>
          <w:i/>
          <w:iCs/>
        </w:rPr>
        <w:t>Act</w:t>
      </w:r>
      <w:proofErr w:type="spellEnd"/>
      <w:r>
        <w:t>) cyklu udoskonaleń systemu zarządzania jakością.</w:t>
      </w:r>
      <w:r w:rsidR="004B241B">
        <w:t xml:space="preserve"> Aby proces ciągłego doskonalenia mógł być prowadzony efektywnie musi wykorzystywać rzetelne informacje o stanie faktycznym a także o efektach wdrażanych usprawnień. Po zaplanowaniu sposobów pozyskiwania informacji zwrotnej od interesariuszy należy także zaplanować inne metody pomiaru efektów działań uczelni pozwalające na porównywalność danych w czasie. Wydaje się, że bardzo dobrym wsparciem procesu wnioskowania o efektach działań uczelni w czasie </w:t>
      </w:r>
      <w:r w:rsidR="005116C6">
        <w:t xml:space="preserve">jest ustanowienie zestawu wskaźników (9.1), potwierdzonych jako użyteczne w ramach wcześniejszych badań, np. w trakcie etapów głównych 4. i 5. Oczywiście warto wykorzystać również wiedzę dostępną w literaturze przedmiotu by w sposób teoretyczny zweryfikować kompletność i odpowiedniość opracowanego zestawu wskaźników (9.1.1). Niezwykle istotnym jest by dzięki tym wskaźnikom (przynajmniej niektórym z nich) móc długoterminowo weryfikować efekty działań uczelni. Do tego niezbędnym może być uzyskanie zobowiązania najwyższego kierownictwa do utrzymania wybranych długoterminowych wskaźników (9.1.2). Poza takimi długoterminowymi wskaźnikami warto też testować użyteczność innych, dzięki którym będzie można uzyskiwać lepsze wnioski w zmieniającym się otoczeniu uczelni. Po ustaleniu zestawu wskaźników odpowiednich do pomiaru efektów działań konkretnej uczelni należy ustanowić regularne cykle dokonywania pomiarów i weryfikacji mierzonych efektów (9.2). W tym celu należy ustalić potrzeby w zakresie długości cyku pomiarowego, tak by z jednej strony proces mierzenie i analizy nie był nadmiernie uciążliwy lub kosztowny dla uczelni, a jednocześnie by zapewniał osiągnięcie celów pomiaru i analiz (9.2.1). </w:t>
      </w:r>
      <w:r w:rsidR="00856F41">
        <w:t xml:space="preserve">Następnie należy ustanowić i wdrożyć do stosowania opracowany zestaw metod pomiaru i weryfikacji efektów działań uczelni (9.2.2) w różnych wybranych obszarach. W następnym kroku należy ustanowić cykle przeglądu wniosków z przeprowadzanych pomiarów i analiz (9.3) jest to o tyle istotne, że zespół dokonujący pomiarów w tak złożonej organizacji jaką jest uczelni może nie być tym samy, który jest umocowany do podejmowania inicjatyw doskonalących. A co za tym idzie taki przegląd powinien być wykonywany przez zespół (osoby) mające realny wpływ na decyzje dotyczące wdrażania udoskonaleń. Może to być przy współudziale kierownictwa uczelni lub wydziałów, albo ich odpowiednio umocowanych przedstawicieli. Wydaje się dość naturalnym, że cykle przeglądu wniosków z pomiarów powinny być sprzężone z cyklami pomiarów i analizy ustanowionymi w poprzednim etapie szczegółowym. Po ustaleniu cykliczności dla przeglądania wniosków z pomiarów należy również ustanowić cykliczność procesu analizy (kolejnych) potencjalnych obszarów do poprawy i udoskonaleń (9.4). </w:t>
      </w:r>
      <w:r w:rsidR="003D0CBA">
        <w:t>Również w tym przypadku wydaje się, że cykle te powinny wynikać i być sprzężone z cyklami ustanowionymi na wcześniejszych etapach dotyczących pomiarów i przeglądu wniosków z tych pomiarów. Analiza kolejnych obszarów do doskonalenia powinna obejmować metody stosowane w ramach 6. etapu głównego przy uwzględnieniu ewentualnych refleksji co do efektywności sposobów stosowania tych metod. Również powinna być rozważona możliwość wzbogacenia zestawu dotychczas stosowanych metod i nowe wykazujące potencjał do przynoszenia dodatkowych korzyści z ich stosowania.</w:t>
      </w:r>
    </w:p>
    <w:p w14:paraId="638553AB" w14:textId="58ABC389" w:rsidR="008F7470" w:rsidRDefault="003D0CBA" w:rsidP="00EA5D6A">
      <w:r>
        <w:t>Jednym z wniosków płynących z pomiarów, analiz i przeglądów wniosków odnośnie do efektów działań uczelni oraz zmian wdrażanych w jej systemie zarządzania jakością może być potwierdzenie odniesienia sukcesów w osiąganiu postawionych celów. Dla zbudowania motywacji wszystkich osób zaangażowanych we wdrażanie udoskonaleń</w:t>
      </w:r>
      <w:r w:rsidR="00D73ED6">
        <w:t xml:space="preserve"> należy zaplanować sposoby na świę</w:t>
      </w:r>
      <w:r w:rsidR="00D73ED6">
        <w:lastRenderedPageBreak/>
        <w:t>towanie sukcesów (9.5). Jest to istotne by sposoby świętowania były zgodne kulturą organizacyjną uczelni, a konkretnie z formą kultury organizacyjnej jaką kierownictwo uczelni chce promować w ramach konkretnej instytucji. Świętowanie to też może stanowić okazję do komunikowania sukcesów z różnymi interesariuszami i nie tylko wzmacniać prestiż uczelni, ale co chyba jeszcze bardziej istotne pomagać wzmocnić zaangażowanie społeczności akademickiej w procesy udoskonaleń oraz zaangażowanie rożnych grup interesariuszy w udzielanie rzetelnej informacji zwrotnej.</w:t>
      </w:r>
      <w:r w:rsidR="00820DFD">
        <w:t xml:space="preserve"> Cały proces doskonalenia zgodny z omawianym modelem SSDQM jest okazją do pozyskiwania i weryfikowania wielu informacji o konkretnej organizacji jak i specyfice procesów doskonalenia. Jest to cenna wiedza organizacyjna, z której warto korzystać w przyszłości</w:t>
      </w:r>
      <w:r w:rsidR="004902EC">
        <w:t>.</w:t>
      </w:r>
      <w:r w:rsidR="00820DFD">
        <w:t xml:space="preserve"> </w:t>
      </w:r>
      <w:r w:rsidR="004902EC">
        <w:t>N</w:t>
      </w:r>
      <w:r w:rsidR="00820DFD">
        <w:t xml:space="preserve">ależy </w:t>
      </w:r>
      <w:r w:rsidR="004902EC">
        <w:t xml:space="preserve">więc </w:t>
      </w:r>
      <w:r w:rsidR="00820DFD">
        <w:t>zaplanować i ustanowić sposoby na jak najbardziej transparentne gromadzenie pozyskanej wiedzy (9.6)</w:t>
      </w:r>
      <w:r w:rsidR="004902EC">
        <w:t xml:space="preserve"> odnośnie do szeroko pojętych działań doskonalących</w:t>
      </w:r>
      <w:r w:rsidR="00820DFD">
        <w:t>.</w:t>
      </w:r>
      <w:r w:rsidR="006045A9">
        <w:t xml:space="preserve"> Po wykonaniu działań z wszystkich dotychczasowych etapów zespół zaangażowany w ten pro</w:t>
      </w:r>
      <w:r w:rsidR="00DE6FC5">
        <w:t>ces powinien mieć doświadczenie wystarczające do dokonania refleksji na temat samego procesu doskonalenia i metod stosowanych w ramach ciągłego doskonalenia w uczelni. W związku z tym należy jako element procesu ciągłego doskonalenia ustanowić regularne przeglądy, np. w formie praktyki retrospektywy, samego procesu ciągłego doskonalenia oraz tego jak jest on stosowany w praktyce (9.7). Dzięki temu będzie można również regularnie wdrażać usprawnienia do samego procesu ciągłego doskonalenia (9.8). To pozwoli na coraz bardziej efektywne i dostosowane do wymagań konkretnej uczelni stosowanie praktyki ciągłego doskonalenia.</w:t>
      </w:r>
    </w:p>
    <w:p w14:paraId="2E27E2C1" w14:textId="46F03534" w:rsidR="008F7470" w:rsidRDefault="00DE6FC5" w:rsidP="00EA5D6A">
      <w:r>
        <w:t xml:space="preserve">Po zakończeniu działań w ramach etapu 9 należy rozważyć potrzebę rozpoczęcia kolejnego cyklu doskonalenia. W tym miejscu należy zauważyć, że stosowane praktyki ciągłego doskonalenia wdrażane w ramach realizacji kolejnych etapów zgodnie z modelem SSDQM będą zapewniały nieustanne doskonalenie w ramach </w:t>
      </w:r>
      <w:r w:rsidR="003F57E3">
        <w:t>zidentyfikowanych misji, wizji i celów uczelni. W związku z tym wydaje się, że przy poprawnym wdrożeniu metod ciągłego doskonalenia w ramach Modelu inspiracją dla rozpoczęcia kolejnego cyklu doskonalenia zgodnie z całą strukturą postępowania będą istotne zmiany otoczenia mające wpływ na misję, wizję lub cele uczelni lub sama zmiana strategii uczelni.</w:t>
      </w:r>
    </w:p>
    <w:p w14:paraId="6F3D3673" w14:textId="28C9FE70" w:rsidR="00E465C8" w:rsidRDefault="00EA2C49" w:rsidP="00DD50DE">
      <w:r>
        <w:t>Ze względu na wspólne z wymaganiami normy ISO 21001:2018 podejście stawiające w centrum działań doskonalących satysfakcję wszystkich zainteresowanych stron wydaje się, że stosowanie modelu SSDQM w uczelniach może istotnie pomóc we wdrażaniu dojrzałego systemu zarządzania organizacją edukacyjną zgodnego z tą normą. Omówienie wzajemnych relacji SSDQM i wymagań normy ISO 21001:2018 zostanie zaprezentowane w kolejnym rozdziale.</w:t>
      </w:r>
    </w:p>
    <w:p w14:paraId="6867485B" w14:textId="59C6D9C2" w:rsidR="004638FA" w:rsidRDefault="00B47F8D" w:rsidP="00B47F8D">
      <w:pPr>
        <w:pStyle w:val="Nagwek2"/>
      </w:pPr>
      <w:r w:rsidRPr="00B47F8D">
        <w:t>K</w:t>
      </w:r>
      <w:r w:rsidR="00787121" w:rsidRPr="00B47F8D">
        <w:t xml:space="preserve">orzyści z zastosowania modelu SSDQM przy wdrażaniu i stosowaniu normatywnych </w:t>
      </w:r>
      <w:r w:rsidRPr="00B47F8D">
        <w:t>SZJ</w:t>
      </w:r>
    </w:p>
    <w:p w14:paraId="7053AE2C" w14:textId="38D33F41" w:rsidR="00B03664" w:rsidRPr="00B03664" w:rsidRDefault="00EA2C49" w:rsidP="00B03664">
      <w:r>
        <w:t xml:space="preserve">Po przeanalizowaniu szczegółów struktury modelu SSDQM i jego istotnych wymagań w procesie doskonalenia systemy zarządzania jakością uczelni można zauważyć oczywiste zbieżności z niektórymi wymaganiami normy ISO 21001:2018. Najistotniejszą zgodnością pomiędzy tymi narzędziami wspierającymi zarzadzanie uczelniami jest to, że stosując model SSDQM wykonuje się pomiary satysfakcji interesariuszy wcześniej ich identyfikując i analizując cechy każdej z istotnych grup. Analogiczne wymagania są podstawą systemu zarządzania opisanego przez Normę. Szczegółowa analiza wymagań normy ISO 21001:2018, których spełnienie może być wsparte dzięki </w:t>
      </w:r>
      <w:r>
        <w:lastRenderedPageBreak/>
        <w:t>wykonywaniu poszczególnych kroków sformułowanych w ram</w:t>
      </w:r>
      <w:r w:rsidR="00405CB4">
        <w:t>a</w:t>
      </w:r>
      <w:r>
        <w:t>ch modelu SSDQM</w:t>
      </w:r>
      <w:r w:rsidR="00405CB4">
        <w:t xml:space="preserve"> została przedstawiona w formie tabelarycznej po</w:t>
      </w:r>
      <w:r w:rsidR="00405CB4">
        <w:fldChar w:fldCharType="begin"/>
      </w:r>
      <w:r w:rsidR="00405CB4">
        <w:instrText xml:space="preserve"> REF _Ref162710653 \p \h </w:instrText>
      </w:r>
      <w:r w:rsidR="00405CB4">
        <w:fldChar w:fldCharType="separate"/>
      </w:r>
      <w:r w:rsidR="009E351C">
        <w:t>niżej</w:t>
      </w:r>
      <w:r w:rsidR="00405CB4">
        <w:fldChar w:fldCharType="end"/>
      </w:r>
      <w:r w:rsidR="00405CB4">
        <w:t xml:space="preserve"> (</w:t>
      </w:r>
      <w:r w:rsidR="00405CB4">
        <w:fldChar w:fldCharType="begin"/>
      </w:r>
      <w:r w:rsidR="00405CB4">
        <w:instrText xml:space="preserve"> REF _Ref162710660 \h </w:instrText>
      </w:r>
      <w:r w:rsidR="00405CB4">
        <w:fldChar w:fldCharType="separate"/>
      </w:r>
      <w:r w:rsidR="009E351C">
        <w:t xml:space="preserve">Tabela </w:t>
      </w:r>
      <w:r w:rsidR="009E351C">
        <w:rPr>
          <w:noProof/>
        </w:rPr>
        <w:t>77</w:t>
      </w:r>
      <w:r w:rsidR="00405CB4">
        <w:fldChar w:fldCharType="end"/>
      </w:r>
      <w:r w:rsidR="00405CB4">
        <w:t>).</w:t>
      </w:r>
    </w:p>
    <w:p w14:paraId="497F9198" w14:textId="487A7514" w:rsidR="00D947AB" w:rsidRDefault="00D947AB" w:rsidP="00D947AB">
      <w:pPr>
        <w:pStyle w:val="Tytutabeli"/>
      </w:pPr>
      <w:bookmarkStart w:id="141" w:name="_Ref162710660"/>
      <w:bookmarkStart w:id="142" w:name="_Ref162710653"/>
      <w:bookmarkStart w:id="143" w:name="_Toc163576366"/>
      <w:r>
        <w:t xml:space="preserve">Tabela </w:t>
      </w:r>
      <w:r>
        <w:fldChar w:fldCharType="begin"/>
      </w:r>
      <w:r>
        <w:instrText xml:space="preserve"> SEQ Tabela \* ARABIC </w:instrText>
      </w:r>
      <w:r>
        <w:fldChar w:fldCharType="separate"/>
      </w:r>
      <w:r w:rsidR="00DA2A4D">
        <w:rPr>
          <w:noProof/>
        </w:rPr>
        <w:t>77</w:t>
      </w:r>
      <w:r>
        <w:fldChar w:fldCharType="end"/>
      </w:r>
      <w:bookmarkEnd w:id="141"/>
      <w:r>
        <w:t xml:space="preserve"> Relacje do etapów autorskiego modelu doskonalenia SZJ uczelni z wykorzystaniem pomiaru satysfakcji interesariuszy w normie ISO 21001:2018</w:t>
      </w:r>
      <w:bookmarkEnd w:id="142"/>
      <w:bookmarkEnd w:id="143"/>
    </w:p>
    <w:tbl>
      <w:tblPr>
        <w:tblStyle w:val="Tabela-Siatka"/>
        <w:tblW w:w="9071" w:type="dxa"/>
        <w:tblInd w:w="360" w:type="dxa"/>
        <w:tblLook w:val="04A0" w:firstRow="1" w:lastRow="0" w:firstColumn="1" w:lastColumn="0" w:noHBand="0" w:noVBand="1"/>
      </w:tblPr>
      <w:tblGrid>
        <w:gridCol w:w="3572"/>
        <w:gridCol w:w="5499"/>
      </w:tblGrid>
      <w:tr w:rsidR="00845D13" w:rsidRPr="004638FA" w14:paraId="0EBEFFB0" w14:textId="77777777" w:rsidTr="00854B9B">
        <w:trPr>
          <w:cantSplit/>
          <w:tblHeader/>
        </w:trPr>
        <w:tc>
          <w:tcPr>
            <w:tcW w:w="3572" w:type="dxa"/>
          </w:tcPr>
          <w:p w14:paraId="7E1133B1" w14:textId="0CDDC502" w:rsidR="004638FA" w:rsidRPr="004638FA" w:rsidRDefault="004638FA" w:rsidP="008024F5">
            <w:pPr>
              <w:pStyle w:val="TekstTabeli"/>
              <w:keepNext/>
              <w:jc w:val="center"/>
              <w:rPr>
                <w:b/>
                <w:bCs w:val="0"/>
                <w:lang w:val="pl-PL"/>
              </w:rPr>
            </w:pPr>
            <w:r w:rsidRPr="004638FA">
              <w:rPr>
                <w:b/>
                <w:bCs w:val="0"/>
                <w:lang w:val="pl-PL"/>
              </w:rPr>
              <w:t>S</w:t>
            </w:r>
            <w:r w:rsidR="004B5898">
              <w:rPr>
                <w:b/>
                <w:bCs w:val="0"/>
                <w:lang w:val="pl-PL"/>
              </w:rPr>
              <w:t>S</w:t>
            </w:r>
            <w:r w:rsidRPr="004638FA">
              <w:rPr>
                <w:b/>
                <w:bCs w:val="0"/>
                <w:lang w:val="pl-PL"/>
              </w:rPr>
              <w:t>DQ</w:t>
            </w:r>
            <w:r>
              <w:rPr>
                <w:b/>
                <w:bCs w:val="0"/>
                <w:lang w:val="pl-PL"/>
              </w:rPr>
              <w:t>M</w:t>
            </w:r>
            <w:r w:rsidR="00D947AB">
              <w:rPr>
                <w:rStyle w:val="Odwoanieprzypisudolnego"/>
                <w:b/>
                <w:bCs w:val="0"/>
                <w:lang w:val="pl-PL"/>
              </w:rPr>
              <w:footnoteReference w:id="13"/>
            </w:r>
          </w:p>
        </w:tc>
        <w:tc>
          <w:tcPr>
            <w:tcW w:w="5499" w:type="dxa"/>
          </w:tcPr>
          <w:p w14:paraId="74F8FAEB" w14:textId="78205EB2" w:rsidR="004638FA" w:rsidRPr="004638FA" w:rsidRDefault="00391396" w:rsidP="008024F5">
            <w:pPr>
              <w:pStyle w:val="TekstTabeli"/>
              <w:keepNext/>
              <w:jc w:val="center"/>
              <w:rPr>
                <w:b/>
                <w:bCs w:val="0"/>
                <w:lang w:val="pl-PL"/>
              </w:rPr>
            </w:pPr>
            <w:r>
              <w:rPr>
                <w:b/>
                <w:bCs w:val="0"/>
                <w:lang w:val="pl-PL"/>
              </w:rPr>
              <w:t xml:space="preserve">Odniesienia </w:t>
            </w:r>
            <w:r w:rsidR="00D947AB">
              <w:rPr>
                <w:b/>
                <w:bCs w:val="0"/>
                <w:lang w:val="pl-PL"/>
              </w:rPr>
              <w:t>w</w:t>
            </w:r>
            <w:r>
              <w:rPr>
                <w:b/>
                <w:bCs w:val="0"/>
                <w:lang w:val="pl-PL"/>
              </w:rPr>
              <w:t xml:space="preserve"> </w:t>
            </w:r>
            <w:r w:rsidR="004638FA" w:rsidRPr="004638FA">
              <w:rPr>
                <w:b/>
                <w:bCs w:val="0"/>
                <w:lang w:val="pl-PL"/>
              </w:rPr>
              <w:t>ISO 21001</w:t>
            </w:r>
            <w:r w:rsidR="00D947AB">
              <w:rPr>
                <w:b/>
                <w:bCs w:val="0"/>
                <w:lang w:val="pl-PL"/>
              </w:rPr>
              <w:t>:2018</w:t>
            </w:r>
            <w:r w:rsidR="00B4213B">
              <w:rPr>
                <w:rStyle w:val="Odwoanieprzypisudolnego"/>
                <w:b/>
                <w:bCs w:val="0"/>
                <w:lang w:val="pl-PL"/>
              </w:rPr>
              <w:footnoteReference w:id="14"/>
            </w:r>
          </w:p>
        </w:tc>
      </w:tr>
      <w:tr w:rsidR="00845D13" w:rsidRPr="004638FA" w14:paraId="5E530C7B" w14:textId="5CAF1F6F" w:rsidTr="00854B9B">
        <w:trPr>
          <w:cantSplit/>
        </w:trPr>
        <w:tc>
          <w:tcPr>
            <w:tcW w:w="3572" w:type="dxa"/>
          </w:tcPr>
          <w:p w14:paraId="1B7B254F" w14:textId="520B9B5C" w:rsidR="004638FA" w:rsidRPr="004638FA" w:rsidRDefault="004638FA" w:rsidP="004638FA">
            <w:pPr>
              <w:pStyle w:val="TekstTabeli"/>
              <w:rPr>
                <w:lang w:val="pl-PL"/>
              </w:rPr>
            </w:pPr>
            <w:r w:rsidRPr="004638FA">
              <w:rPr>
                <w:lang w:val="pl-PL"/>
              </w:rPr>
              <w:t>1. Identyfikacja misji, wizji i celów uczelni ze szczególnym uwzględnieniem roli interesariuszy w systemie zarządzania jakością.</w:t>
            </w:r>
          </w:p>
        </w:tc>
        <w:tc>
          <w:tcPr>
            <w:tcW w:w="5499" w:type="dxa"/>
          </w:tcPr>
          <w:p w14:paraId="6302C465" w14:textId="4D367B63" w:rsidR="004638FA" w:rsidRDefault="004638FA" w:rsidP="004638FA">
            <w:pPr>
              <w:pStyle w:val="TekstTabeli"/>
              <w:rPr>
                <w:lang w:val="pl-PL"/>
              </w:rPr>
            </w:pPr>
            <w:r>
              <w:rPr>
                <w:lang w:val="pl-PL"/>
              </w:rPr>
              <w:t>4.1 Rozumienie kontekstu organizacji</w:t>
            </w:r>
            <w:r w:rsidR="00F65AC8">
              <w:rPr>
                <w:lang w:val="pl-PL"/>
              </w:rPr>
              <w:t xml:space="preserve"> „</w:t>
            </w:r>
            <w:r w:rsidR="00F65AC8" w:rsidRPr="00F65AC8">
              <w:rPr>
                <w:lang w:val="pl-PL"/>
              </w:rPr>
              <w:t xml:space="preserve">Organizacja powinna określić </w:t>
            </w:r>
            <w:r w:rsidR="00F65AC8">
              <w:rPr>
                <w:lang w:val="pl-PL"/>
              </w:rPr>
              <w:t>(…)</w:t>
            </w:r>
            <w:r w:rsidR="00F65AC8" w:rsidRPr="00F65AC8">
              <w:rPr>
                <w:lang w:val="pl-PL"/>
              </w:rPr>
              <w:t xml:space="preserve"> kwestie, które są istotne dla jej celu, społecznej odpowiedzialności i strategicznego kierunku, a</w:t>
            </w:r>
            <w:r w:rsidR="00C73791">
              <w:rPr>
                <w:lang w:val="pl-PL"/>
              </w:rPr>
              <w:t> </w:t>
            </w:r>
            <w:r w:rsidR="00F65AC8" w:rsidRPr="00F65AC8">
              <w:rPr>
                <w:lang w:val="pl-PL"/>
              </w:rPr>
              <w:t>także wpływają na jej zdolność do osiągnięcia zamierzonych rezultatów</w:t>
            </w:r>
            <w:r w:rsidR="00F65AC8">
              <w:rPr>
                <w:lang w:val="pl-PL"/>
              </w:rPr>
              <w:t>”</w:t>
            </w:r>
            <w:r>
              <w:rPr>
                <w:lang w:val="pl-PL"/>
              </w:rPr>
              <w:br/>
              <w:t xml:space="preserve">4.2 Rozumienie potrzeb i oczekiwań </w:t>
            </w:r>
            <w:r w:rsidR="002D7F63">
              <w:rPr>
                <w:lang w:val="pl-PL"/>
              </w:rPr>
              <w:t>zainteresowanych stron</w:t>
            </w:r>
          </w:p>
          <w:p w14:paraId="4555CE26" w14:textId="71105484" w:rsidR="002D7F63" w:rsidRPr="004638FA" w:rsidRDefault="002D7F63" w:rsidP="004638FA">
            <w:pPr>
              <w:pStyle w:val="TekstTabeli"/>
              <w:rPr>
                <w:lang w:val="pl-PL"/>
              </w:rPr>
            </w:pPr>
            <w:r>
              <w:rPr>
                <w:lang w:val="pl-PL"/>
              </w:rPr>
              <w:t>*0.6 Misja, wizja i strategia organizacji (nawiązanie do podlagając</w:t>
            </w:r>
            <w:r w:rsidR="00F65AC8">
              <w:rPr>
                <w:lang w:val="pl-PL"/>
              </w:rPr>
              <w:t>ych</w:t>
            </w:r>
            <w:r>
              <w:rPr>
                <w:lang w:val="pl-PL"/>
              </w:rPr>
              <w:t xml:space="preserve"> zmianom w ramach cyklicznych przeglądów strategii)</w:t>
            </w:r>
          </w:p>
        </w:tc>
      </w:tr>
      <w:tr w:rsidR="00845D13" w:rsidRPr="004638FA" w14:paraId="718888F2" w14:textId="07D26611" w:rsidTr="00854B9B">
        <w:trPr>
          <w:cantSplit/>
        </w:trPr>
        <w:tc>
          <w:tcPr>
            <w:tcW w:w="3572" w:type="dxa"/>
          </w:tcPr>
          <w:p w14:paraId="3312C125" w14:textId="5F36BBAB" w:rsidR="004638FA" w:rsidRPr="002D7F63" w:rsidRDefault="002D7F63" w:rsidP="004638FA">
            <w:pPr>
              <w:pStyle w:val="TekstTabeli"/>
              <w:rPr>
                <w:lang w:val="pl-PL"/>
              </w:rPr>
            </w:pPr>
            <w:r>
              <w:rPr>
                <w:lang w:val="pl-PL"/>
              </w:rPr>
              <w:t xml:space="preserve">2. </w:t>
            </w:r>
            <w:r w:rsidR="004638FA" w:rsidRPr="004638FA">
              <w:rPr>
                <w:lang w:val="pl-PL"/>
              </w:rPr>
              <w:t>Identyfikacja istotnych interesariuszy (zastosowanie metod identyfikacji i analizy interesariuszy opisanych w rozdz.</w:t>
            </w:r>
            <w:r w:rsidR="000B58A9">
              <w:rPr>
                <w:lang w:val="pl-PL"/>
              </w:rPr>
              <w:t xml:space="preserve"> </w:t>
            </w:r>
            <w:r w:rsidR="000B58A9">
              <w:rPr>
                <w:color w:val="FF0000"/>
                <w:szCs w:val="18"/>
              </w:rPr>
              <w:fldChar w:fldCharType="begin"/>
            </w:r>
            <w:r w:rsidR="000B58A9" w:rsidRPr="0050518C">
              <w:rPr>
                <w:szCs w:val="18"/>
                <w:lang w:val="pl-PL"/>
              </w:rPr>
              <w:instrText xml:space="preserve"> REF _Ref140912412 \r \h </w:instrText>
            </w:r>
            <w:r w:rsidR="000B58A9">
              <w:rPr>
                <w:color w:val="FF0000"/>
                <w:szCs w:val="18"/>
              </w:rPr>
            </w:r>
            <w:r w:rsidR="000B58A9">
              <w:rPr>
                <w:color w:val="FF0000"/>
                <w:szCs w:val="18"/>
              </w:rPr>
              <w:fldChar w:fldCharType="separate"/>
            </w:r>
            <w:r w:rsidR="009E351C">
              <w:rPr>
                <w:szCs w:val="18"/>
                <w:lang w:val="pl-PL"/>
              </w:rPr>
              <w:t>1.5</w:t>
            </w:r>
            <w:r w:rsidR="000B58A9">
              <w:rPr>
                <w:color w:val="FF0000"/>
                <w:szCs w:val="18"/>
              </w:rPr>
              <w:fldChar w:fldCharType="end"/>
            </w:r>
            <w:r w:rsidR="004638FA" w:rsidRPr="004638FA">
              <w:rPr>
                <w:lang w:val="pl-PL"/>
              </w:rPr>
              <w:t xml:space="preserve"> </w:t>
            </w:r>
            <w:r w:rsidR="00391396" w:rsidRPr="00391396">
              <w:rPr>
                <w:lang w:val="pl-PL"/>
              </w:rPr>
              <w:t>niniejszej pracy</w:t>
            </w:r>
            <w:r w:rsidR="004638FA" w:rsidRPr="002D7F63">
              <w:rPr>
                <w:lang w:val="pl-PL"/>
              </w:rPr>
              <w:t>)</w:t>
            </w:r>
          </w:p>
        </w:tc>
        <w:tc>
          <w:tcPr>
            <w:tcW w:w="5499" w:type="dxa"/>
          </w:tcPr>
          <w:p w14:paraId="7E6AAED6" w14:textId="735E58EC" w:rsidR="00F65AC8" w:rsidRPr="00A20CD0" w:rsidRDefault="00EF5BF2" w:rsidP="00F65AC8">
            <w:pPr>
              <w:pStyle w:val="TekstTabeli"/>
              <w:rPr>
                <w:lang w:val="pl-PL"/>
              </w:rPr>
            </w:pPr>
            <w:r w:rsidRPr="00A20CD0">
              <w:rPr>
                <w:lang w:val="pl-PL"/>
              </w:rPr>
              <w:t xml:space="preserve">4.2 Rozumienie potrzeb i oczekiwań </w:t>
            </w:r>
            <w:r w:rsidR="00F65AC8" w:rsidRPr="00A20CD0">
              <w:rPr>
                <w:lang w:val="pl-PL"/>
              </w:rPr>
              <w:t>interesariuszy „(…) organizacja powinna określić:</w:t>
            </w:r>
            <w:r w:rsidR="009414A3" w:rsidRPr="00A20CD0">
              <w:rPr>
                <w:lang w:val="pl-PL"/>
              </w:rPr>
              <w:t xml:space="preserve"> </w:t>
            </w:r>
            <w:r w:rsidR="00F65AC8" w:rsidRPr="00A20CD0">
              <w:rPr>
                <w:lang w:val="pl-PL"/>
              </w:rPr>
              <w:t xml:space="preserve">a) interesariuszy, którzy są istotni (…); b) istotne wymagania tych </w:t>
            </w:r>
            <w:r w:rsidR="009414A3" w:rsidRPr="00A20CD0">
              <w:rPr>
                <w:lang w:val="pl-PL"/>
              </w:rPr>
              <w:t>interesariuszy</w:t>
            </w:r>
            <w:r w:rsidR="00F65AC8" w:rsidRPr="00A20CD0">
              <w:rPr>
                <w:lang w:val="pl-PL"/>
              </w:rPr>
              <w:t>.</w:t>
            </w:r>
          </w:p>
          <w:p w14:paraId="2DA260FC" w14:textId="54239029" w:rsidR="004638FA" w:rsidRPr="002D7F63" w:rsidRDefault="009414A3" w:rsidP="004638FA">
            <w:pPr>
              <w:pStyle w:val="TekstTabeli"/>
              <w:rPr>
                <w:lang w:val="pl-PL"/>
              </w:rPr>
            </w:pPr>
            <w:r>
              <w:rPr>
                <w:lang w:val="pl-PL"/>
              </w:rPr>
              <w:t xml:space="preserve">Nie wprost </w:t>
            </w:r>
            <w:r w:rsidR="002D7F63" w:rsidRPr="002D7F63">
              <w:rPr>
                <w:lang w:val="pl-PL"/>
              </w:rPr>
              <w:t>5.1.2 Koncentracja na uczących się o</w:t>
            </w:r>
            <w:r w:rsidR="002D7F63">
              <w:rPr>
                <w:lang w:val="pl-PL"/>
              </w:rPr>
              <w:t>raz innych beneficjentach</w:t>
            </w:r>
          </w:p>
        </w:tc>
      </w:tr>
      <w:tr w:rsidR="00845D13" w:rsidRPr="004638FA" w14:paraId="3464CFC0" w14:textId="496F6FF9" w:rsidTr="00854B9B">
        <w:trPr>
          <w:cantSplit/>
        </w:trPr>
        <w:tc>
          <w:tcPr>
            <w:tcW w:w="3572" w:type="dxa"/>
          </w:tcPr>
          <w:p w14:paraId="1DFAAA52" w14:textId="5DFB4D99" w:rsidR="004638FA" w:rsidRPr="004638FA" w:rsidRDefault="002D7F63" w:rsidP="004638FA">
            <w:pPr>
              <w:pStyle w:val="TekstTabeli"/>
              <w:rPr>
                <w:lang w:val="pl-PL"/>
              </w:rPr>
            </w:pPr>
            <w:r>
              <w:rPr>
                <w:lang w:val="pl-PL"/>
              </w:rPr>
              <w:t xml:space="preserve">2.1 </w:t>
            </w:r>
            <w:r w:rsidR="004638FA" w:rsidRPr="004638FA">
              <w:rPr>
                <w:lang w:val="pl-PL"/>
              </w:rPr>
              <w:t>Analiza szerokiego spektrum potencjalnych interesariuszy uczelni (m.in. wykorzystanie listy z</w:t>
            </w:r>
            <w:r w:rsidR="000518F8">
              <w:rPr>
                <w:lang w:val="pl-PL"/>
              </w:rPr>
              <w:t> </w:t>
            </w:r>
            <w:r w:rsidR="004638FA" w:rsidRPr="004638FA">
              <w:rPr>
                <w:lang w:val="pl-PL"/>
              </w:rPr>
              <w:t xml:space="preserve">załącznika C do ISO 21001:2018 lub wyników analiz </w:t>
            </w:r>
            <w:r w:rsidR="00391396">
              <w:rPr>
                <w:lang w:val="pl-PL"/>
              </w:rPr>
              <w:t xml:space="preserve">interesariuszy </w:t>
            </w:r>
            <w:r w:rsidR="004638FA" w:rsidRPr="004638FA">
              <w:rPr>
                <w:lang w:val="pl-PL"/>
              </w:rPr>
              <w:t>z</w:t>
            </w:r>
            <w:r w:rsidR="000518F8">
              <w:rPr>
                <w:lang w:val="pl-PL"/>
              </w:rPr>
              <w:t> </w:t>
            </w:r>
            <w:r w:rsidR="004638FA" w:rsidRPr="004638FA">
              <w:rPr>
                <w:lang w:val="pl-PL"/>
              </w:rPr>
              <w:t>rozdziału</w:t>
            </w:r>
            <w:r w:rsidR="000B58A9">
              <w:rPr>
                <w:lang w:val="pl-PL"/>
              </w:rPr>
              <w:t xml:space="preserve"> </w:t>
            </w:r>
            <w:r w:rsidR="000B58A9">
              <w:rPr>
                <w:color w:val="FF0000"/>
                <w:szCs w:val="18"/>
              </w:rPr>
              <w:fldChar w:fldCharType="begin"/>
            </w:r>
            <w:r w:rsidR="000B58A9" w:rsidRPr="000B58A9">
              <w:rPr>
                <w:szCs w:val="18"/>
                <w:lang w:val="pl-PL"/>
              </w:rPr>
              <w:instrText xml:space="preserve"> REF _Ref140912412 \r \h </w:instrText>
            </w:r>
            <w:r w:rsidR="000B58A9">
              <w:rPr>
                <w:color w:val="FF0000"/>
                <w:szCs w:val="18"/>
              </w:rPr>
            </w:r>
            <w:r w:rsidR="000B58A9">
              <w:rPr>
                <w:color w:val="FF0000"/>
                <w:szCs w:val="18"/>
              </w:rPr>
              <w:fldChar w:fldCharType="separate"/>
            </w:r>
            <w:r w:rsidR="009E351C">
              <w:rPr>
                <w:szCs w:val="18"/>
                <w:lang w:val="pl-PL"/>
              </w:rPr>
              <w:t>1.5</w:t>
            </w:r>
            <w:r w:rsidR="000B58A9">
              <w:rPr>
                <w:color w:val="FF0000"/>
                <w:szCs w:val="18"/>
              </w:rPr>
              <w:fldChar w:fldCharType="end"/>
            </w:r>
            <w:r w:rsidR="004638FA" w:rsidRPr="004638FA">
              <w:rPr>
                <w:lang w:val="pl-PL"/>
              </w:rPr>
              <w:t xml:space="preserve"> </w:t>
            </w:r>
            <w:r w:rsidR="00391396" w:rsidRPr="00391396">
              <w:rPr>
                <w:lang w:val="pl-PL"/>
              </w:rPr>
              <w:t>niniejszej pracy</w:t>
            </w:r>
            <w:r w:rsidR="004638FA" w:rsidRPr="004638FA">
              <w:rPr>
                <w:lang w:val="pl-PL"/>
              </w:rPr>
              <w:t>)</w:t>
            </w:r>
          </w:p>
        </w:tc>
        <w:tc>
          <w:tcPr>
            <w:tcW w:w="5499" w:type="dxa"/>
          </w:tcPr>
          <w:p w14:paraId="532787C9" w14:textId="08E24793" w:rsidR="004638FA" w:rsidRPr="004638FA" w:rsidRDefault="009414A3" w:rsidP="004638FA">
            <w:pPr>
              <w:pStyle w:val="TekstTabeli"/>
              <w:rPr>
                <w:lang w:val="pl-PL"/>
              </w:rPr>
            </w:pPr>
            <w:r>
              <w:rPr>
                <w:lang w:val="pl-PL"/>
              </w:rPr>
              <w:t>jw.</w:t>
            </w:r>
          </w:p>
        </w:tc>
      </w:tr>
      <w:tr w:rsidR="00845D13" w:rsidRPr="004638FA" w14:paraId="2662ED36" w14:textId="2E910C2D" w:rsidTr="00854B9B">
        <w:trPr>
          <w:cantSplit/>
        </w:trPr>
        <w:tc>
          <w:tcPr>
            <w:tcW w:w="3572" w:type="dxa"/>
          </w:tcPr>
          <w:p w14:paraId="1A82C8ED" w14:textId="2DA917B0" w:rsidR="004638FA" w:rsidRPr="004638FA" w:rsidRDefault="002D7F63" w:rsidP="004638FA">
            <w:pPr>
              <w:pStyle w:val="TekstTabeli"/>
              <w:rPr>
                <w:lang w:val="pl-PL"/>
              </w:rPr>
            </w:pPr>
            <w:r>
              <w:rPr>
                <w:lang w:val="pl-PL"/>
              </w:rPr>
              <w:t xml:space="preserve">2.2 </w:t>
            </w:r>
            <w:r w:rsidR="004638FA" w:rsidRPr="004638FA">
              <w:rPr>
                <w:lang w:val="pl-PL"/>
              </w:rPr>
              <w:t>Opis cech każdej z grup w celu ich odpowiedniej klasyfikacji</w:t>
            </w:r>
          </w:p>
        </w:tc>
        <w:tc>
          <w:tcPr>
            <w:tcW w:w="5499" w:type="dxa"/>
          </w:tcPr>
          <w:p w14:paraId="0D8CF23E" w14:textId="6BE09563" w:rsidR="004638FA" w:rsidRPr="004638FA" w:rsidRDefault="009414A3" w:rsidP="004638FA">
            <w:pPr>
              <w:pStyle w:val="TekstTabeli"/>
              <w:rPr>
                <w:lang w:val="pl-PL"/>
              </w:rPr>
            </w:pPr>
            <w:r>
              <w:rPr>
                <w:lang w:val="pl-PL"/>
              </w:rPr>
              <w:t>jw</w:t>
            </w:r>
            <w:r w:rsidR="0084324A">
              <w:rPr>
                <w:lang w:val="pl-PL"/>
              </w:rPr>
              <w:t>.</w:t>
            </w:r>
          </w:p>
        </w:tc>
      </w:tr>
      <w:tr w:rsidR="00845D13" w:rsidRPr="004638FA" w14:paraId="0C41E665" w14:textId="7335EA78" w:rsidTr="00854B9B">
        <w:trPr>
          <w:cantSplit/>
        </w:trPr>
        <w:tc>
          <w:tcPr>
            <w:tcW w:w="3572" w:type="dxa"/>
          </w:tcPr>
          <w:p w14:paraId="3C33048A" w14:textId="17D8DD6D" w:rsidR="004638FA" w:rsidRPr="004638FA" w:rsidRDefault="002D7F63" w:rsidP="004638FA">
            <w:pPr>
              <w:pStyle w:val="TekstTabeli"/>
              <w:rPr>
                <w:lang w:val="pl-PL"/>
              </w:rPr>
            </w:pPr>
            <w:r>
              <w:rPr>
                <w:lang w:val="pl-PL"/>
              </w:rPr>
              <w:t xml:space="preserve">2.3 </w:t>
            </w:r>
            <w:r w:rsidR="004638FA" w:rsidRPr="004638FA">
              <w:rPr>
                <w:lang w:val="pl-PL"/>
              </w:rPr>
              <w:t xml:space="preserve">Wybór najistotniejszych grup interesariuszy </w:t>
            </w:r>
            <w:r w:rsidR="00DA079B">
              <w:rPr>
                <w:lang w:val="pl-PL"/>
              </w:rPr>
              <w:t>(z</w:t>
            </w:r>
            <w:r w:rsidR="004638FA" w:rsidRPr="004638FA">
              <w:rPr>
                <w:lang w:val="pl-PL"/>
              </w:rPr>
              <w:t xml:space="preserve"> uwzględnieni</w:t>
            </w:r>
            <w:r w:rsidR="00DA079B">
              <w:rPr>
                <w:lang w:val="pl-PL"/>
              </w:rPr>
              <w:t>em</w:t>
            </w:r>
            <w:r w:rsidR="004638FA" w:rsidRPr="004638FA">
              <w:rPr>
                <w:lang w:val="pl-PL"/>
              </w:rPr>
              <w:t xml:space="preserve"> misji i celów organizacji</w:t>
            </w:r>
            <w:r w:rsidR="00DA079B">
              <w:rPr>
                <w:lang w:val="pl-PL"/>
              </w:rPr>
              <w:t>)</w:t>
            </w:r>
          </w:p>
        </w:tc>
        <w:tc>
          <w:tcPr>
            <w:tcW w:w="5499" w:type="dxa"/>
          </w:tcPr>
          <w:p w14:paraId="7C2C8B64" w14:textId="21CFDFA4" w:rsidR="004638FA" w:rsidRDefault="009414A3" w:rsidP="004638FA">
            <w:pPr>
              <w:pStyle w:val="TekstTabeli"/>
              <w:rPr>
                <w:lang w:val="pl-PL"/>
              </w:rPr>
            </w:pPr>
            <w:r>
              <w:rPr>
                <w:lang w:val="pl-PL"/>
              </w:rPr>
              <w:t>jw.</w:t>
            </w:r>
          </w:p>
          <w:p w14:paraId="7670F567" w14:textId="7CFC9437" w:rsidR="00DA079B" w:rsidRPr="004638FA" w:rsidRDefault="00DA079B" w:rsidP="004638FA">
            <w:pPr>
              <w:pStyle w:val="TekstTabeli"/>
              <w:rPr>
                <w:lang w:val="pl-PL"/>
              </w:rPr>
            </w:pPr>
          </w:p>
        </w:tc>
      </w:tr>
      <w:tr w:rsidR="00845D13" w:rsidRPr="004638FA" w14:paraId="793A17DD" w14:textId="66835B57" w:rsidTr="00854B9B">
        <w:trPr>
          <w:cantSplit/>
        </w:trPr>
        <w:tc>
          <w:tcPr>
            <w:tcW w:w="3572" w:type="dxa"/>
          </w:tcPr>
          <w:p w14:paraId="57307660" w14:textId="482B911B" w:rsidR="004638FA" w:rsidRPr="004638FA" w:rsidRDefault="002D7F63" w:rsidP="004638FA">
            <w:pPr>
              <w:pStyle w:val="TekstTabeli"/>
              <w:rPr>
                <w:lang w:val="pl-PL"/>
              </w:rPr>
            </w:pPr>
            <w:r>
              <w:rPr>
                <w:lang w:val="pl-PL"/>
              </w:rPr>
              <w:t xml:space="preserve">3. </w:t>
            </w:r>
            <w:r w:rsidR="004638FA" w:rsidRPr="004638FA">
              <w:rPr>
                <w:lang w:val="pl-PL"/>
              </w:rPr>
              <w:t xml:space="preserve">Identyfikacja istotnych obszarów doskonalenia z punktu widzenia interesariuszy </w:t>
            </w:r>
            <w:r w:rsidR="000518F8" w:rsidRPr="000518F8">
              <w:rPr>
                <w:lang w:val="pl-PL"/>
              </w:rPr>
              <w:t>—</w:t>
            </w:r>
            <w:r w:rsidR="004638FA" w:rsidRPr="004638FA">
              <w:rPr>
                <w:lang w:val="pl-PL"/>
              </w:rPr>
              <w:t xml:space="preserve"> badanie jakościowe</w:t>
            </w:r>
          </w:p>
        </w:tc>
        <w:tc>
          <w:tcPr>
            <w:tcW w:w="5499" w:type="dxa"/>
          </w:tcPr>
          <w:p w14:paraId="5B234F50" w14:textId="36673ADC" w:rsidR="004638FA" w:rsidRDefault="008024F5" w:rsidP="004638FA">
            <w:pPr>
              <w:pStyle w:val="TekstTabeli"/>
              <w:rPr>
                <w:lang w:val="pl-PL"/>
              </w:rPr>
            </w:pPr>
            <w:r>
              <w:rPr>
                <w:lang w:val="pl-PL"/>
              </w:rPr>
              <w:t>Nie wprost: 9.3.3 Rezultaty przeglądu zarządzania: jednym z</w:t>
            </w:r>
            <w:r w:rsidR="00845D13">
              <w:rPr>
                <w:lang w:val="pl-PL"/>
              </w:rPr>
              <w:t> </w:t>
            </w:r>
            <w:r>
              <w:rPr>
                <w:lang w:val="pl-PL"/>
              </w:rPr>
              <w:t>rezultatów są „okazje/szanse na nieustanne ulepszenia”</w:t>
            </w:r>
          </w:p>
          <w:p w14:paraId="5853FA3C" w14:textId="10ACE809" w:rsidR="00CF47A1" w:rsidRPr="004638FA" w:rsidRDefault="00CF47A1" w:rsidP="004638FA">
            <w:pPr>
              <w:pStyle w:val="TekstTabeli"/>
              <w:rPr>
                <w:lang w:val="pl-PL"/>
              </w:rPr>
            </w:pPr>
            <w:r>
              <w:rPr>
                <w:lang w:val="pl-PL"/>
              </w:rPr>
              <w:t xml:space="preserve">Załącznik E.3 jako inspiracja „grupy fokusowe” </w:t>
            </w:r>
            <w:r w:rsidR="000518F8" w:rsidRPr="000518F8">
              <w:rPr>
                <w:lang w:val="pl-PL"/>
              </w:rPr>
              <w:t>—</w:t>
            </w:r>
            <w:r>
              <w:rPr>
                <w:lang w:val="pl-PL"/>
              </w:rPr>
              <w:t xml:space="preserve"> przykład metody badań jakościowych</w:t>
            </w:r>
          </w:p>
        </w:tc>
      </w:tr>
      <w:tr w:rsidR="00845D13" w:rsidRPr="004638FA" w14:paraId="0D41E9B7" w14:textId="28B3C3A3" w:rsidTr="00854B9B">
        <w:trPr>
          <w:cantSplit/>
        </w:trPr>
        <w:tc>
          <w:tcPr>
            <w:tcW w:w="3572" w:type="dxa"/>
          </w:tcPr>
          <w:p w14:paraId="44B27511" w14:textId="7DAE13D9" w:rsidR="004638FA" w:rsidRPr="004638FA" w:rsidRDefault="002D7F63" w:rsidP="004638FA">
            <w:pPr>
              <w:pStyle w:val="TekstTabeli"/>
              <w:rPr>
                <w:lang w:val="pl-PL"/>
              </w:rPr>
            </w:pPr>
            <w:r>
              <w:rPr>
                <w:lang w:val="pl-PL"/>
              </w:rPr>
              <w:t xml:space="preserve">3.1 </w:t>
            </w:r>
            <w:r w:rsidR="004638FA" w:rsidRPr="004638FA">
              <w:rPr>
                <w:lang w:val="pl-PL"/>
              </w:rPr>
              <w:t>Wybór celowy grupy respondentów do wywiadów jakościowych (z uwzględnieniem przedstawicieli władz uczelni oraz przedstawicieli wszystkich istotnych grup interesariuszy)</w:t>
            </w:r>
          </w:p>
        </w:tc>
        <w:tc>
          <w:tcPr>
            <w:tcW w:w="5499" w:type="dxa"/>
          </w:tcPr>
          <w:p w14:paraId="50996198" w14:textId="77777777" w:rsidR="00DA079B" w:rsidRDefault="00DA079B" w:rsidP="004638FA">
            <w:pPr>
              <w:pStyle w:val="TekstTabeli"/>
              <w:rPr>
                <w:lang w:val="pl-PL"/>
              </w:rPr>
            </w:pPr>
            <w:r>
              <w:rPr>
                <w:lang w:val="pl-PL"/>
              </w:rPr>
              <w:t>9.1.4.2 „Organizacja powinna zapewnić, że (…) interesariusze zaangażowani w ocenę lub będący pod jej wpływem zostali zidentyfikowani”</w:t>
            </w:r>
          </w:p>
          <w:p w14:paraId="13651703" w14:textId="18E71A0B" w:rsidR="004565B3" w:rsidRPr="003E4F6B" w:rsidRDefault="003E4F6B" w:rsidP="004638FA">
            <w:pPr>
              <w:pStyle w:val="TekstTabeli"/>
              <w:rPr>
                <w:lang w:val="pl-PL"/>
              </w:rPr>
            </w:pPr>
            <w:r>
              <w:rPr>
                <w:lang w:val="pl-PL"/>
              </w:rPr>
              <w:t xml:space="preserve">Nie wprost: </w:t>
            </w:r>
            <w:r w:rsidR="004565B3" w:rsidRPr="003E4F6B">
              <w:rPr>
                <w:lang w:val="pl-PL"/>
              </w:rPr>
              <w:t>Załącznik B.2. Wizjonerskie przywództwo B.2.4 Możliwe działania</w:t>
            </w:r>
            <w:r w:rsidRPr="003E4F6B">
              <w:rPr>
                <w:lang w:val="pl-PL"/>
              </w:rPr>
              <w:t xml:space="preserve"> „</w:t>
            </w:r>
            <w:r w:rsidR="004565B3" w:rsidRPr="003E4F6B">
              <w:rPr>
                <w:lang w:val="pl-PL"/>
              </w:rPr>
              <w:t>komunikowanie misji, wizji, strategii, polityki i procesów organizacji na wszystkich poziomach organizacji;</w:t>
            </w:r>
            <w:r w:rsidRPr="003E4F6B">
              <w:rPr>
                <w:lang w:val="pl-PL"/>
              </w:rPr>
              <w:t xml:space="preserve"> (…) </w:t>
            </w:r>
            <w:r w:rsidR="004565B3" w:rsidRPr="003E4F6B">
              <w:rPr>
                <w:lang w:val="pl-PL"/>
              </w:rPr>
              <w:t>zapewnienie, aby liderzy na wszystkich poziomach byli pozytywnymi przykładami dla osób w organizacji;</w:t>
            </w:r>
            <w:r w:rsidRPr="003E4F6B">
              <w:rPr>
                <w:lang w:val="pl-PL"/>
              </w:rPr>
              <w:t>”</w:t>
            </w:r>
          </w:p>
        </w:tc>
      </w:tr>
      <w:tr w:rsidR="00845D13" w:rsidRPr="004638FA" w14:paraId="5803C714" w14:textId="28309CEB" w:rsidTr="00854B9B">
        <w:trPr>
          <w:cantSplit/>
        </w:trPr>
        <w:tc>
          <w:tcPr>
            <w:tcW w:w="3572" w:type="dxa"/>
          </w:tcPr>
          <w:p w14:paraId="34AFD178" w14:textId="454766D4" w:rsidR="004638FA" w:rsidRPr="004638FA" w:rsidRDefault="002D7F63" w:rsidP="004638FA">
            <w:pPr>
              <w:pStyle w:val="TekstTabeli"/>
              <w:rPr>
                <w:lang w:val="pl-PL"/>
              </w:rPr>
            </w:pPr>
            <w:r>
              <w:rPr>
                <w:lang w:val="pl-PL"/>
              </w:rPr>
              <w:t xml:space="preserve">3.2 </w:t>
            </w:r>
            <w:r w:rsidR="004638FA" w:rsidRPr="004638FA">
              <w:rPr>
                <w:lang w:val="pl-PL"/>
              </w:rPr>
              <w:t>Opracowanie planu wywiadów umożliwiającego osiągnięcie celu badania (identyfikacja obszarów doskonalenia istotnych z punktu widzenia interesariuszy)</w:t>
            </w:r>
          </w:p>
        </w:tc>
        <w:tc>
          <w:tcPr>
            <w:tcW w:w="5499" w:type="dxa"/>
          </w:tcPr>
          <w:p w14:paraId="6C009A24" w14:textId="5ED1C57D" w:rsidR="004638FA" w:rsidRPr="004638FA" w:rsidRDefault="008D1C68" w:rsidP="004638FA">
            <w:pPr>
              <w:pStyle w:val="TekstTabeli"/>
              <w:rPr>
                <w:lang w:val="pl-PL"/>
              </w:rPr>
            </w:pPr>
            <w:r>
              <w:rPr>
                <w:lang w:val="pl-PL"/>
              </w:rPr>
              <w:t xml:space="preserve">6. Planowanie </w:t>
            </w:r>
            <w:r w:rsidR="00E911AB">
              <w:rPr>
                <w:lang w:val="pl-PL"/>
              </w:rPr>
              <w:t>–</w:t>
            </w:r>
            <w:r>
              <w:rPr>
                <w:lang w:val="pl-PL"/>
              </w:rPr>
              <w:t xml:space="preserve"> </w:t>
            </w:r>
            <w:r w:rsidR="00E911AB">
              <w:rPr>
                <w:lang w:val="pl-PL"/>
              </w:rPr>
              <w:t>jako jeden z głównych elementów systemu zarządzania. Odnosi się do szerszego zakresu zagadnień lecz podkreśla znaczenie funkcji planowania przy podejmowaniu różnych działań.</w:t>
            </w:r>
          </w:p>
        </w:tc>
      </w:tr>
      <w:tr w:rsidR="00845D13" w:rsidRPr="004638FA" w14:paraId="2832CE40" w14:textId="6E264ED0" w:rsidTr="00854B9B">
        <w:trPr>
          <w:cantSplit/>
        </w:trPr>
        <w:tc>
          <w:tcPr>
            <w:tcW w:w="3572" w:type="dxa"/>
          </w:tcPr>
          <w:p w14:paraId="23F925FB" w14:textId="7BF51C5F" w:rsidR="004638FA" w:rsidRPr="004638FA" w:rsidRDefault="002D7F63" w:rsidP="004638FA">
            <w:pPr>
              <w:pStyle w:val="TekstTabeli"/>
            </w:pPr>
            <w:r>
              <w:lastRenderedPageBreak/>
              <w:t xml:space="preserve">3.3 </w:t>
            </w:r>
            <w:proofErr w:type="spellStart"/>
            <w:r w:rsidR="004638FA" w:rsidRPr="004638FA">
              <w:t>Przeprowadzenie</w:t>
            </w:r>
            <w:proofErr w:type="spellEnd"/>
            <w:r w:rsidR="004638FA" w:rsidRPr="004638FA">
              <w:t xml:space="preserve"> </w:t>
            </w:r>
            <w:proofErr w:type="spellStart"/>
            <w:r w:rsidR="004638FA" w:rsidRPr="004638FA">
              <w:t>wywiadów</w:t>
            </w:r>
            <w:proofErr w:type="spellEnd"/>
            <w:r w:rsidR="004638FA" w:rsidRPr="004638FA">
              <w:t xml:space="preserve"> </w:t>
            </w:r>
            <w:proofErr w:type="spellStart"/>
            <w:r w:rsidR="004638FA" w:rsidRPr="004638FA">
              <w:t>badania</w:t>
            </w:r>
            <w:proofErr w:type="spellEnd"/>
            <w:r w:rsidR="004638FA" w:rsidRPr="004638FA">
              <w:t xml:space="preserve"> </w:t>
            </w:r>
            <w:proofErr w:type="spellStart"/>
            <w:r w:rsidR="004638FA" w:rsidRPr="004638FA">
              <w:t>jakościowego</w:t>
            </w:r>
            <w:proofErr w:type="spellEnd"/>
          </w:p>
        </w:tc>
        <w:tc>
          <w:tcPr>
            <w:tcW w:w="5499" w:type="dxa"/>
          </w:tcPr>
          <w:p w14:paraId="4EAA6597" w14:textId="175482A7" w:rsidR="004638FA" w:rsidRPr="00E911AB" w:rsidRDefault="00E911AB" w:rsidP="004638FA">
            <w:pPr>
              <w:pStyle w:val="TekstTabeli"/>
              <w:rPr>
                <w:lang w:val="pl-PL"/>
              </w:rPr>
            </w:pPr>
            <w:r>
              <w:rPr>
                <w:lang w:val="pl-PL"/>
              </w:rPr>
              <w:t xml:space="preserve">4.2 </w:t>
            </w:r>
            <w:proofErr w:type="spellStart"/>
            <w:r>
              <w:rPr>
                <w:lang w:val="pl-PL"/>
              </w:rPr>
              <w:t>j.w</w:t>
            </w:r>
            <w:proofErr w:type="spellEnd"/>
          </w:p>
        </w:tc>
      </w:tr>
      <w:tr w:rsidR="00845D13" w:rsidRPr="004638FA" w14:paraId="06F4DD33" w14:textId="7A083E93" w:rsidTr="00854B9B">
        <w:trPr>
          <w:cantSplit/>
        </w:trPr>
        <w:tc>
          <w:tcPr>
            <w:tcW w:w="3572" w:type="dxa"/>
          </w:tcPr>
          <w:p w14:paraId="401F2C57" w14:textId="235EC600" w:rsidR="004638FA" w:rsidRPr="004638FA" w:rsidRDefault="002D7F63" w:rsidP="004638FA">
            <w:pPr>
              <w:pStyle w:val="TekstTabeli"/>
              <w:rPr>
                <w:lang w:val="pl-PL"/>
              </w:rPr>
            </w:pPr>
            <w:r>
              <w:rPr>
                <w:lang w:val="pl-PL"/>
              </w:rPr>
              <w:t xml:space="preserve">3.4 </w:t>
            </w:r>
            <w:r w:rsidR="004638FA" w:rsidRPr="004638FA">
              <w:rPr>
                <w:lang w:val="pl-PL"/>
              </w:rPr>
              <w:t>Analiza wyników wywiadu, w tym określenie potencjalnie najistotniejszych obszarów doskonalenia z punktu widzenia interesariuszy</w:t>
            </w:r>
          </w:p>
        </w:tc>
        <w:tc>
          <w:tcPr>
            <w:tcW w:w="5499" w:type="dxa"/>
          </w:tcPr>
          <w:p w14:paraId="29557CBF" w14:textId="7D8B4B26" w:rsidR="004638FA" w:rsidRPr="004638FA" w:rsidRDefault="009414A3" w:rsidP="004565B3">
            <w:pPr>
              <w:pStyle w:val="TekstTabeli"/>
              <w:rPr>
                <w:lang w:val="pl-PL"/>
              </w:rPr>
            </w:pPr>
            <w:r>
              <w:rPr>
                <w:lang w:val="pl-PL"/>
              </w:rPr>
              <w:t>9.1.5 Analiza i ocena „</w:t>
            </w:r>
            <w:r w:rsidRPr="004565B3">
              <w:rPr>
                <w:lang w:val="pl-PL"/>
              </w:rPr>
              <w:t>Organizacja powinna analizować i</w:t>
            </w:r>
            <w:r w:rsidR="00C73791">
              <w:rPr>
                <w:lang w:val="pl-PL"/>
              </w:rPr>
              <w:t> </w:t>
            </w:r>
            <w:r w:rsidRPr="004565B3">
              <w:rPr>
                <w:lang w:val="pl-PL"/>
              </w:rPr>
              <w:t>oceniać odpowiednie dane i informacje wynikające z monitorowania i</w:t>
            </w:r>
            <w:r w:rsidR="00854B9B">
              <w:rPr>
                <w:lang w:val="pl-PL"/>
              </w:rPr>
              <w:t> </w:t>
            </w:r>
            <w:r w:rsidRPr="004565B3">
              <w:rPr>
                <w:lang w:val="pl-PL"/>
              </w:rPr>
              <w:t xml:space="preserve">pomiarów.(…) </w:t>
            </w:r>
            <w:r w:rsidR="004565B3" w:rsidRPr="004565B3">
              <w:rPr>
                <w:lang w:val="pl-PL"/>
              </w:rPr>
              <w:t>[</w:t>
            </w:r>
            <w:r w:rsidRPr="004565B3">
              <w:rPr>
                <w:lang w:val="pl-PL"/>
              </w:rPr>
              <w:t>m. in.</w:t>
            </w:r>
            <w:r w:rsidR="004565B3">
              <w:rPr>
                <w:lang w:val="pl-PL"/>
              </w:rPr>
              <w:t>]</w:t>
            </w:r>
            <w:r w:rsidRPr="004565B3">
              <w:rPr>
                <w:lang w:val="pl-PL"/>
              </w:rPr>
              <w:t>: b) stopnia satysfakcji beneficjentów; c)</w:t>
            </w:r>
            <w:r w:rsidR="00854B9B">
              <w:rPr>
                <w:lang w:val="pl-PL"/>
              </w:rPr>
              <w:t> </w:t>
            </w:r>
            <w:r w:rsidRPr="004565B3">
              <w:rPr>
                <w:lang w:val="pl-PL"/>
              </w:rPr>
              <w:t>stopnia satysfakcji personelu;</w:t>
            </w:r>
            <w:r w:rsidR="004565B3" w:rsidRPr="004565B3">
              <w:rPr>
                <w:lang w:val="pl-PL"/>
              </w:rPr>
              <w:t xml:space="preserve"> </w:t>
            </w:r>
            <w:r w:rsidRPr="009414A3">
              <w:rPr>
                <w:lang w:val="pl-PL"/>
              </w:rPr>
              <w:t>h) potrzeby wprowadzenia ulepszeń do systemu zarządzania organizacją edukacyjną.</w:t>
            </w:r>
            <w:r>
              <w:rPr>
                <w:lang w:val="pl-PL"/>
              </w:rPr>
              <w:t>”</w:t>
            </w:r>
          </w:p>
        </w:tc>
      </w:tr>
      <w:tr w:rsidR="00845D13" w:rsidRPr="004638FA" w14:paraId="18DCBEAA" w14:textId="4F9F823A" w:rsidTr="00854B9B">
        <w:trPr>
          <w:cantSplit/>
        </w:trPr>
        <w:tc>
          <w:tcPr>
            <w:tcW w:w="3572" w:type="dxa"/>
          </w:tcPr>
          <w:p w14:paraId="7AD6ADF6" w14:textId="364C5B3B" w:rsidR="004638FA" w:rsidRPr="004638FA" w:rsidRDefault="00AE0D03" w:rsidP="004638FA">
            <w:pPr>
              <w:pStyle w:val="TekstTabeli"/>
              <w:rPr>
                <w:lang w:val="pl-PL"/>
              </w:rPr>
            </w:pPr>
            <w:r>
              <w:rPr>
                <w:lang w:val="pl-PL"/>
              </w:rPr>
              <w:t xml:space="preserve">4. </w:t>
            </w:r>
            <w:r w:rsidR="004638FA" w:rsidRPr="004638FA">
              <w:rPr>
                <w:lang w:val="pl-PL"/>
              </w:rPr>
              <w:t>Analiza zewnętrznych źródeł informacji potencjalnie skorelowanych z wynikami działań organizacji wobec interesariuszy (rankingi, ELA, inne dostępne wyniki zewnętrznych badań)</w:t>
            </w:r>
          </w:p>
        </w:tc>
        <w:tc>
          <w:tcPr>
            <w:tcW w:w="5499" w:type="dxa"/>
          </w:tcPr>
          <w:p w14:paraId="5A77C7BD" w14:textId="1E4691D1" w:rsidR="004565B3" w:rsidRDefault="004565B3" w:rsidP="004565B3">
            <w:pPr>
              <w:pStyle w:val="TekstTabeli"/>
              <w:rPr>
                <w:lang w:val="pl-PL"/>
              </w:rPr>
            </w:pPr>
            <w:r>
              <w:rPr>
                <w:lang w:val="pl-PL"/>
              </w:rPr>
              <w:t>9.1.5 Analiza i ocena „</w:t>
            </w:r>
            <w:r w:rsidRPr="004565B3">
              <w:rPr>
                <w:lang w:val="pl-PL"/>
              </w:rPr>
              <w:t>Organizacja powinna analizować i</w:t>
            </w:r>
            <w:r w:rsidR="00C73791">
              <w:rPr>
                <w:lang w:val="pl-PL"/>
              </w:rPr>
              <w:t> </w:t>
            </w:r>
            <w:r w:rsidRPr="004565B3">
              <w:rPr>
                <w:lang w:val="pl-PL"/>
              </w:rPr>
              <w:t>oceniać odpowiednie dane i informacje wynikające z monitorowania i</w:t>
            </w:r>
            <w:r w:rsidR="00854B9B">
              <w:rPr>
                <w:lang w:val="pl-PL"/>
              </w:rPr>
              <w:t> </w:t>
            </w:r>
            <w:r w:rsidRPr="004565B3">
              <w:rPr>
                <w:lang w:val="pl-PL"/>
              </w:rPr>
              <w:t>pomiarów.(…) [m. in.</w:t>
            </w:r>
            <w:r>
              <w:rPr>
                <w:lang w:val="pl-PL"/>
              </w:rPr>
              <w:t>]</w:t>
            </w:r>
            <w:r w:rsidRPr="004565B3">
              <w:rPr>
                <w:lang w:val="pl-PL"/>
              </w:rPr>
              <w:t>: d) wydajności i</w:t>
            </w:r>
            <w:r w:rsidR="00C73791">
              <w:rPr>
                <w:lang w:val="pl-PL"/>
              </w:rPr>
              <w:t> </w:t>
            </w:r>
            <w:r w:rsidRPr="004565B3">
              <w:rPr>
                <w:lang w:val="pl-PL"/>
              </w:rPr>
              <w:t xml:space="preserve">efektywności </w:t>
            </w:r>
            <w:r w:rsidR="005738ED">
              <w:rPr>
                <w:lang w:val="pl-PL"/>
              </w:rPr>
              <w:t>SZOE</w:t>
            </w:r>
            <w:r w:rsidRPr="004565B3">
              <w:rPr>
                <w:lang w:val="pl-PL"/>
              </w:rPr>
              <w:t>; e) czy planowanie zostało wdrożone efektywnie; f) efektywności działań podjętych w celu zarządzania ryzykiem i wykorzystania szans; h) potrzeby wprowadzenia ulepszeń do systemu zarządzania organizacją edukacyjną.</w:t>
            </w:r>
          </w:p>
          <w:p w14:paraId="3553D8EB" w14:textId="1DAFD607" w:rsidR="004565B3" w:rsidRPr="004565B3" w:rsidRDefault="004565B3" w:rsidP="004565B3">
            <w:pPr>
              <w:pStyle w:val="TekstTabeli"/>
              <w:rPr>
                <w:lang w:val="pl-PL"/>
              </w:rPr>
            </w:pPr>
            <w:r>
              <w:rPr>
                <w:lang w:val="pl-PL"/>
              </w:rPr>
              <w:t>Załącznik E.3 jako inspiracja „analizy danych statystycznych;”</w:t>
            </w:r>
          </w:p>
        </w:tc>
      </w:tr>
      <w:tr w:rsidR="00845D13" w:rsidRPr="004638FA" w14:paraId="648F3B91" w14:textId="6CB56DC9" w:rsidTr="00854B9B">
        <w:trPr>
          <w:cantSplit/>
        </w:trPr>
        <w:tc>
          <w:tcPr>
            <w:tcW w:w="3572" w:type="dxa"/>
          </w:tcPr>
          <w:p w14:paraId="678B42D1" w14:textId="7355ABB2" w:rsidR="004638FA" w:rsidRPr="004638FA" w:rsidRDefault="00AE0D03" w:rsidP="004638FA">
            <w:pPr>
              <w:pStyle w:val="TekstTabeli"/>
              <w:rPr>
                <w:lang w:val="pl-PL"/>
              </w:rPr>
            </w:pPr>
            <w:r>
              <w:rPr>
                <w:lang w:val="pl-PL"/>
              </w:rPr>
              <w:t xml:space="preserve">5. </w:t>
            </w:r>
            <w:r w:rsidR="004638FA" w:rsidRPr="004638FA">
              <w:rPr>
                <w:lang w:val="pl-PL"/>
              </w:rPr>
              <w:t>Statystyczna weryfikacja poziomu satysfakcji interesariuszy oraz istotności innych wniosków z badania jakościowego</w:t>
            </w:r>
          </w:p>
        </w:tc>
        <w:tc>
          <w:tcPr>
            <w:tcW w:w="5499" w:type="dxa"/>
          </w:tcPr>
          <w:p w14:paraId="4442EFDC" w14:textId="25F4A238" w:rsidR="004565B3" w:rsidRDefault="004565B3" w:rsidP="004638FA">
            <w:pPr>
              <w:pStyle w:val="TekstTabeli"/>
              <w:rPr>
                <w:lang w:val="pl-PL"/>
              </w:rPr>
            </w:pPr>
            <w:r>
              <w:rPr>
                <w:lang w:val="pl-PL"/>
              </w:rPr>
              <w:t>9.1.5 jw.</w:t>
            </w:r>
          </w:p>
          <w:p w14:paraId="07419DA0" w14:textId="7DB28270" w:rsidR="004638FA" w:rsidRPr="004638FA" w:rsidRDefault="00DA079B" w:rsidP="004638FA">
            <w:pPr>
              <w:pStyle w:val="TekstTabeli"/>
              <w:rPr>
                <w:lang w:val="pl-PL"/>
              </w:rPr>
            </w:pPr>
            <w:r>
              <w:rPr>
                <w:lang w:val="pl-PL"/>
              </w:rPr>
              <w:t>Załącznik E.3 jako inspiracja</w:t>
            </w:r>
            <w:r w:rsidR="00CF47A1">
              <w:rPr>
                <w:lang w:val="pl-PL"/>
              </w:rPr>
              <w:t xml:space="preserve"> „ankiety satysfakcji; analizy danych statystycznych;”</w:t>
            </w:r>
          </w:p>
        </w:tc>
      </w:tr>
      <w:tr w:rsidR="00845D13" w:rsidRPr="004638FA" w14:paraId="546145F2" w14:textId="7B48C249" w:rsidTr="00854B9B">
        <w:trPr>
          <w:cantSplit/>
        </w:trPr>
        <w:tc>
          <w:tcPr>
            <w:tcW w:w="3572" w:type="dxa"/>
          </w:tcPr>
          <w:p w14:paraId="65ED1C3D" w14:textId="7E9E270E" w:rsidR="004638FA" w:rsidRPr="004638FA" w:rsidRDefault="00AE0D03" w:rsidP="004638FA">
            <w:pPr>
              <w:pStyle w:val="TekstTabeli"/>
            </w:pPr>
            <w:r>
              <w:t xml:space="preserve">5.1 </w:t>
            </w:r>
            <w:proofErr w:type="spellStart"/>
            <w:r w:rsidR="004638FA" w:rsidRPr="004638FA">
              <w:t>Opracowanie</w:t>
            </w:r>
            <w:proofErr w:type="spellEnd"/>
            <w:r w:rsidR="004638FA" w:rsidRPr="004638FA">
              <w:t xml:space="preserve"> </w:t>
            </w:r>
            <w:proofErr w:type="spellStart"/>
            <w:r w:rsidR="004638FA" w:rsidRPr="004638FA">
              <w:t>narzędzia</w:t>
            </w:r>
            <w:proofErr w:type="spellEnd"/>
            <w:r w:rsidR="004638FA" w:rsidRPr="004638FA">
              <w:t xml:space="preserve"> </w:t>
            </w:r>
            <w:proofErr w:type="spellStart"/>
            <w:r w:rsidR="004638FA" w:rsidRPr="004638FA">
              <w:t>badawczego</w:t>
            </w:r>
            <w:proofErr w:type="spellEnd"/>
          </w:p>
        </w:tc>
        <w:tc>
          <w:tcPr>
            <w:tcW w:w="5499" w:type="dxa"/>
          </w:tcPr>
          <w:p w14:paraId="31526F72" w14:textId="5610B393" w:rsidR="004638FA" w:rsidRPr="00DA079B" w:rsidRDefault="00DA079B" w:rsidP="004638FA">
            <w:pPr>
              <w:pStyle w:val="TekstTabeli"/>
              <w:rPr>
                <w:lang w:val="pl-PL"/>
              </w:rPr>
            </w:pPr>
            <w:r>
              <w:rPr>
                <w:lang w:val="pl-PL"/>
              </w:rPr>
              <w:t>9.1.4.1 „organizacja powinna określić (…) metody pozyskiwania, monitorowania i przeglądów informacji o wynikach (efektach działań)”</w:t>
            </w:r>
          </w:p>
        </w:tc>
      </w:tr>
      <w:tr w:rsidR="00845D13" w:rsidRPr="004638FA" w14:paraId="54B8D017" w14:textId="428A24E2" w:rsidTr="00854B9B">
        <w:trPr>
          <w:cantSplit/>
        </w:trPr>
        <w:tc>
          <w:tcPr>
            <w:tcW w:w="3572" w:type="dxa"/>
          </w:tcPr>
          <w:p w14:paraId="32C5436F" w14:textId="6C263E66" w:rsidR="004638FA" w:rsidRPr="004638FA" w:rsidRDefault="00AE0D03" w:rsidP="004638FA">
            <w:pPr>
              <w:pStyle w:val="TekstTabeli"/>
              <w:rPr>
                <w:lang w:val="pl-PL"/>
              </w:rPr>
            </w:pPr>
            <w:r>
              <w:rPr>
                <w:lang w:val="pl-PL"/>
              </w:rPr>
              <w:t xml:space="preserve">5.1.1 </w:t>
            </w:r>
            <w:r w:rsidR="0084324A" w:rsidRPr="004638FA">
              <w:rPr>
                <w:lang w:val="pl-PL"/>
              </w:rPr>
              <w:t xml:space="preserve">Wybór </w:t>
            </w:r>
            <w:r w:rsidR="004638FA" w:rsidRPr="004638FA">
              <w:rPr>
                <w:lang w:val="pl-PL"/>
              </w:rPr>
              <w:t xml:space="preserve">szczegółowych pytań pomiaru SSI (np. doprecyzowanie zakresów czasowych </w:t>
            </w:r>
            <w:r w:rsidR="000518F8" w:rsidRPr="000518F8">
              <w:rPr>
                <w:lang w:val="pl-PL"/>
              </w:rPr>
              <w:t>—</w:t>
            </w:r>
            <w:r w:rsidR="004638FA" w:rsidRPr="004638FA">
              <w:rPr>
                <w:lang w:val="pl-PL"/>
              </w:rPr>
              <w:t xml:space="preserve"> sugerowane mierzenie satysfakcji absolwentów zaraz po ukończeniu studiów oraz co najmniej w 3 lata po ukończeniu studiów)</w:t>
            </w:r>
          </w:p>
        </w:tc>
        <w:tc>
          <w:tcPr>
            <w:tcW w:w="5499" w:type="dxa"/>
          </w:tcPr>
          <w:p w14:paraId="48B5BBFB" w14:textId="2AB68403" w:rsidR="004638FA" w:rsidRPr="004638FA" w:rsidRDefault="00DA079B" w:rsidP="004638FA">
            <w:pPr>
              <w:pStyle w:val="TekstTabeli"/>
              <w:rPr>
                <w:lang w:val="pl-PL"/>
              </w:rPr>
            </w:pPr>
            <w:r>
              <w:rPr>
                <w:lang w:val="pl-PL"/>
              </w:rPr>
              <w:t xml:space="preserve">9.1.4.1 </w:t>
            </w:r>
            <w:proofErr w:type="spellStart"/>
            <w:r>
              <w:rPr>
                <w:lang w:val="pl-PL"/>
              </w:rPr>
              <w:t>j.w</w:t>
            </w:r>
            <w:proofErr w:type="spellEnd"/>
            <w:r>
              <w:rPr>
                <w:lang w:val="pl-PL"/>
              </w:rPr>
              <w:t>.</w:t>
            </w:r>
          </w:p>
        </w:tc>
      </w:tr>
      <w:tr w:rsidR="00845D13" w:rsidRPr="004638FA" w14:paraId="03E76556" w14:textId="7EF969C4" w:rsidTr="00854B9B">
        <w:trPr>
          <w:cantSplit/>
        </w:trPr>
        <w:tc>
          <w:tcPr>
            <w:tcW w:w="3572" w:type="dxa"/>
          </w:tcPr>
          <w:p w14:paraId="5113E93B" w14:textId="64DEC2FD" w:rsidR="004638FA" w:rsidRPr="004638FA" w:rsidRDefault="00AE0D03" w:rsidP="004638FA">
            <w:pPr>
              <w:pStyle w:val="TekstTabeli"/>
              <w:rPr>
                <w:lang w:val="pl-PL"/>
              </w:rPr>
            </w:pPr>
            <w:r>
              <w:rPr>
                <w:lang w:val="pl-PL"/>
              </w:rPr>
              <w:t xml:space="preserve">5.1.2 </w:t>
            </w:r>
            <w:r w:rsidR="0084324A" w:rsidRPr="004638FA">
              <w:rPr>
                <w:lang w:val="pl-PL"/>
              </w:rPr>
              <w:t xml:space="preserve">Opracowanie </w:t>
            </w:r>
            <w:r w:rsidR="004638FA" w:rsidRPr="004638FA">
              <w:rPr>
                <w:lang w:val="pl-PL"/>
              </w:rPr>
              <w:t xml:space="preserve">pytań dodatkowych </w:t>
            </w:r>
            <w:r w:rsidR="00EF354C">
              <w:rPr>
                <w:lang w:val="pl-PL"/>
              </w:rPr>
              <w:t>(</w:t>
            </w:r>
            <w:r w:rsidR="004638FA" w:rsidRPr="004638FA">
              <w:rPr>
                <w:lang w:val="pl-PL"/>
              </w:rPr>
              <w:t>pozwalających pozyskać odpowiedzi na istotne pytania wynikające z badania jakościowego</w:t>
            </w:r>
            <w:r w:rsidR="00EF354C">
              <w:rPr>
                <w:lang w:val="pl-PL"/>
              </w:rPr>
              <w:t>)</w:t>
            </w:r>
          </w:p>
        </w:tc>
        <w:tc>
          <w:tcPr>
            <w:tcW w:w="5499" w:type="dxa"/>
          </w:tcPr>
          <w:p w14:paraId="415B7F63" w14:textId="2A7F599F" w:rsidR="004638FA" w:rsidRPr="004638FA" w:rsidRDefault="00DA079B" w:rsidP="004638FA">
            <w:pPr>
              <w:pStyle w:val="TekstTabeli"/>
              <w:rPr>
                <w:lang w:val="pl-PL"/>
              </w:rPr>
            </w:pPr>
            <w:r>
              <w:rPr>
                <w:lang w:val="pl-PL"/>
              </w:rPr>
              <w:t xml:space="preserve">9.1.4.1 </w:t>
            </w:r>
            <w:proofErr w:type="spellStart"/>
            <w:r>
              <w:rPr>
                <w:lang w:val="pl-PL"/>
              </w:rPr>
              <w:t>j.w</w:t>
            </w:r>
            <w:proofErr w:type="spellEnd"/>
            <w:r>
              <w:rPr>
                <w:lang w:val="pl-PL"/>
              </w:rPr>
              <w:t>.</w:t>
            </w:r>
          </w:p>
        </w:tc>
      </w:tr>
      <w:tr w:rsidR="00845D13" w:rsidRPr="004638FA" w14:paraId="02AC1BDD" w14:textId="6E32C41E" w:rsidTr="00854B9B">
        <w:trPr>
          <w:cantSplit/>
        </w:trPr>
        <w:tc>
          <w:tcPr>
            <w:tcW w:w="3572" w:type="dxa"/>
          </w:tcPr>
          <w:p w14:paraId="5F27531B" w14:textId="1ABFD90A" w:rsidR="004638FA" w:rsidRPr="004638FA" w:rsidRDefault="00AE0D03" w:rsidP="004638FA">
            <w:pPr>
              <w:pStyle w:val="TekstTabeli"/>
              <w:rPr>
                <w:lang w:val="pl-PL"/>
              </w:rPr>
            </w:pPr>
            <w:r>
              <w:rPr>
                <w:lang w:val="pl-PL"/>
              </w:rPr>
              <w:t xml:space="preserve">5.2 </w:t>
            </w:r>
            <w:r w:rsidR="0084324A" w:rsidRPr="004638FA">
              <w:rPr>
                <w:lang w:val="pl-PL"/>
              </w:rPr>
              <w:t xml:space="preserve">Wybór </w:t>
            </w:r>
            <w:r w:rsidR="004638FA" w:rsidRPr="004638FA">
              <w:rPr>
                <w:lang w:val="pl-PL"/>
              </w:rPr>
              <w:t>metody doboru grupy badawczej (pozwalającej na uzyskanie wiarygodnych i statystycznie istotnych odpowiedzi)</w:t>
            </w:r>
          </w:p>
        </w:tc>
        <w:tc>
          <w:tcPr>
            <w:tcW w:w="5499" w:type="dxa"/>
          </w:tcPr>
          <w:p w14:paraId="200DA5D0" w14:textId="469EE0D2" w:rsidR="00DA079B" w:rsidRDefault="00DA079B" w:rsidP="004638FA">
            <w:pPr>
              <w:pStyle w:val="TekstTabeli"/>
              <w:rPr>
                <w:lang w:val="pl-PL"/>
              </w:rPr>
            </w:pPr>
            <w:r>
              <w:rPr>
                <w:lang w:val="pl-PL"/>
              </w:rPr>
              <w:t xml:space="preserve">9.1.4.1 </w:t>
            </w:r>
            <w:proofErr w:type="spellStart"/>
            <w:r>
              <w:rPr>
                <w:lang w:val="pl-PL"/>
              </w:rPr>
              <w:t>j.w</w:t>
            </w:r>
            <w:proofErr w:type="spellEnd"/>
            <w:r>
              <w:rPr>
                <w:lang w:val="pl-PL"/>
              </w:rPr>
              <w:t>.</w:t>
            </w:r>
          </w:p>
          <w:p w14:paraId="2C9A93DB" w14:textId="6D7E234B" w:rsidR="004638FA" w:rsidRPr="004638FA" w:rsidRDefault="004565B3" w:rsidP="004638FA">
            <w:pPr>
              <w:pStyle w:val="TekstTabeli"/>
              <w:rPr>
                <w:lang w:val="pl-PL"/>
              </w:rPr>
            </w:pPr>
            <w:r>
              <w:rPr>
                <w:lang w:val="pl-PL"/>
              </w:rPr>
              <w:t xml:space="preserve">Nie wprost </w:t>
            </w:r>
            <w:r w:rsidR="00DA079B">
              <w:rPr>
                <w:lang w:val="pl-PL"/>
              </w:rPr>
              <w:t>9.1.4.2 „Organizacja powinna zapewnić, że (…) interesariusze zaangażowani w ocenę lub będący pod jej wpływem zostali zidentyfikowani”</w:t>
            </w:r>
          </w:p>
        </w:tc>
      </w:tr>
      <w:tr w:rsidR="00845D13" w:rsidRPr="004638FA" w14:paraId="13F10105" w14:textId="41271432" w:rsidTr="00854B9B">
        <w:trPr>
          <w:cantSplit/>
        </w:trPr>
        <w:tc>
          <w:tcPr>
            <w:tcW w:w="3572" w:type="dxa"/>
          </w:tcPr>
          <w:p w14:paraId="1FB593BA" w14:textId="01881383" w:rsidR="004638FA" w:rsidRPr="004638FA" w:rsidRDefault="00AE0D03" w:rsidP="004638FA">
            <w:pPr>
              <w:pStyle w:val="TekstTabeli"/>
              <w:rPr>
                <w:lang w:val="pl-PL"/>
              </w:rPr>
            </w:pPr>
            <w:r>
              <w:rPr>
                <w:lang w:val="pl-PL"/>
              </w:rPr>
              <w:t xml:space="preserve">5.3 </w:t>
            </w:r>
            <w:r w:rsidR="0084324A" w:rsidRPr="004638FA">
              <w:rPr>
                <w:lang w:val="pl-PL"/>
              </w:rPr>
              <w:t xml:space="preserve">Weryfikacja </w:t>
            </w:r>
            <w:r w:rsidR="004638FA" w:rsidRPr="004638FA">
              <w:rPr>
                <w:lang w:val="pl-PL"/>
              </w:rPr>
              <w:t>narzędzia pomiarowego poprzez przeprowadzenie badania pilotażowego</w:t>
            </w:r>
          </w:p>
        </w:tc>
        <w:tc>
          <w:tcPr>
            <w:tcW w:w="5499" w:type="dxa"/>
          </w:tcPr>
          <w:p w14:paraId="133EA1A0" w14:textId="1092E34B" w:rsidR="004638FA" w:rsidRPr="004638FA" w:rsidRDefault="00B75FBD" w:rsidP="004638FA">
            <w:pPr>
              <w:pStyle w:val="TekstTabeli"/>
              <w:rPr>
                <w:lang w:val="pl-PL"/>
              </w:rPr>
            </w:pPr>
            <w:r>
              <w:rPr>
                <w:lang w:val="pl-PL"/>
              </w:rPr>
              <w:t>Brak nawiązania</w:t>
            </w:r>
          </w:p>
        </w:tc>
      </w:tr>
      <w:tr w:rsidR="00845D13" w:rsidRPr="004638FA" w14:paraId="449EAC6D" w14:textId="64CB3A55" w:rsidTr="00854B9B">
        <w:trPr>
          <w:cantSplit/>
        </w:trPr>
        <w:tc>
          <w:tcPr>
            <w:tcW w:w="3572" w:type="dxa"/>
          </w:tcPr>
          <w:p w14:paraId="1FC0DB02" w14:textId="57AB7EBB" w:rsidR="004638FA" w:rsidRPr="004638FA" w:rsidRDefault="00AE0D03" w:rsidP="004638FA">
            <w:pPr>
              <w:pStyle w:val="TekstTabeli"/>
              <w:rPr>
                <w:lang w:val="pl-PL"/>
              </w:rPr>
            </w:pPr>
            <w:r>
              <w:rPr>
                <w:lang w:val="pl-PL"/>
              </w:rPr>
              <w:t xml:space="preserve">5.4 </w:t>
            </w:r>
            <w:r w:rsidR="0084324A" w:rsidRPr="004638FA">
              <w:rPr>
                <w:lang w:val="pl-PL"/>
              </w:rPr>
              <w:t xml:space="preserve">Wprowadzenie </w:t>
            </w:r>
            <w:r w:rsidR="004638FA" w:rsidRPr="004638FA">
              <w:rPr>
                <w:lang w:val="pl-PL"/>
              </w:rPr>
              <w:t>ewentualnych korekt do narzędzia pomiarowego</w:t>
            </w:r>
          </w:p>
        </w:tc>
        <w:tc>
          <w:tcPr>
            <w:tcW w:w="5499" w:type="dxa"/>
          </w:tcPr>
          <w:p w14:paraId="6389CC75" w14:textId="52CC46BD" w:rsidR="004638FA" w:rsidRPr="004638FA" w:rsidRDefault="00B75FBD" w:rsidP="004638FA">
            <w:pPr>
              <w:pStyle w:val="TekstTabeli"/>
              <w:rPr>
                <w:lang w:val="pl-PL"/>
              </w:rPr>
            </w:pPr>
            <w:r>
              <w:rPr>
                <w:lang w:val="pl-PL"/>
              </w:rPr>
              <w:t>Brak nawiązania</w:t>
            </w:r>
          </w:p>
        </w:tc>
      </w:tr>
      <w:tr w:rsidR="00845D13" w:rsidRPr="004638FA" w14:paraId="211DB210" w14:textId="38758ED4" w:rsidTr="00854B9B">
        <w:trPr>
          <w:cantSplit/>
        </w:trPr>
        <w:tc>
          <w:tcPr>
            <w:tcW w:w="3572" w:type="dxa"/>
          </w:tcPr>
          <w:p w14:paraId="16499D21" w14:textId="1CC3A4A2" w:rsidR="004638FA" w:rsidRPr="004638FA" w:rsidRDefault="00AE0D03" w:rsidP="004638FA">
            <w:pPr>
              <w:pStyle w:val="TekstTabeli"/>
            </w:pPr>
            <w:r>
              <w:rPr>
                <w:lang w:val="pl-PL"/>
              </w:rPr>
              <w:t xml:space="preserve">5.5 </w:t>
            </w:r>
            <w:proofErr w:type="spellStart"/>
            <w:r w:rsidR="0084324A" w:rsidRPr="004638FA">
              <w:t>Przeprowadzenie</w:t>
            </w:r>
            <w:proofErr w:type="spellEnd"/>
            <w:r w:rsidR="0084324A" w:rsidRPr="004638FA">
              <w:t xml:space="preserve"> </w:t>
            </w:r>
            <w:proofErr w:type="spellStart"/>
            <w:r w:rsidR="004638FA" w:rsidRPr="004638FA">
              <w:t>badania</w:t>
            </w:r>
            <w:proofErr w:type="spellEnd"/>
            <w:r w:rsidR="004638FA" w:rsidRPr="004638FA">
              <w:t xml:space="preserve"> </w:t>
            </w:r>
            <w:proofErr w:type="spellStart"/>
            <w:r w:rsidR="004638FA" w:rsidRPr="004638FA">
              <w:t>właściwego</w:t>
            </w:r>
            <w:proofErr w:type="spellEnd"/>
          </w:p>
        </w:tc>
        <w:tc>
          <w:tcPr>
            <w:tcW w:w="5499" w:type="dxa"/>
          </w:tcPr>
          <w:p w14:paraId="10F52B31" w14:textId="21C7D103" w:rsidR="004638FA" w:rsidRPr="004638FA" w:rsidRDefault="00B75FBD" w:rsidP="004638FA">
            <w:pPr>
              <w:pStyle w:val="TekstTabeli"/>
            </w:pPr>
            <w:r>
              <w:rPr>
                <w:lang w:val="pl-PL"/>
              </w:rPr>
              <w:t xml:space="preserve">4.2 </w:t>
            </w:r>
            <w:proofErr w:type="spellStart"/>
            <w:r>
              <w:rPr>
                <w:lang w:val="pl-PL"/>
              </w:rPr>
              <w:t>j.w</w:t>
            </w:r>
            <w:proofErr w:type="spellEnd"/>
          </w:p>
        </w:tc>
      </w:tr>
      <w:tr w:rsidR="00845D13" w:rsidRPr="004638FA" w14:paraId="6AED3E0F" w14:textId="2886B7EA" w:rsidTr="00854B9B">
        <w:trPr>
          <w:cantSplit/>
        </w:trPr>
        <w:tc>
          <w:tcPr>
            <w:tcW w:w="3572" w:type="dxa"/>
          </w:tcPr>
          <w:p w14:paraId="0B44D6B3" w14:textId="0796788C" w:rsidR="004638FA" w:rsidRPr="004638FA" w:rsidRDefault="00AE0D03" w:rsidP="004638FA">
            <w:pPr>
              <w:pStyle w:val="TekstTabeli"/>
            </w:pPr>
            <w:r>
              <w:t xml:space="preserve">5.6 </w:t>
            </w:r>
            <w:r w:rsidR="004638FA" w:rsidRPr="004638FA">
              <w:t xml:space="preserve">Analiza </w:t>
            </w:r>
            <w:proofErr w:type="spellStart"/>
            <w:r w:rsidR="004638FA" w:rsidRPr="004638FA">
              <w:t>wyników</w:t>
            </w:r>
            <w:proofErr w:type="spellEnd"/>
            <w:r w:rsidR="004638FA" w:rsidRPr="004638FA">
              <w:t xml:space="preserve"> </w:t>
            </w:r>
            <w:proofErr w:type="spellStart"/>
            <w:r w:rsidR="004638FA" w:rsidRPr="004638FA">
              <w:t>badania</w:t>
            </w:r>
            <w:proofErr w:type="spellEnd"/>
          </w:p>
        </w:tc>
        <w:tc>
          <w:tcPr>
            <w:tcW w:w="5499" w:type="dxa"/>
          </w:tcPr>
          <w:p w14:paraId="534A5FED" w14:textId="0644F8E4" w:rsidR="004638FA" w:rsidRPr="00EF5BF2" w:rsidRDefault="00EF5BF2" w:rsidP="004638FA">
            <w:pPr>
              <w:pStyle w:val="TekstTabeli"/>
              <w:rPr>
                <w:lang w:val="pl-PL"/>
              </w:rPr>
            </w:pPr>
            <w:r w:rsidRPr="00EF5BF2">
              <w:rPr>
                <w:lang w:val="pl-PL"/>
              </w:rPr>
              <w:t>8.3.3 Dane wejściowe dla projektowania i</w:t>
            </w:r>
            <w:r>
              <w:rPr>
                <w:lang w:val="pl-PL"/>
              </w:rPr>
              <w:t xml:space="preserve"> rozwoju (ulepszania)</w:t>
            </w:r>
          </w:p>
        </w:tc>
      </w:tr>
      <w:tr w:rsidR="00845D13" w:rsidRPr="004638FA" w14:paraId="0B4A0091" w14:textId="674EF1B8" w:rsidTr="00854B9B">
        <w:trPr>
          <w:cantSplit/>
        </w:trPr>
        <w:tc>
          <w:tcPr>
            <w:tcW w:w="3572" w:type="dxa"/>
          </w:tcPr>
          <w:p w14:paraId="2A72A5A9" w14:textId="20C6C5B3" w:rsidR="004638FA" w:rsidRPr="004638FA" w:rsidRDefault="00AE0D03" w:rsidP="004638FA">
            <w:pPr>
              <w:pStyle w:val="TekstTabeli"/>
            </w:pPr>
            <w:r>
              <w:t xml:space="preserve">5.6.1 </w:t>
            </w:r>
            <w:proofErr w:type="spellStart"/>
            <w:r w:rsidR="004638FA" w:rsidRPr="004638FA">
              <w:t>Weryfikacja</w:t>
            </w:r>
            <w:proofErr w:type="spellEnd"/>
            <w:r w:rsidR="004638FA" w:rsidRPr="004638FA">
              <w:t xml:space="preserve"> </w:t>
            </w:r>
            <w:proofErr w:type="spellStart"/>
            <w:r w:rsidR="004638FA" w:rsidRPr="004638FA">
              <w:t>reprezentatywności</w:t>
            </w:r>
            <w:proofErr w:type="spellEnd"/>
            <w:r w:rsidR="004638FA" w:rsidRPr="004638FA">
              <w:t xml:space="preserve"> </w:t>
            </w:r>
            <w:proofErr w:type="spellStart"/>
            <w:r w:rsidR="004638FA" w:rsidRPr="004638FA">
              <w:t>grupy</w:t>
            </w:r>
            <w:proofErr w:type="spellEnd"/>
            <w:r w:rsidR="004638FA" w:rsidRPr="004638FA">
              <w:t xml:space="preserve"> </w:t>
            </w:r>
            <w:proofErr w:type="spellStart"/>
            <w:r w:rsidR="004638FA" w:rsidRPr="004638FA">
              <w:t>badawczej</w:t>
            </w:r>
            <w:proofErr w:type="spellEnd"/>
          </w:p>
        </w:tc>
        <w:tc>
          <w:tcPr>
            <w:tcW w:w="5499" w:type="dxa"/>
          </w:tcPr>
          <w:p w14:paraId="5A9C0BE4" w14:textId="264B566B" w:rsidR="004638FA" w:rsidRPr="00B75FBD" w:rsidRDefault="00B75FBD" w:rsidP="004638FA">
            <w:pPr>
              <w:pStyle w:val="TekstTabeli"/>
              <w:rPr>
                <w:lang w:val="pl-PL"/>
              </w:rPr>
            </w:pPr>
            <w:r>
              <w:rPr>
                <w:lang w:val="pl-PL"/>
              </w:rPr>
              <w:t>9.1.5 jw.</w:t>
            </w:r>
          </w:p>
        </w:tc>
      </w:tr>
      <w:tr w:rsidR="00845D13" w:rsidRPr="004638FA" w14:paraId="1130C949" w14:textId="2F8100D2" w:rsidTr="00854B9B">
        <w:trPr>
          <w:cantSplit/>
        </w:trPr>
        <w:tc>
          <w:tcPr>
            <w:tcW w:w="3572" w:type="dxa"/>
          </w:tcPr>
          <w:p w14:paraId="310468AF" w14:textId="3E550FCC" w:rsidR="004638FA" w:rsidRPr="004638FA" w:rsidRDefault="00AE0D03" w:rsidP="004638FA">
            <w:pPr>
              <w:pStyle w:val="TekstTabeli"/>
              <w:rPr>
                <w:lang w:val="pl-PL"/>
              </w:rPr>
            </w:pPr>
            <w:r>
              <w:rPr>
                <w:lang w:val="pl-PL"/>
              </w:rPr>
              <w:t xml:space="preserve">5.6.2 </w:t>
            </w:r>
            <w:r w:rsidR="004638FA" w:rsidRPr="004638FA">
              <w:rPr>
                <w:lang w:val="pl-PL"/>
              </w:rPr>
              <w:t>Weryfikacji statystycznej istotności uzyskanych wyników</w:t>
            </w:r>
          </w:p>
        </w:tc>
        <w:tc>
          <w:tcPr>
            <w:tcW w:w="5499" w:type="dxa"/>
          </w:tcPr>
          <w:p w14:paraId="03094DB6" w14:textId="121B6C8E" w:rsidR="004638FA" w:rsidRPr="004638FA" w:rsidRDefault="00B75FBD" w:rsidP="004638FA">
            <w:pPr>
              <w:pStyle w:val="TekstTabeli"/>
              <w:rPr>
                <w:lang w:val="pl-PL"/>
              </w:rPr>
            </w:pPr>
            <w:r>
              <w:rPr>
                <w:lang w:val="pl-PL"/>
              </w:rPr>
              <w:t>9.1.5 jw.</w:t>
            </w:r>
          </w:p>
        </w:tc>
      </w:tr>
      <w:tr w:rsidR="00845D13" w:rsidRPr="004638FA" w14:paraId="6EB3FB8F" w14:textId="16F6F54B" w:rsidTr="00854B9B">
        <w:trPr>
          <w:cantSplit/>
        </w:trPr>
        <w:tc>
          <w:tcPr>
            <w:tcW w:w="3572" w:type="dxa"/>
          </w:tcPr>
          <w:p w14:paraId="17A6A27B" w14:textId="79CD8BDB" w:rsidR="004638FA" w:rsidRPr="009D78D4" w:rsidRDefault="00AE0D03" w:rsidP="004638FA">
            <w:pPr>
              <w:pStyle w:val="TekstTabeli"/>
              <w:rPr>
                <w:lang w:val="pl-PL"/>
              </w:rPr>
            </w:pPr>
            <w:r>
              <w:rPr>
                <w:lang w:val="pl-PL"/>
              </w:rPr>
              <w:t xml:space="preserve">5.6.3 </w:t>
            </w:r>
            <w:r w:rsidR="009D78D4" w:rsidRPr="009D78D4">
              <w:rPr>
                <w:lang w:val="pl-PL"/>
              </w:rPr>
              <w:t>Obliczenie miar istotnych wskaźników, w tym SSI (różnych jego wersji oraz innych istotnych wskaźników z punktu widzenia celu badania</w:t>
            </w:r>
            <w:r w:rsidR="00845D13">
              <w:rPr>
                <w:lang w:val="pl-PL"/>
              </w:rPr>
              <w:t>)</w:t>
            </w:r>
          </w:p>
        </w:tc>
        <w:tc>
          <w:tcPr>
            <w:tcW w:w="5499" w:type="dxa"/>
          </w:tcPr>
          <w:p w14:paraId="1B2CFE3D" w14:textId="494B8813" w:rsidR="004638FA" w:rsidRPr="004638FA" w:rsidRDefault="00EF5BF2" w:rsidP="004638FA">
            <w:pPr>
              <w:pStyle w:val="TekstTabeli"/>
              <w:rPr>
                <w:lang w:val="pl-PL"/>
              </w:rPr>
            </w:pPr>
            <w:r w:rsidRPr="00EF5BF2">
              <w:rPr>
                <w:lang w:val="pl-PL"/>
              </w:rPr>
              <w:t>8.3.3 Dane wejściowe dla projektowania i</w:t>
            </w:r>
            <w:r>
              <w:rPr>
                <w:lang w:val="pl-PL"/>
              </w:rPr>
              <w:t xml:space="preserve"> rozwoju (ulepszania)</w:t>
            </w:r>
            <w:r w:rsidR="005738ED">
              <w:rPr>
                <w:lang w:val="pl-PL"/>
              </w:rPr>
              <w:t xml:space="preserve"> „dane wejściowe powinny być kompletne, jednoznaczne i adekwatne do celów poprawy.</w:t>
            </w:r>
          </w:p>
        </w:tc>
      </w:tr>
      <w:tr w:rsidR="00845D13" w:rsidRPr="004638FA" w14:paraId="1FB37F18" w14:textId="28223949" w:rsidTr="00854B9B">
        <w:trPr>
          <w:cantSplit/>
        </w:trPr>
        <w:tc>
          <w:tcPr>
            <w:tcW w:w="3572" w:type="dxa"/>
          </w:tcPr>
          <w:p w14:paraId="09C6839B" w14:textId="4F263F0D" w:rsidR="004638FA" w:rsidRPr="004638FA" w:rsidRDefault="009D78D4" w:rsidP="004638FA">
            <w:pPr>
              <w:pStyle w:val="TekstTabeli"/>
              <w:rPr>
                <w:lang w:val="pl-PL"/>
              </w:rPr>
            </w:pPr>
            <w:r>
              <w:rPr>
                <w:lang w:val="pl-PL"/>
              </w:rPr>
              <w:lastRenderedPageBreak/>
              <w:t xml:space="preserve">5.6.4 </w:t>
            </w:r>
            <w:r w:rsidR="004638FA" w:rsidRPr="004638FA">
              <w:rPr>
                <w:lang w:val="pl-PL"/>
              </w:rPr>
              <w:t xml:space="preserve">Analiza relacji wartości miar obliczonych na podstawie wyników badania z innymi miarami </w:t>
            </w:r>
            <w:r w:rsidR="00FA3EFF">
              <w:rPr>
                <w:lang w:val="pl-PL"/>
              </w:rPr>
              <w:t>(</w:t>
            </w:r>
            <w:r w:rsidR="004638FA" w:rsidRPr="004638FA">
              <w:rPr>
                <w:lang w:val="pl-PL"/>
              </w:rPr>
              <w:t>odnoszącymi się do wyników organizacji</w:t>
            </w:r>
            <w:r w:rsidR="00FA3EFF">
              <w:rPr>
                <w:lang w:val="pl-PL"/>
              </w:rPr>
              <w:t>)</w:t>
            </w:r>
          </w:p>
        </w:tc>
        <w:tc>
          <w:tcPr>
            <w:tcW w:w="5499" w:type="dxa"/>
          </w:tcPr>
          <w:p w14:paraId="43FC782A" w14:textId="16B5A4FA" w:rsidR="004638FA" w:rsidRPr="004638FA" w:rsidRDefault="00EF5BF2" w:rsidP="004638FA">
            <w:pPr>
              <w:pStyle w:val="TekstTabeli"/>
              <w:rPr>
                <w:lang w:val="pl-PL"/>
              </w:rPr>
            </w:pPr>
            <w:r w:rsidRPr="00EF5BF2">
              <w:rPr>
                <w:lang w:val="pl-PL"/>
              </w:rPr>
              <w:t xml:space="preserve">8.3.3 </w:t>
            </w:r>
            <w:r w:rsidR="005738ED">
              <w:rPr>
                <w:lang w:val="pl-PL"/>
              </w:rPr>
              <w:t>jw.</w:t>
            </w:r>
          </w:p>
        </w:tc>
      </w:tr>
      <w:tr w:rsidR="00845D13" w:rsidRPr="004638FA" w14:paraId="04DFC401" w14:textId="479ACA82" w:rsidTr="00854B9B">
        <w:trPr>
          <w:cantSplit/>
        </w:trPr>
        <w:tc>
          <w:tcPr>
            <w:tcW w:w="3572" w:type="dxa"/>
          </w:tcPr>
          <w:p w14:paraId="441F6E85" w14:textId="6004AB32" w:rsidR="004638FA" w:rsidRPr="004638FA" w:rsidRDefault="009D78D4" w:rsidP="004638FA">
            <w:pPr>
              <w:pStyle w:val="TekstTabeli"/>
            </w:pPr>
            <w:r>
              <w:t xml:space="preserve">5.7 </w:t>
            </w:r>
            <w:proofErr w:type="spellStart"/>
            <w:r w:rsidR="004638FA" w:rsidRPr="004638FA">
              <w:t>Opracowanie</w:t>
            </w:r>
            <w:proofErr w:type="spellEnd"/>
            <w:r w:rsidR="004638FA" w:rsidRPr="004638FA">
              <w:t xml:space="preserve"> </w:t>
            </w:r>
            <w:proofErr w:type="spellStart"/>
            <w:r w:rsidR="004638FA" w:rsidRPr="004638FA">
              <w:t>raportu</w:t>
            </w:r>
            <w:proofErr w:type="spellEnd"/>
            <w:r w:rsidR="004638FA" w:rsidRPr="004638FA">
              <w:t xml:space="preserve"> z </w:t>
            </w:r>
            <w:proofErr w:type="spellStart"/>
            <w:r w:rsidR="004638FA" w:rsidRPr="004638FA">
              <w:t>badania</w:t>
            </w:r>
            <w:proofErr w:type="spellEnd"/>
          </w:p>
        </w:tc>
        <w:tc>
          <w:tcPr>
            <w:tcW w:w="5499" w:type="dxa"/>
          </w:tcPr>
          <w:p w14:paraId="1857C29B" w14:textId="6CE46AA4" w:rsidR="004638FA" w:rsidRPr="00EF5BF2" w:rsidRDefault="00EF5BF2" w:rsidP="004638FA">
            <w:pPr>
              <w:pStyle w:val="TekstTabeli"/>
              <w:rPr>
                <w:lang w:val="pl-PL"/>
              </w:rPr>
            </w:pPr>
            <w:r w:rsidRPr="00EF5BF2">
              <w:rPr>
                <w:lang w:val="pl-PL"/>
              </w:rPr>
              <w:t xml:space="preserve">8.3.3 </w:t>
            </w:r>
            <w:r w:rsidR="005738ED">
              <w:rPr>
                <w:lang w:val="pl-PL"/>
              </w:rPr>
              <w:t>jw.</w:t>
            </w:r>
          </w:p>
        </w:tc>
      </w:tr>
      <w:tr w:rsidR="00845D13" w:rsidRPr="004638FA" w14:paraId="1A30A5C1" w14:textId="79D184EE" w:rsidTr="00854B9B">
        <w:trPr>
          <w:cantSplit/>
        </w:trPr>
        <w:tc>
          <w:tcPr>
            <w:tcW w:w="3572" w:type="dxa"/>
          </w:tcPr>
          <w:p w14:paraId="176F0C1E" w14:textId="792942F1" w:rsidR="004638FA" w:rsidRPr="004638FA" w:rsidRDefault="009D78D4" w:rsidP="004638FA">
            <w:pPr>
              <w:pStyle w:val="TekstTabeli"/>
            </w:pPr>
            <w:r>
              <w:t xml:space="preserve">6. </w:t>
            </w:r>
            <w:proofErr w:type="spellStart"/>
            <w:r w:rsidR="004638FA" w:rsidRPr="004638FA">
              <w:t>Wybór</w:t>
            </w:r>
            <w:proofErr w:type="spellEnd"/>
            <w:r w:rsidR="004638FA" w:rsidRPr="004638FA">
              <w:t xml:space="preserve"> </w:t>
            </w:r>
            <w:proofErr w:type="spellStart"/>
            <w:r w:rsidR="004638FA" w:rsidRPr="004638FA">
              <w:t>obszarów</w:t>
            </w:r>
            <w:proofErr w:type="spellEnd"/>
            <w:r w:rsidR="004638FA" w:rsidRPr="004638FA">
              <w:t xml:space="preserve"> do </w:t>
            </w:r>
            <w:proofErr w:type="spellStart"/>
            <w:r w:rsidR="004638FA" w:rsidRPr="004638FA">
              <w:t>doskonalenia</w:t>
            </w:r>
            <w:proofErr w:type="spellEnd"/>
          </w:p>
        </w:tc>
        <w:tc>
          <w:tcPr>
            <w:tcW w:w="5499" w:type="dxa"/>
          </w:tcPr>
          <w:p w14:paraId="75E58961" w14:textId="60138410" w:rsidR="004638FA" w:rsidRPr="009021B8" w:rsidRDefault="009021B8" w:rsidP="004638FA">
            <w:pPr>
              <w:pStyle w:val="TekstTabeli"/>
              <w:rPr>
                <w:lang w:val="pl-PL"/>
              </w:rPr>
            </w:pPr>
            <w:r w:rsidRPr="009021B8">
              <w:rPr>
                <w:lang w:val="pl-PL"/>
              </w:rPr>
              <w:t xml:space="preserve">Brak odniesienia </w:t>
            </w:r>
            <w:r>
              <w:rPr>
                <w:lang w:val="pl-PL"/>
              </w:rPr>
              <w:t xml:space="preserve">w Normie </w:t>
            </w:r>
            <w:r w:rsidRPr="009021B8">
              <w:rPr>
                <w:lang w:val="pl-PL"/>
              </w:rPr>
              <w:t>do procesu s</w:t>
            </w:r>
            <w:r>
              <w:rPr>
                <w:lang w:val="pl-PL"/>
              </w:rPr>
              <w:t xml:space="preserve">elekcji i </w:t>
            </w:r>
            <w:proofErr w:type="spellStart"/>
            <w:r>
              <w:rPr>
                <w:lang w:val="pl-PL"/>
              </w:rPr>
              <w:t>priorytetyzacji</w:t>
            </w:r>
            <w:proofErr w:type="spellEnd"/>
            <w:r>
              <w:rPr>
                <w:lang w:val="pl-PL"/>
              </w:rPr>
              <w:t xml:space="preserve"> obszarów do poprawy.</w:t>
            </w:r>
          </w:p>
        </w:tc>
      </w:tr>
      <w:tr w:rsidR="00845D13" w:rsidRPr="004638FA" w14:paraId="3E824423" w14:textId="01D4563D" w:rsidTr="00854B9B">
        <w:trPr>
          <w:cantSplit/>
        </w:trPr>
        <w:tc>
          <w:tcPr>
            <w:tcW w:w="3572" w:type="dxa"/>
          </w:tcPr>
          <w:p w14:paraId="5753A232" w14:textId="7970885E" w:rsidR="004638FA" w:rsidRPr="004638FA" w:rsidRDefault="007B0D0A" w:rsidP="004638FA">
            <w:pPr>
              <w:pStyle w:val="TekstTabeli"/>
              <w:rPr>
                <w:lang w:val="pl-PL"/>
              </w:rPr>
            </w:pPr>
            <w:r>
              <w:rPr>
                <w:lang w:val="pl-PL"/>
              </w:rPr>
              <w:t xml:space="preserve">6.1 </w:t>
            </w:r>
            <w:r w:rsidR="004638FA" w:rsidRPr="004638FA">
              <w:rPr>
                <w:lang w:val="pl-PL"/>
              </w:rPr>
              <w:t xml:space="preserve">Analiza przyczyn wyzwań w obszarach potwierdzonych przez badanie jako istotne do poprawy (zastosowanie metod analitycznych takich jak np. 5xWHY wraz z tzw. diagramem </w:t>
            </w:r>
            <w:proofErr w:type="spellStart"/>
            <w:r w:rsidR="004638FA" w:rsidRPr="004638FA">
              <w:rPr>
                <w:lang w:val="pl-PL"/>
              </w:rPr>
              <w:t>Ishikawy</w:t>
            </w:r>
            <w:proofErr w:type="spellEnd"/>
            <w:r w:rsidR="004638FA" w:rsidRPr="004638FA">
              <w:rPr>
                <w:lang w:val="pl-PL"/>
              </w:rPr>
              <w:t>, i in.)</w:t>
            </w:r>
          </w:p>
        </w:tc>
        <w:tc>
          <w:tcPr>
            <w:tcW w:w="5499" w:type="dxa"/>
          </w:tcPr>
          <w:p w14:paraId="49FD0959" w14:textId="45A868D4" w:rsidR="004638FA" w:rsidRPr="007E5170" w:rsidRDefault="007E5170" w:rsidP="007E5170">
            <w:pPr>
              <w:pStyle w:val="TekstTabeli"/>
              <w:rPr>
                <w:lang w:val="pl-PL"/>
              </w:rPr>
            </w:pPr>
            <w:r>
              <w:rPr>
                <w:lang w:val="pl-PL"/>
              </w:rPr>
              <w:t xml:space="preserve">Nie wprost: </w:t>
            </w:r>
            <w:r w:rsidRPr="007E5170">
              <w:rPr>
                <w:lang w:val="pl-PL"/>
              </w:rPr>
              <w:t xml:space="preserve">10.1.1 </w:t>
            </w:r>
            <w:r>
              <w:rPr>
                <w:lang w:val="pl-PL"/>
              </w:rPr>
              <w:t>„</w:t>
            </w:r>
            <w:r w:rsidRPr="007E5170">
              <w:rPr>
                <w:lang w:val="pl-PL"/>
              </w:rPr>
              <w:t>Gdy wystąpi niezgodność, organizacja powinna: (…) b) ocenić potrzebę działania w celu wyeliminowania przyczyn niezgodności, aby nie powtórzyła się ona lub nie wystąpiła gdzie indziej, poprzez (…) określenie przyczyn niezgodności”</w:t>
            </w:r>
            <w:r>
              <w:rPr>
                <w:lang w:val="pl-PL"/>
              </w:rPr>
              <w:t>.</w:t>
            </w:r>
          </w:p>
        </w:tc>
      </w:tr>
      <w:tr w:rsidR="00845D13" w:rsidRPr="004638FA" w14:paraId="1B47A634" w14:textId="0B5C751A" w:rsidTr="00854B9B">
        <w:trPr>
          <w:cantSplit/>
        </w:trPr>
        <w:tc>
          <w:tcPr>
            <w:tcW w:w="3572" w:type="dxa"/>
          </w:tcPr>
          <w:p w14:paraId="267CC2BD" w14:textId="2AFE10F5" w:rsidR="004638FA" w:rsidRPr="004638FA" w:rsidRDefault="007B0D0A" w:rsidP="004638FA">
            <w:pPr>
              <w:pStyle w:val="TekstTabeli"/>
              <w:rPr>
                <w:lang w:val="pl-PL"/>
              </w:rPr>
            </w:pPr>
            <w:r>
              <w:rPr>
                <w:lang w:val="pl-PL"/>
              </w:rPr>
              <w:t xml:space="preserve">6.2 </w:t>
            </w:r>
            <w:r w:rsidR="004638FA" w:rsidRPr="004638FA">
              <w:rPr>
                <w:lang w:val="pl-PL"/>
              </w:rPr>
              <w:t>Analiza potencjału poprawy (w odniesieniu do poszczególnych przyczyn istniejących wyzwań, z</w:t>
            </w:r>
            <w:r w:rsidR="000518F8">
              <w:rPr>
                <w:lang w:val="pl-PL"/>
              </w:rPr>
              <w:t> </w:t>
            </w:r>
            <w:r w:rsidR="004638FA" w:rsidRPr="004638FA">
              <w:rPr>
                <w:lang w:val="pl-PL"/>
              </w:rPr>
              <w:t>uwzględnieniem trudności lub kosztów osiągnięcia celów poprawy, w kontekście celów i wartości organizacji)</w:t>
            </w:r>
          </w:p>
        </w:tc>
        <w:tc>
          <w:tcPr>
            <w:tcW w:w="5499" w:type="dxa"/>
          </w:tcPr>
          <w:p w14:paraId="750521C9" w14:textId="53251CB8" w:rsidR="004638FA" w:rsidRPr="004638FA" w:rsidRDefault="007E5170" w:rsidP="004638FA">
            <w:pPr>
              <w:pStyle w:val="TekstTabeli"/>
              <w:rPr>
                <w:lang w:val="pl-PL"/>
              </w:rPr>
            </w:pPr>
            <w:r>
              <w:rPr>
                <w:lang w:val="pl-PL"/>
              </w:rPr>
              <w:t>Brak bezpośredniego odniesienia do tego aspektu. Norma określa, że organizacja powinna wdrożyć wszelkie potrzebne działania</w:t>
            </w:r>
            <w:r w:rsidR="009021B8">
              <w:rPr>
                <w:lang w:val="pl-PL"/>
              </w:rPr>
              <w:t xml:space="preserve"> nie</w:t>
            </w:r>
            <w:r>
              <w:rPr>
                <w:lang w:val="pl-PL"/>
              </w:rPr>
              <w:t xml:space="preserve"> podejmując zagadnienia ustalenia priorytetów dla działań doskonalących na podstawie ocenianego potencjału różnych przeanalizowanych obszarów poprawy przy uwzględnieniu</w:t>
            </w:r>
            <w:r w:rsidR="009021B8">
              <w:rPr>
                <w:lang w:val="pl-PL"/>
              </w:rPr>
              <w:t>: celów i wartości organizacji,</w:t>
            </w:r>
            <w:r>
              <w:rPr>
                <w:lang w:val="pl-PL"/>
              </w:rPr>
              <w:t xml:space="preserve"> spodziewanych efektów i ograniczonych zasobów.</w:t>
            </w:r>
          </w:p>
        </w:tc>
      </w:tr>
      <w:tr w:rsidR="00845D13" w:rsidRPr="004638FA" w14:paraId="27691FD0" w14:textId="60EE16D3" w:rsidTr="00854B9B">
        <w:trPr>
          <w:cantSplit/>
        </w:trPr>
        <w:tc>
          <w:tcPr>
            <w:tcW w:w="3572" w:type="dxa"/>
          </w:tcPr>
          <w:p w14:paraId="26BFCEB1" w14:textId="327172FE" w:rsidR="004638FA" w:rsidRPr="004638FA" w:rsidRDefault="007B0D0A" w:rsidP="004638FA">
            <w:pPr>
              <w:pStyle w:val="TekstTabeli"/>
              <w:rPr>
                <w:lang w:val="pl-PL"/>
              </w:rPr>
            </w:pPr>
            <w:r>
              <w:rPr>
                <w:lang w:val="pl-PL"/>
              </w:rPr>
              <w:t xml:space="preserve">6.3 </w:t>
            </w:r>
            <w:r w:rsidR="004638FA" w:rsidRPr="004638FA">
              <w:rPr>
                <w:lang w:val="pl-PL"/>
              </w:rPr>
              <w:t xml:space="preserve">Wybór szczegółowych obszarów do poprawy (zastosowanie metod analitycznych takich na np. tzw. diagram </w:t>
            </w:r>
            <w:proofErr w:type="spellStart"/>
            <w:r w:rsidR="004638FA" w:rsidRPr="004638FA">
              <w:rPr>
                <w:lang w:val="pl-PL"/>
              </w:rPr>
              <w:t>Pareto</w:t>
            </w:r>
            <w:proofErr w:type="spellEnd"/>
            <w:r w:rsidR="004638FA" w:rsidRPr="004638FA">
              <w:rPr>
                <w:lang w:val="pl-PL"/>
              </w:rPr>
              <w:t>-Lorentza, i in.)</w:t>
            </w:r>
          </w:p>
        </w:tc>
        <w:tc>
          <w:tcPr>
            <w:tcW w:w="5499" w:type="dxa"/>
          </w:tcPr>
          <w:p w14:paraId="28EE91C4" w14:textId="4A5A0E1B" w:rsidR="004638FA" w:rsidRPr="004638FA" w:rsidRDefault="009021B8" w:rsidP="004638FA">
            <w:pPr>
              <w:pStyle w:val="TekstTabeli"/>
              <w:rPr>
                <w:lang w:val="pl-PL"/>
              </w:rPr>
            </w:pPr>
            <w:r>
              <w:rPr>
                <w:lang w:val="pl-PL"/>
              </w:rPr>
              <w:t xml:space="preserve">jw. </w:t>
            </w:r>
            <w:r>
              <w:rPr>
                <w:lang w:val="pl-PL"/>
              </w:rPr>
              <w:br/>
              <w:t>Po wstępnej analizie potencjału poprawy oraz poziomu trudności wdrożenia poprawy dla poszczególnych obszarów do poprawy należy ustalić priorytety i/lub kolejność działań.</w:t>
            </w:r>
          </w:p>
        </w:tc>
      </w:tr>
      <w:tr w:rsidR="00845D13" w:rsidRPr="004638FA" w14:paraId="2F4D5FB9" w14:textId="635AE25E" w:rsidTr="00854B9B">
        <w:trPr>
          <w:cantSplit/>
        </w:trPr>
        <w:tc>
          <w:tcPr>
            <w:tcW w:w="3572" w:type="dxa"/>
          </w:tcPr>
          <w:p w14:paraId="06F63B4B" w14:textId="549AA864" w:rsidR="004638FA" w:rsidRPr="004638FA" w:rsidRDefault="00354453" w:rsidP="004638FA">
            <w:pPr>
              <w:pStyle w:val="TekstTabeli"/>
              <w:rPr>
                <w:lang w:val="pl-PL"/>
              </w:rPr>
            </w:pPr>
            <w:r>
              <w:rPr>
                <w:lang w:val="pl-PL"/>
              </w:rPr>
              <w:t xml:space="preserve">7. </w:t>
            </w:r>
            <w:r w:rsidR="004638FA" w:rsidRPr="004638FA">
              <w:rPr>
                <w:lang w:val="pl-PL"/>
              </w:rPr>
              <w:t>Implementacja zmian w celu osiągnięcia poprawy w wybranych obszarach</w:t>
            </w:r>
          </w:p>
        </w:tc>
        <w:tc>
          <w:tcPr>
            <w:tcW w:w="5499" w:type="dxa"/>
          </w:tcPr>
          <w:p w14:paraId="30AB2C02" w14:textId="7A0CC438" w:rsidR="004638FA" w:rsidRPr="00D02A9B" w:rsidRDefault="00D02A9B" w:rsidP="004638FA">
            <w:pPr>
              <w:pStyle w:val="TekstTabeli"/>
              <w:rPr>
                <w:lang w:val="pl-PL"/>
              </w:rPr>
            </w:pPr>
            <w:r w:rsidRPr="00D02A9B">
              <w:rPr>
                <w:lang w:val="pl-PL"/>
              </w:rPr>
              <w:t xml:space="preserve">Nie wprost: 8.1 Operacyjne planowanie i kontrola 8.1.1 Ogólne „Organizacja powinna planować wdrażać i </w:t>
            </w:r>
            <w:r>
              <w:rPr>
                <w:lang w:val="pl-PL"/>
              </w:rPr>
              <w:t>kontrolować (</w:t>
            </w:r>
            <w:r w:rsidRPr="00D02A9B">
              <w:rPr>
                <w:lang w:val="pl-PL"/>
              </w:rPr>
              <w:t>sterować</w:t>
            </w:r>
            <w:r>
              <w:rPr>
                <w:lang w:val="pl-PL"/>
              </w:rPr>
              <w:t>)</w:t>
            </w:r>
            <w:r w:rsidRPr="00D02A9B">
              <w:rPr>
                <w:lang w:val="pl-PL"/>
              </w:rPr>
              <w:t xml:space="preserve"> proces</w:t>
            </w:r>
            <w:r>
              <w:rPr>
                <w:lang w:val="pl-PL"/>
              </w:rPr>
              <w:t>y</w:t>
            </w:r>
            <w:r w:rsidRPr="00D02A9B">
              <w:rPr>
                <w:lang w:val="pl-PL"/>
              </w:rPr>
              <w:t xml:space="preserve"> niezbędn</w:t>
            </w:r>
            <w:r>
              <w:rPr>
                <w:lang w:val="pl-PL"/>
              </w:rPr>
              <w:t>e</w:t>
            </w:r>
            <w:r w:rsidRPr="00D02A9B">
              <w:rPr>
                <w:lang w:val="pl-PL"/>
              </w:rPr>
              <w:t xml:space="preserve"> do spełniania wymagań”.</w:t>
            </w:r>
            <w:r>
              <w:rPr>
                <w:lang w:val="pl-PL"/>
              </w:rPr>
              <w:br/>
              <w:t xml:space="preserve">10.1.1 „(…) organizacja powinna (…) </w:t>
            </w:r>
            <w:r w:rsidR="00391396">
              <w:rPr>
                <w:lang w:val="pl-PL"/>
              </w:rPr>
              <w:t xml:space="preserve">c) </w:t>
            </w:r>
            <w:r>
              <w:rPr>
                <w:lang w:val="pl-PL"/>
              </w:rPr>
              <w:t>wdrożyć wszelkie niezbędne działania”</w:t>
            </w:r>
          </w:p>
        </w:tc>
      </w:tr>
      <w:tr w:rsidR="00845D13" w:rsidRPr="004638FA" w14:paraId="21474A21" w14:textId="31C405DF" w:rsidTr="00854B9B">
        <w:trPr>
          <w:cantSplit/>
        </w:trPr>
        <w:tc>
          <w:tcPr>
            <w:tcW w:w="3572" w:type="dxa"/>
          </w:tcPr>
          <w:p w14:paraId="465E0DE1" w14:textId="3CA187BD" w:rsidR="004638FA" w:rsidRPr="004638FA" w:rsidRDefault="00354453" w:rsidP="004638FA">
            <w:pPr>
              <w:pStyle w:val="TekstTabeli"/>
              <w:rPr>
                <w:lang w:val="pl-PL"/>
              </w:rPr>
            </w:pPr>
            <w:r>
              <w:rPr>
                <w:lang w:val="pl-PL"/>
              </w:rPr>
              <w:t xml:space="preserve">7.1 </w:t>
            </w:r>
            <w:r w:rsidR="004638FA" w:rsidRPr="004638FA">
              <w:rPr>
                <w:lang w:val="pl-PL"/>
              </w:rPr>
              <w:t>Zapewnienie zaangażowania i wsparcia najwyższego kierownictwa w zakresie decyzyjności i</w:t>
            </w:r>
            <w:r w:rsidR="000518F8">
              <w:rPr>
                <w:lang w:val="pl-PL"/>
              </w:rPr>
              <w:t> </w:t>
            </w:r>
            <w:r w:rsidR="004638FA" w:rsidRPr="004638FA">
              <w:rPr>
                <w:lang w:val="pl-PL"/>
              </w:rPr>
              <w:t>zasobów niezbędnych do wdrażania zmian</w:t>
            </w:r>
          </w:p>
        </w:tc>
        <w:tc>
          <w:tcPr>
            <w:tcW w:w="5499" w:type="dxa"/>
          </w:tcPr>
          <w:p w14:paraId="4821F7E1" w14:textId="11C0F1FB" w:rsidR="004638FA" w:rsidRPr="004638FA" w:rsidRDefault="004565B3" w:rsidP="004638FA">
            <w:pPr>
              <w:pStyle w:val="TekstTabeli"/>
              <w:rPr>
                <w:lang w:val="pl-PL"/>
              </w:rPr>
            </w:pPr>
            <w:r>
              <w:rPr>
                <w:lang w:val="pl-PL"/>
              </w:rPr>
              <w:t xml:space="preserve">Nie wprost </w:t>
            </w:r>
            <w:r w:rsidRPr="007031FB">
              <w:rPr>
                <w:lang w:val="pl-PL"/>
              </w:rPr>
              <w:t>5.3 Role, odpowiedzialność i władza w organizacji „Najwyższe kierownictwo powinno przydzielić odpowiedzialność i</w:t>
            </w:r>
            <w:r w:rsidR="00854B9B">
              <w:rPr>
                <w:lang w:val="pl-PL"/>
              </w:rPr>
              <w:t> </w:t>
            </w:r>
            <w:r w:rsidRPr="007031FB">
              <w:rPr>
                <w:lang w:val="pl-PL"/>
              </w:rPr>
              <w:t>władzę (…)”</w:t>
            </w:r>
          </w:p>
        </w:tc>
      </w:tr>
      <w:tr w:rsidR="00845D13" w:rsidRPr="004638FA" w14:paraId="0BA2E3BD" w14:textId="5A2F5199" w:rsidTr="00854B9B">
        <w:trPr>
          <w:cantSplit/>
        </w:trPr>
        <w:tc>
          <w:tcPr>
            <w:tcW w:w="3572" w:type="dxa"/>
          </w:tcPr>
          <w:p w14:paraId="46F3A237" w14:textId="168A13DE" w:rsidR="004638FA" w:rsidRPr="004638FA" w:rsidRDefault="00354453" w:rsidP="004638FA">
            <w:pPr>
              <w:pStyle w:val="TekstTabeli"/>
              <w:rPr>
                <w:lang w:val="pl-PL"/>
              </w:rPr>
            </w:pPr>
            <w:r>
              <w:rPr>
                <w:lang w:val="pl-PL"/>
              </w:rPr>
              <w:t xml:space="preserve">7.2 </w:t>
            </w:r>
            <w:r w:rsidR="004638FA" w:rsidRPr="004638FA">
              <w:rPr>
                <w:lang w:val="pl-PL"/>
              </w:rPr>
              <w:t>Przypisanie metody wdrażania zmian w zależności od charakterystyki problemu: metody zwinne lub metody kaskadowe / projektowe</w:t>
            </w:r>
          </w:p>
        </w:tc>
        <w:tc>
          <w:tcPr>
            <w:tcW w:w="5499" w:type="dxa"/>
          </w:tcPr>
          <w:p w14:paraId="645A32C5" w14:textId="01F684C0" w:rsidR="004638FA" w:rsidRPr="004638FA" w:rsidRDefault="00FE1DB8" w:rsidP="004638FA">
            <w:pPr>
              <w:pStyle w:val="TekstTabeli"/>
              <w:rPr>
                <w:lang w:val="pl-PL"/>
              </w:rPr>
            </w:pPr>
            <w:r>
              <w:rPr>
                <w:lang w:val="pl-PL"/>
              </w:rPr>
              <w:t xml:space="preserve">Brak </w:t>
            </w:r>
            <w:r w:rsidR="00B25FCF">
              <w:rPr>
                <w:lang w:val="pl-PL"/>
              </w:rPr>
              <w:t>odniesień</w:t>
            </w:r>
            <w:r>
              <w:rPr>
                <w:lang w:val="pl-PL"/>
              </w:rPr>
              <w:t xml:space="preserve"> w normie.</w:t>
            </w:r>
            <w:r>
              <w:rPr>
                <w:lang w:val="pl-PL"/>
              </w:rPr>
              <w:br/>
              <w:t>Autor proponuje zastosowanie metod zwinnych do poprawy w zakresie problemów złożonych, obciążonych dużą niepewnością co do skuteczności konkretnych rozwiązań, a metod kaskadowych (projektowych) do problemów o mniejszej złożoności lub o relatywnie pewnej ścieżce postępowania przy wdrożeniu.</w:t>
            </w:r>
          </w:p>
        </w:tc>
      </w:tr>
      <w:tr w:rsidR="00845D13" w:rsidRPr="004638FA" w14:paraId="4F44B150" w14:textId="735AA7C0" w:rsidTr="00854B9B">
        <w:trPr>
          <w:cantSplit/>
        </w:trPr>
        <w:tc>
          <w:tcPr>
            <w:tcW w:w="3572" w:type="dxa"/>
          </w:tcPr>
          <w:p w14:paraId="03076F47" w14:textId="71CE946B" w:rsidR="004638FA" w:rsidRPr="004638FA" w:rsidRDefault="00354453" w:rsidP="004638FA">
            <w:pPr>
              <w:pStyle w:val="TekstTabeli"/>
              <w:rPr>
                <w:lang w:val="pl-PL"/>
              </w:rPr>
            </w:pPr>
            <w:r>
              <w:rPr>
                <w:lang w:val="pl-PL"/>
              </w:rPr>
              <w:t xml:space="preserve">7.3 </w:t>
            </w:r>
            <w:r w:rsidR="004638FA" w:rsidRPr="004638FA">
              <w:rPr>
                <w:lang w:val="pl-PL"/>
              </w:rPr>
              <w:t>[</w:t>
            </w:r>
            <w:r>
              <w:rPr>
                <w:lang w:val="pl-PL"/>
              </w:rPr>
              <w:t>Z</w:t>
            </w:r>
            <w:r w:rsidR="004638FA" w:rsidRPr="004638FA">
              <w:rPr>
                <w:lang w:val="pl-PL"/>
              </w:rPr>
              <w:t>]</w:t>
            </w:r>
            <w:r w:rsidR="00DB50FB">
              <w:rPr>
                <w:rStyle w:val="Odwoanieprzypisudolnego"/>
                <w:lang w:val="pl-PL"/>
              </w:rPr>
              <w:footnoteReference w:id="15"/>
            </w:r>
            <w:r w:rsidR="004638FA" w:rsidRPr="004638FA">
              <w:rPr>
                <w:lang w:val="pl-PL"/>
              </w:rPr>
              <w:t xml:space="preserve"> Określenie wstępnej wizji celu do poprawy</w:t>
            </w:r>
          </w:p>
        </w:tc>
        <w:tc>
          <w:tcPr>
            <w:tcW w:w="5499" w:type="dxa"/>
          </w:tcPr>
          <w:p w14:paraId="77E25813" w14:textId="72501943" w:rsidR="004638FA" w:rsidRPr="004638FA" w:rsidRDefault="00391396" w:rsidP="004638FA">
            <w:pPr>
              <w:pStyle w:val="TekstTabeli"/>
              <w:rPr>
                <w:lang w:val="pl-PL"/>
              </w:rPr>
            </w:pPr>
            <w:r>
              <w:rPr>
                <w:lang w:val="pl-PL"/>
              </w:rPr>
              <w:t>Brak bezpośrednich odniesień w normie.</w:t>
            </w:r>
          </w:p>
        </w:tc>
      </w:tr>
      <w:tr w:rsidR="00845D13" w:rsidRPr="004638FA" w14:paraId="24C926C7" w14:textId="4159BD53" w:rsidTr="00854B9B">
        <w:trPr>
          <w:cantSplit/>
        </w:trPr>
        <w:tc>
          <w:tcPr>
            <w:tcW w:w="3572" w:type="dxa"/>
          </w:tcPr>
          <w:p w14:paraId="19531E96" w14:textId="763505A3" w:rsidR="004638FA" w:rsidRPr="004638FA" w:rsidRDefault="00354453" w:rsidP="004638FA">
            <w:pPr>
              <w:pStyle w:val="TekstTabeli"/>
              <w:rPr>
                <w:lang w:val="pl-PL"/>
              </w:rPr>
            </w:pPr>
            <w:r>
              <w:rPr>
                <w:lang w:val="pl-PL"/>
              </w:rPr>
              <w:t xml:space="preserve">7.4 </w:t>
            </w:r>
            <w:r w:rsidR="004638FA" w:rsidRPr="004638FA">
              <w:rPr>
                <w:lang w:val="pl-PL"/>
              </w:rPr>
              <w:t>[</w:t>
            </w:r>
            <w:r w:rsidR="00FE1DB8">
              <w:rPr>
                <w:lang w:val="pl-PL"/>
              </w:rPr>
              <w:t>Z</w:t>
            </w:r>
            <w:r w:rsidR="004638FA" w:rsidRPr="004638FA">
              <w:rPr>
                <w:lang w:val="pl-PL"/>
              </w:rPr>
              <w:t xml:space="preserve">] Określenie przewidywanych etapów wdrożenia i celów cząstkowych (m. in. uwzględnienie potrzeb </w:t>
            </w:r>
            <w:r w:rsidR="00B25FCF">
              <w:rPr>
                <w:lang w:val="pl-PL"/>
              </w:rPr>
              <w:t>szkolenia</w:t>
            </w:r>
            <w:r w:rsidR="004638FA" w:rsidRPr="004638FA">
              <w:rPr>
                <w:lang w:val="pl-PL"/>
              </w:rPr>
              <w:t xml:space="preserve"> i wsparcia dla osób będących pod wpływem zmian)</w:t>
            </w:r>
          </w:p>
        </w:tc>
        <w:tc>
          <w:tcPr>
            <w:tcW w:w="5499" w:type="dxa"/>
          </w:tcPr>
          <w:p w14:paraId="2AC0ECB3" w14:textId="36E72472" w:rsidR="004638FA" w:rsidRPr="004638FA" w:rsidRDefault="00B25FCF" w:rsidP="004638FA">
            <w:pPr>
              <w:pStyle w:val="TekstTabeli"/>
              <w:rPr>
                <w:lang w:val="pl-PL"/>
              </w:rPr>
            </w:pPr>
            <w:r>
              <w:rPr>
                <w:lang w:val="pl-PL"/>
              </w:rPr>
              <w:t>Brak odniesień w normie.</w:t>
            </w:r>
          </w:p>
        </w:tc>
      </w:tr>
      <w:tr w:rsidR="00845D13" w:rsidRPr="005738ED" w14:paraId="08852527" w14:textId="464556CF" w:rsidTr="00854B9B">
        <w:trPr>
          <w:cantSplit/>
        </w:trPr>
        <w:tc>
          <w:tcPr>
            <w:tcW w:w="3572" w:type="dxa"/>
          </w:tcPr>
          <w:p w14:paraId="53E1624E" w14:textId="27EA4840" w:rsidR="004638FA" w:rsidRPr="00B12AF3" w:rsidRDefault="00354453" w:rsidP="004638FA">
            <w:pPr>
              <w:pStyle w:val="TekstTabeli"/>
              <w:rPr>
                <w:lang w:val="pl-PL"/>
              </w:rPr>
            </w:pPr>
            <w:r>
              <w:rPr>
                <w:lang w:val="pl-PL"/>
              </w:rPr>
              <w:t xml:space="preserve">7.5 </w:t>
            </w:r>
            <w:r w:rsidR="004638FA" w:rsidRPr="004638FA">
              <w:rPr>
                <w:lang w:val="pl-PL"/>
              </w:rPr>
              <w:t>[</w:t>
            </w:r>
            <w:r w:rsidR="00FE1DB8">
              <w:rPr>
                <w:lang w:val="pl-PL"/>
              </w:rPr>
              <w:t>Z</w:t>
            </w:r>
            <w:r w:rsidR="004638FA" w:rsidRPr="004638FA">
              <w:rPr>
                <w:lang w:val="pl-PL"/>
              </w:rPr>
              <w:t>] Ustalenie szczegółów pracy zespołu doskonalącego</w:t>
            </w:r>
          </w:p>
        </w:tc>
        <w:tc>
          <w:tcPr>
            <w:tcW w:w="5499" w:type="dxa"/>
          </w:tcPr>
          <w:p w14:paraId="6D201D7C" w14:textId="1BBF668B" w:rsidR="004638FA" w:rsidRPr="004638FA" w:rsidRDefault="00B25FCF" w:rsidP="004638FA">
            <w:pPr>
              <w:pStyle w:val="TekstTabeli"/>
            </w:pPr>
            <w:r>
              <w:rPr>
                <w:lang w:val="pl-PL"/>
              </w:rPr>
              <w:t>Brak odniesień w normie.</w:t>
            </w:r>
          </w:p>
        </w:tc>
      </w:tr>
      <w:tr w:rsidR="00845D13" w:rsidRPr="004638FA" w14:paraId="4A398DC9" w14:textId="04181988" w:rsidTr="00854B9B">
        <w:trPr>
          <w:cantSplit/>
        </w:trPr>
        <w:tc>
          <w:tcPr>
            <w:tcW w:w="3572" w:type="dxa"/>
          </w:tcPr>
          <w:p w14:paraId="76EF0256" w14:textId="6196D5AA" w:rsidR="004638FA" w:rsidRPr="004638FA" w:rsidRDefault="00354453" w:rsidP="004638FA">
            <w:pPr>
              <w:pStyle w:val="TekstTabeli"/>
              <w:rPr>
                <w:lang w:val="pl-PL"/>
              </w:rPr>
            </w:pPr>
            <w:r>
              <w:rPr>
                <w:lang w:val="pl-PL"/>
              </w:rPr>
              <w:lastRenderedPageBreak/>
              <w:t xml:space="preserve">7.6 </w:t>
            </w:r>
            <w:r w:rsidR="004638FA" w:rsidRPr="004638FA">
              <w:rPr>
                <w:lang w:val="pl-PL"/>
              </w:rPr>
              <w:t>[</w:t>
            </w:r>
            <w:r w:rsidR="00FE1DB8">
              <w:rPr>
                <w:lang w:val="pl-PL"/>
              </w:rPr>
              <w:t>Z</w:t>
            </w:r>
            <w:r w:rsidR="004638FA" w:rsidRPr="004638FA">
              <w:rPr>
                <w:lang w:val="pl-PL"/>
              </w:rPr>
              <w:t xml:space="preserve">] Określenie minimalnego zakresu pierwszej weryfikowalnej wersji wdrożonych zmian (rodzaj MVP) </w:t>
            </w:r>
          </w:p>
        </w:tc>
        <w:tc>
          <w:tcPr>
            <w:tcW w:w="5499" w:type="dxa"/>
          </w:tcPr>
          <w:p w14:paraId="2B983712" w14:textId="2E26C01A" w:rsidR="004638FA" w:rsidRPr="004638FA" w:rsidRDefault="00B25FCF" w:rsidP="004638FA">
            <w:pPr>
              <w:pStyle w:val="TekstTabeli"/>
              <w:rPr>
                <w:lang w:val="pl-PL"/>
              </w:rPr>
            </w:pPr>
            <w:r>
              <w:rPr>
                <w:lang w:val="pl-PL"/>
              </w:rPr>
              <w:t>Brak odniesień w normie.</w:t>
            </w:r>
          </w:p>
        </w:tc>
      </w:tr>
      <w:tr w:rsidR="00845D13" w:rsidRPr="004638FA" w14:paraId="50E5A1F9" w14:textId="09857E04" w:rsidTr="00854B9B">
        <w:trPr>
          <w:cantSplit/>
        </w:trPr>
        <w:tc>
          <w:tcPr>
            <w:tcW w:w="3572" w:type="dxa"/>
          </w:tcPr>
          <w:p w14:paraId="1D012B44" w14:textId="11ECF6C5" w:rsidR="004638FA" w:rsidRPr="004638FA" w:rsidRDefault="00354453" w:rsidP="004638FA">
            <w:pPr>
              <w:pStyle w:val="TekstTabeli"/>
              <w:rPr>
                <w:lang w:val="pl-PL"/>
              </w:rPr>
            </w:pPr>
            <w:r>
              <w:rPr>
                <w:lang w:val="pl-PL"/>
              </w:rPr>
              <w:t xml:space="preserve">7.7 </w:t>
            </w:r>
            <w:r w:rsidR="004638FA" w:rsidRPr="004638FA">
              <w:rPr>
                <w:lang w:val="pl-PL"/>
              </w:rPr>
              <w:t>[</w:t>
            </w:r>
            <w:r w:rsidR="00FE1DB8">
              <w:rPr>
                <w:lang w:val="pl-PL"/>
              </w:rPr>
              <w:t>Z</w:t>
            </w:r>
            <w:r w:rsidR="004638FA" w:rsidRPr="004638FA">
              <w:rPr>
                <w:lang w:val="pl-PL"/>
              </w:rPr>
              <w:t xml:space="preserve">] </w:t>
            </w:r>
            <w:r w:rsidR="000518F8" w:rsidRPr="004638FA">
              <w:rPr>
                <w:lang w:val="pl-PL"/>
              </w:rPr>
              <w:t xml:space="preserve">Ustalenie </w:t>
            </w:r>
            <w:r w:rsidR="004638FA" w:rsidRPr="004638FA">
              <w:rPr>
                <w:lang w:val="pl-PL"/>
              </w:rPr>
              <w:t>wstępnego planu działań wraz z ich przewidywanymi kosztami oraz wzajemnymi zależnościami</w:t>
            </w:r>
          </w:p>
        </w:tc>
        <w:tc>
          <w:tcPr>
            <w:tcW w:w="5499" w:type="dxa"/>
          </w:tcPr>
          <w:p w14:paraId="61401613" w14:textId="0810DA86" w:rsidR="004638FA" w:rsidRPr="004638FA" w:rsidRDefault="00B25FCF" w:rsidP="004638FA">
            <w:pPr>
              <w:pStyle w:val="TekstTabeli"/>
              <w:rPr>
                <w:lang w:val="pl-PL"/>
              </w:rPr>
            </w:pPr>
            <w:r>
              <w:rPr>
                <w:lang w:val="pl-PL"/>
              </w:rPr>
              <w:t>Brak bezpośrednich odniesień w normie.</w:t>
            </w:r>
            <w:r>
              <w:rPr>
                <w:lang w:val="pl-PL"/>
              </w:rPr>
              <w:br/>
              <w:t>Są jednak odniesienia do analizy zasobów, np. punkt 7.1</w:t>
            </w:r>
            <w:r w:rsidR="00C73791">
              <w:rPr>
                <w:lang w:val="pl-PL"/>
              </w:rPr>
              <w:t> </w:t>
            </w:r>
            <w:r>
              <w:rPr>
                <w:lang w:val="pl-PL"/>
              </w:rPr>
              <w:t>Zasoby.</w:t>
            </w:r>
          </w:p>
        </w:tc>
      </w:tr>
      <w:tr w:rsidR="00845D13" w:rsidRPr="004638FA" w14:paraId="1C3F830E" w14:textId="729BC0B3" w:rsidTr="00854B9B">
        <w:trPr>
          <w:cantSplit/>
        </w:trPr>
        <w:tc>
          <w:tcPr>
            <w:tcW w:w="3572" w:type="dxa"/>
          </w:tcPr>
          <w:p w14:paraId="1483B83C" w14:textId="4CBFD015" w:rsidR="004638FA" w:rsidRPr="004638FA" w:rsidRDefault="00354453" w:rsidP="004638FA">
            <w:pPr>
              <w:pStyle w:val="TekstTabeli"/>
              <w:rPr>
                <w:lang w:val="pl-PL"/>
              </w:rPr>
            </w:pPr>
            <w:r>
              <w:rPr>
                <w:lang w:val="pl-PL"/>
              </w:rPr>
              <w:t xml:space="preserve">7.8 </w:t>
            </w:r>
            <w:r w:rsidR="004638FA" w:rsidRPr="004638FA">
              <w:rPr>
                <w:lang w:val="pl-PL"/>
              </w:rPr>
              <w:t>[</w:t>
            </w:r>
            <w:r w:rsidR="00FE1DB8">
              <w:rPr>
                <w:lang w:val="pl-PL"/>
              </w:rPr>
              <w:t>Z</w:t>
            </w:r>
            <w:r w:rsidR="004638FA" w:rsidRPr="004638FA">
              <w:rPr>
                <w:lang w:val="pl-PL"/>
              </w:rPr>
              <w:t xml:space="preserve">] </w:t>
            </w:r>
            <w:r w:rsidR="000518F8" w:rsidRPr="004638FA">
              <w:rPr>
                <w:lang w:val="pl-PL"/>
              </w:rPr>
              <w:t xml:space="preserve">Iteracyjne </w:t>
            </w:r>
            <w:r w:rsidR="004638FA" w:rsidRPr="004638FA">
              <w:rPr>
                <w:lang w:val="pl-PL"/>
              </w:rPr>
              <w:t>wdrażanie zmian i ich bieżąca weryfikacja (plan, realizacja, weryfikacja)</w:t>
            </w:r>
          </w:p>
        </w:tc>
        <w:tc>
          <w:tcPr>
            <w:tcW w:w="5499" w:type="dxa"/>
          </w:tcPr>
          <w:p w14:paraId="5C3C7F26" w14:textId="186ECD39" w:rsidR="004638FA" w:rsidRPr="004638FA" w:rsidRDefault="00FE1DB8" w:rsidP="004638FA">
            <w:pPr>
              <w:pStyle w:val="TekstTabeli"/>
              <w:rPr>
                <w:lang w:val="pl-PL"/>
              </w:rPr>
            </w:pPr>
            <w:r>
              <w:rPr>
                <w:lang w:val="pl-PL"/>
              </w:rPr>
              <w:t>Nie wprost: 8.3.4.2 w notce do tego punktu znajduje się jedyne określenie iteracyjności wprost w procesie doskonalenia w całym dokumencie.</w:t>
            </w:r>
          </w:p>
        </w:tc>
      </w:tr>
      <w:tr w:rsidR="00845D13" w:rsidRPr="004638FA" w14:paraId="7475ADE8" w14:textId="17E6B2D8" w:rsidTr="00854B9B">
        <w:trPr>
          <w:cantSplit/>
        </w:trPr>
        <w:tc>
          <w:tcPr>
            <w:tcW w:w="3572" w:type="dxa"/>
          </w:tcPr>
          <w:p w14:paraId="4B937ED6" w14:textId="5E070ADE" w:rsidR="004638FA" w:rsidRPr="004638FA" w:rsidRDefault="00354453" w:rsidP="004638FA">
            <w:pPr>
              <w:pStyle w:val="TekstTabeli"/>
              <w:rPr>
                <w:lang w:val="pl-PL"/>
              </w:rPr>
            </w:pPr>
            <w:r>
              <w:rPr>
                <w:lang w:val="pl-PL"/>
              </w:rPr>
              <w:t xml:space="preserve">7.9 </w:t>
            </w:r>
            <w:r w:rsidR="004638FA" w:rsidRPr="004638FA">
              <w:rPr>
                <w:lang w:val="pl-PL"/>
              </w:rPr>
              <w:t>[</w:t>
            </w:r>
            <w:r w:rsidR="00FE1DB8">
              <w:rPr>
                <w:lang w:val="pl-PL"/>
              </w:rPr>
              <w:t>Z</w:t>
            </w:r>
            <w:r w:rsidR="004638FA" w:rsidRPr="004638FA">
              <w:rPr>
                <w:lang w:val="pl-PL"/>
              </w:rPr>
              <w:t xml:space="preserve">] </w:t>
            </w:r>
            <w:r w:rsidR="000518F8" w:rsidRPr="004638FA">
              <w:rPr>
                <w:lang w:val="pl-PL"/>
              </w:rPr>
              <w:t xml:space="preserve">Iteracyjne </w:t>
            </w:r>
            <w:r w:rsidR="004638FA" w:rsidRPr="004638FA">
              <w:rPr>
                <w:lang w:val="pl-PL"/>
              </w:rPr>
              <w:t>przeglądy i doskonalenie sposobów pracy i współpracy zespołu</w:t>
            </w:r>
          </w:p>
        </w:tc>
        <w:tc>
          <w:tcPr>
            <w:tcW w:w="5499" w:type="dxa"/>
          </w:tcPr>
          <w:p w14:paraId="0867BA60" w14:textId="745BC5BC" w:rsidR="004638FA" w:rsidRPr="004638FA" w:rsidRDefault="00FE1DB8" w:rsidP="004638FA">
            <w:pPr>
              <w:pStyle w:val="TekstTabeli"/>
              <w:rPr>
                <w:lang w:val="pl-PL"/>
              </w:rPr>
            </w:pPr>
            <w:r>
              <w:rPr>
                <w:lang w:val="pl-PL"/>
              </w:rPr>
              <w:t>jw.</w:t>
            </w:r>
          </w:p>
        </w:tc>
      </w:tr>
      <w:tr w:rsidR="00845D13" w:rsidRPr="004638FA" w14:paraId="7608B74B" w14:textId="0E65A74E" w:rsidTr="00854B9B">
        <w:trPr>
          <w:cantSplit/>
        </w:trPr>
        <w:tc>
          <w:tcPr>
            <w:tcW w:w="3572" w:type="dxa"/>
          </w:tcPr>
          <w:p w14:paraId="619D9923" w14:textId="53D21851" w:rsidR="004638FA" w:rsidRPr="004638FA" w:rsidRDefault="00354453" w:rsidP="004638FA">
            <w:pPr>
              <w:pStyle w:val="TekstTabeli"/>
              <w:rPr>
                <w:lang w:val="pl-PL"/>
              </w:rPr>
            </w:pPr>
            <w:r>
              <w:rPr>
                <w:lang w:val="pl-PL"/>
              </w:rPr>
              <w:t xml:space="preserve">7.10 </w:t>
            </w:r>
            <w:r w:rsidR="004638FA" w:rsidRPr="004638FA">
              <w:rPr>
                <w:lang w:val="pl-PL"/>
              </w:rPr>
              <w:t>[</w:t>
            </w:r>
            <w:r w:rsidR="00FE1DB8">
              <w:rPr>
                <w:lang w:val="pl-PL"/>
              </w:rPr>
              <w:t>Z</w:t>
            </w:r>
            <w:r w:rsidR="004638FA" w:rsidRPr="004638FA">
              <w:rPr>
                <w:lang w:val="pl-PL"/>
              </w:rPr>
              <w:t xml:space="preserve">] </w:t>
            </w:r>
            <w:r w:rsidR="000518F8" w:rsidRPr="004638FA">
              <w:rPr>
                <w:lang w:val="pl-PL"/>
              </w:rPr>
              <w:t xml:space="preserve">Weryfikacja </w:t>
            </w:r>
            <w:r w:rsidR="004638FA" w:rsidRPr="004638FA">
              <w:rPr>
                <w:lang w:val="pl-PL"/>
              </w:rPr>
              <w:t>MVP i ustalenie kolejnych etapów najbardziej wartościowych udoskonaleń pierwszej minimalnej wdrożonej wersji zmian (przy osiąganiu celu maksymalizować ilość pracy nie wykonanej)</w:t>
            </w:r>
          </w:p>
        </w:tc>
        <w:tc>
          <w:tcPr>
            <w:tcW w:w="5499" w:type="dxa"/>
          </w:tcPr>
          <w:p w14:paraId="6CD0182D" w14:textId="7AA21131" w:rsidR="004638FA" w:rsidRPr="004638FA" w:rsidRDefault="00B25FCF" w:rsidP="004638FA">
            <w:pPr>
              <w:pStyle w:val="TekstTabeli"/>
              <w:rPr>
                <w:lang w:val="pl-PL"/>
              </w:rPr>
            </w:pPr>
            <w:r>
              <w:rPr>
                <w:lang w:val="pl-PL"/>
              </w:rPr>
              <w:t>Brak bezpośrednich odniesień w normie.</w:t>
            </w:r>
            <w:r>
              <w:rPr>
                <w:lang w:val="pl-PL"/>
              </w:rPr>
              <w:br/>
              <w:t>Są jednak odniesienia do analizy i weryfikacji efektów działań, np.</w:t>
            </w:r>
            <w:r w:rsidR="00854B9B">
              <w:rPr>
                <w:lang w:val="pl-PL"/>
              </w:rPr>
              <w:t> </w:t>
            </w:r>
            <w:r>
              <w:rPr>
                <w:lang w:val="pl-PL"/>
              </w:rPr>
              <w:t>punkt 9.1 Monitorowanie, pomiar, analiza i</w:t>
            </w:r>
            <w:r w:rsidR="00C73791">
              <w:rPr>
                <w:lang w:val="pl-PL"/>
              </w:rPr>
              <w:t> </w:t>
            </w:r>
            <w:r>
              <w:rPr>
                <w:lang w:val="pl-PL"/>
              </w:rPr>
              <w:t>ocena.</w:t>
            </w:r>
          </w:p>
        </w:tc>
      </w:tr>
      <w:tr w:rsidR="00845D13" w:rsidRPr="004638FA" w14:paraId="2D7A6D27" w14:textId="063C6313" w:rsidTr="00854B9B">
        <w:trPr>
          <w:cantSplit/>
        </w:trPr>
        <w:tc>
          <w:tcPr>
            <w:tcW w:w="3572" w:type="dxa"/>
          </w:tcPr>
          <w:p w14:paraId="476CA172" w14:textId="7D5178C4" w:rsidR="004638FA" w:rsidRPr="004638FA" w:rsidRDefault="00354453" w:rsidP="004638FA">
            <w:pPr>
              <w:pStyle w:val="TekstTabeli"/>
              <w:rPr>
                <w:lang w:val="pl-PL"/>
              </w:rPr>
            </w:pPr>
            <w:r>
              <w:rPr>
                <w:lang w:val="pl-PL"/>
              </w:rPr>
              <w:t xml:space="preserve">7.11 </w:t>
            </w:r>
            <w:r w:rsidR="004638FA" w:rsidRPr="004638FA">
              <w:rPr>
                <w:lang w:val="pl-PL"/>
              </w:rPr>
              <w:t>[</w:t>
            </w:r>
            <w:r w:rsidR="00FE1DB8">
              <w:rPr>
                <w:lang w:val="pl-PL"/>
              </w:rPr>
              <w:t>Z</w:t>
            </w:r>
            <w:r w:rsidR="004638FA" w:rsidRPr="004638FA">
              <w:rPr>
                <w:lang w:val="pl-PL"/>
              </w:rPr>
              <w:t xml:space="preserve">] </w:t>
            </w:r>
            <w:r w:rsidR="000518F8" w:rsidRPr="004638FA">
              <w:rPr>
                <w:lang w:val="pl-PL"/>
              </w:rPr>
              <w:t xml:space="preserve">Iteracyjne </w:t>
            </w:r>
            <w:r w:rsidR="004638FA" w:rsidRPr="004638FA">
              <w:rPr>
                <w:lang w:val="pl-PL"/>
              </w:rPr>
              <w:t>wdrażanie kolejnych udoskonaleń do MVP, aż do osiągnięcia celu poprawy lub określenia nowych celów doskonalenia</w:t>
            </w:r>
          </w:p>
        </w:tc>
        <w:tc>
          <w:tcPr>
            <w:tcW w:w="5499" w:type="dxa"/>
          </w:tcPr>
          <w:p w14:paraId="55B17298" w14:textId="59A09BF3" w:rsidR="004638FA" w:rsidRPr="004638FA" w:rsidRDefault="00FE1DB8" w:rsidP="004638FA">
            <w:pPr>
              <w:pStyle w:val="TekstTabeli"/>
              <w:rPr>
                <w:lang w:val="pl-PL"/>
              </w:rPr>
            </w:pPr>
            <w:r>
              <w:rPr>
                <w:lang w:val="pl-PL"/>
              </w:rPr>
              <w:t xml:space="preserve">Patrz </w:t>
            </w:r>
            <w:r w:rsidR="00B25FCF">
              <w:rPr>
                <w:lang w:val="pl-PL"/>
              </w:rPr>
              <w:t xml:space="preserve">opis punktu </w:t>
            </w:r>
            <w:r>
              <w:rPr>
                <w:lang w:val="pl-PL"/>
              </w:rPr>
              <w:t>7.8</w:t>
            </w:r>
            <w:r w:rsidR="00B25FCF">
              <w:rPr>
                <w:lang w:val="pl-PL"/>
              </w:rPr>
              <w:t xml:space="preserve"> dot. autorskiego modelu SSDQM</w:t>
            </w:r>
          </w:p>
        </w:tc>
      </w:tr>
      <w:tr w:rsidR="00845D13" w:rsidRPr="004638FA" w14:paraId="21AB7F99" w14:textId="13860EE2" w:rsidTr="00854B9B">
        <w:trPr>
          <w:cantSplit/>
        </w:trPr>
        <w:tc>
          <w:tcPr>
            <w:tcW w:w="3572" w:type="dxa"/>
          </w:tcPr>
          <w:p w14:paraId="4CBA49BC" w14:textId="0C32BACB" w:rsidR="004638FA" w:rsidRPr="004638FA" w:rsidRDefault="00354453" w:rsidP="004638FA">
            <w:pPr>
              <w:pStyle w:val="TekstTabeli"/>
              <w:rPr>
                <w:lang w:val="pl-PL"/>
              </w:rPr>
            </w:pPr>
            <w:r>
              <w:rPr>
                <w:lang w:val="pl-PL"/>
              </w:rPr>
              <w:t xml:space="preserve">7.12 </w:t>
            </w:r>
            <w:r w:rsidR="004638FA" w:rsidRPr="004638FA">
              <w:rPr>
                <w:lang w:val="pl-PL"/>
              </w:rPr>
              <w:t>[</w:t>
            </w:r>
            <w:r w:rsidR="00B25FCF">
              <w:rPr>
                <w:lang w:val="pl-PL"/>
              </w:rPr>
              <w:t>K</w:t>
            </w:r>
            <w:r w:rsidR="004638FA" w:rsidRPr="004638FA">
              <w:rPr>
                <w:lang w:val="pl-PL"/>
              </w:rPr>
              <w:t>]</w:t>
            </w:r>
            <w:r w:rsidR="00DB50FB">
              <w:rPr>
                <w:rStyle w:val="Odwoanieprzypisudolnego"/>
                <w:lang w:val="pl-PL"/>
              </w:rPr>
              <w:footnoteReference w:id="16"/>
            </w:r>
            <w:r w:rsidR="004638FA" w:rsidRPr="004638FA">
              <w:rPr>
                <w:lang w:val="pl-PL"/>
              </w:rPr>
              <w:t xml:space="preserve"> Szczegółowe określenie celu do osiągnięcia</w:t>
            </w:r>
          </w:p>
        </w:tc>
        <w:tc>
          <w:tcPr>
            <w:tcW w:w="5499" w:type="dxa"/>
          </w:tcPr>
          <w:p w14:paraId="18F5A987" w14:textId="5BF38DB4" w:rsidR="004638FA" w:rsidRPr="004638FA" w:rsidRDefault="00B25FCF" w:rsidP="004638FA">
            <w:pPr>
              <w:pStyle w:val="TekstTabeli"/>
              <w:rPr>
                <w:lang w:val="pl-PL"/>
              </w:rPr>
            </w:pPr>
            <w:r>
              <w:rPr>
                <w:lang w:val="pl-PL"/>
              </w:rPr>
              <w:t>Brak bezpośrednich odniesień w normie.</w:t>
            </w:r>
          </w:p>
        </w:tc>
      </w:tr>
      <w:tr w:rsidR="00845D13" w:rsidRPr="004638FA" w14:paraId="12FEEF32" w14:textId="23756714" w:rsidTr="00854B9B">
        <w:trPr>
          <w:cantSplit/>
        </w:trPr>
        <w:tc>
          <w:tcPr>
            <w:tcW w:w="3572" w:type="dxa"/>
          </w:tcPr>
          <w:p w14:paraId="4B4AE34D" w14:textId="49D67987" w:rsidR="004638FA" w:rsidRPr="004638FA" w:rsidRDefault="00354453" w:rsidP="004638FA">
            <w:pPr>
              <w:pStyle w:val="TekstTabeli"/>
              <w:rPr>
                <w:lang w:val="pl-PL"/>
              </w:rPr>
            </w:pPr>
            <w:r>
              <w:rPr>
                <w:lang w:val="pl-PL"/>
              </w:rPr>
              <w:t xml:space="preserve">7.13 </w:t>
            </w:r>
            <w:r w:rsidR="004638FA" w:rsidRPr="004638FA">
              <w:rPr>
                <w:lang w:val="pl-PL"/>
              </w:rPr>
              <w:t>[</w:t>
            </w:r>
            <w:r w:rsidR="00B25FCF">
              <w:rPr>
                <w:lang w:val="pl-PL"/>
              </w:rPr>
              <w:t>K</w:t>
            </w:r>
            <w:r w:rsidR="004638FA" w:rsidRPr="004638FA">
              <w:rPr>
                <w:lang w:val="pl-PL"/>
              </w:rPr>
              <w:t>] Wykonanie planu wdrożenia, przy wykorzystaniu dostępnych zasobów (m. in. uwzględnienie potrzeb treningu i wsparcia dla osób będących pod wpływem zmian)</w:t>
            </w:r>
          </w:p>
        </w:tc>
        <w:tc>
          <w:tcPr>
            <w:tcW w:w="5499" w:type="dxa"/>
          </w:tcPr>
          <w:p w14:paraId="6A00253B" w14:textId="3688FCDE" w:rsidR="004638FA" w:rsidRPr="004638FA" w:rsidRDefault="00391396" w:rsidP="004638FA">
            <w:pPr>
              <w:pStyle w:val="TekstTabeli"/>
              <w:rPr>
                <w:lang w:val="pl-PL"/>
              </w:rPr>
            </w:pPr>
            <w:r>
              <w:rPr>
                <w:lang w:val="pl-PL"/>
              </w:rPr>
              <w:t>Brak bezpośrednich odniesień w normie.</w:t>
            </w:r>
          </w:p>
        </w:tc>
      </w:tr>
      <w:tr w:rsidR="00845D13" w:rsidRPr="004638FA" w14:paraId="637A6C72" w14:textId="22A146C4" w:rsidTr="00854B9B">
        <w:trPr>
          <w:cantSplit/>
        </w:trPr>
        <w:tc>
          <w:tcPr>
            <w:tcW w:w="3572" w:type="dxa"/>
          </w:tcPr>
          <w:p w14:paraId="592B0C0E" w14:textId="74CB6CF4" w:rsidR="004638FA" w:rsidRPr="004638FA" w:rsidRDefault="00354453" w:rsidP="004638FA">
            <w:pPr>
              <w:pStyle w:val="TekstTabeli"/>
              <w:rPr>
                <w:lang w:val="pl-PL"/>
              </w:rPr>
            </w:pPr>
            <w:r>
              <w:rPr>
                <w:lang w:val="pl-PL"/>
              </w:rPr>
              <w:t xml:space="preserve">7.14 </w:t>
            </w:r>
            <w:r w:rsidR="004638FA" w:rsidRPr="004638FA">
              <w:rPr>
                <w:lang w:val="pl-PL"/>
              </w:rPr>
              <w:t>[</w:t>
            </w:r>
            <w:r w:rsidR="00B25FCF">
              <w:rPr>
                <w:lang w:val="pl-PL"/>
              </w:rPr>
              <w:t>K</w:t>
            </w:r>
            <w:r w:rsidR="004638FA" w:rsidRPr="004638FA">
              <w:rPr>
                <w:lang w:val="pl-PL"/>
              </w:rPr>
              <w:t>] Weryfikacja planu i opracowanie harmonogramu wraz z harmonogramem wykorzystania zasobów</w:t>
            </w:r>
          </w:p>
        </w:tc>
        <w:tc>
          <w:tcPr>
            <w:tcW w:w="5499" w:type="dxa"/>
          </w:tcPr>
          <w:p w14:paraId="20248A1F" w14:textId="0D537C59" w:rsidR="004638FA" w:rsidRPr="004638FA" w:rsidRDefault="00391396" w:rsidP="004638FA">
            <w:pPr>
              <w:pStyle w:val="TekstTabeli"/>
              <w:rPr>
                <w:lang w:val="pl-PL"/>
              </w:rPr>
            </w:pPr>
            <w:r>
              <w:rPr>
                <w:lang w:val="pl-PL"/>
              </w:rPr>
              <w:t>Brak bezpośrednich odniesień w normie.</w:t>
            </w:r>
          </w:p>
        </w:tc>
      </w:tr>
      <w:tr w:rsidR="00845D13" w:rsidRPr="004638FA" w14:paraId="795376E0" w14:textId="34D39497" w:rsidTr="00854B9B">
        <w:trPr>
          <w:cantSplit/>
        </w:trPr>
        <w:tc>
          <w:tcPr>
            <w:tcW w:w="3572" w:type="dxa"/>
          </w:tcPr>
          <w:p w14:paraId="6A9F38D0" w14:textId="20B1E596" w:rsidR="00391396" w:rsidRPr="004638FA" w:rsidRDefault="00391396" w:rsidP="00391396">
            <w:pPr>
              <w:pStyle w:val="TekstTabeli"/>
              <w:rPr>
                <w:lang w:val="pl-PL"/>
              </w:rPr>
            </w:pPr>
            <w:r>
              <w:rPr>
                <w:lang w:val="pl-PL"/>
              </w:rPr>
              <w:t xml:space="preserve">7.15 </w:t>
            </w:r>
            <w:r w:rsidRPr="004638FA">
              <w:rPr>
                <w:lang w:val="pl-PL"/>
              </w:rPr>
              <w:t>[</w:t>
            </w:r>
            <w:r>
              <w:rPr>
                <w:lang w:val="pl-PL"/>
              </w:rPr>
              <w:t>K</w:t>
            </w:r>
            <w:r w:rsidRPr="004638FA">
              <w:rPr>
                <w:lang w:val="pl-PL"/>
              </w:rPr>
              <w:t>] Określenie ścieżki krytycznej projektu i</w:t>
            </w:r>
            <w:r w:rsidR="00C73791">
              <w:rPr>
                <w:lang w:val="pl-PL"/>
              </w:rPr>
              <w:t> </w:t>
            </w:r>
            <w:r w:rsidRPr="004638FA">
              <w:rPr>
                <w:lang w:val="pl-PL"/>
              </w:rPr>
              <w:t xml:space="preserve">najistotniejszych </w:t>
            </w:r>
            <w:proofErr w:type="spellStart"/>
            <w:r w:rsidRPr="004638FA">
              <w:rPr>
                <w:lang w:val="pl-PL"/>
              </w:rPr>
              <w:t>ryzyk</w:t>
            </w:r>
            <w:proofErr w:type="spellEnd"/>
            <w:r w:rsidRPr="004638FA">
              <w:rPr>
                <w:lang w:val="pl-PL"/>
              </w:rPr>
              <w:t xml:space="preserve"> do monitorowania</w:t>
            </w:r>
          </w:p>
        </w:tc>
        <w:tc>
          <w:tcPr>
            <w:tcW w:w="5499" w:type="dxa"/>
          </w:tcPr>
          <w:p w14:paraId="33F829B7" w14:textId="3B900058" w:rsidR="00391396" w:rsidRPr="004638FA" w:rsidRDefault="00391396" w:rsidP="00391396">
            <w:pPr>
              <w:pStyle w:val="TekstTabeli"/>
              <w:rPr>
                <w:lang w:val="pl-PL"/>
              </w:rPr>
            </w:pPr>
            <w:r>
              <w:rPr>
                <w:lang w:val="pl-PL"/>
              </w:rPr>
              <w:t>Brak odniesień w normie.</w:t>
            </w:r>
          </w:p>
        </w:tc>
      </w:tr>
      <w:tr w:rsidR="00845D13" w:rsidRPr="004638FA" w14:paraId="4C9B90B8" w14:textId="5265288C" w:rsidTr="00854B9B">
        <w:trPr>
          <w:cantSplit/>
        </w:trPr>
        <w:tc>
          <w:tcPr>
            <w:tcW w:w="3572" w:type="dxa"/>
          </w:tcPr>
          <w:p w14:paraId="12045E1F" w14:textId="58DD1698" w:rsidR="00391396" w:rsidRPr="004638FA" w:rsidRDefault="00391396" w:rsidP="00391396">
            <w:pPr>
              <w:pStyle w:val="TekstTabeli"/>
              <w:rPr>
                <w:lang w:val="pl-PL"/>
              </w:rPr>
            </w:pPr>
            <w:r>
              <w:rPr>
                <w:lang w:val="pl-PL"/>
              </w:rPr>
              <w:t xml:space="preserve">7.16 </w:t>
            </w:r>
            <w:r w:rsidRPr="004638FA">
              <w:rPr>
                <w:lang w:val="pl-PL"/>
              </w:rPr>
              <w:t>[</w:t>
            </w:r>
            <w:r>
              <w:rPr>
                <w:lang w:val="pl-PL"/>
              </w:rPr>
              <w:t>K</w:t>
            </w:r>
            <w:r w:rsidRPr="004638FA">
              <w:rPr>
                <w:lang w:val="pl-PL"/>
              </w:rPr>
              <w:t>] Wprowadzenie ewentualnych korekt do planu</w:t>
            </w:r>
          </w:p>
        </w:tc>
        <w:tc>
          <w:tcPr>
            <w:tcW w:w="5499" w:type="dxa"/>
          </w:tcPr>
          <w:p w14:paraId="0DD15F40" w14:textId="75A1A3AF" w:rsidR="00391396" w:rsidRPr="004638FA" w:rsidRDefault="00391396" w:rsidP="00391396">
            <w:pPr>
              <w:pStyle w:val="TekstTabeli"/>
              <w:rPr>
                <w:lang w:val="pl-PL"/>
              </w:rPr>
            </w:pPr>
            <w:r>
              <w:rPr>
                <w:lang w:val="pl-PL"/>
              </w:rPr>
              <w:t>Brak bezpośrednich odniesień w normie.</w:t>
            </w:r>
          </w:p>
        </w:tc>
      </w:tr>
      <w:tr w:rsidR="00845D13" w:rsidRPr="004638FA" w14:paraId="6A82DE06" w14:textId="343FCC4E" w:rsidTr="00854B9B">
        <w:trPr>
          <w:cantSplit/>
        </w:trPr>
        <w:tc>
          <w:tcPr>
            <w:tcW w:w="3572" w:type="dxa"/>
          </w:tcPr>
          <w:p w14:paraId="070BCB4C" w14:textId="2C61359A" w:rsidR="00391396" w:rsidRPr="004638FA" w:rsidRDefault="00391396" w:rsidP="00391396">
            <w:pPr>
              <w:pStyle w:val="TekstTabeli"/>
              <w:rPr>
                <w:lang w:val="pl-PL"/>
              </w:rPr>
            </w:pPr>
            <w:r>
              <w:rPr>
                <w:lang w:val="pl-PL"/>
              </w:rPr>
              <w:t xml:space="preserve">7.17 </w:t>
            </w:r>
            <w:r w:rsidRPr="004638FA">
              <w:rPr>
                <w:lang w:val="pl-PL"/>
              </w:rPr>
              <w:t>[</w:t>
            </w:r>
            <w:r>
              <w:rPr>
                <w:lang w:val="pl-PL"/>
              </w:rPr>
              <w:t>K</w:t>
            </w:r>
            <w:r w:rsidRPr="004638FA">
              <w:rPr>
                <w:lang w:val="pl-PL"/>
              </w:rPr>
              <w:t xml:space="preserve">] Realizacja planu i monitorowanie sytuacji w celu identyfikacji konieczności wprowadzenie modyfikacji do planu </w:t>
            </w:r>
          </w:p>
        </w:tc>
        <w:tc>
          <w:tcPr>
            <w:tcW w:w="5499" w:type="dxa"/>
          </w:tcPr>
          <w:p w14:paraId="0E8D8CB4" w14:textId="588E24DD" w:rsidR="00391396" w:rsidRPr="004638FA" w:rsidRDefault="00391396" w:rsidP="00391396">
            <w:pPr>
              <w:pStyle w:val="TekstTabeli"/>
              <w:rPr>
                <w:lang w:val="pl-PL"/>
              </w:rPr>
            </w:pPr>
            <w:r>
              <w:rPr>
                <w:lang w:val="pl-PL"/>
              </w:rPr>
              <w:t>Nie wprost: 10.1.1 „(…) organizacja powinna (…) c)</w:t>
            </w:r>
            <w:r w:rsidR="00C73791">
              <w:rPr>
                <w:lang w:val="pl-PL"/>
              </w:rPr>
              <w:t> </w:t>
            </w:r>
            <w:r>
              <w:rPr>
                <w:lang w:val="pl-PL"/>
              </w:rPr>
              <w:t>wdrożyć wszelkie niezbędne działania”</w:t>
            </w:r>
          </w:p>
        </w:tc>
      </w:tr>
      <w:tr w:rsidR="00845D13" w:rsidRPr="004638FA" w14:paraId="602EBA8E" w14:textId="675B89FD" w:rsidTr="00854B9B">
        <w:trPr>
          <w:cantSplit/>
        </w:trPr>
        <w:tc>
          <w:tcPr>
            <w:tcW w:w="3572" w:type="dxa"/>
          </w:tcPr>
          <w:p w14:paraId="398C8DF5" w14:textId="71C2FEBE" w:rsidR="00391396" w:rsidRPr="004638FA" w:rsidRDefault="00391396" w:rsidP="00391396">
            <w:pPr>
              <w:pStyle w:val="TekstTabeli"/>
              <w:rPr>
                <w:lang w:val="pl-PL"/>
              </w:rPr>
            </w:pPr>
            <w:r>
              <w:rPr>
                <w:lang w:val="pl-PL"/>
              </w:rPr>
              <w:t xml:space="preserve">7.18 </w:t>
            </w:r>
            <w:r w:rsidRPr="004638FA">
              <w:rPr>
                <w:lang w:val="pl-PL"/>
              </w:rPr>
              <w:t>[</w:t>
            </w:r>
            <w:r>
              <w:rPr>
                <w:lang w:val="pl-PL"/>
              </w:rPr>
              <w:t>K</w:t>
            </w:r>
            <w:r w:rsidRPr="004638FA">
              <w:rPr>
                <w:lang w:val="pl-PL"/>
              </w:rPr>
              <w:t>] Weryfikacja stopnia osiągnięcia celu poprawy</w:t>
            </w:r>
          </w:p>
        </w:tc>
        <w:tc>
          <w:tcPr>
            <w:tcW w:w="5499" w:type="dxa"/>
          </w:tcPr>
          <w:p w14:paraId="3DC99C61" w14:textId="32D72B66" w:rsidR="00391396" w:rsidRPr="004638FA" w:rsidRDefault="00391396" w:rsidP="00391396">
            <w:pPr>
              <w:pStyle w:val="TekstTabeli"/>
              <w:rPr>
                <w:lang w:val="pl-PL"/>
              </w:rPr>
            </w:pPr>
            <w:r>
              <w:rPr>
                <w:lang w:val="pl-PL"/>
              </w:rPr>
              <w:t>Brak bezpośrednich odniesień w normie.</w:t>
            </w:r>
            <w:r>
              <w:rPr>
                <w:lang w:val="pl-PL"/>
              </w:rPr>
              <w:br/>
              <w:t>Są jednak odniesienia do analizy i weryfikacji efektów działań, np.</w:t>
            </w:r>
            <w:r w:rsidR="00854B9B">
              <w:rPr>
                <w:lang w:val="pl-PL"/>
              </w:rPr>
              <w:t> </w:t>
            </w:r>
            <w:r>
              <w:rPr>
                <w:lang w:val="pl-PL"/>
              </w:rPr>
              <w:t>punkt 9.1 Monitorowanie, pomiar, analiza i ocena.</w:t>
            </w:r>
          </w:p>
        </w:tc>
      </w:tr>
      <w:tr w:rsidR="00845D13" w:rsidRPr="004638FA" w14:paraId="55A11DC5" w14:textId="7A811D89" w:rsidTr="00854B9B">
        <w:trPr>
          <w:cantSplit/>
        </w:trPr>
        <w:tc>
          <w:tcPr>
            <w:tcW w:w="3572" w:type="dxa"/>
          </w:tcPr>
          <w:p w14:paraId="7BB7CF85" w14:textId="3A026E7C" w:rsidR="00391396" w:rsidRPr="004638FA" w:rsidRDefault="00391396" w:rsidP="00391396">
            <w:pPr>
              <w:pStyle w:val="TekstTabeli"/>
              <w:rPr>
                <w:lang w:val="pl-PL"/>
              </w:rPr>
            </w:pPr>
            <w:r>
              <w:rPr>
                <w:lang w:val="pl-PL"/>
              </w:rPr>
              <w:t xml:space="preserve">8. </w:t>
            </w:r>
            <w:r w:rsidRPr="004638FA">
              <w:rPr>
                <w:lang w:val="pl-PL"/>
              </w:rPr>
              <w:t>Zaplanowanie ciągłego pozyskiwania informacji zwrotnej</w:t>
            </w:r>
          </w:p>
        </w:tc>
        <w:tc>
          <w:tcPr>
            <w:tcW w:w="5499" w:type="dxa"/>
          </w:tcPr>
          <w:p w14:paraId="043664A6" w14:textId="06E61FBB" w:rsidR="00391396" w:rsidRDefault="00391396" w:rsidP="00391396">
            <w:pPr>
              <w:pStyle w:val="TekstTabeli"/>
              <w:rPr>
                <w:lang w:val="pl-PL"/>
              </w:rPr>
            </w:pPr>
            <w:r>
              <w:rPr>
                <w:lang w:val="pl-PL"/>
              </w:rPr>
              <w:t>7.4.2 Cel komunikacji „Komunikacja wewnętrzna i zewnętrzna powinna mieć na celu: a) poszukiwanie opinii lub zgody istotnych interesariuszy”</w:t>
            </w:r>
          </w:p>
          <w:p w14:paraId="46570AFA" w14:textId="5F6003D6" w:rsidR="00391396" w:rsidRPr="004638FA" w:rsidRDefault="00391396" w:rsidP="00391396">
            <w:pPr>
              <w:pStyle w:val="TekstTabeli"/>
              <w:rPr>
                <w:lang w:val="pl-PL"/>
              </w:rPr>
            </w:pPr>
            <w:r>
              <w:rPr>
                <w:lang w:val="pl-PL"/>
              </w:rPr>
              <w:t>9.1.2 Satysfakcja studentów, innych beneficjentów i pracowników</w:t>
            </w:r>
          </w:p>
        </w:tc>
      </w:tr>
      <w:tr w:rsidR="00845D13" w:rsidRPr="004638FA" w14:paraId="189440A4" w14:textId="144CFC8E" w:rsidTr="00854B9B">
        <w:trPr>
          <w:cantSplit/>
        </w:trPr>
        <w:tc>
          <w:tcPr>
            <w:tcW w:w="3572" w:type="dxa"/>
          </w:tcPr>
          <w:p w14:paraId="21000388" w14:textId="428FF993" w:rsidR="00391396" w:rsidRPr="004638FA" w:rsidRDefault="00391396" w:rsidP="00391396">
            <w:pPr>
              <w:pStyle w:val="TekstTabeli"/>
              <w:rPr>
                <w:lang w:val="pl-PL"/>
              </w:rPr>
            </w:pPr>
            <w:r>
              <w:rPr>
                <w:lang w:val="pl-PL"/>
              </w:rPr>
              <w:lastRenderedPageBreak/>
              <w:t xml:space="preserve">8.1 </w:t>
            </w:r>
            <w:r w:rsidRPr="004638FA">
              <w:rPr>
                <w:lang w:val="pl-PL"/>
              </w:rPr>
              <w:t>Ustalenie szczegółów metod ciągłego pozyskiwania informacji zwrotnej</w:t>
            </w:r>
          </w:p>
        </w:tc>
        <w:tc>
          <w:tcPr>
            <w:tcW w:w="5499" w:type="dxa"/>
          </w:tcPr>
          <w:p w14:paraId="506B34DE" w14:textId="77777777" w:rsidR="00391396" w:rsidRDefault="00391396" w:rsidP="00391396">
            <w:pPr>
              <w:pStyle w:val="TekstTabeli"/>
              <w:rPr>
                <w:lang w:val="pl-PL"/>
              </w:rPr>
            </w:pPr>
            <w:r>
              <w:rPr>
                <w:lang w:val="pl-PL"/>
              </w:rPr>
              <w:t>9.1.4 Metody monitorowania, pomiaru, analizy i oceny</w:t>
            </w:r>
          </w:p>
          <w:p w14:paraId="68817DFE" w14:textId="219288D7" w:rsidR="00391396" w:rsidRPr="004638FA" w:rsidRDefault="00391396" w:rsidP="00391396">
            <w:pPr>
              <w:pStyle w:val="TekstTabeli"/>
              <w:rPr>
                <w:lang w:val="pl-PL"/>
              </w:rPr>
            </w:pPr>
            <w:r>
              <w:rPr>
                <w:lang w:val="pl-PL"/>
              </w:rPr>
              <w:t>9.1.4.1 „organizacja powinna określić (…) metody pozyskiwania, monitorowania i przeglądów informacji o wynikach (efektach działań)”</w:t>
            </w:r>
          </w:p>
        </w:tc>
      </w:tr>
      <w:tr w:rsidR="00845D13" w:rsidRPr="004638FA" w14:paraId="005F6F09" w14:textId="4ACB7222" w:rsidTr="00854B9B">
        <w:trPr>
          <w:cantSplit/>
        </w:trPr>
        <w:tc>
          <w:tcPr>
            <w:tcW w:w="3572" w:type="dxa"/>
          </w:tcPr>
          <w:p w14:paraId="0A808AF4" w14:textId="1A174C41" w:rsidR="00391396" w:rsidRPr="004638FA" w:rsidRDefault="00391396" w:rsidP="00391396">
            <w:pPr>
              <w:pStyle w:val="TekstTabeli"/>
              <w:rPr>
                <w:lang w:val="pl-PL"/>
              </w:rPr>
            </w:pPr>
            <w:r>
              <w:rPr>
                <w:lang w:val="pl-PL"/>
              </w:rPr>
              <w:t xml:space="preserve">8.2 </w:t>
            </w:r>
            <w:r w:rsidRPr="004638FA">
              <w:rPr>
                <w:lang w:val="pl-PL"/>
              </w:rPr>
              <w:t>Zaplanowanie regularnych cykli pozyskiwania informacji zwrotnej</w:t>
            </w:r>
          </w:p>
        </w:tc>
        <w:tc>
          <w:tcPr>
            <w:tcW w:w="5499" w:type="dxa"/>
          </w:tcPr>
          <w:p w14:paraId="79E65BAA" w14:textId="10A4234E" w:rsidR="00391396" w:rsidRPr="001B3D91" w:rsidRDefault="00391396" w:rsidP="00391396">
            <w:pPr>
              <w:pStyle w:val="TekstTabeli"/>
              <w:rPr>
                <w:lang w:val="pl-PL"/>
              </w:rPr>
            </w:pPr>
            <w:r>
              <w:rPr>
                <w:lang w:val="pl-PL"/>
              </w:rPr>
              <w:t xml:space="preserve">Nie wprost: </w:t>
            </w:r>
            <w:r w:rsidRPr="001B3D91">
              <w:rPr>
                <w:lang w:val="pl-PL"/>
              </w:rPr>
              <w:t>7.4.3.2 „W zaplanowanych odstępach czasu organizacja powinna: a) monitorować wdrożenie swoich działań komunikacyjnych; b) analizować i</w:t>
            </w:r>
            <w:r>
              <w:rPr>
                <w:lang w:val="pl-PL"/>
              </w:rPr>
              <w:t> </w:t>
            </w:r>
            <w:r w:rsidRPr="001B3D91">
              <w:rPr>
                <w:lang w:val="pl-PL"/>
              </w:rPr>
              <w:t>doskonal</w:t>
            </w:r>
            <w:r>
              <w:rPr>
                <w:lang w:val="pl-PL"/>
              </w:rPr>
              <w:t>i</w:t>
            </w:r>
            <w:r w:rsidRPr="001B3D91">
              <w:rPr>
                <w:lang w:val="pl-PL"/>
              </w:rPr>
              <w:t>ć plan komunikacji na podstawie wyników monitorowania</w:t>
            </w:r>
            <w:r>
              <w:rPr>
                <w:lang w:val="pl-PL"/>
              </w:rPr>
              <w:t>”</w:t>
            </w:r>
            <w:r w:rsidRPr="001B3D91">
              <w:rPr>
                <w:lang w:val="pl-PL"/>
              </w:rPr>
              <w:t>.</w:t>
            </w:r>
          </w:p>
        </w:tc>
      </w:tr>
      <w:tr w:rsidR="00845D13" w:rsidRPr="004638FA" w14:paraId="183D196C" w14:textId="15577661" w:rsidTr="00854B9B">
        <w:trPr>
          <w:cantSplit/>
        </w:trPr>
        <w:tc>
          <w:tcPr>
            <w:tcW w:w="3572" w:type="dxa"/>
          </w:tcPr>
          <w:p w14:paraId="68336F2E" w14:textId="70A71070" w:rsidR="00391396" w:rsidRPr="004638FA" w:rsidRDefault="00391396" w:rsidP="00391396">
            <w:pPr>
              <w:pStyle w:val="TekstTabeli"/>
              <w:rPr>
                <w:lang w:val="pl-PL"/>
              </w:rPr>
            </w:pPr>
            <w:r>
              <w:rPr>
                <w:lang w:val="pl-PL"/>
              </w:rPr>
              <w:t xml:space="preserve">8.3 </w:t>
            </w:r>
            <w:r w:rsidRPr="004638FA">
              <w:rPr>
                <w:lang w:val="pl-PL"/>
              </w:rPr>
              <w:t>Automatyzacja procesu pozyskiwania informacji zwrotnej tam</w:t>
            </w:r>
            <w:r>
              <w:rPr>
                <w:lang w:val="pl-PL"/>
              </w:rPr>
              <w:t>,</w:t>
            </w:r>
            <w:r w:rsidRPr="004638FA">
              <w:rPr>
                <w:lang w:val="pl-PL"/>
              </w:rPr>
              <w:t xml:space="preserve"> gdzie to możliwe (wspierające osiąganie celów pozyskiwania informacji zwrotnej)</w:t>
            </w:r>
          </w:p>
        </w:tc>
        <w:tc>
          <w:tcPr>
            <w:tcW w:w="5499" w:type="dxa"/>
          </w:tcPr>
          <w:p w14:paraId="57653730" w14:textId="6CB287D5" w:rsidR="00391396" w:rsidRPr="004638FA" w:rsidRDefault="00391396" w:rsidP="00391396">
            <w:pPr>
              <w:pStyle w:val="TekstTabeli"/>
              <w:rPr>
                <w:lang w:val="pl-PL"/>
              </w:rPr>
            </w:pPr>
            <w:r>
              <w:rPr>
                <w:lang w:val="pl-PL"/>
              </w:rPr>
              <w:t>8.5.1.1 g) wdrożenie rozwiązań minimalizujących błędy ludzkie”</w:t>
            </w:r>
          </w:p>
        </w:tc>
      </w:tr>
      <w:tr w:rsidR="00845D13" w:rsidRPr="004638FA" w14:paraId="09F8C346" w14:textId="6102FF02" w:rsidTr="00854B9B">
        <w:trPr>
          <w:cantSplit/>
        </w:trPr>
        <w:tc>
          <w:tcPr>
            <w:tcW w:w="3572" w:type="dxa"/>
          </w:tcPr>
          <w:p w14:paraId="7B0500B3" w14:textId="5DB05B23" w:rsidR="00391396" w:rsidRPr="004638FA" w:rsidRDefault="00391396" w:rsidP="00391396">
            <w:pPr>
              <w:pStyle w:val="TekstTabeli"/>
              <w:rPr>
                <w:lang w:val="pl-PL"/>
              </w:rPr>
            </w:pPr>
            <w:r>
              <w:rPr>
                <w:lang w:val="pl-PL"/>
              </w:rPr>
              <w:t xml:space="preserve">8.4 </w:t>
            </w:r>
            <w:r w:rsidRPr="004638FA">
              <w:rPr>
                <w:lang w:val="pl-PL"/>
              </w:rPr>
              <w:t>Zaangażowanie interesariuszy w proces udzielania informacji zwrotnej (m. in. poprzez komunikowanie o tym w jaki sposób ich informacja zwrotna przyczyniła się do wdrożenia konkretnych zmian)</w:t>
            </w:r>
          </w:p>
        </w:tc>
        <w:tc>
          <w:tcPr>
            <w:tcW w:w="5499" w:type="dxa"/>
          </w:tcPr>
          <w:p w14:paraId="65018E12" w14:textId="03EB229C" w:rsidR="00391396" w:rsidRDefault="00391396" w:rsidP="00391396">
            <w:pPr>
              <w:pStyle w:val="TekstTabeli"/>
              <w:rPr>
                <w:lang w:val="pl-PL"/>
              </w:rPr>
            </w:pPr>
            <w:r>
              <w:rPr>
                <w:lang w:val="pl-PL"/>
              </w:rPr>
              <w:t>9.1.4.2 „organizacja powinna zapewnić, że (…) interesariusze zaangażowani w lub będący pod wpływem procesu oceny zostaną zidentyfikowani”</w:t>
            </w:r>
          </w:p>
          <w:p w14:paraId="4AFDD002" w14:textId="2968FEBE" w:rsidR="00391396" w:rsidRPr="001B3D91" w:rsidRDefault="00391396" w:rsidP="00391396">
            <w:pPr>
              <w:pStyle w:val="TekstTabeli"/>
              <w:rPr>
                <w:lang w:val="pl-PL"/>
              </w:rPr>
            </w:pPr>
            <w:r w:rsidRPr="001B3D91">
              <w:rPr>
                <w:lang w:val="pl-PL"/>
              </w:rPr>
              <w:t xml:space="preserve">7.4.2 jw. </w:t>
            </w:r>
          </w:p>
        </w:tc>
      </w:tr>
      <w:tr w:rsidR="00845D13" w:rsidRPr="004638FA" w14:paraId="5D999A3A" w14:textId="0621C63B" w:rsidTr="00854B9B">
        <w:trPr>
          <w:cantSplit/>
        </w:trPr>
        <w:tc>
          <w:tcPr>
            <w:tcW w:w="3572" w:type="dxa"/>
          </w:tcPr>
          <w:p w14:paraId="27680BCE" w14:textId="15AEA10C" w:rsidR="00391396" w:rsidRPr="00991438" w:rsidRDefault="00391396" w:rsidP="00391396">
            <w:pPr>
              <w:pStyle w:val="TekstTabeli"/>
              <w:rPr>
                <w:lang w:val="pl-PL"/>
              </w:rPr>
            </w:pPr>
            <w:r w:rsidRPr="00991438">
              <w:rPr>
                <w:lang w:val="pl-PL"/>
              </w:rPr>
              <w:t>9. Ciągłe doskonalenie</w:t>
            </w:r>
          </w:p>
        </w:tc>
        <w:tc>
          <w:tcPr>
            <w:tcW w:w="5499" w:type="dxa"/>
          </w:tcPr>
          <w:p w14:paraId="58BE6F51" w14:textId="04A5DE82" w:rsidR="00391396" w:rsidRPr="00991438" w:rsidRDefault="00391396" w:rsidP="00391396">
            <w:pPr>
              <w:pStyle w:val="TekstTabeli"/>
              <w:rPr>
                <w:lang w:val="pl-PL"/>
              </w:rPr>
            </w:pPr>
            <w:r w:rsidRPr="00991438">
              <w:rPr>
                <w:lang w:val="pl-PL"/>
              </w:rPr>
              <w:t>10.2 Ciągłe doskonalenie</w:t>
            </w:r>
          </w:p>
        </w:tc>
      </w:tr>
      <w:tr w:rsidR="00845D13" w:rsidRPr="004638FA" w14:paraId="711AEDAC" w14:textId="1CC164DF" w:rsidTr="00854B9B">
        <w:trPr>
          <w:cantSplit/>
        </w:trPr>
        <w:tc>
          <w:tcPr>
            <w:tcW w:w="3572" w:type="dxa"/>
          </w:tcPr>
          <w:p w14:paraId="68BE8C58" w14:textId="68D27CB6" w:rsidR="00391396" w:rsidRPr="004638FA" w:rsidRDefault="00391396" w:rsidP="00391396">
            <w:pPr>
              <w:pStyle w:val="TekstTabeli"/>
              <w:rPr>
                <w:lang w:val="pl-PL"/>
              </w:rPr>
            </w:pPr>
            <w:r>
              <w:rPr>
                <w:lang w:val="pl-PL"/>
              </w:rPr>
              <w:t xml:space="preserve">9.1 </w:t>
            </w:r>
            <w:r w:rsidRPr="004638FA">
              <w:rPr>
                <w:lang w:val="pl-PL"/>
              </w:rPr>
              <w:t>Identyfikacja i ustanowienie wiarygodnych wskaźników działań uczelni (pozwalających na rzetelne i wiarygodne pozyskiwanie informacji w celu pomiaru i weryfikacji efektów działalności uczelni, w tym wprowadzanych zmian)</w:t>
            </w:r>
          </w:p>
        </w:tc>
        <w:tc>
          <w:tcPr>
            <w:tcW w:w="5499" w:type="dxa"/>
          </w:tcPr>
          <w:p w14:paraId="42478ECF" w14:textId="127AFDC0" w:rsidR="00391396" w:rsidRPr="004638FA" w:rsidRDefault="00391396" w:rsidP="00391396">
            <w:pPr>
              <w:pStyle w:val="TekstTabeli"/>
              <w:rPr>
                <w:lang w:val="pl-PL"/>
              </w:rPr>
            </w:pPr>
            <w:r>
              <w:rPr>
                <w:lang w:val="pl-PL"/>
              </w:rPr>
              <w:t>9.1.5 Analiza i ewaluacja: „organizacja powinna analizować i</w:t>
            </w:r>
            <w:r w:rsidR="00845D13">
              <w:rPr>
                <w:lang w:val="pl-PL"/>
              </w:rPr>
              <w:t> </w:t>
            </w:r>
            <w:r>
              <w:rPr>
                <w:lang w:val="pl-PL"/>
              </w:rPr>
              <w:t>oceniać odpowiednie dane i informacje pozyskiwane w procesach monitoringu i pomiaru”</w:t>
            </w:r>
          </w:p>
        </w:tc>
      </w:tr>
      <w:tr w:rsidR="00845D13" w:rsidRPr="004638FA" w14:paraId="3AEF3DFF" w14:textId="4E3E8632" w:rsidTr="00854B9B">
        <w:trPr>
          <w:cantSplit/>
        </w:trPr>
        <w:tc>
          <w:tcPr>
            <w:tcW w:w="3572" w:type="dxa"/>
          </w:tcPr>
          <w:p w14:paraId="311CDA4B" w14:textId="53014102" w:rsidR="00391396" w:rsidRPr="004638FA" w:rsidRDefault="00391396" w:rsidP="00391396">
            <w:pPr>
              <w:pStyle w:val="TekstTabeli"/>
              <w:rPr>
                <w:lang w:val="pl-PL"/>
              </w:rPr>
            </w:pPr>
            <w:r>
              <w:rPr>
                <w:lang w:val="pl-PL"/>
              </w:rPr>
              <w:t xml:space="preserve">9.1.1 </w:t>
            </w:r>
            <w:r w:rsidRPr="004638FA">
              <w:rPr>
                <w:lang w:val="pl-PL"/>
              </w:rPr>
              <w:t>Opracowanie zestawu wskaźników na podstawie dostępnej literatury oraz własnych badań uwzględniających specyfikę organizacji</w:t>
            </w:r>
          </w:p>
        </w:tc>
        <w:tc>
          <w:tcPr>
            <w:tcW w:w="5499" w:type="dxa"/>
          </w:tcPr>
          <w:p w14:paraId="4FAF14B0" w14:textId="24885B00" w:rsidR="00391396" w:rsidRPr="004638FA" w:rsidRDefault="00391396" w:rsidP="00C73791">
            <w:pPr>
              <w:pStyle w:val="TekstTabeli"/>
              <w:rPr>
                <w:lang w:val="pl-PL"/>
              </w:rPr>
            </w:pPr>
            <w:r>
              <w:rPr>
                <w:lang w:val="pl-PL"/>
              </w:rPr>
              <w:t>9.1.5 Analiza i ocena</w:t>
            </w:r>
            <w:r w:rsidR="00C73791">
              <w:rPr>
                <w:lang w:val="pl-PL"/>
              </w:rPr>
              <w:br/>
            </w:r>
            <w:r>
              <w:rPr>
                <w:lang w:val="pl-PL"/>
              </w:rPr>
              <w:t>W punkcie tym została podana lista obszarów do oceny, m.</w:t>
            </w:r>
            <w:r w:rsidR="00845D13">
              <w:rPr>
                <w:lang w:val="pl-PL"/>
              </w:rPr>
              <w:t> </w:t>
            </w:r>
            <w:r>
              <w:rPr>
                <w:lang w:val="pl-PL"/>
              </w:rPr>
              <w:t>in. poziomy satysfakcji różnych grup interesariuszy, wyniki i</w:t>
            </w:r>
            <w:r w:rsidR="00845D13">
              <w:rPr>
                <w:lang w:val="pl-PL"/>
              </w:rPr>
              <w:t> </w:t>
            </w:r>
            <w:r>
              <w:rPr>
                <w:lang w:val="pl-PL"/>
              </w:rPr>
              <w:t>efektywność SZOE, i in.</w:t>
            </w:r>
          </w:p>
        </w:tc>
      </w:tr>
      <w:tr w:rsidR="00845D13" w:rsidRPr="004638FA" w14:paraId="795EF553" w14:textId="0AB98CB1" w:rsidTr="00854B9B">
        <w:trPr>
          <w:cantSplit/>
        </w:trPr>
        <w:tc>
          <w:tcPr>
            <w:tcW w:w="3572" w:type="dxa"/>
          </w:tcPr>
          <w:p w14:paraId="072A35CF" w14:textId="77AB62B3" w:rsidR="00391396" w:rsidRPr="004638FA" w:rsidRDefault="00391396" w:rsidP="00391396">
            <w:pPr>
              <w:pStyle w:val="TekstTabeli"/>
              <w:rPr>
                <w:lang w:val="pl-PL"/>
              </w:rPr>
            </w:pPr>
            <w:r>
              <w:rPr>
                <w:lang w:val="pl-PL"/>
              </w:rPr>
              <w:t xml:space="preserve">9.1.2 </w:t>
            </w:r>
            <w:r w:rsidRPr="004638FA">
              <w:rPr>
                <w:lang w:val="pl-PL"/>
              </w:rPr>
              <w:t>Podjęcie zobowiązania przez najwyższe kierownictwo do długoterminowego utrzymania pomiaru wybranych stałych wskaźników (obok zestawu wskaźników mogących podlegać zmianom w ramach zmieniających się potrzeb)</w:t>
            </w:r>
          </w:p>
        </w:tc>
        <w:tc>
          <w:tcPr>
            <w:tcW w:w="5499" w:type="dxa"/>
          </w:tcPr>
          <w:p w14:paraId="625CD395" w14:textId="24271009" w:rsidR="00391396" w:rsidRDefault="00391396" w:rsidP="00391396">
            <w:pPr>
              <w:pStyle w:val="TekstTabeli"/>
              <w:rPr>
                <w:lang w:val="pl-PL"/>
              </w:rPr>
            </w:pPr>
            <w:r>
              <w:rPr>
                <w:lang w:val="pl-PL"/>
              </w:rPr>
              <w:t>Nie wprost:</w:t>
            </w:r>
            <w:r w:rsidRPr="007031FB">
              <w:rPr>
                <w:lang w:val="pl-PL"/>
              </w:rPr>
              <w:t xml:space="preserve"> 5.3 Role, odpowiedzialność i władza w organizacji „Najwyższe kierownictwo powinno przydzielić odpowiedzialność i</w:t>
            </w:r>
            <w:r w:rsidR="00854B9B">
              <w:rPr>
                <w:lang w:val="pl-PL"/>
              </w:rPr>
              <w:t> </w:t>
            </w:r>
            <w:r w:rsidRPr="007031FB">
              <w:rPr>
                <w:lang w:val="pl-PL"/>
              </w:rPr>
              <w:t>władzę</w:t>
            </w:r>
            <w:r>
              <w:rPr>
                <w:lang w:val="pl-PL"/>
              </w:rPr>
              <w:t xml:space="preserve"> (…)</w:t>
            </w:r>
            <w:r w:rsidRPr="007031FB">
              <w:rPr>
                <w:lang w:val="pl-PL"/>
              </w:rPr>
              <w:t>”</w:t>
            </w:r>
          </w:p>
          <w:p w14:paraId="0B57133C" w14:textId="2A927A14" w:rsidR="00391396" w:rsidRPr="00324548" w:rsidRDefault="00391396" w:rsidP="00391396">
            <w:pPr>
              <w:pStyle w:val="TekstTabeli"/>
              <w:rPr>
                <w:lang w:val="pl-PL"/>
              </w:rPr>
            </w:pPr>
            <w:r>
              <w:rPr>
                <w:lang w:val="pl-PL"/>
              </w:rPr>
              <w:t>Wiąże się to, i jest w zgodzie, z wizjonerskim przywództwem, które powinno się m. in. przejawiać się dawaniem przykładu brania odpowiedzialności i podejmowania zobowiązań lub delegowania władzy.</w:t>
            </w:r>
          </w:p>
        </w:tc>
      </w:tr>
      <w:tr w:rsidR="00845D13" w:rsidRPr="004638FA" w14:paraId="6CDA510C" w14:textId="2689895D" w:rsidTr="00854B9B">
        <w:trPr>
          <w:cantSplit/>
        </w:trPr>
        <w:tc>
          <w:tcPr>
            <w:tcW w:w="3572" w:type="dxa"/>
          </w:tcPr>
          <w:p w14:paraId="4AF67B05" w14:textId="1A95AF64" w:rsidR="00391396" w:rsidRPr="004638FA" w:rsidRDefault="00391396" w:rsidP="00391396">
            <w:pPr>
              <w:pStyle w:val="TekstTabeli"/>
              <w:rPr>
                <w:lang w:val="pl-PL"/>
              </w:rPr>
            </w:pPr>
            <w:r>
              <w:rPr>
                <w:lang w:val="pl-PL"/>
              </w:rPr>
              <w:t xml:space="preserve">9.2 </w:t>
            </w:r>
            <w:r w:rsidRPr="004638FA">
              <w:rPr>
                <w:lang w:val="pl-PL"/>
              </w:rPr>
              <w:t xml:space="preserve">Ustanowienie cykli pomiaru i weryfikacji efektów działań uczelni (w tym działań doskonalących, np. metod ciągłego i cyklicznego </w:t>
            </w:r>
            <w:r w:rsidR="002320A6">
              <w:rPr>
                <w:lang w:val="pl-PL"/>
              </w:rPr>
              <w:t>analizowania</w:t>
            </w:r>
            <w:r w:rsidRPr="004638FA">
              <w:rPr>
                <w:lang w:val="pl-PL"/>
              </w:rPr>
              <w:t xml:space="preserve"> informacji zwrotnej od interesariuszy)</w:t>
            </w:r>
          </w:p>
        </w:tc>
        <w:tc>
          <w:tcPr>
            <w:tcW w:w="5499" w:type="dxa"/>
          </w:tcPr>
          <w:p w14:paraId="056780D7" w14:textId="05F336A9" w:rsidR="00391396" w:rsidRPr="004638FA" w:rsidRDefault="00391396" w:rsidP="00391396">
            <w:pPr>
              <w:pStyle w:val="TekstTabeli"/>
              <w:rPr>
                <w:lang w:val="pl-PL"/>
              </w:rPr>
            </w:pPr>
            <w:r>
              <w:rPr>
                <w:lang w:val="pl-PL"/>
              </w:rPr>
              <w:t>9.2.2 „organizacja powinna planować, ustanowić, wdrożyć i</w:t>
            </w:r>
            <w:r w:rsidR="00845D13">
              <w:rPr>
                <w:lang w:val="pl-PL"/>
              </w:rPr>
              <w:t> </w:t>
            </w:r>
            <w:r>
              <w:rPr>
                <w:lang w:val="pl-PL"/>
              </w:rPr>
              <w:t xml:space="preserve">utrzymywać program(y) audytu, uwzględniając </w:t>
            </w:r>
            <w:r w:rsidRPr="00200CCB">
              <w:rPr>
                <w:u w:val="single"/>
                <w:lang w:val="pl-PL"/>
              </w:rPr>
              <w:t>częstotliwość</w:t>
            </w:r>
            <w:r w:rsidRPr="00200CCB">
              <w:rPr>
                <w:lang w:val="pl-PL"/>
              </w:rPr>
              <w:t>,</w:t>
            </w:r>
            <w:r>
              <w:rPr>
                <w:lang w:val="pl-PL"/>
              </w:rPr>
              <w:t xml:space="preserve"> </w:t>
            </w:r>
            <w:r w:rsidRPr="00200CCB">
              <w:rPr>
                <w:u w:val="single"/>
                <w:lang w:val="pl-PL"/>
              </w:rPr>
              <w:t>metody</w:t>
            </w:r>
            <w:r>
              <w:rPr>
                <w:lang w:val="pl-PL"/>
              </w:rPr>
              <w:t xml:space="preserve">, odpowiedzialność i proces raportowania, które powinny uwzględniać cele systemu zarządzania, ważność audytowanych procesów, informację zwrotną od interesariuszy i rezultaty wcześniejszych audytów (…)” </w:t>
            </w:r>
          </w:p>
        </w:tc>
      </w:tr>
      <w:tr w:rsidR="00845D13" w:rsidRPr="004638FA" w14:paraId="3101F4AF" w14:textId="6EC67997" w:rsidTr="00854B9B">
        <w:trPr>
          <w:cantSplit/>
        </w:trPr>
        <w:tc>
          <w:tcPr>
            <w:tcW w:w="3572" w:type="dxa"/>
          </w:tcPr>
          <w:p w14:paraId="0E641839" w14:textId="4A37FA22" w:rsidR="00391396" w:rsidRPr="004638FA" w:rsidRDefault="00391396" w:rsidP="00391396">
            <w:pPr>
              <w:pStyle w:val="TekstTabeli"/>
              <w:rPr>
                <w:lang w:val="pl-PL"/>
              </w:rPr>
            </w:pPr>
            <w:r>
              <w:rPr>
                <w:lang w:val="pl-PL"/>
              </w:rPr>
              <w:t xml:space="preserve">9.2.1 </w:t>
            </w:r>
            <w:r w:rsidRPr="004638FA">
              <w:rPr>
                <w:lang w:val="pl-PL"/>
              </w:rPr>
              <w:t>Ustalenie potrzeb w zakresie długości cyklu pomiarów i weryfikacji efektów działań uczelni w zależności od specyficznych uwarunkowań konkretnej uczelni</w:t>
            </w:r>
          </w:p>
        </w:tc>
        <w:tc>
          <w:tcPr>
            <w:tcW w:w="5499" w:type="dxa"/>
          </w:tcPr>
          <w:p w14:paraId="4F338C9E" w14:textId="3F61F9F3" w:rsidR="00391396" w:rsidRPr="004638FA" w:rsidRDefault="00391396" w:rsidP="00391396">
            <w:pPr>
              <w:pStyle w:val="TekstTabeli"/>
              <w:rPr>
                <w:lang w:val="pl-PL"/>
              </w:rPr>
            </w:pPr>
            <w:r>
              <w:rPr>
                <w:lang w:val="pl-PL"/>
              </w:rPr>
              <w:t xml:space="preserve">9.2.2 </w:t>
            </w:r>
            <w:proofErr w:type="spellStart"/>
            <w:r>
              <w:rPr>
                <w:lang w:val="pl-PL"/>
              </w:rPr>
              <w:t>j.w</w:t>
            </w:r>
            <w:proofErr w:type="spellEnd"/>
            <w:r>
              <w:rPr>
                <w:lang w:val="pl-PL"/>
              </w:rPr>
              <w:t>.</w:t>
            </w:r>
          </w:p>
        </w:tc>
      </w:tr>
      <w:tr w:rsidR="00845D13" w:rsidRPr="004638FA" w14:paraId="3DB044F7" w14:textId="07A65F7F" w:rsidTr="00854B9B">
        <w:trPr>
          <w:cantSplit/>
        </w:trPr>
        <w:tc>
          <w:tcPr>
            <w:tcW w:w="3572" w:type="dxa"/>
          </w:tcPr>
          <w:p w14:paraId="3314BD55" w14:textId="62EFAB3F" w:rsidR="00391396" w:rsidRPr="004638FA" w:rsidRDefault="00391396" w:rsidP="00391396">
            <w:pPr>
              <w:pStyle w:val="TekstTabeli"/>
              <w:rPr>
                <w:lang w:val="pl-PL"/>
              </w:rPr>
            </w:pPr>
            <w:r>
              <w:rPr>
                <w:lang w:val="pl-PL"/>
              </w:rPr>
              <w:t xml:space="preserve">9.2.2 </w:t>
            </w:r>
            <w:r w:rsidRPr="004638FA">
              <w:rPr>
                <w:lang w:val="pl-PL"/>
              </w:rPr>
              <w:t>Ustanowienie zestawu metod pomiaru i</w:t>
            </w:r>
            <w:r w:rsidR="00845D13">
              <w:rPr>
                <w:lang w:val="pl-PL"/>
              </w:rPr>
              <w:t> </w:t>
            </w:r>
            <w:r w:rsidRPr="004638FA">
              <w:rPr>
                <w:lang w:val="pl-PL"/>
              </w:rPr>
              <w:t>weryfikacji efektów działań uczelni</w:t>
            </w:r>
          </w:p>
        </w:tc>
        <w:tc>
          <w:tcPr>
            <w:tcW w:w="5499" w:type="dxa"/>
          </w:tcPr>
          <w:p w14:paraId="14AA334D" w14:textId="5443234E" w:rsidR="00391396" w:rsidRPr="004638FA" w:rsidRDefault="00391396" w:rsidP="00391396">
            <w:pPr>
              <w:pStyle w:val="TekstTabeli"/>
              <w:rPr>
                <w:lang w:val="pl-PL"/>
              </w:rPr>
            </w:pPr>
            <w:r>
              <w:rPr>
                <w:lang w:val="pl-PL"/>
              </w:rPr>
              <w:t xml:space="preserve">9.2.2 </w:t>
            </w:r>
            <w:proofErr w:type="spellStart"/>
            <w:r>
              <w:rPr>
                <w:lang w:val="pl-PL"/>
              </w:rPr>
              <w:t>j.w</w:t>
            </w:r>
            <w:proofErr w:type="spellEnd"/>
            <w:r>
              <w:rPr>
                <w:lang w:val="pl-PL"/>
              </w:rPr>
              <w:t>.</w:t>
            </w:r>
          </w:p>
        </w:tc>
      </w:tr>
      <w:tr w:rsidR="00845D13" w:rsidRPr="004638FA" w14:paraId="2DCA60B1" w14:textId="607ED23C" w:rsidTr="00854B9B">
        <w:trPr>
          <w:cantSplit/>
        </w:trPr>
        <w:tc>
          <w:tcPr>
            <w:tcW w:w="3572" w:type="dxa"/>
          </w:tcPr>
          <w:p w14:paraId="2E527E77" w14:textId="45A7473F" w:rsidR="00391396" w:rsidRPr="004638FA" w:rsidRDefault="00391396" w:rsidP="00391396">
            <w:pPr>
              <w:pStyle w:val="TekstTabeli"/>
              <w:rPr>
                <w:lang w:val="pl-PL"/>
              </w:rPr>
            </w:pPr>
            <w:r>
              <w:rPr>
                <w:lang w:val="pl-PL"/>
              </w:rPr>
              <w:lastRenderedPageBreak/>
              <w:t xml:space="preserve">9.3 </w:t>
            </w:r>
            <w:r w:rsidRPr="004638FA">
              <w:rPr>
                <w:lang w:val="pl-PL"/>
              </w:rPr>
              <w:t>Ustanowienie cykli przeglądu wniosków z pomiarów (efektów działań uczelni, w tym działań doskonalących) oraz pozyskiwania informacji zwrotnej (od interesariuszy)</w:t>
            </w:r>
          </w:p>
        </w:tc>
        <w:tc>
          <w:tcPr>
            <w:tcW w:w="5499" w:type="dxa"/>
          </w:tcPr>
          <w:p w14:paraId="5E107998" w14:textId="5993B5D9" w:rsidR="00391396" w:rsidRDefault="00391396" w:rsidP="00391396">
            <w:pPr>
              <w:pStyle w:val="TekstTabeli"/>
              <w:rPr>
                <w:lang w:val="pl-PL"/>
              </w:rPr>
            </w:pPr>
            <w:r w:rsidRPr="00A20CD0">
              <w:rPr>
                <w:lang w:val="pl-PL"/>
              </w:rPr>
              <w:t>4.4.1 „Organizacja powinna ustanowić, wdrożyć, utrzymywać i</w:t>
            </w:r>
            <w:r w:rsidR="00854B9B">
              <w:rPr>
                <w:lang w:val="pl-PL"/>
              </w:rPr>
              <w:t> </w:t>
            </w:r>
            <w:r w:rsidRPr="00A20CD0">
              <w:rPr>
                <w:u w:val="single"/>
                <w:lang w:val="pl-PL"/>
              </w:rPr>
              <w:t>nieustannie doskonalić</w:t>
            </w:r>
            <w:r w:rsidRPr="00A20CD0">
              <w:rPr>
                <w:lang w:val="pl-PL"/>
              </w:rPr>
              <w:t xml:space="preserve"> SZOE, w tym podstawowe procesy i</w:t>
            </w:r>
            <w:r w:rsidR="00845D13">
              <w:rPr>
                <w:lang w:val="pl-PL"/>
              </w:rPr>
              <w:t> </w:t>
            </w:r>
            <w:r w:rsidRPr="00A20CD0">
              <w:rPr>
                <w:lang w:val="pl-PL"/>
              </w:rPr>
              <w:t>ich wzajemne oddziaływania (…). Organizacja powinna (…): c) określić i zastosować kryteria oraz metody (włączając monitorowanie, pomiar i powiązane wskaźniki efektywności) potrzebne do zapewnienia skutecznego działania i kontroli tych procesów;</w:t>
            </w:r>
            <w:r>
              <w:rPr>
                <w:lang w:val="pl-PL"/>
              </w:rPr>
              <w:t xml:space="preserve"> </w:t>
            </w:r>
            <w:r w:rsidRPr="00A20CD0">
              <w:rPr>
                <w:lang w:val="pl-PL"/>
              </w:rPr>
              <w:t>g)</w:t>
            </w:r>
            <w:r w:rsidR="00C73791">
              <w:rPr>
                <w:lang w:val="pl-PL"/>
              </w:rPr>
              <w:t> </w:t>
            </w:r>
            <w:r w:rsidRPr="00A20CD0">
              <w:rPr>
                <w:lang w:val="pl-PL"/>
              </w:rPr>
              <w:t>ocenić te</w:t>
            </w:r>
            <w:r w:rsidR="00854B9B">
              <w:rPr>
                <w:lang w:val="pl-PL"/>
              </w:rPr>
              <w:t> </w:t>
            </w:r>
            <w:r w:rsidRPr="00A20CD0">
              <w:rPr>
                <w:lang w:val="pl-PL"/>
              </w:rPr>
              <w:t>procesy i wdrożyć wszelkie zmiany potrzebne do zapewnienia, że</w:t>
            </w:r>
            <w:r w:rsidR="00854B9B">
              <w:rPr>
                <w:lang w:val="pl-PL"/>
              </w:rPr>
              <w:t> </w:t>
            </w:r>
            <w:r w:rsidRPr="00A20CD0">
              <w:rPr>
                <w:lang w:val="pl-PL"/>
              </w:rPr>
              <w:t>procesy te osiągną zamierzone rezultaty;</w:t>
            </w:r>
            <w:r>
              <w:rPr>
                <w:lang w:val="pl-PL"/>
              </w:rPr>
              <w:t xml:space="preserve"> </w:t>
            </w:r>
            <w:r w:rsidRPr="007031FB">
              <w:rPr>
                <w:lang w:val="pl-PL"/>
              </w:rPr>
              <w:t>h) doskonalić procesy i</w:t>
            </w:r>
            <w:r w:rsidR="00854B9B">
              <w:rPr>
                <w:lang w:val="pl-PL"/>
              </w:rPr>
              <w:t> </w:t>
            </w:r>
            <w:r w:rsidRPr="007031FB">
              <w:rPr>
                <w:lang w:val="pl-PL"/>
              </w:rPr>
              <w:t>EOMS</w:t>
            </w:r>
            <w:r>
              <w:rPr>
                <w:lang w:val="pl-PL"/>
              </w:rPr>
              <w:t>”.</w:t>
            </w:r>
          </w:p>
          <w:p w14:paraId="7C5429A6" w14:textId="305224FA" w:rsidR="00391396" w:rsidRPr="007031FB" w:rsidRDefault="00391396" w:rsidP="00391396">
            <w:pPr>
              <w:pStyle w:val="TekstTabeli"/>
              <w:rPr>
                <w:lang w:val="pl-PL"/>
              </w:rPr>
            </w:pPr>
            <w:r>
              <w:rPr>
                <w:lang w:val="pl-PL"/>
              </w:rPr>
              <w:t>10.3 c) „</w:t>
            </w:r>
            <w:r w:rsidRPr="00425891">
              <w:rPr>
                <w:lang w:val="pl-PL"/>
              </w:rPr>
              <w:t xml:space="preserve">poprawianie wydajności i skuteczności </w:t>
            </w:r>
            <w:r>
              <w:rPr>
                <w:lang w:val="pl-PL"/>
              </w:rPr>
              <w:t>SZOE”.</w:t>
            </w:r>
          </w:p>
        </w:tc>
      </w:tr>
      <w:tr w:rsidR="00845D13" w:rsidRPr="004638FA" w14:paraId="49D63FBF" w14:textId="43CECE0D" w:rsidTr="00854B9B">
        <w:trPr>
          <w:cantSplit/>
        </w:trPr>
        <w:tc>
          <w:tcPr>
            <w:tcW w:w="3572" w:type="dxa"/>
          </w:tcPr>
          <w:p w14:paraId="47EC2863" w14:textId="4FCEEAA6" w:rsidR="00391396" w:rsidRPr="004638FA" w:rsidRDefault="00391396" w:rsidP="00391396">
            <w:pPr>
              <w:pStyle w:val="TekstTabeli"/>
              <w:rPr>
                <w:lang w:val="pl-PL"/>
              </w:rPr>
            </w:pPr>
            <w:r>
              <w:rPr>
                <w:lang w:val="pl-PL"/>
              </w:rPr>
              <w:t xml:space="preserve">9.4 </w:t>
            </w:r>
            <w:r w:rsidRPr="004638FA">
              <w:rPr>
                <w:lang w:val="pl-PL"/>
              </w:rPr>
              <w:t>Ustanowienie cykli regularnej analizy (kolejnych) obszarów do poprawy oraz wdrażania zmian</w:t>
            </w:r>
          </w:p>
        </w:tc>
        <w:tc>
          <w:tcPr>
            <w:tcW w:w="5499" w:type="dxa"/>
          </w:tcPr>
          <w:p w14:paraId="6FC38F3A" w14:textId="25011E86" w:rsidR="00391396" w:rsidRPr="004638FA" w:rsidRDefault="00391396" w:rsidP="00391396">
            <w:pPr>
              <w:pStyle w:val="TekstTabeli"/>
              <w:rPr>
                <w:lang w:val="pl-PL"/>
              </w:rPr>
            </w:pPr>
            <w:r>
              <w:rPr>
                <w:lang w:val="pl-PL"/>
              </w:rPr>
              <w:t xml:space="preserve">Nie wprost, np.: </w:t>
            </w:r>
            <w:r w:rsidRPr="00FB2A12">
              <w:rPr>
                <w:lang w:val="pl-PL"/>
              </w:rPr>
              <w:t xml:space="preserve">7.1.5.2 </w:t>
            </w:r>
            <w:r>
              <w:rPr>
                <w:lang w:val="pl-PL"/>
              </w:rPr>
              <w:t>Przejrzystość</w:t>
            </w:r>
            <w:r w:rsidRPr="00FB2A12">
              <w:rPr>
                <w:lang w:val="pl-PL"/>
              </w:rPr>
              <w:t xml:space="preserve"> pomiarów</w:t>
            </w:r>
            <w:r>
              <w:rPr>
                <w:lang w:val="pl-PL"/>
              </w:rPr>
              <w:t xml:space="preserve"> „</w:t>
            </w:r>
            <w:r w:rsidRPr="008A691B">
              <w:rPr>
                <w:lang w:val="pl-PL"/>
              </w:rPr>
              <w:t xml:space="preserve">Kiedy śledzenie pomiarów jest </w:t>
            </w:r>
            <w:r>
              <w:rPr>
                <w:lang w:val="pl-PL"/>
              </w:rPr>
              <w:t>(…)</w:t>
            </w:r>
            <w:r w:rsidRPr="008A691B">
              <w:rPr>
                <w:lang w:val="pl-PL"/>
              </w:rPr>
              <w:t xml:space="preserve"> uznane przez organizację za istotną część zapewnienia wiarygodności wyników pomiarów, </w:t>
            </w:r>
            <w:r>
              <w:rPr>
                <w:lang w:val="pl-PL"/>
              </w:rPr>
              <w:t xml:space="preserve">pomiary zasobów </w:t>
            </w:r>
            <w:r w:rsidRPr="008A691B">
              <w:rPr>
                <w:lang w:val="pl-PL"/>
              </w:rPr>
              <w:t xml:space="preserve">powinny być: </w:t>
            </w:r>
            <w:r>
              <w:rPr>
                <w:lang w:val="pl-PL"/>
              </w:rPr>
              <w:t>(…) [wykonywane]</w:t>
            </w:r>
            <w:r w:rsidRPr="008A691B">
              <w:rPr>
                <w:lang w:val="pl-PL"/>
              </w:rPr>
              <w:t xml:space="preserve"> </w:t>
            </w:r>
            <w:r w:rsidRPr="008A691B">
              <w:rPr>
                <w:u w:val="single"/>
                <w:lang w:val="pl-PL"/>
              </w:rPr>
              <w:t>w</w:t>
            </w:r>
            <w:r w:rsidR="00845D13">
              <w:rPr>
                <w:u w:val="single"/>
                <w:lang w:val="pl-PL"/>
              </w:rPr>
              <w:t> </w:t>
            </w:r>
            <w:r w:rsidRPr="008A691B">
              <w:rPr>
                <w:u w:val="single"/>
                <w:lang w:val="pl-PL"/>
              </w:rPr>
              <w:t>określonych odstępach czasu</w:t>
            </w:r>
            <w:r>
              <w:rPr>
                <w:lang w:val="pl-PL"/>
              </w:rPr>
              <w:t>”. Wykonywanie różnych czynności w ustalonych cyklach pojawia się przy wielu aspektach doskonalenia systemy zarządzania zgodnie z</w:t>
            </w:r>
            <w:r w:rsidR="00845D13">
              <w:rPr>
                <w:lang w:val="pl-PL"/>
              </w:rPr>
              <w:t> </w:t>
            </w:r>
            <w:r>
              <w:rPr>
                <w:lang w:val="pl-PL"/>
              </w:rPr>
              <w:t>ISO</w:t>
            </w:r>
            <w:r w:rsidR="00845D13">
              <w:rPr>
                <w:lang w:val="pl-PL"/>
              </w:rPr>
              <w:t> </w:t>
            </w:r>
            <w:r>
              <w:rPr>
                <w:lang w:val="pl-PL"/>
              </w:rPr>
              <w:t>21001.</w:t>
            </w:r>
          </w:p>
        </w:tc>
      </w:tr>
      <w:tr w:rsidR="00845D13" w:rsidRPr="004638FA" w14:paraId="48134C07" w14:textId="3C5AA15A" w:rsidTr="00854B9B">
        <w:trPr>
          <w:cantSplit/>
        </w:trPr>
        <w:tc>
          <w:tcPr>
            <w:tcW w:w="3572" w:type="dxa"/>
          </w:tcPr>
          <w:p w14:paraId="3B585DCD" w14:textId="568A3268" w:rsidR="00391396" w:rsidRPr="004638FA" w:rsidRDefault="00391396" w:rsidP="00391396">
            <w:pPr>
              <w:pStyle w:val="TekstTabeli"/>
              <w:rPr>
                <w:lang w:val="pl-PL"/>
              </w:rPr>
            </w:pPr>
            <w:r>
              <w:rPr>
                <w:lang w:val="pl-PL"/>
              </w:rPr>
              <w:t xml:space="preserve">9.5 </w:t>
            </w:r>
            <w:r w:rsidRPr="004638FA">
              <w:rPr>
                <w:lang w:val="pl-PL"/>
              </w:rPr>
              <w:t>Zaplanowanie sposobów na świętowanie sukcesów w ramach organizacji (w zakresie wybranych spośród najistotniejszych wskaźników efektów działań, np. osiągnięcia wzrostu poziomu satysfakcji interesariuszy, tak by wzmocnić zaangażowanie społeczności uczelni w udzielanie informacji zwrotniej oraz podejmowanie działań doskonalących)</w:t>
            </w:r>
          </w:p>
        </w:tc>
        <w:tc>
          <w:tcPr>
            <w:tcW w:w="5499" w:type="dxa"/>
          </w:tcPr>
          <w:p w14:paraId="51B21D88" w14:textId="26402EB5" w:rsidR="00391396" w:rsidRDefault="00391396" w:rsidP="00391396">
            <w:pPr>
              <w:pStyle w:val="TekstTabeli"/>
              <w:rPr>
                <w:lang w:val="pl-PL"/>
              </w:rPr>
            </w:pPr>
            <w:r>
              <w:rPr>
                <w:lang w:val="pl-PL"/>
              </w:rPr>
              <w:t>Nie wprost: „</w:t>
            </w:r>
            <w:r w:rsidRPr="00CA2075">
              <w:rPr>
                <w:lang w:val="pl-PL"/>
              </w:rPr>
              <w:t xml:space="preserve">7.1.4 Środowisko pracy. Organizacja </w:t>
            </w:r>
            <w:r>
              <w:rPr>
                <w:lang w:val="pl-PL"/>
              </w:rPr>
              <w:t>powinna</w:t>
            </w:r>
            <w:r w:rsidRPr="00CA2075">
              <w:rPr>
                <w:lang w:val="pl-PL"/>
              </w:rPr>
              <w:t xml:space="preserve"> określić, </w:t>
            </w:r>
            <w:r>
              <w:rPr>
                <w:lang w:val="pl-PL"/>
              </w:rPr>
              <w:t>zapewnić</w:t>
            </w:r>
            <w:r w:rsidRPr="00CA2075">
              <w:rPr>
                <w:lang w:val="pl-PL"/>
              </w:rPr>
              <w:t xml:space="preserve"> i utrzymać środowisko </w:t>
            </w:r>
            <w:r>
              <w:rPr>
                <w:lang w:val="pl-PL"/>
              </w:rPr>
              <w:t>(warunki)</w:t>
            </w:r>
            <w:r w:rsidRPr="00CA2075">
              <w:rPr>
                <w:lang w:val="pl-PL"/>
              </w:rPr>
              <w:t xml:space="preserve"> niezbędne do </w:t>
            </w:r>
            <w:r>
              <w:rPr>
                <w:lang w:val="pl-PL"/>
              </w:rPr>
              <w:t>wspierania szeroko pojętego dobra interesariuszy (</w:t>
            </w:r>
            <w:proofErr w:type="spellStart"/>
            <w:r w:rsidRPr="00CA2075">
              <w:rPr>
                <w:i/>
                <w:iCs/>
                <w:lang w:val="pl-PL"/>
              </w:rPr>
              <w:t>overall</w:t>
            </w:r>
            <w:proofErr w:type="spellEnd"/>
            <w:r w:rsidRPr="00CA2075">
              <w:rPr>
                <w:i/>
                <w:iCs/>
                <w:lang w:val="pl-PL"/>
              </w:rPr>
              <w:t xml:space="preserve"> </w:t>
            </w:r>
            <w:proofErr w:type="spellStart"/>
            <w:r w:rsidRPr="00CA2075">
              <w:rPr>
                <w:i/>
                <w:iCs/>
                <w:lang w:val="pl-PL"/>
              </w:rPr>
              <w:t>wellbeing</w:t>
            </w:r>
            <w:proofErr w:type="spellEnd"/>
            <w:r>
              <w:rPr>
                <w:lang w:val="pl-PL"/>
              </w:rPr>
              <w:t>) poprzez uwzględnienie: a)</w:t>
            </w:r>
            <w:r w:rsidR="00C73791">
              <w:rPr>
                <w:lang w:val="pl-PL"/>
              </w:rPr>
              <w:t> </w:t>
            </w:r>
            <w:r>
              <w:rPr>
                <w:lang w:val="pl-PL"/>
              </w:rPr>
              <w:t>czynników psychospołecznych; b) czynników fizycznych;”</w:t>
            </w:r>
            <w:r w:rsidR="00C73791">
              <w:rPr>
                <w:lang w:val="pl-PL"/>
              </w:rPr>
              <w:t xml:space="preserve"> </w:t>
            </w:r>
            <w:r w:rsidR="00C73791">
              <w:rPr>
                <w:lang w:val="pl-PL"/>
              </w:rPr>
              <w:br/>
            </w:r>
            <w:r>
              <w:rPr>
                <w:lang w:val="pl-PL"/>
              </w:rPr>
              <w:t>Nota 1 wśród czynników psychospołecznych wymienia m. in. nagrody, wsparcie przełożonych i satysfakcję z pracy.</w:t>
            </w:r>
          </w:p>
          <w:p w14:paraId="7BECC824" w14:textId="069453B8" w:rsidR="00391396" w:rsidRPr="003E4F6B" w:rsidRDefault="00391396" w:rsidP="00391396">
            <w:pPr>
              <w:pStyle w:val="TekstTabeli"/>
              <w:rPr>
                <w:lang w:val="pl-PL"/>
              </w:rPr>
            </w:pPr>
            <w:r w:rsidRPr="003E4F6B">
              <w:rPr>
                <w:lang w:val="pl-PL"/>
              </w:rPr>
              <w:t>Załącznik B.2. Wizjonerskie przywództwo B.2.4 Możliwe działania „(…)</w:t>
            </w:r>
            <w:r w:rsidRPr="000518F8">
              <w:rPr>
                <w:lang w:val="pl-PL"/>
              </w:rPr>
              <w:t xml:space="preserve"> inspirowanie, zachęcanie I docenianie wkładu ludzi;”</w:t>
            </w:r>
          </w:p>
        </w:tc>
      </w:tr>
      <w:tr w:rsidR="00845D13" w:rsidRPr="004638FA" w14:paraId="0804ECFF" w14:textId="45C71419" w:rsidTr="00854B9B">
        <w:trPr>
          <w:cantSplit/>
        </w:trPr>
        <w:tc>
          <w:tcPr>
            <w:tcW w:w="3572" w:type="dxa"/>
          </w:tcPr>
          <w:p w14:paraId="2758781E" w14:textId="44AADF73" w:rsidR="00391396" w:rsidRPr="004638FA" w:rsidRDefault="00391396" w:rsidP="00391396">
            <w:pPr>
              <w:pStyle w:val="TekstTabeli"/>
              <w:rPr>
                <w:lang w:val="pl-PL"/>
              </w:rPr>
            </w:pPr>
            <w:r>
              <w:rPr>
                <w:lang w:val="pl-PL"/>
              </w:rPr>
              <w:t xml:space="preserve">9.6 </w:t>
            </w:r>
            <w:r w:rsidRPr="004638FA">
              <w:rPr>
                <w:lang w:val="pl-PL"/>
              </w:rPr>
              <w:t>Ustanowienie sposobów transparentnego gromadzenia wiedzy (w zakresie działań doskonalących)</w:t>
            </w:r>
          </w:p>
        </w:tc>
        <w:tc>
          <w:tcPr>
            <w:tcW w:w="5499" w:type="dxa"/>
          </w:tcPr>
          <w:p w14:paraId="7EEF74E9" w14:textId="4C9E788E" w:rsidR="00391396" w:rsidRDefault="00391396" w:rsidP="00391396">
            <w:pPr>
              <w:pStyle w:val="TekstTabeli"/>
              <w:rPr>
                <w:lang w:val="pl-PL"/>
              </w:rPr>
            </w:pPr>
            <w:r w:rsidRPr="007031FB">
              <w:rPr>
                <w:lang w:val="pl-PL"/>
              </w:rPr>
              <w:t>4.4.2 W wymaganym zakresie organizacja powinna: a)</w:t>
            </w:r>
            <w:r w:rsidR="00C73791">
              <w:rPr>
                <w:lang w:val="pl-PL"/>
              </w:rPr>
              <w:t> </w:t>
            </w:r>
            <w:r w:rsidRPr="007031FB">
              <w:rPr>
                <w:lang w:val="pl-PL"/>
              </w:rPr>
              <w:t xml:space="preserve">utrzymywać udokumentowaną informację, aby wspierać działanie jej procesów; b) zachowywać udokumentowaną informację, aby mieć pewność, że procesy są realizowane zgodnie z planem. </w:t>
            </w:r>
          </w:p>
          <w:p w14:paraId="73C1BD1A" w14:textId="00BD4770" w:rsidR="00391396" w:rsidRDefault="00391396" w:rsidP="00391396">
            <w:pPr>
              <w:pStyle w:val="TekstTabeli"/>
              <w:rPr>
                <w:lang w:val="pl-PL"/>
              </w:rPr>
            </w:pPr>
            <w:r w:rsidRPr="007031FB">
              <w:rPr>
                <w:lang w:val="pl-PL"/>
              </w:rPr>
              <w:t>5.3 Role, odpowiedzialność i władza w organizacji „Najwyższe kierownictwo powinno przydzielić odpowiedzialność i</w:t>
            </w:r>
            <w:r w:rsidR="00845D13">
              <w:rPr>
                <w:lang w:val="pl-PL"/>
              </w:rPr>
              <w:t> </w:t>
            </w:r>
            <w:r w:rsidRPr="007031FB">
              <w:rPr>
                <w:lang w:val="pl-PL"/>
              </w:rPr>
              <w:t>władzę do: (…) raportowania o wynikach (…) i szansach na usprawnienia do najwyższego kierownictwa”</w:t>
            </w:r>
          </w:p>
          <w:p w14:paraId="607FAC52" w14:textId="02A70918" w:rsidR="00391396" w:rsidRPr="007031FB" w:rsidRDefault="00391396" w:rsidP="00391396">
            <w:pPr>
              <w:pStyle w:val="TekstTabeli"/>
              <w:rPr>
                <w:lang w:val="pl-PL"/>
              </w:rPr>
            </w:pPr>
            <w:r>
              <w:rPr>
                <w:lang w:val="pl-PL"/>
              </w:rPr>
              <w:t>7.1.6 Wiedza organizacyjna 7.1.6.1 Ogólne „(…) wiedza powinna być utrzymywana i udostępniana w wymaganym zakresie”</w:t>
            </w:r>
          </w:p>
          <w:p w14:paraId="015AE937" w14:textId="740BDA2C" w:rsidR="00391396" w:rsidRPr="00E911AB" w:rsidRDefault="00391396" w:rsidP="00391396">
            <w:pPr>
              <w:pStyle w:val="TekstTabeli"/>
              <w:rPr>
                <w:lang w:val="pl-PL"/>
              </w:rPr>
            </w:pPr>
            <w:r w:rsidRPr="007031FB">
              <w:rPr>
                <w:lang w:val="pl-PL"/>
              </w:rPr>
              <w:t>Nie wprost: 10.1.2 „Organizacja musi zachować udokumentowane informacje jako dowód: a) charakteru niezgodności i</w:t>
            </w:r>
            <w:r w:rsidR="00845D13">
              <w:rPr>
                <w:lang w:val="pl-PL"/>
              </w:rPr>
              <w:t> </w:t>
            </w:r>
            <w:r w:rsidRPr="007031FB">
              <w:rPr>
                <w:lang w:val="pl-PL"/>
              </w:rPr>
              <w:t>wszelkich podjętych działań; b) wyników jakichkolwiek działań korygujących.”</w:t>
            </w:r>
          </w:p>
        </w:tc>
      </w:tr>
      <w:tr w:rsidR="00845D13" w:rsidRPr="004638FA" w14:paraId="0BB36BBD" w14:textId="17B18633" w:rsidTr="00854B9B">
        <w:trPr>
          <w:cantSplit/>
        </w:trPr>
        <w:tc>
          <w:tcPr>
            <w:tcW w:w="3572" w:type="dxa"/>
          </w:tcPr>
          <w:p w14:paraId="40049ACC" w14:textId="30E282B3" w:rsidR="00391396" w:rsidRPr="004638FA" w:rsidRDefault="00391396" w:rsidP="00391396">
            <w:pPr>
              <w:pStyle w:val="TekstTabeli"/>
              <w:rPr>
                <w:lang w:val="pl-PL"/>
              </w:rPr>
            </w:pPr>
            <w:r>
              <w:rPr>
                <w:lang w:val="pl-PL"/>
              </w:rPr>
              <w:t xml:space="preserve">9.7 </w:t>
            </w:r>
            <w:r w:rsidRPr="004638FA">
              <w:rPr>
                <w:lang w:val="pl-PL"/>
              </w:rPr>
              <w:t>Ustanowienie regularnych przeglądów (np.</w:t>
            </w:r>
            <w:r w:rsidR="00845D13">
              <w:rPr>
                <w:lang w:val="pl-PL"/>
              </w:rPr>
              <w:t> </w:t>
            </w:r>
            <w:r w:rsidRPr="004638FA">
              <w:rPr>
                <w:lang w:val="pl-PL"/>
              </w:rPr>
              <w:t xml:space="preserve">retrospektywy) procesu ciągłego doskonalenia </w:t>
            </w:r>
          </w:p>
        </w:tc>
        <w:tc>
          <w:tcPr>
            <w:tcW w:w="5499" w:type="dxa"/>
          </w:tcPr>
          <w:p w14:paraId="5054F491" w14:textId="6018DE2D" w:rsidR="00391396" w:rsidRPr="00A20CD0" w:rsidRDefault="00391396" w:rsidP="00391396">
            <w:pPr>
              <w:pStyle w:val="TekstTabeli"/>
              <w:rPr>
                <w:lang w:val="pl-PL"/>
              </w:rPr>
            </w:pPr>
            <w:r w:rsidRPr="00A20CD0">
              <w:rPr>
                <w:lang w:val="pl-PL"/>
              </w:rPr>
              <w:t>4.4.1 „Organizacja powinna (…): h) doskonalić procesy i</w:t>
            </w:r>
            <w:r w:rsidR="00C73791">
              <w:rPr>
                <w:lang w:val="pl-PL"/>
              </w:rPr>
              <w:t> </w:t>
            </w:r>
            <w:r w:rsidRPr="00A20CD0">
              <w:rPr>
                <w:lang w:val="pl-PL"/>
              </w:rPr>
              <w:t>ZSOE</w:t>
            </w:r>
            <w:r>
              <w:rPr>
                <w:lang w:val="pl-PL"/>
              </w:rPr>
              <w:t>”</w:t>
            </w:r>
            <w:r w:rsidRPr="00A20CD0">
              <w:rPr>
                <w:lang w:val="pl-PL"/>
              </w:rPr>
              <w:t>.</w:t>
            </w:r>
          </w:p>
          <w:p w14:paraId="1076143E" w14:textId="0B9B4D00" w:rsidR="00391396" w:rsidRPr="00A20CD0" w:rsidRDefault="00391396" w:rsidP="00391396">
            <w:pPr>
              <w:pStyle w:val="TekstTabeli"/>
              <w:rPr>
                <w:lang w:val="pl-PL"/>
              </w:rPr>
            </w:pPr>
            <w:r w:rsidRPr="00A20CD0">
              <w:rPr>
                <w:lang w:val="pl-PL"/>
              </w:rPr>
              <w:t>9.3 Przegląd zarządzania 9.3.1 Ogólne „Najwyższe kierownictwo powinno dokonywać przeglądu [systemu zarządzania] organizacji oraz strategii w zaplanowanych odstępach czasu, co najmniej raz w roku, i aktualizować je odpowiednio, aby zapewnić ich ciągłą adekwatność, wystarczalność i efektywność.”</w:t>
            </w:r>
          </w:p>
        </w:tc>
      </w:tr>
      <w:tr w:rsidR="00845D13" w:rsidRPr="004638FA" w14:paraId="0BEED38D" w14:textId="1CF358F8" w:rsidTr="00854B9B">
        <w:trPr>
          <w:cantSplit/>
        </w:trPr>
        <w:tc>
          <w:tcPr>
            <w:tcW w:w="3572" w:type="dxa"/>
          </w:tcPr>
          <w:p w14:paraId="7D38ED26" w14:textId="62EDD88A" w:rsidR="00391396" w:rsidRPr="004638FA" w:rsidRDefault="00391396" w:rsidP="00391396">
            <w:pPr>
              <w:pStyle w:val="TekstTabeli"/>
              <w:keepNext/>
              <w:rPr>
                <w:lang w:val="pl-PL"/>
              </w:rPr>
            </w:pPr>
            <w:r>
              <w:rPr>
                <w:lang w:val="pl-PL"/>
              </w:rPr>
              <w:lastRenderedPageBreak/>
              <w:t xml:space="preserve">9.8 </w:t>
            </w:r>
            <w:r w:rsidRPr="004638FA">
              <w:rPr>
                <w:lang w:val="pl-PL"/>
              </w:rPr>
              <w:t>Regularne wdrażanie usprawnień (potrzebnych modyfikacji) procesu ciągłego doskonalenia.</w:t>
            </w:r>
          </w:p>
        </w:tc>
        <w:tc>
          <w:tcPr>
            <w:tcW w:w="5499" w:type="dxa"/>
          </w:tcPr>
          <w:p w14:paraId="3E72621B" w14:textId="4B3C36D1" w:rsidR="00391396" w:rsidRDefault="00391396" w:rsidP="00391396">
            <w:pPr>
              <w:pStyle w:val="TekstTabeli"/>
              <w:keepNext/>
              <w:rPr>
                <w:lang w:val="pl-PL"/>
              </w:rPr>
            </w:pPr>
            <w:r w:rsidRPr="00A20CD0">
              <w:rPr>
                <w:lang w:val="pl-PL"/>
              </w:rPr>
              <w:t xml:space="preserve">4.4.1 „(…) Organizacja powinna </w:t>
            </w:r>
            <w:r>
              <w:rPr>
                <w:lang w:val="pl-PL"/>
              </w:rPr>
              <w:t>(…)</w:t>
            </w:r>
            <w:r w:rsidRPr="00A20CD0">
              <w:rPr>
                <w:lang w:val="pl-PL"/>
              </w:rPr>
              <w:t xml:space="preserve"> wdrożyć wszelkie zmiany potrzebne do zapewnienia, że procesy te osiągną zamierzone rezultaty</w:t>
            </w:r>
            <w:r>
              <w:rPr>
                <w:lang w:val="pl-PL"/>
              </w:rPr>
              <w:t>”.</w:t>
            </w:r>
          </w:p>
          <w:p w14:paraId="3EA8D409" w14:textId="29754536" w:rsidR="00391396" w:rsidRPr="004638FA" w:rsidRDefault="00391396" w:rsidP="00391396">
            <w:pPr>
              <w:pStyle w:val="TekstTabeli"/>
              <w:keepNext/>
              <w:rPr>
                <w:lang w:val="pl-PL"/>
              </w:rPr>
            </w:pPr>
            <w:r>
              <w:rPr>
                <w:lang w:val="pl-PL"/>
              </w:rPr>
              <w:t>10.3 Szanse na doskonalenie „</w:t>
            </w:r>
            <w:r w:rsidRPr="00DE1CAF">
              <w:rPr>
                <w:lang w:val="pl-PL"/>
              </w:rPr>
              <w:t xml:space="preserve">Organizacja powinna określić i wybrać możliwości poprawy oraz wdrożyć wszelkie niezbędne działania, aby sprostać wymaganiom (…) [interesariuszy], zwiększyć ich satysfakcję, (…) </w:t>
            </w:r>
            <w:r w:rsidRPr="00A90264">
              <w:rPr>
                <w:lang w:val="pl-PL"/>
              </w:rPr>
              <w:t>[w tym]: a)</w:t>
            </w:r>
            <w:r w:rsidR="00845D13">
              <w:rPr>
                <w:lang w:val="pl-PL"/>
              </w:rPr>
              <w:t> </w:t>
            </w:r>
            <w:r w:rsidRPr="00A90264">
              <w:rPr>
                <w:lang w:val="pl-PL"/>
              </w:rPr>
              <w:t>poprawianie produktów i</w:t>
            </w:r>
            <w:r w:rsidR="00854B9B">
              <w:rPr>
                <w:lang w:val="pl-PL"/>
              </w:rPr>
              <w:t> </w:t>
            </w:r>
            <w:r w:rsidRPr="00A90264">
              <w:rPr>
                <w:lang w:val="pl-PL"/>
              </w:rPr>
              <w:t>usług, aby spełnić wymagania oraz sprostać przyszłym potrzebom i oczekiwaniom; b) korygowanie, zapobieganie lub zmniejszanie niepożądanych efektów;</w:t>
            </w:r>
            <w:r>
              <w:rPr>
                <w:lang w:val="pl-PL"/>
              </w:rPr>
              <w:t xml:space="preserve"> </w:t>
            </w:r>
            <w:r w:rsidRPr="00425891">
              <w:rPr>
                <w:lang w:val="pl-PL"/>
              </w:rPr>
              <w:t>c) poprawianie wydajności i</w:t>
            </w:r>
            <w:r w:rsidR="00854B9B">
              <w:rPr>
                <w:lang w:val="pl-PL"/>
              </w:rPr>
              <w:t> </w:t>
            </w:r>
            <w:r w:rsidRPr="00425891">
              <w:rPr>
                <w:lang w:val="pl-PL"/>
              </w:rPr>
              <w:t xml:space="preserve">skuteczności </w:t>
            </w:r>
            <w:r>
              <w:rPr>
                <w:lang w:val="pl-PL"/>
              </w:rPr>
              <w:t>SZOE</w:t>
            </w:r>
            <w:r w:rsidRPr="00425891">
              <w:rPr>
                <w:lang w:val="pl-PL"/>
              </w:rPr>
              <w:t>.</w:t>
            </w:r>
            <w:r>
              <w:rPr>
                <w:lang w:val="pl-PL"/>
              </w:rPr>
              <w:t>”</w:t>
            </w:r>
          </w:p>
        </w:tc>
      </w:tr>
    </w:tbl>
    <w:p w14:paraId="0036DCBA" w14:textId="75F3195C" w:rsidR="004638FA" w:rsidRPr="00DE1CAF" w:rsidRDefault="00DE1CAF" w:rsidP="00DE1CAF">
      <w:pPr>
        <w:pStyle w:val="rdo"/>
      </w:pPr>
      <w:r w:rsidRPr="00DE1CAF">
        <w:t xml:space="preserve">Źródło: opracowanie własne na podstawie </w:t>
      </w:r>
      <w:r w:rsidRPr="00DE1CAF">
        <w:fldChar w:fldCharType="begin" w:fldLock="1"/>
      </w:r>
      <w:r w:rsidRPr="00DE1CAF">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2018)","manualFormatting":"(ISO 21001:2018)","plainTextFormattedCitation":"(ISO 21001, 2018)","previouslyFormattedCitation":"(ISO 21001, 2018)"},"properties":{"noteIndex":0},"schema":"https://github.com/citation-style-language/schema/raw/master/csl-citation.json"}</w:instrText>
      </w:r>
      <w:r w:rsidRPr="00DE1CAF">
        <w:fldChar w:fldCharType="separate"/>
      </w:r>
      <w:r w:rsidRPr="00DE1CAF">
        <w:rPr>
          <w:noProof/>
        </w:rPr>
        <w:t>(ISO 21001:2018)</w:t>
      </w:r>
      <w:r w:rsidRPr="00DE1CAF">
        <w:fldChar w:fldCharType="end"/>
      </w:r>
    </w:p>
    <w:p w14:paraId="71E83864" w14:textId="1FDCA803" w:rsidR="000C72D7" w:rsidRDefault="006E5AF0" w:rsidP="00C143B6">
      <w:r w:rsidRPr="006E5AF0">
        <w:t xml:space="preserve">Spośród </w:t>
      </w:r>
      <w:r>
        <w:t>zaprezentowanych w tabeli po</w:t>
      </w:r>
      <w:r>
        <w:fldChar w:fldCharType="begin"/>
      </w:r>
      <w:r>
        <w:instrText xml:space="preserve"> REF _Ref162710653 \p \h </w:instrText>
      </w:r>
      <w:r>
        <w:fldChar w:fldCharType="separate"/>
      </w:r>
      <w:r w:rsidR="009E351C">
        <w:t>wyżej</w:t>
      </w:r>
      <w:r>
        <w:fldChar w:fldCharType="end"/>
      </w:r>
      <w:r>
        <w:t xml:space="preserve"> (</w:t>
      </w:r>
      <w:r>
        <w:fldChar w:fldCharType="begin"/>
      </w:r>
      <w:r>
        <w:instrText xml:space="preserve"> REF _Ref162710660 \h </w:instrText>
      </w:r>
      <w:r>
        <w:fldChar w:fldCharType="separate"/>
      </w:r>
      <w:r w:rsidR="009E351C">
        <w:t xml:space="preserve">Tabela </w:t>
      </w:r>
      <w:r w:rsidR="009E351C">
        <w:rPr>
          <w:noProof/>
        </w:rPr>
        <w:t>77</w:t>
      </w:r>
      <w:r>
        <w:fldChar w:fldCharType="end"/>
      </w:r>
      <w:r>
        <w:t xml:space="preserve">) </w:t>
      </w:r>
      <w:r w:rsidRPr="006E5AF0">
        <w:t>przeanalizowanych 65. kroków modelu SSDQM</w:t>
      </w:r>
      <w:r>
        <w:t xml:space="preserve"> tylko dla 17. nie znaleziono bezpośrednich odniesień wśród wymagań normy ISO 21001:2018. Kroki te należą jedynie do etapów głównych 5., 6. i 7. W ramach etapu 5. Są to kroki 5.3 i 5.4, które dotyczą szczegółów weryfikacji narzędzia pomiarowego w formie kwestionariusz badania ankietowego (pilotaż) i wdrażania do niego ewentualnych zmian. W ramach etapu 6. dotyczy to opisu punktu głównego, czyli wyboru obszarów do doskonalenia, gdyż w tekście Normy nie ma odniesień to tego zagadnienia lecz jedynie jest wspomniane, by wdrażać wszelkie niezbędne usprawnienia. W samym tym stwierdzeniu jest zawart</w:t>
      </w:r>
      <w:r w:rsidR="008402C8">
        <w:t xml:space="preserve">e założenie, że nie wszystkie pomysły na poprawę muszą być niezbędne do wdrożenia. A zatem można stwierdzić, że etap ten stanowi bardziej szczegółowe rozwinięcie wskazówek Normy. Podobnie kroki w ramach 7. etapu głównego nie mające bezpośrednich odniesień do wymagań Normy również dotyczą szczegółowych kroków (wskazówek) odnośnie do procesu implementacji zmian. W związku z tym również mogą one być uznane za </w:t>
      </w:r>
      <w:r w:rsidR="00937D03">
        <w:t>interpretację wymagań normy w formie rekomendacji do praktycznego stosowania określanych w niej zadań.</w:t>
      </w:r>
      <w:r w:rsidR="007F545A">
        <w:t xml:space="preserve"> Warto też zauważyć że spośród 65. etapów (głównych i szczegółowych) modelu SSDQM ze względu na wielopoziomową jego strukturę etapów związanych z praktycznym stosowaniem Modelu jest jedynie </w:t>
      </w:r>
      <w:r w:rsidR="001C6A03">
        <w:t>54. są etapami związanymi ze wskazówkami do bezpośredniego wykonywania. W tym 9 kroków dotyczy implementacji zmian z wykorzystaniem metod zwinnych, a 7 z wykorzystaniem metod kaskadowych</w:t>
      </w:r>
      <w:r w:rsidR="00D34922">
        <w:t xml:space="preserve">. Zatem całość wszystkich kroków do wykonania w ramach jednego cyklu stosowania modelu SSDQM może wynosić od 47. do 49. etapów szczegółowych. W porównaniu do tego warto przytoczyć liczbę punktów związanych z wymaganiami normy ISO 21001. W samym spisie treści Normy znajduje się 85 podrozdziałów w ramach rozdziałów od 4. do 10. Ta statystyka obejmuje tylko 3 poziomy struktury podrozdziałów, a wiele wymagań jest w tekście Normy definiowanych na jeszcze niższych poziomów lecz te wymagania już nie posiadają swoich wyodrębnionych tytułów. </w:t>
      </w:r>
      <w:r w:rsidR="00094742">
        <w:t>W całości tekst Normy w ramach części dotyczącej wymagań obejmuje 12</w:t>
      </w:r>
      <w:r w:rsidR="00600AB8">
        <w:t>9</w:t>
      </w:r>
      <w:r w:rsidR="00094742">
        <w:t xml:space="preserve"> punktów, z czego 9</w:t>
      </w:r>
      <w:r w:rsidR="00600AB8">
        <w:t>1</w:t>
      </w:r>
      <w:r w:rsidR="00094742">
        <w:t xml:space="preserve"> są to punkty najniższego poziomu ze zdefiniowanymi różnymi wymaganiami. Na podstawie takiego pobieżnego ilościowego porównania złożoności modelu SSDQM oraz normy struktury wymagań normy ISO 21001:2018 można przypuszczać, że stosowanie Modelu będzie znaczenie łatwiejsze. Niemniej może to również świadczyć, że model SSDQM nie obejmuje pewnych istotnych z punktu widzenia zakresu Normy obszarów. Jest tak w istocie. Do obszarów, tych należą</w:t>
      </w:r>
      <w:r w:rsidR="00856602">
        <w:t xml:space="preserve"> przede wszystkim duże części wymagań z rozdziałów 7. (Wsparcie) i 8. (Działanie).</w:t>
      </w:r>
      <w:r w:rsidR="0077463C">
        <w:t xml:space="preserve"> I o ile tematykę tych rozdziałów w dość ogólnym poziomie można odnieść do </w:t>
      </w:r>
      <w:r w:rsidR="0077463C">
        <w:lastRenderedPageBreak/>
        <w:t>kroków postępowania w rakach modelu SSDQM to w Normie ich zakres wykracza daleko poza zakres działań doskonalących. Przede wszystkim należy zauważyć, że w ramach modelu SSDQM, nie ma odniesień do rekomendacji, czy wymagań odnośnie do rozwiązań i działań specyficznych dla usług edukacyjnych. W tym sensie model ten jest bardziej uniwersalny do stosowania niż norma ISO 21001:2018. Nie powinno to oczywiście dziwić gdyż norma ta ma na celu sformułowanie wymagań dla organizacji działających na rynku usług edukacyjnych, więc takie bardzo konkretne specyficzne wymagania związane m.in. z zapewnianiem odpowiednich zasobów do nauki (np. 7.1.6.2 Pomoce naukowe), procesem przyjęcia studentów (np. 8.5.1.2 Przyjęcie uczniów)</w:t>
      </w:r>
      <w:r w:rsidR="00DE1653">
        <w:t>, czy</w:t>
      </w:r>
      <w:r w:rsidR="0077463C">
        <w:t xml:space="preserve"> też postępowaniem w przypadku skarg i </w:t>
      </w:r>
      <w:proofErr w:type="spellStart"/>
      <w:r w:rsidR="0077463C">
        <w:t>odwołań</w:t>
      </w:r>
      <w:proofErr w:type="spellEnd"/>
      <w:r w:rsidR="0077463C">
        <w:t xml:space="preserve"> (np. 9.1.2.2 Obsługa skarg i </w:t>
      </w:r>
      <w:proofErr w:type="spellStart"/>
      <w:r w:rsidR="0077463C">
        <w:t>odwołań</w:t>
      </w:r>
      <w:proofErr w:type="spellEnd"/>
      <w:r w:rsidR="0077463C">
        <w:t>) są jak najbardziej naturalne</w:t>
      </w:r>
      <w:r w:rsidR="00DE1653">
        <w:t>. Wymagania te oczywiście są formułowane na takim poziome ogólności, by dało się je zastosować zarówno do małej firmy szkoleniowej jak i do dużych instytucji o bardzo złożonej strukturze za jakie niewątpliwie można uznać niejeden uniwersytet w Polsce, czy na świecie. Inne obszary wymagań Normy nie objęte modelem SSDQM związane są już typowo z zakresem systemu zarządzania opisywanego przez normę, a zatem są to głównie zagadnienia związane z określeniem zakresu systemu zarządzania (4.4 EOMS) oraz polityki organizacji i komunikowania jej (5.2 Polityka).</w:t>
      </w:r>
      <w:r w:rsidR="002D48A7">
        <w:t xml:space="preserve"> Warto jednak zauważyć, że dla wielu z tych obszarów rekomendacji znajdują się podobieństwa w sposobie podejścia do rozwiązywania problemów i sposobów na zapewniania odpowiednich rozwiązań. Stąd w wielu punktach w tabeli po</w:t>
      </w:r>
      <w:r w:rsidR="002D48A7">
        <w:fldChar w:fldCharType="begin"/>
      </w:r>
      <w:r w:rsidR="002D48A7">
        <w:instrText xml:space="preserve"> REF _Ref162710653 \p \h </w:instrText>
      </w:r>
      <w:r w:rsidR="002D48A7">
        <w:fldChar w:fldCharType="separate"/>
      </w:r>
      <w:r w:rsidR="009E351C">
        <w:t>wyżej</w:t>
      </w:r>
      <w:r w:rsidR="002D48A7">
        <w:fldChar w:fldCharType="end"/>
      </w:r>
      <w:r w:rsidR="002D48A7">
        <w:t xml:space="preserve"> (</w:t>
      </w:r>
      <w:r w:rsidR="002D48A7">
        <w:fldChar w:fldCharType="begin"/>
      </w:r>
      <w:r w:rsidR="002D48A7">
        <w:instrText xml:space="preserve"> REF _Ref162710660 \h </w:instrText>
      </w:r>
      <w:r w:rsidR="002D48A7">
        <w:fldChar w:fldCharType="separate"/>
      </w:r>
      <w:r w:rsidR="009E351C">
        <w:t xml:space="preserve">Tabela </w:t>
      </w:r>
      <w:r w:rsidR="009E351C">
        <w:rPr>
          <w:noProof/>
        </w:rPr>
        <w:t>77</w:t>
      </w:r>
      <w:r w:rsidR="002D48A7">
        <w:fldChar w:fldCharType="end"/>
      </w:r>
      <w:r w:rsidR="002D48A7">
        <w:t>) w komentarzach wskazano relacje nie bezpośrednie, ale wykazujące pewne podobieństwa.</w:t>
      </w:r>
    </w:p>
    <w:p w14:paraId="41C4D528" w14:textId="5B87DEC5" w:rsidR="000C72D7" w:rsidRDefault="009E351C" w:rsidP="00C143B6">
      <w:r>
        <w:t xml:space="preserve">Podsumowując omówione podobieństwa i różnice pomiędzy krokami postępowania opisane w ramach modelu SSDQM, a wymaganiami przedstawionymi w normie ISO 21001:2018 można stwierdzić, że stosowanie modelu SSDQM będzie wspierało działania w ramach normatywnego systemu zarzadzania organizacją edukacyjną. Przede wszystkim przy stosowaniu SSDQM cały obszar związany z analizą interesariuszy oraz regularnym pozyskiwaniem od nich informacji zwrotnej będzie realizowany zgodnie z wymaganiami Normy. Podobnie obszar związany z udokumentowanym procesem wdrażania działań doskonalących i gromadzenia wiedzy. Oczywiście ze względu na cel modelu SSDQM stosowanie go nie spowoduje spełniania wszystkich wymagań Normy, ale może znacznie przyczynić się do zdobycia w ramach organizacji kompetencji do </w:t>
      </w:r>
      <w:r w:rsidR="00552EA3">
        <w:t>wdrażania zmian. Na bazie doświadczeń ze stosowania modelu SSDQM można bowiem również wdrażać wszelkiego rodzaju zmiany również takie, które wynikają z chęci organizacji do wdrożenia jakiegoś standardu (w tym ISO 21001) lub przygotowania do jakiejkolwiek akredytacji. W takiej sytuacji część etapów postępowania związana z pomiarem satysfakcji interesariuszy może zostać zredukowania do niezbędnego minimum, co zresztą mieści się w ramach elastyczności jaką dają rekomendacje do stosowania modelu SSDQM w praktyce.</w:t>
      </w:r>
    </w:p>
    <w:p w14:paraId="1D59BCFA" w14:textId="4786B6E1" w:rsidR="000C72D7" w:rsidRDefault="00552EA3" w:rsidP="00C143B6">
      <w:r>
        <w:t xml:space="preserve">Model doskonalenia systemu zarządzania jakością inspirowanego satysfakcją interesariuszy promuje stosowanie wskaźników pomagających w rzetelnej ocenie efektów działań uczelni. Te wskaźniki powinny zostać dobrane do wymagań konkretnej organizacji i specyfiki jej rynku oraz środowiska interesariuszy. Niemniej można z dużą dozą pewności przyjąć, że pewne wskaźniki będą dla polskich uczelni technicznych zazwyczaj lepsze od innych, to na podstawie wyników przeprowadzonych badań w ramach następnego rozdziału zostanie zaprezentowane omówienie zestawu </w:t>
      </w:r>
      <w:r>
        <w:lastRenderedPageBreak/>
        <w:t>wskaźników, który zdaniem autora powinien być brany pod uwagę przy stosowaniu modelu SSDQM przez polskie uczelnie techniczne.</w:t>
      </w:r>
    </w:p>
    <w:p w14:paraId="5648C58D" w14:textId="554DC173" w:rsidR="00511706" w:rsidRPr="00B03664" w:rsidRDefault="00511706" w:rsidP="00787121">
      <w:pPr>
        <w:pStyle w:val="Nagwek2"/>
      </w:pPr>
      <w:bookmarkStart w:id="144" w:name="_Toc157667022"/>
      <w:r w:rsidRPr="00B03664">
        <w:t>Propozycja zestawu wybranych wskaźników skuteczności działań uczelni technicznych w Polsce</w:t>
      </w:r>
      <w:bookmarkEnd w:id="144"/>
    </w:p>
    <w:p w14:paraId="451C50D1" w14:textId="2583F2FC" w:rsidR="00531824" w:rsidRDefault="00950F6B" w:rsidP="00531824">
      <w:r>
        <w:t xml:space="preserve">Pomiar efektów działań uczelni jest zagadnieniem bardzo szerokim i złożonym. Szczególnie dotyczy to publicznych uczelni technicznych. W tych instytucjach kształcenia wyższego można zaobserwować różne tryby studiowania od dziennych (bezpłatnych) po różne formy studiów zaocznych czy nawet nauki zdalnej oraz kursy i studia podyplomowe. Z tych wszystkich form jedynie studia dzienne są kierowane do grupy studentów, którzy w ramach kosztów swojej nauki nie muszą uwzględniać opłaty za studiowanie (czesne). Oczywiście nie jest to całość kosztów studiowania natomiast finansowanie tej części ze środków publicznych istotnie zmienia relację studentów studiów dziennych wobec uczelni w porównaniu do relacji studentów studiów zaocznych (płatnych). Ta druga forma relacji jest nieco bliższa cechom relacji klient-dostawca. Natomiast </w:t>
      </w:r>
      <w:r w:rsidR="00C80FC0">
        <w:t>dla tej pierwszej formy studiowania nie występuje pomiędzy studentem, a uczelnią interakcja w formie „płacę – wymagam”. W każdej z tych form relacji może wiązać się z błędnym pojmowaniem ról i wypaczeniami, które będą prowadziły do obniżenia poziomu rzeczywistych efektów procesów związanych z kształceniem. Stąd też zagadnienie wyboru odpowiednich wskaźników do pomiaru efektów działań uczelni jest niezwykle wymagające. Bez dobrego zrozumienia możliwości i ograniczeń interpretacji obserwowanych wartości i ich zmian w czasie, a także tego jakie wnioski na tej podstawie mają, a jakie nie mają logicznego uzasadnienia żaden zestaw wskaźników nie będzie wolny od wad i ograniczeń.</w:t>
      </w:r>
      <w:r w:rsidR="000872C4">
        <w:t xml:space="preserve"> Ponadto niezwykle istotnym jest by przydatność konkretnych miar była zweryfikowana w procesie pozyskiwania wiedzy przez organizację. W tak złożonych systemach jak uczelnie, które są pod wpływem wielu czynników zarówno o charakterze globalnym jak i lokalnym wskaźniki, które dla większości innych uczelni byłyby pomocne w przypadku innej mogą się okazać nieprzydatne lub nawet dające mylne sygnały (informacje).</w:t>
      </w:r>
    </w:p>
    <w:p w14:paraId="08BF4622" w14:textId="77777777" w:rsidR="00E3060F" w:rsidRDefault="00872343" w:rsidP="00531824">
      <w:r>
        <w:t xml:space="preserve">Spośród wskaźników </w:t>
      </w:r>
      <w:r w:rsidR="00603D59">
        <w:t>związanych z pomiarem satysfakcji interesariuszy warto mierzyć i monitorować zmiany wartości zarówno bazowego wskaźnika SSI jak i wskaźników cząstkowych mierzonych dla każdej z grup interesariuszy. Wydaje się, że dla polskich publicznych uczelni technicznych wśród badanych na pewno muszą się znaleźć studenci, pracownicy (naukowi i dydaktyczni oraz administracyjni), władze uczelni oraz przedstawiciele instytucji finansującej edukację (</w:t>
      </w:r>
      <w:r w:rsidR="000F471E">
        <w:t xml:space="preserve">rząd, </w:t>
      </w:r>
      <w:r w:rsidR="00603D59">
        <w:t>ministerstwo, audytorzy PKA).</w:t>
      </w:r>
      <w:r w:rsidR="000F471E">
        <w:t xml:space="preserve"> Studenci i przedstawiciele rządu łącznie posiadają cechy klienta usługi. Poza tym warto też uwzględnić innych bezpośrednich beneficjentów efektów działań uczelni takich jak np. przedstawicieli pracodawców odnoszących bezpośrednie korzyści z dostępu do rynku potencjalnych pracowników o kwalifikacjach na średnio wyższym poziomie dzięki działaniom uczelni.</w:t>
      </w:r>
      <w:r w:rsidR="00B02B5C">
        <w:t xml:space="preserve"> Z drugiej strony bardzo istotnymi interesariuszami są wszyscy pracownicy, a zatem ich opinie należy monitorować, a poziom satysfakcji mierzyć.</w:t>
      </w:r>
      <w:r w:rsidR="00395827">
        <w:t xml:space="preserve"> Jest to niezwykle istotne zwłaszcza w przypadku usług o tak wybitnie niematerialnym charakterze jak usługi oferowane przez uczelnie. Od motywacji, zaangażowania i poziomu profesjonalizmu pracowników zależą bowiem efekty działań uczelni.</w:t>
      </w:r>
      <w:r w:rsidR="00F07027">
        <w:t xml:space="preserve"> Bardzo istotną grupą interesariuszy uczelni są też przedstawiciele jej władz. Są oni bowiem zazwyczaj znacznie lepiej zorientowani w procesach zachodzących w ramach całej organizacji, a także w jej relacjach z otoczeniem, wyzwaniach i szansach. Dzięki temu ich opinie o efektach działań uczelni mogą wynikać </w:t>
      </w:r>
      <w:r w:rsidR="00F07027">
        <w:lastRenderedPageBreak/>
        <w:t>ze znacznie szerszego</w:t>
      </w:r>
      <w:r w:rsidR="00D74BCF">
        <w:t>,</w:t>
      </w:r>
      <w:r w:rsidR="00F07027">
        <w:t xml:space="preserve"> niż w przypadku pozostałych przedstawicieli społeczności akademickiej</w:t>
      </w:r>
      <w:r w:rsidR="00D74BCF">
        <w:t>, spektrum informacji i doświadczeń.</w:t>
      </w:r>
      <w:r w:rsidR="0098367A">
        <w:t xml:space="preserve"> Również obserwowanie istotnych rozbieżności w poziomach satysfakcji pomiędzy kierownictwem uczelni, a pozostałymi pracownikami może być cenną informacją pozwalającą na odpowiednie ukierunkowanie działań korygujących. W przypadku uczelni pewne znaczenie może mieć też pomiar satysfakcji rodziców studentów, którzy to nieraz finansują edukację swoich dzieci. Ich udział może być również zróżnicowany, bo może dotyczyć to pokrywania wszelkich kosztów studiowania w przypadku studiów zaocznych lub kosztów utrzymania się studenta w trakcie kształcenia (powszechne dla studiów dziennych – bezpłatnych). Natomiast z badań opisanych w niniejszej pracy wynika, że opinie rodziców (opiekunów) studentów mają małą wartość dla doskonalenia usług uczelni lub </w:t>
      </w:r>
      <w:r w:rsidR="00911C04">
        <w:t>ich</w:t>
      </w:r>
      <w:r w:rsidR="0098367A">
        <w:t xml:space="preserve"> SZJ.</w:t>
      </w:r>
      <w:r w:rsidR="00911C04">
        <w:t xml:space="preserve"> Również przedstawiciele władz uczelni nie uważają tej grupy interesariuszy na istotną. A zatem można stwierdzić, że w przypadkach specyficznych usług niektórych uczelni rodzice mogą mieć istotne znaczenie, ale dla znakomitej większości uczelni można tę grupę interesariuszy pominą</w:t>
      </w:r>
      <w:r w:rsidR="0037236A">
        <w:t>ć</w:t>
      </w:r>
      <w:r w:rsidR="00911C04">
        <w:t xml:space="preserve"> przy badaniach. </w:t>
      </w:r>
    </w:p>
    <w:p w14:paraId="4D37C11B" w14:textId="1A52413A" w:rsidR="00950F6B" w:rsidRDefault="0037236A" w:rsidP="00531824">
      <w:r>
        <w:t>Niewątpliwie jedną z istotniejszych grup z punktu widzenia weryfikacji efektów działań uczelni są absolwenc</w:t>
      </w:r>
      <w:r w:rsidR="00E9537F">
        <w:t>i, bowiem to oni mają możliwość sprawdzenia tego na ile są w stanie doświadczyć spodziewanych korzyści ze zdobytego wykształcenia. W tym miejscu należy zaznaczyć, że czynników mających wpływ na opinię absolwentów o wartości zdobytych wiedzy i umiejętności jest znacznie więcej niż jedynie szeroko pojęte działania uczelni.</w:t>
      </w:r>
      <w:r w:rsidR="002F1656">
        <w:t xml:space="preserve"> Właśnie w odniesieniu do absolwentów uczelni technicznych można wyróżnić wskaźniki o stwierdzonej istotnej statystycznie pozytywnej korelacji do satysfakcji oraz postrzeganej wartości ukończonych studiów (por. </w:t>
      </w:r>
      <w:r w:rsidR="002F1656">
        <w:fldChar w:fldCharType="begin"/>
      </w:r>
      <w:r w:rsidR="002F1656">
        <w:instrText xml:space="preserve"> REF _Ref137759871 \h </w:instrText>
      </w:r>
      <w:r w:rsidR="002F1656">
        <w:fldChar w:fldCharType="separate"/>
      </w:r>
      <w:r w:rsidR="002F1656">
        <w:t xml:space="preserve">Tabela </w:t>
      </w:r>
      <w:r w:rsidR="002F1656">
        <w:rPr>
          <w:noProof/>
        </w:rPr>
        <w:t>73</w:t>
      </w:r>
      <w:r w:rsidR="002F1656">
        <w:fldChar w:fldCharType="end"/>
      </w:r>
      <w:r w:rsidR="002F1656">
        <w:t xml:space="preserve">). </w:t>
      </w:r>
      <w:r w:rsidR="00EC76F3">
        <w:t>Tym wskaźnikiem jest przede wszystkim poziom zarobków po 3</w:t>
      </w:r>
      <w:r w:rsidR="00E3060F">
        <w:t>.</w:t>
      </w:r>
      <w:r w:rsidR="00EC76F3">
        <w:t xml:space="preserve"> latach od ukończenia studiów oraz w mniejszym stopniu poziom zatrudnienia po 3 latach od ukończenia studiów. Obie te miary są silniej skorelowane z poziomem ogólnej satysfakcji ze studiów oraz postrzeganej wartości ukończonych studiów niż analogiczne miary dla 1</w:t>
      </w:r>
      <w:r w:rsidR="00E3060F">
        <w:t>.</w:t>
      </w:r>
      <w:r w:rsidR="00EC76F3">
        <w:t xml:space="preserve"> roku po zakończeniu studiów. Zatem można zarekomendować pomiar tych wartości po 3</w:t>
      </w:r>
      <w:r w:rsidR="00E3060F">
        <w:t>. </w:t>
      </w:r>
      <w:r w:rsidR="00EC76F3">
        <w:t xml:space="preserve">latach od ukończenia studiów jako lepszy </w:t>
      </w:r>
      <w:proofErr w:type="spellStart"/>
      <w:r w:rsidR="00EC76F3">
        <w:t>predyktor</w:t>
      </w:r>
      <w:proofErr w:type="spellEnd"/>
      <w:r w:rsidR="00EC76F3">
        <w:t xml:space="preserve"> jakości niż ma to miejsce w przypadku pomiar</w:t>
      </w:r>
      <w:r w:rsidR="00E3060F">
        <w:t>u</w:t>
      </w:r>
      <w:r w:rsidR="00EC76F3">
        <w:t xml:space="preserve"> dla 1</w:t>
      </w:r>
      <w:r w:rsidR="00E3060F">
        <w:t>.</w:t>
      </w:r>
      <w:r w:rsidR="00EC76F3">
        <w:t xml:space="preserve"> roku po studiach. Ponadto miary postrzeganej wartości oraz satysfakcji ze studiowania w praktyce okazują się być tak silnie skorelowane, że można rekomendować pomiar tylko jednej z nich. Trudno wskazać jednak, która z tych miar jest lepsza, gdyż różnice w wynikach korelacji z innymi miarami są tak niewielkie, że nie można na tej podstawie jednoznacznie wskazać jednej z miar za lepszą.</w:t>
      </w:r>
      <w:r w:rsidR="00357AC0">
        <w:t xml:space="preserve"> Istotnym i wartym podkreślenia jest to, że w świetle przeprowadzonych badań, należy stwierdzić, iż korelacje tego rodzaju nie występują w przypadku absolwentów uczelni nietechnicznych. W związku z tym do celów wykorzystania, któregoś z wyżej wymienionych wskaźników (lub podobnego) jako </w:t>
      </w:r>
      <w:proofErr w:type="spellStart"/>
      <w:r w:rsidR="00357AC0">
        <w:t>predyktora</w:t>
      </w:r>
      <w:proofErr w:type="spellEnd"/>
      <w:r w:rsidR="00357AC0">
        <w:t xml:space="preserve"> jakości należałoby dla uczelni nietechnicznych najpierw zweryfikować jego wiarygodność poprzez przeprowadzenie odpowiedniego badania.</w:t>
      </w:r>
    </w:p>
    <w:p w14:paraId="6147FD88" w14:textId="6D4E3789" w:rsidR="00D137C7" w:rsidRDefault="003D16FD" w:rsidP="00542A82">
      <w:r>
        <w:t>W o</w:t>
      </w:r>
      <w:r w:rsidR="00A909BC">
        <w:t>d</w:t>
      </w:r>
      <w:r>
        <w:t>niesieniu do miar wynikających z innych metod badania jakości uczelni</w:t>
      </w:r>
      <w:r w:rsidR="00F0652D">
        <w:t xml:space="preserve"> technicznych</w:t>
      </w:r>
      <w:r>
        <w:t xml:space="preserve"> należy wyróżnić poziom korelacji dla miar wynikających z metodologii rankingu Perspektywy (2022) oraz badania ELA (Ekonomiczne Losy Absolwentów). </w:t>
      </w:r>
      <w:r w:rsidR="00F0652D">
        <w:t xml:space="preserve">Przede wszystkim </w:t>
      </w:r>
      <w:r w:rsidR="00AD0475">
        <w:t xml:space="preserve">nie należy oceniać efektów działań uczelni </w:t>
      </w:r>
      <w:r w:rsidR="00E3060F">
        <w:t xml:space="preserve">jedynie </w:t>
      </w:r>
      <w:r w:rsidR="00AD0475">
        <w:t xml:space="preserve">poprzez pozycję w rankingu. Znacznie lepszą miarą jest </w:t>
      </w:r>
      <w:r w:rsidR="000276BD">
        <w:t xml:space="preserve">wskaźnik </w:t>
      </w:r>
      <w:r w:rsidR="00542A82">
        <w:t xml:space="preserve">obliczony jako średnia ważona ocen w poszczególnych kategoriach oceny dokonywanej przez wydawcę rankingu Perspektywy. </w:t>
      </w:r>
      <w:r w:rsidR="000276BD">
        <w:t xml:space="preserve">Niestety w ramach publikacji Rankingu wartości te nie są publikowane. Jedynie dla </w:t>
      </w:r>
      <w:r w:rsidR="000276BD">
        <w:lastRenderedPageBreak/>
        <w:t xml:space="preserve">pierwszych 51 uczelni w wersji Rankingu z roku 2022 zostały opublikowane wartości tzw. wskaźnika rankingowego, czyli relatywnej miary odnoszącej się do średniej ważonej oceny poszczególnych uczelni, ale w przeliczonej na wskaźnik odzwierciedlający proporcjonalną relację do ogólnego najlepszego wyniku. W ramach niniejszej pracy wskaźnik ten został przedstawiony jako </w:t>
      </w:r>
      <w:r w:rsidR="006B26B2">
        <w:t>WOP (</w:t>
      </w:r>
      <w:r w:rsidR="000276BD">
        <w:t>Wskaźnik</w:t>
      </w:r>
      <w:r w:rsidR="006B26B2">
        <w:t xml:space="preserve"> </w:t>
      </w:r>
      <w:r w:rsidR="000276BD">
        <w:t>Oceny</w:t>
      </w:r>
      <w:r w:rsidR="006B26B2">
        <w:t xml:space="preserve"> </w:t>
      </w:r>
      <w:r w:rsidR="000276BD">
        <w:t>Punktowej</w:t>
      </w:r>
      <w:r w:rsidR="006B26B2">
        <w:t>)</w:t>
      </w:r>
      <w:r w:rsidR="000276BD">
        <w:t>. Zastosowanie takiej miary może pozwolić na lepsze śledzenie rezultatów uczelni w czasie, przy uwzględnieniu pewnych korekt metodologii pomiaru w kolejnych latach oraz faktu, że wartości oceny w ramach każdego parametru składowego są wyliczane na podstawie relacji do najlepszego wyniku w ramach danej kategorii. Dla tak określonego wskaźnika istnieją silne korelacje z niektórymi wskaźnikami wyliczanymi na podstawie innych badań.</w:t>
      </w:r>
      <w:r w:rsidR="006B26B2">
        <w:t xml:space="preserve"> Najpierw warto wskazać składowe ogólnej oceny rankingowej, które są najsilniej skorelowane z oceną ogólną, czyli ze Wskaźnikiem Oceny Punktowej. Należałoby się bowiem spodziewać, że elementy składowe o najwyższej wadze będą miały najsilniejszą korelację z oceną ogólną. Jednak w przypadku uczelni technicznych tak nie jest. Najsilniej skorelowanym parametrem składowym z oceną ogólną Rankingu jest „Potencjał Naukowy”</w:t>
      </w:r>
      <w:r w:rsidR="00617624">
        <w:t xml:space="preserve"> (0,9299)</w:t>
      </w:r>
      <w:r w:rsidR="006B26B2">
        <w:t xml:space="preserve"> stanowiący 15% udziału w ocenie ogólnej. W skład tego parametru w głównej mierze wchodzi wartość oceny parametrycznej (10%)</w:t>
      </w:r>
      <w:r w:rsidR="00617624">
        <w:t xml:space="preserve"> uczelni. Jednak sam parametr Oceny parametrycznej nie jest tak silnie skorelowany z oceną ogólną. </w:t>
      </w:r>
      <w:r w:rsidR="004F1421">
        <w:t xml:space="preserve">Jeszcze silniejszą korelację można zauważyć wśród pozostałych parametrów składowych jakimi są „Nasycenie kadry osobami o najwyższych kwalifikacjach” (3%), „Uprawnienia habilitacyjne” (1%) oraz „Uprawnienia doktorskie” (1%). </w:t>
      </w:r>
      <w:r w:rsidR="002542F7">
        <w:t xml:space="preserve">Pierwszy z tych trzech parametrów jest miarą relatywną uwzględniającą w ocenie odsetek osób ze stopniem dr hab. lub tytułem profesora w ogólnej liczbie pracowników badawczych lub badawczo-dydaktycznych. Pozostałe dwa parametry odnoszą się do bezwzględnej liczby posiadanych przez uczelnię uprawnień do nadawania </w:t>
      </w:r>
      <w:r w:rsidR="00794F9D">
        <w:t xml:space="preserve">stopni naukowych. Uprawnienia te wynikają z </w:t>
      </w:r>
      <w:r w:rsidR="007E1110">
        <w:t xml:space="preserve">faktu </w:t>
      </w:r>
      <w:r w:rsidR="00794F9D">
        <w:t>zatrudniania na uczelni odpowiedniej liczby pracowników (min. 12 w przeliczeniu na etaty) o odpowiednim poziomie osiągnięć w danej dyscyplinie oraz posiadania odpowiedni</w:t>
      </w:r>
      <w:r w:rsidR="007E1110">
        <w:t>o</w:t>
      </w:r>
      <w:r w:rsidR="00794F9D">
        <w:t xml:space="preserve"> wysokiej kategorii naukowej (min. B+) w </w:t>
      </w:r>
      <w:r w:rsidR="007E1110">
        <w:t xml:space="preserve">tej samej dziedzinie </w:t>
      </w:r>
      <w:r w:rsidR="007E1110">
        <w:fldChar w:fldCharType="begin" w:fldLock="1"/>
      </w:r>
      <w:r w:rsidR="00D065D1">
        <w:instrText>ADDIN CSL_CITATION {"citationItems":[{"id":"ITEM-1","itemData":{"author":[{"dropping-particle":"","family":"Dz. U. 574","given":"","non-dropping-particle":"","parse-names":false,"suffix":""}],"id":"ITEM-1","issue":"Dz. U. 574 z 11.03.2022","issued":{"date-parts":[["2022"]]},"publisher":"Kancelaria Sejmu RP","title":"Ustawa z dnia 20 lipca 2018 r. Prawo o szkolnictwie wyższym i nauce","type":"article"},"prefix":"por. Art. 226a","uris":["http://www.mendeley.com/documents/?uuid=55691f87-8d67-4e21-b82b-8cd073585889"]}],"mendeley":{"formattedCitation":"(por. Art. 226a Dz. U. 574, 2022)","plainTextFormattedCitation":"(por. Art. 226a Dz. U. 574, 2022)","previouslyFormattedCitation":"(por. Art. 226a Dz. U. 574, 2022)"},"properties":{"noteIndex":0},"schema":"https://github.com/citation-style-language/schema/raw/master/csl-citation.json"}</w:instrText>
      </w:r>
      <w:r w:rsidR="007E1110">
        <w:fldChar w:fldCharType="separate"/>
      </w:r>
      <w:r w:rsidR="007E1110" w:rsidRPr="007E1110">
        <w:rPr>
          <w:noProof/>
        </w:rPr>
        <w:t>(por. Art. 226a Dz. U. 574, 2022)</w:t>
      </w:r>
      <w:r w:rsidR="007E1110">
        <w:fldChar w:fldCharType="end"/>
      </w:r>
      <w:r w:rsidR="007E1110">
        <w:t xml:space="preserve">. W związku z tym liczba uprawnień do nadawania stopnia doktora lub doktora habilitowanego jest związana z liczbą uzyskanych ocen parametrycznych na poziomie co najmniej B+ oraz z liczbą naukowców z istotnym dorobkiem naukowym z wielu dyscyplin. To może uzasadniać fakt bardzo silnej korelacji obu tych parametrów szczegółowych oceny, o wadze zaledwie 1%, wartościami ogólnej oceny rankingowej (WOP). Odpowiednio korelacje te wynoszą </w:t>
      </w:r>
      <w:r w:rsidR="00DB5602">
        <w:t>dla uprawnień doktorskich – 0,8703, a dla uprawnień habilitacyjnych 0,9607. Ta druga korelacja jest najsilniejszą spośród wszystkich przebadanych korelacji parametrów szczegółowych z oceną ogólną.</w:t>
      </w:r>
      <w:r w:rsidR="00447387">
        <w:t xml:space="preserve"> </w:t>
      </w:r>
    </w:p>
    <w:p w14:paraId="6BEC6E61" w14:textId="3BEFCB28" w:rsidR="00D137C7" w:rsidRDefault="00447387" w:rsidP="00542A82">
      <w:r>
        <w:t>Spośród parametrów głównych d</w:t>
      </w:r>
      <w:r w:rsidR="004F1421">
        <w:t xml:space="preserve">opiero na drugim </w:t>
      </w:r>
      <w:r w:rsidR="00617624">
        <w:t>miejscu pod względem siły korelacji</w:t>
      </w:r>
      <w:r w:rsidR="004F1421">
        <w:t xml:space="preserve"> </w:t>
      </w:r>
      <w:r w:rsidR="00617624">
        <w:t>jest parametr efektywności naukowej, który posiada największą wagę (28%) w ogólnej ocenie.</w:t>
      </w:r>
      <w:r w:rsidR="00E755D9">
        <w:t xml:space="preserve"> </w:t>
      </w:r>
      <w:r w:rsidR="00F17FCD">
        <w:t xml:space="preserve">Na trzecim miejscu pod względem siły korelacji jest dla uczelni technicznych ocena prestiżu (0,9088). </w:t>
      </w:r>
      <w:r w:rsidR="003020E4">
        <w:t xml:space="preserve">Główną składową (10%) oceny prestiżu jest wynik badania ankietowego przeprowadzanego wśród kadry akademickiej przez Fundację Edukacyjną „Perspektywy” </w:t>
      </w:r>
      <w:r w:rsidR="003020E4">
        <w:fldChar w:fldCharType="begin" w:fldLock="1"/>
      </w:r>
      <w:r w:rsidR="007E1110">
        <w:instrText>ADDIN CSL_CITATION {"citationItems":[{"id":"ITEM-1","itemData":{"URL":"https://ranking.perspektywy.pl/2022/article/metodologia-rankingu-uczelni-akademickich-2022r","author":[{"dropping-particle":"","family":"Perspektywy","given":"","non-dropping-particle":"","parse-names":false,"suffix":""}],"id":"ITEM-1","issued":{"date-parts":[["2022"]]},"title":"Metodologia Rankingu Szkół Wyższych Perspektywy 2022","type":"webpage"},"uris":["http://www.mendeley.com/documents/?uuid=f0c19ce4-6d78-476a-a61f-03e90968f61e"]}],"mendeley":{"formattedCitation":"(Perspektywy, 2022a)","plainTextFormattedCitation":"(Perspektywy, 2022a)","previouslyFormattedCitation":"(Perspektywy, 2022a)"},"properties":{"noteIndex":0},"schema":"https://github.com/citation-style-language/schema/raw/master/csl-citation.json"}</w:instrText>
      </w:r>
      <w:r w:rsidR="003020E4">
        <w:fldChar w:fldCharType="separate"/>
      </w:r>
      <w:r w:rsidR="003020E4" w:rsidRPr="003020E4">
        <w:rPr>
          <w:noProof/>
        </w:rPr>
        <w:t>(Perspektywy, 2022a)</w:t>
      </w:r>
      <w:r w:rsidR="003020E4">
        <w:fldChar w:fldCharType="end"/>
      </w:r>
      <w:r w:rsidR="004F1421">
        <w:t xml:space="preserve"> nazwany „Ocena przez kadrę”</w:t>
      </w:r>
      <w:r w:rsidR="003020E4">
        <w:t xml:space="preserve">. </w:t>
      </w:r>
      <w:r w:rsidR="004F1421">
        <w:t>Korelacja tego parametru z oceną ogólną jest nieco słabsza niż dla parametru głównego, w którego skład wchodzi. A zatem należy się spodziewać, że druga składowa „</w:t>
      </w:r>
      <w:r w:rsidR="002542F7">
        <w:t>Uznanie międzynarodowe” będzie miało silniejszy związek z ogólną oceną. Wyniki analiz to potwierdzają, gdyż współczynnik korelacji dla tej pary miar osiąga bardzo wysoką wartość 0,9446. „Uznanie międzynarodowe”</w:t>
      </w:r>
      <w:r w:rsidR="003020E4">
        <w:t xml:space="preserve"> jest oce</w:t>
      </w:r>
      <w:r w:rsidR="003020E4">
        <w:lastRenderedPageBreak/>
        <w:t>n</w:t>
      </w:r>
      <w:r w:rsidR="002542F7">
        <w:t>ą</w:t>
      </w:r>
      <w:r w:rsidR="003020E4">
        <w:t xml:space="preserve"> wynikając</w:t>
      </w:r>
      <w:r w:rsidR="002542F7">
        <w:t>ą z</w:t>
      </w:r>
      <w:r w:rsidR="003020E4">
        <w:t xml:space="preserve"> podsumowania wyników</w:t>
      </w:r>
      <w:r w:rsidR="002542F7">
        <w:t xml:space="preserve"> uczelni</w:t>
      </w:r>
      <w:r w:rsidR="003020E4">
        <w:t xml:space="preserve"> w wybranych uznanych międzynarodowych rankingach uniwersytetów.</w:t>
      </w:r>
      <w:r w:rsidR="002542F7">
        <w:t xml:space="preserve"> W opisie metodologii rankingu Perspektywy 2022 można znaleźć wzmiankę, o tym, że wartość tego parametru zależy od pozycji uczelni w łącznie 7 rankingach międzynarodowych. Natomiast nie zostały opisane szczegóły sposobu przeliczania pozycji uczelni w konkretnych rankingach na wartość w ramach tej oceny szczegółowej.</w:t>
      </w:r>
      <w:r w:rsidR="00DB5602">
        <w:t xml:space="preserve"> W związku z tym trudno wnioskować o tym jak pozycja w konkretnych rankingach koreluje z pozycją w rankingu Perspektywy oraz o tym który z rankingów międzynarodowych jest najistotniejszy dla uzyskania wyższej oceny w ramach tego parametru szczegółowego.</w:t>
      </w:r>
      <w:r>
        <w:t xml:space="preserve"> Jak więc można zauważyć pomimo niewielkiej wagi w ocenie ogólnej parametry szczegółowe związane z oceną liczby uprawnień habilitacyjnych oraz </w:t>
      </w:r>
      <w:r w:rsidR="00C82DA1">
        <w:t>pojawianie się uczelni w uznanych rankingach międzynarodowych jest najsilniej skorelowane z oceną rankingową uczelni. Na podstawie jedynie informacji o korelacji zjawisk nie można wiarygodnie wnioskować o związku przyczynowo skutkowym.</w:t>
      </w:r>
    </w:p>
    <w:p w14:paraId="28243D33" w14:textId="4D5F9E58" w:rsidR="004F24CC" w:rsidRDefault="00C82DA1" w:rsidP="00542A82">
      <w:r>
        <w:t xml:space="preserve">Analizując oba te parametry szczegółowe w kontekście analiz metodologii rankingów przedstawionych w rozdziale </w:t>
      </w:r>
      <w:r>
        <w:fldChar w:fldCharType="begin"/>
      </w:r>
      <w:r>
        <w:instrText xml:space="preserve"> REF _Ref66053927 \r \h </w:instrText>
      </w:r>
      <w:r>
        <w:fldChar w:fldCharType="separate"/>
      </w:r>
      <w:r>
        <w:t>1.3.3</w:t>
      </w:r>
      <w:r>
        <w:fldChar w:fldCharType="end"/>
      </w:r>
      <w:r>
        <w:t xml:space="preserve"> można stwierdzić, że niektóre z nich obejmują pomiar czynników istotnych przy ocenie efektów działań uczelni na rzecz interesariuszy. Natomiast ze względu na brak przejrzystości wobec szczegółów obliczania oceny w ramach kryterium „Uznanie międzynarodowe” trudno o jednoznaczne wnioski. W kontekście polski uczelni, spośród których wiele nie jest uwzględnianych w globalnych rankingach ocena taka wymaga dobrego zrozumienia stosowanej metodologii, by móc ją stosować. W tym kontekście warto przywołać autorską propozycję rankingu </w:t>
      </w:r>
      <w:r w:rsidR="00D137C7">
        <w:t xml:space="preserve">RV250 (por. rozdz. </w:t>
      </w:r>
      <w:r w:rsidR="00D137C7">
        <w:fldChar w:fldCharType="begin"/>
      </w:r>
      <w:r w:rsidR="00D137C7">
        <w:instrText xml:space="preserve"> REF _Ref66053927 \r \h </w:instrText>
      </w:r>
      <w:r w:rsidR="00D137C7">
        <w:fldChar w:fldCharType="separate"/>
      </w:r>
      <w:r w:rsidR="00D137C7">
        <w:t>1.3.3</w:t>
      </w:r>
      <w:r w:rsidR="00D137C7">
        <w:fldChar w:fldCharType="end"/>
      </w:r>
      <w:r w:rsidR="00D137C7">
        <w:t xml:space="preserve"> oraz załącznik 4), którego metodologia pozwala na przejrzystą ocenę porównawczą uczelni na podstawie pozycji osiągniętej w różnych rankingach. Ranking RV250 uwzględnia jednak jedynie uczelni znajdujące się w pierwszych setkach 4 najpopularniejszych rankingów globalnych, a zatem żadna z polskich uczelni w nim się nie pojawia. Natomiast na podstawie analogicznej koncepcji możliwe jest opracowania takiej wersji rankingu zbiorczego, która pozwoli na uwzględnienie również polskich uczelni.</w:t>
      </w:r>
    </w:p>
    <w:p w14:paraId="6D1531E0" w14:textId="3C1579AB" w:rsidR="00542A82" w:rsidRDefault="003D7128" w:rsidP="00542A82">
      <w:r>
        <w:t>Drugi z parametrów szczegółowych mających najsilniejszą korelację do ogólnej oceny rankingowej, czyli liczba uprawnień habilitacyjnych jest znacznie łatwiejszy do zrozumienia. Ponadto powiązania przejrzystych wymagań do osiągania wyższych rezultatów w ramach tego kryterium z innymi czynnikami oceny (efektywność naukowa – liczba istotnych publikacji; liczba zatrudnianych naukowców; liczba dziedzin naukowych – pośrednio wielkość uczelni) pozwalają przypuszczać, że próba osiągania przez uczelnię wyższych ocen w ramach tego kryterium będzie jednocześnie inspirowała do osiągania lepszych rezultatów w zakresie wielu innych istotnych dla interesariuszy obszarów efektów działań uczelni technicznej.</w:t>
      </w:r>
    </w:p>
    <w:p w14:paraId="2661E3DE" w14:textId="273D0660" w:rsidR="00D065D1" w:rsidRDefault="00D065D1" w:rsidP="00D065D1">
      <w:r>
        <w:t xml:space="preserve">Dla uczelni technicznych zaobserwowano analogię pomiędzy istotną relacją pomiaru zarobków i zatrudnienia do pomiarów satysfakcji i postrzeganej wartości studiów przez interesariuszy, a relacją pomiędzy wynikami pomiaru Ekonomicznych Losów Absolwentów do wyników w ramach oceny rankingowej rankingu Perspektywy. Wartość </w:t>
      </w:r>
      <w:r w:rsidR="000B7AEE">
        <w:t>parametru</w:t>
      </w:r>
      <w:r>
        <w:t xml:space="preserve"> „Absolwenci na rynku pracy” </w:t>
      </w:r>
      <w:r>
        <w:fldChar w:fldCharType="begin" w:fldLock="1"/>
      </w:r>
      <w:r w:rsidR="006245C0">
        <w:instrText>ADDIN CSL_CITATION {"citationItems":[{"id":"ITEM-1","itemData":{"URL":"https://ranking.perspektywy.pl/2022/article/metodologia-rankingu-uczelni-akademickich-2022r","author":[{"dropping-particle":"","family":"Perspektywy","given":"","non-dropping-particle":"","parse-names":false,"suffix":""}],"id":"ITEM-1","issued":{"date-parts":[["2022"]]},"title":"Metodologia Rankingu Szkół Wyższych Perspektywy 2022","type":"webpage"},"uris":["http://www.mendeley.com/documents/?uuid=f0c19ce4-6d78-476a-a61f-03e90968f61e"]}],"mendeley":{"formattedCitation":"(Perspektywy, 2022a)","plainTextFormattedCitation":"(Perspektywy, 2022a)","previouslyFormattedCitation":"(Perspektywy, 2022a)"},"properties":{"noteIndex":0},"schema":"https://github.com/citation-style-language/schema/raw/master/csl-citation.json"}</w:instrText>
      </w:r>
      <w:r>
        <w:fldChar w:fldCharType="separate"/>
      </w:r>
      <w:r w:rsidRPr="00D065D1">
        <w:rPr>
          <w:noProof/>
        </w:rPr>
        <w:t>(Perspektywy, 2022a)</w:t>
      </w:r>
      <w:r>
        <w:fldChar w:fldCharType="end"/>
      </w:r>
      <w:r>
        <w:t xml:space="preserve"> jest wyliczana na podstawie </w:t>
      </w:r>
      <w:r w:rsidR="000B7AEE">
        <w:t xml:space="preserve">relatywnego poziomu zarobków absolwentów względem średniego poziomu zarobków w powiecie zamieszkania oraz </w:t>
      </w:r>
      <w:r>
        <w:t xml:space="preserve">względnego wskaźnika zatrudnienia </w:t>
      </w:r>
      <w:r>
        <w:lastRenderedPageBreak/>
        <w:t xml:space="preserve">uwzględniającą </w:t>
      </w:r>
      <w:r w:rsidR="000B7AEE">
        <w:t>ryzyko bezrobocia w powiecie zamieszkania absolwenta skorygowanego o wskaźnik rejestracji absolwentów w systemie ZUS. Tak wyliczanych parametr ma wagę 12% w ogólnej ocenie rankingowej, a siła korelacji wartości tego parametru z wartościami oceny ogólnej jest bardzo wysoka (0,8288). Jednak w porównaniu do siły korelacji innych parametrów z oceną ogólną nie jest ona, ani znacznie wyższa, ani znacznie niższa. Na tej podstawie można stwierdzić, że posługiwanie się miarami związanymi z zarobkami i względnym poziomem zatrudnienia absolwentów uczelni technicznej jest zasadne do oceny efektów działań uczelni. Niemniej należy uwzględniać przy interpretacji tych wartości dłuższy okres od ukończenia studiów do uwidocznienia się istotnego wpływu efektów działań uczelni wobec studentów (absolwentów). Z tego względu należy zarekomendować posługiwanie się wskaźnikami odnoszącymi się do okresu nie kró</w:t>
      </w:r>
      <w:r w:rsidR="00B6526F">
        <w:t>tszego niż 3 lata po ukończeniu studiów</w:t>
      </w:r>
      <w:r w:rsidR="00B6526F">
        <w:rPr>
          <w:rStyle w:val="Odwoanieprzypisudolnego"/>
        </w:rPr>
        <w:footnoteReference w:id="17"/>
      </w:r>
      <w:r w:rsidR="00B6526F">
        <w:t>. Pytania odnośnie do poziomu zarobków i zatrudnienia absolwentów mogą również zostać uwzględnione w ramach badania satysfakcji wśród tej grupy interesariuszy, natomiast należy przypuszczać, że wiarygodność uzyskanych w ten sposób rezultatów będzie prawdopodobnie znacznie niższa niż tych uzyskanych w ramach badania ELA. Można oczywiście takie pytania uwzględnić w ramach próby rozszerzenia wiedzy o sukcesach lub czynnikach wpływających na satysfakcję absolwentów oraz by umożliwić zbadanie rzeczywiście istniejącej korelacji pomiędzy wartościami zarobków i zatrudnienia, wartościami pomiaru satysfakcji w przypadku badanej populacji absolwentów konkretnej uczelni.</w:t>
      </w:r>
    </w:p>
    <w:p w14:paraId="7DF0926A" w14:textId="72D3A376" w:rsidR="003D7128" w:rsidRDefault="006A2ED3" w:rsidP="00542A82">
      <w:r>
        <w:t xml:space="preserve">Poza polskim rankingiem Perspektywy warto w kontekście uczelni technicznych zwrócić również uwagę na międzynarodowy ranking </w:t>
      </w:r>
      <w:proofErr w:type="spellStart"/>
      <w:r>
        <w:t>Webometrics</w:t>
      </w:r>
      <w:proofErr w:type="spellEnd"/>
      <w:r>
        <w:t xml:space="preserve">. Zaletą tego rankingu jest to, że obejmuje on większość istniejących uczelni we wszystkich krajach świata. W związku z tym również polskie publiczne uczelnie techniczne są w nim uwzględnione. Metodologia tego rankingu pozwala bowiem na relatywnie częste (dwa razy do roku) i bardzo szerokie zmierzenie parametrów podlegających ocenie. Są to oczywiście przede wszystkim parametry jedynie pośrednio związane z efektami działań uczelni (por. </w:t>
      </w:r>
      <w:r>
        <w:fldChar w:fldCharType="begin"/>
      </w:r>
      <w:r>
        <w:instrText xml:space="preserve"> REF _Ref134433054 \h </w:instrText>
      </w:r>
      <w:r>
        <w:fldChar w:fldCharType="separate"/>
      </w:r>
      <w:r w:rsidRPr="006A2ED3">
        <w:t xml:space="preserve">Tabela </w:t>
      </w:r>
      <w:r w:rsidRPr="006A2ED3">
        <w:rPr>
          <w:noProof/>
        </w:rPr>
        <w:t>22</w:t>
      </w:r>
      <w:r>
        <w:fldChar w:fldCharType="end"/>
      </w:r>
      <w:r>
        <w:t>). Jednak dzięki temu, że ranking ten wykazuje dość dobrą zbieżność z rezultatami innych rankingów można wykorzystywać jego wartości do wstępnego weryfikowania efektów podejmowanych przez uczelnię działań.</w:t>
      </w:r>
      <w:r w:rsidR="00E3060F">
        <w:t xml:space="preserve"> Lista rekomendowanych na podstawie badań omówionych w niniejszej pracy wskaźników pomocnych przy stosowaniu modelu SSDQM przez uczelnie techniczne została przedstawiona w tabeli po</w:t>
      </w:r>
      <w:r w:rsidR="00E3060F">
        <w:fldChar w:fldCharType="begin"/>
      </w:r>
      <w:r w:rsidR="00E3060F">
        <w:instrText xml:space="preserve"> REF _Ref163293941 \p \h </w:instrText>
      </w:r>
      <w:r w:rsidR="00E3060F">
        <w:fldChar w:fldCharType="separate"/>
      </w:r>
      <w:r w:rsidR="00E3060F">
        <w:t>niżej</w:t>
      </w:r>
      <w:r w:rsidR="00E3060F">
        <w:fldChar w:fldCharType="end"/>
      </w:r>
      <w:r w:rsidR="00E3060F">
        <w:t xml:space="preserve"> (</w:t>
      </w:r>
      <w:r w:rsidR="00E3060F">
        <w:fldChar w:fldCharType="begin"/>
      </w:r>
      <w:r w:rsidR="00E3060F">
        <w:instrText xml:space="preserve"> REF _Ref163293949 \h </w:instrText>
      </w:r>
      <w:r w:rsidR="00E3060F">
        <w:fldChar w:fldCharType="separate"/>
      </w:r>
      <w:r w:rsidR="00E3060F">
        <w:t xml:space="preserve">Tabela </w:t>
      </w:r>
      <w:r w:rsidR="00E3060F">
        <w:rPr>
          <w:noProof/>
        </w:rPr>
        <w:t>78</w:t>
      </w:r>
      <w:r w:rsidR="00E3060F">
        <w:fldChar w:fldCharType="end"/>
      </w:r>
      <w:r w:rsidR="00E3060F">
        <w:t>).</w:t>
      </w:r>
    </w:p>
    <w:p w14:paraId="47A17555" w14:textId="51F8A85C" w:rsidR="00DA2A4D" w:rsidRDefault="00DA2A4D" w:rsidP="00DA2A4D">
      <w:pPr>
        <w:pStyle w:val="Tytutabeli"/>
      </w:pPr>
      <w:bookmarkStart w:id="145" w:name="_Ref163293949"/>
      <w:bookmarkStart w:id="146" w:name="_Ref163293941"/>
      <w:bookmarkStart w:id="147" w:name="_Toc163576367"/>
      <w:r>
        <w:t xml:space="preserve">Tabela </w:t>
      </w:r>
      <w:r>
        <w:fldChar w:fldCharType="begin"/>
      </w:r>
      <w:r>
        <w:instrText xml:space="preserve"> SEQ Tabela \* ARABIC </w:instrText>
      </w:r>
      <w:r>
        <w:fldChar w:fldCharType="separate"/>
      </w:r>
      <w:r>
        <w:rPr>
          <w:noProof/>
        </w:rPr>
        <w:t>78</w:t>
      </w:r>
      <w:r>
        <w:fldChar w:fldCharType="end"/>
      </w:r>
      <w:bookmarkEnd w:id="145"/>
      <w:r>
        <w:t xml:space="preserve"> Propozycja zestawu wskaźników stosowanych w ramach monitorowania efektów działań uczelni technicznej stosującej model doskonalenia SSDQM</w:t>
      </w:r>
      <w:bookmarkEnd w:id="146"/>
      <w:bookmarkEnd w:id="147"/>
    </w:p>
    <w:tbl>
      <w:tblPr>
        <w:tblStyle w:val="Tabela-Siatka"/>
        <w:tblW w:w="0" w:type="auto"/>
        <w:tblLook w:val="04A0" w:firstRow="1" w:lastRow="0" w:firstColumn="1" w:lastColumn="0" w:noHBand="0" w:noVBand="1"/>
      </w:tblPr>
      <w:tblGrid>
        <w:gridCol w:w="510"/>
        <w:gridCol w:w="3118"/>
        <w:gridCol w:w="5443"/>
      </w:tblGrid>
      <w:tr w:rsidR="004B3FB1" w:rsidRPr="004B3FB1" w14:paraId="33956B36" w14:textId="77777777" w:rsidTr="004B3FB1">
        <w:trPr>
          <w:cantSplit/>
          <w:tblHeader/>
        </w:trPr>
        <w:tc>
          <w:tcPr>
            <w:tcW w:w="510" w:type="dxa"/>
          </w:tcPr>
          <w:p w14:paraId="448640E4" w14:textId="65E12287" w:rsidR="004B3FB1" w:rsidRPr="004B3FB1" w:rsidRDefault="004B3FB1" w:rsidP="00DA2A4D">
            <w:pPr>
              <w:pStyle w:val="TekstTabeli"/>
              <w:keepNext/>
              <w:rPr>
                <w:b/>
                <w:bCs w:val="0"/>
              </w:rPr>
            </w:pPr>
            <w:proofErr w:type="spellStart"/>
            <w:r>
              <w:rPr>
                <w:b/>
                <w:bCs w:val="0"/>
              </w:rPr>
              <w:t>Lp</w:t>
            </w:r>
            <w:proofErr w:type="spellEnd"/>
            <w:r>
              <w:rPr>
                <w:b/>
                <w:bCs w:val="0"/>
              </w:rPr>
              <w:t>.</w:t>
            </w:r>
          </w:p>
        </w:tc>
        <w:tc>
          <w:tcPr>
            <w:tcW w:w="3118" w:type="dxa"/>
          </w:tcPr>
          <w:p w14:paraId="0523B72A" w14:textId="4737D8D5" w:rsidR="004B3FB1" w:rsidRPr="004B3FB1" w:rsidRDefault="004B3FB1" w:rsidP="00DA2A4D">
            <w:pPr>
              <w:pStyle w:val="TekstTabeli"/>
              <w:keepNext/>
              <w:rPr>
                <w:b/>
                <w:bCs w:val="0"/>
                <w:lang w:val="pl-PL"/>
              </w:rPr>
            </w:pPr>
            <w:r w:rsidRPr="004B3FB1">
              <w:rPr>
                <w:b/>
                <w:bCs w:val="0"/>
                <w:lang w:val="pl-PL"/>
              </w:rPr>
              <w:t>Nazwa</w:t>
            </w:r>
          </w:p>
        </w:tc>
        <w:tc>
          <w:tcPr>
            <w:tcW w:w="5443" w:type="dxa"/>
          </w:tcPr>
          <w:p w14:paraId="46367E3B" w14:textId="7069685A" w:rsidR="004B3FB1" w:rsidRPr="004B3FB1" w:rsidRDefault="004B3FB1" w:rsidP="00DA2A4D">
            <w:pPr>
              <w:pStyle w:val="TekstTabeli"/>
              <w:keepNext/>
              <w:rPr>
                <w:b/>
                <w:bCs w:val="0"/>
                <w:lang w:val="pl-PL"/>
              </w:rPr>
            </w:pPr>
            <w:r w:rsidRPr="004B3FB1">
              <w:rPr>
                <w:b/>
                <w:bCs w:val="0"/>
                <w:lang w:val="pl-PL"/>
              </w:rPr>
              <w:t>Opis / komentarz</w:t>
            </w:r>
          </w:p>
        </w:tc>
      </w:tr>
      <w:tr w:rsidR="004B3FB1" w:rsidRPr="004B3FB1" w14:paraId="20FACF53" w14:textId="77777777" w:rsidTr="004B3FB1">
        <w:trPr>
          <w:cantSplit/>
        </w:trPr>
        <w:tc>
          <w:tcPr>
            <w:tcW w:w="510" w:type="dxa"/>
            <w:vAlign w:val="center"/>
          </w:tcPr>
          <w:p w14:paraId="1EAF3A7D" w14:textId="7202BA85" w:rsidR="004B3FB1" w:rsidRPr="004B3FB1" w:rsidRDefault="004B3FB1" w:rsidP="004B3FB1">
            <w:pPr>
              <w:pStyle w:val="TekstTabeli"/>
            </w:pPr>
            <w:r>
              <w:t>1.</w:t>
            </w:r>
          </w:p>
        </w:tc>
        <w:tc>
          <w:tcPr>
            <w:tcW w:w="3118" w:type="dxa"/>
            <w:vAlign w:val="center"/>
          </w:tcPr>
          <w:p w14:paraId="063EBEED" w14:textId="6D7438AD" w:rsidR="004B3FB1" w:rsidRPr="004B3FB1" w:rsidRDefault="004B3FB1" w:rsidP="004B3FB1">
            <w:pPr>
              <w:pStyle w:val="TekstTabeli"/>
              <w:rPr>
                <w:lang w:val="pl-PL"/>
              </w:rPr>
            </w:pPr>
            <w:r w:rsidRPr="004B3FB1">
              <w:rPr>
                <w:lang w:val="pl-PL"/>
              </w:rPr>
              <w:t>SSI</w:t>
            </w:r>
          </w:p>
        </w:tc>
        <w:tc>
          <w:tcPr>
            <w:tcW w:w="5443" w:type="dxa"/>
            <w:vAlign w:val="center"/>
          </w:tcPr>
          <w:p w14:paraId="302F4870" w14:textId="4B84B946" w:rsidR="004B3FB1" w:rsidRPr="004B3FB1" w:rsidRDefault="004B3FB1" w:rsidP="004B3FB1">
            <w:pPr>
              <w:pStyle w:val="TekstTabeli"/>
              <w:rPr>
                <w:lang w:val="pl-PL"/>
              </w:rPr>
            </w:pPr>
            <w:r w:rsidRPr="004B3FB1">
              <w:rPr>
                <w:lang w:val="pl-PL"/>
              </w:rPr>
              <w:t>Zagregowany Indeks Satysfakcji Interesariuszy</w:t>
            </w:r>
          </w:p>
        </w:tc>
      </w:tr>
      <w:tr w:rsidR="004B3FB1" w:rsidRPr="004B3FB1" w14:paraId="7F375E04" w14:textId="77777777" w:rsidTr="004B3FB1">
        <w:trPr>
          <w:cantSplit/>
        </w:trPr>
        <w:tc>
          <w:tcPr>
            <w:tcW w:w="510" w:type="dxa"/>
            <w:vAlign w:val="center"/>
          </w:tcPr>
          <w:p w14:paraId="5C5CCA3D" w14:textId="24D337A8" w:rsidR="004B3FB1" w:rsidRPr="004B3FB1" w:rsidRDefault="004B3FB1" w:rsidP="004B3FB1">
            <w:pPr>
              <w:pStyle w:val="TekstTabeli"/>
            </w:pPr>
            <w:r>
              <w:t>2.</w:t>
            </w:r>
          </w:p>
        </w:tc>
        <w:tc>
          <w:tcPr>
            <w:tcW w:w="3118" w:type="dxa"/>
            <w:vAlign w:val="center"/>
          </w:tcPr>
          <w:p w14:paraId="66288ACA" w14:textId="436387C8" w:rsidR="004B3FB1" w:rsidRPr="004B3FB1" w:rsidRDefault="004B3FB1" w:rsidP="004B3FB1">
            <w:pPr>
              <w:pStyle w:val="TekstTabeli"/>
              <w:rPr>
                <w:lang w:val="pl-PL"/>
              </w:rPr>
            </w:pPr>
            <w:r w:rsidRPr="004B3FB1">
              <w:rPr>
                <w:lang w:val="pl-PL"/>
              </w:rPr>
              <w:t>SSI cząstkowe</w:t>
            </w:r>
          </w:p>
        </w:tc>
        <w:tc>
          <w:tcPr>
            <w:tcW w:w="5443" w:type="dxa"/>
            <w:vAlign w:val="center"/>
          </w:tcPr>
          <w:p w14:paraId="3C61639D" w14:textId="1944073A" w:rsidR="004B3FB1" w:rsidRPr="004B3FB1" w:rsidRDefault="004B3FB1" w:rsidP="004B3FB1">
            <w:pPr>
              <w:pStyle w:val="TekstTabeli"/>
              <w:rPr>
                <w:lang w:val="pl-PL"/>
              </w:rPr>
            </w:pPr>
            <w:r w:rsidRPr="004B3FB1">
              <w:rPr>
                <w:lang w:val="pl-PL"/>
              </w:rPr>
              <w:t>Indeksy Satysfakcji Interesariuszy obliczane dla każdej z grup interesariuszy osobno</w:t>
            </w:r>
          </w:p>
        </w:tc>
      </w:tr>
      <w:tr w:rsidR="00E3060F" w:rsidRPr="004B3FB1" w14:paraId="7B2556DE" w14:textId="77777777" w:rsidTr="004B3FB1">
        <w:trPr>
          <w:cantSplit/>
        </w:trPr>
        <w:tc>
          <w:tcPr>
            <w:tcW w:w="510" w:type="dxa"/>
            <w:vAlign w:val="center"/>
          </w:tcPr>
          <w:p w14:paraId="2CBDA47B" w14:textId="0E093558" w:rsidR="00E3060F" w:rsidRDefault="00E3060F" w:rsidP="00E3060F">
            <w:pPr>
              <w:pStyle w:val="TekstTabeli"/>
            </w:pPr>
            <w:r>
              <w:t>3.</w:t>
            </w:r>
          </w:p>
        </w:tc>
        <w:tc>
          <w:tcPr>
            <w:tcW w:w="3118" w:type="dxa"/>
            <w:vAlign w:val="center"/>
          </w:tcPr>
          <w:p w14:paraId="025BC094" w14:textId="5FCA5098" w:rsidR="00E3060F" w:rsidRPr="004B3FB1" w:rsidRDefault="00E3060F" w:rsidP="00E3060F">
            <w:pPr>
              <w:pStyle w:val="TekstTabeli"/>
            </w:pPr>
            <w:r w:rsidRPr="004B3FB1">
              <w:rPr>
                <w:lang w:val="pl-PL"/>
              </w:rPr>
              <w:t>Liczba uprawnień habilitacyjnych</w:t>
            </w:r>
          </w:p>
        </w:tc>
        <w:tc>
          <w:tcPr>
            <w:tcW w:w="5443" w:type="dxa"/>
            <w:vAlign w:val="center"/>
          </w:tcPr>
          <w:p w14:paraId="14F7A298" w14:textId="6F82C570" w:rsidR="00E3060F" w:rsidRPr="00E3060F" w:rsidRDefault="00E3060F" w:rsidP="00E3060F">
            <w:pPr>
              <w:pStyle w:val="TekstTabeli"/>
              <w:rPr>
                <w:lang w:val="pl-PL"/>
              </w:rPr>
            </w:pPr>
            <w:r w:rsidRPr="004B3FB1">
              <w:rPr>
                <w:lang w:val="pl-PL"/>
              </w:rPr>
              <w:t>Parametr najsilniej skorelowany z ogólną oceną w rankingu Perspektywy. Czynniki sprzyjające wyższym wartościom tego parametru w znacznym stopniu zależne od działań uczelni.</w:t>
            </w:r>
          </w:p>
        </w:tc>
      </w:tr>
      <w:tr w:rsidR="00E3060F" w:rsidRPr="004B3FB1" w14:paraId="7F989A01" w14:textId="77777777" w:rsidTr="004B3FB1">
        <w:trPr>
          <w:cantSplit/>
        </w:trPr>
        <w:tc>
          <w:tcPr>
            <w:tcW w:w="510" w:type="dxa"/>
            <w:vAlign w:val="center"/>
          </w:tcPr>
          <w:p w14:paraId="5F6B79BF" w14:textId="12501E3B" w:rsidR="00E3060F" w:rsidRPr="00E3060F" w:rsidRDefault="00E3060F" w:rsidP="00E3060F">
            <w:pPr>
              <w:pStyle w:val="TekstTabeli"/>
              <w:rPr>
                <w:lang w:val="pl-PL"/>
              </w:rPr>
            </w:pPr>
            <w:r>
              <w:lastRenderedPageBreak/>
              <w:t>4.</w:t>
            </w:r>
          </w:p>
        </w:tc>
        <w:tc>
          <w:tcPr>
            <w:tcW w:w="3118" w:type="dxa"/>
            <w:vAlign w:val="center"/>
          </w:tcPr>
          <w:p w14:paraId="392A90C5" w14:textId="2AA99C9E" w:rsidR="00E3060F" w:rsidRPr="00E3060F" w:rsidRDefault="00E3060F" w:rsidP="00E3060F">
            <w:pPr>
              <w:pStyle w:val="TekstTabeli"/>
              <w:rPr>
                <w:lang w:val="pl-PL"/>
              </w:rPr>
            </w:pPr>
            <w:r w:rsidRPr="004B3FB1">
              <w:rPr>
                <w:lang w:val="pl-PL"/>
              </w:rPr>
              <w:t>Ocena parametryczna</w:t>
            </w:r>
          </w:p>
        </w:tc>
        <w:tc>
          <w:tcPr>
            <w:tcW w:w="5443" w:type="dxa"/>
            <w:vAlign w:val="center"/>
          </w:tcPr>
          <w:p w14:paraId="31009D20" w14:textId="47EA3423" w:rsidR="00E3060F" w:rsidRPr="00E3060F" w:rsidRDefault="00E3060F" w:rsidP="00E3060F">
            <w:pPr>
              <w:pStyle w:val="TekstTabeli"/>
              <w:rPr>
                <w:lang w:val="pl-PL"/>
              </w:rPr>
            </w:pPr>
            <w:r w:rsidRPr="004B3FB1">
              <w:rPr>
                <w:lang w:val="pl-PL"/>
              </w:rPr>
              <w:t>Liczba i poziom uzyskanych ocen parametrycznych w ramach różnych dyscyplin nauki w procesie ewaluacji jakości działalności naukowej.</w:t>
            </w:r>
          </w:p>
        </w:tc>
      </w:tr>
      <w:tr w:rsidR="00E3060F" w:rsidRPr="004B3FB1" w14:paraId="74D326DA" w14:textId="77777777" w:rsidTr="004B3FB1">
        <w:trPr>
          <w:cantSplit/>
        </w:trPr>
        <w:tc>
          <w:tcPr>
            <w:tcW w:w="510" w:type="dxa"/>
            <w:vAlign w:val="center"/>
          </w:tcPr>
          <w:p w14:paraId="1ED2A6CD" w14:textId="26A465D2" w:rsidR="00E3060F" w:rsidRPr="00E3060F" w:rsidRDefault="00E3060F" w:rsidP="00E3060F">
            <w:pPr>
              <w:pStyle w:val="TekstTabeli"/>
            </w:pPr>
            <w:r>
              <w:t>5.</w:t>
            </w:r>
          </w:p>
        </w:tc>
        <w:tc>
          <w:tcPr>
            <w:tcW w:w="3118" w:type="dxa"/>
            <w:vAlign w:val="center"/>
          </w:tcPr>
          <w:p w14:paraId="1255BD40" w14:textId="5CE41E98" w:rsidR="00E3060F" w:rsidRPr="004B3FB1" w:rsidRDefault="00E3060F" w:rsidP="00E3060F">
            <w:pPr>
              <w:pStyle w:val="TekstTabeli"/>
            </w:pPr>
            <w:r>
              <w:rPr>
                <w:lang w:val="pl-PL"/>
              </w:rPr>
              <w:t xml:space="preserve">Pozycja w rankingu </w:t>
            </w:r>
            <w:proofErr w:type="spellStart"/>
            <w:r>
              <w:rPr>
                <w:lang w:val="pl-PL"/>
              </w:rPr>
              <w:t>Webometrics</w:t>
            </w:r>
            <w:proofErr w:type="spellEnd"/>
          </w:p>
        </w:tc>
        <w:tc>
          <w:tcPr>
            <w:tcW w:w="5443" w:type="dxa"/>
            <w:vAlign w:val="center"/>
          </w:tcPr>
          <w:p w14:paraId="7E49EB41" w14:textId="36768D47" w:rsidR="00E3060F" w:rsidRPr="00E3060F" w:rsidRDefault="00E3060F" w:rsidP="00E3060F">
            <w:pPr>
              <w:pStyle w:val="TekstTabeli"/>
              <w:rPr>
                <w:lang w:val="pl-PL"/>
              </w:rPr>
            </w:pPr>
            <w:r>
              <w:rPr>
                <w:lang w:val="pl-PL"/>
              </w:rPr>
              <w:t>Wskaźnik niezwykle łatwy do monitorowania, wykazujący istotną korelację do poziomy zatrudnienia absolwentów uczelni technicznych po 3 latach od zakończenia studiów</w:t>
            </w:r>
          </w:p>
        </w:tc>
      </w:tr>
      <w:tr w:rsidR="00E3060F" w:rsidRPr="004B3FB1" w14:paraId="75541720" w14:textId="77777777" w:rsidTr="004B3FB1">
        <w:trPr>
          <w:cantSplit/>
        </w:trPr>
        <w:tc>
          <w:tcPr>
            <w:tcW w:w="510" w:type="dxa"/>
            <w:vAlign w:val="center"/>
          </w:tcPr>
          <w:p w14:paraId="5BB77553" w14:textId="0BE2FF76" w:rsidR="00E3060F" w:rsidRPr="00E3060F" w:rsidRDefault="00E3060F" w:rsidP="00E3060F">
            <w:pPr>
              <w:pStyle w:val="TekstTabeli"/>
            </w:pPr>
            <w:r>
              <w:t>6.</w:t>
            </w:r>
          </w:p>
        </w:tc>
        <w:tc>
          <w:tcPr>
            <w:tcW w:w="3118" w:type="dxa"/>
            <w:vAlign w:val="center"/>
          </w:tcPr>
          <w:p w14:paraId="281CE478" w14:textId="3B55E371" w:rsidR="00E3060F" w:rsidRDefault="00E3060F" w:rsidP="00E3060F">
            <w:pPr>
              <w:pStyle w:val="TekstTabeli"/>
            </w:pPr>
            <w:r w:rsidRPr="004B3FB1">
              <w:rPr>
                <w:lang w:val="pl-PL"/>
              </w:rPr>
              <w:t>Uznanie międzynarodowe (Perspektywy)</w:t>
            </w:r>
          </w:p>
        </w:tc>
        <w:tc>
          <w:tcPr>
            <w:tcW w:w="5443" w:type="dxa"/>
            <w:vAlign w:val="center"/>
          </w:tcPr>
          <w:p w14:paraId="777597F9" w14:textId="69034056" w:rsidR="00E3060F" w:rsidRPr="00E3060F" w:rsidRDefault="00E3060F" w:rsidP="00E3060F">
            <w:pPr>
              <w:pStyle w:val="TekstTabeli"/>
              <w:rPr>
                <w:lang w:val="pl-PL"/>
              </w:rPr>
            </w:pPr>
            <w:r w:rsidRPr="004B3FB1">
              <w:rPr>
                <w:lang w:val="pl-PL"/>
              </w:rPr>
              <w:t>Ocena pozycji uczelni w rankingach globalnych (silna korelacja z oceną ogólną w rankingu Perspektywy)</w:t>
            </w:r>
          </w:p>
        </w:tc>
      </w:tr>
      <w:tr w:rsidR="00E3060F" w:rsidRPr="004B3FB1" w14:paraId="29EBF341" w14:textId="77777777" w:rsidTr="004B3FB1">
        <w:trPr>
          <w:cantSplit/>
        </w:trPr>
        <w:tc>
          <w:tcPr>
            <w:tcW w:w="510" w:type="dxa"/>
            <w:vAlign w:val="center"/>
          </w:tcPr>
          <w:p w14:paraId="3EF56E92" w14:textId="1E6F0100" w:rsidR="00E3060F" w:rsidRPr="00E3060F" w:rsidRDefault="00E3060F" w:rsidP="00E3060F">
            <w:pPr>
              <w:pStyle w:val="TekstTabeli"/>
              <w:rPr>
                <w:lang w:val="pl-PL"/>
              </w:rPr>
            </w:pPr>
            <w:r>
              <w:t>7.</w:t>
            </w:r>
          </w:p>
        </w:tc>
        <w:tc>
          <w:tcPr>
            <w:tcW w:w="3118" w:type="dxa"/>
            <w:vAlign w:val="center"/>
          </w:tcPr>
          <w:p w14:paraId="689FB320" w14:textId="72EB9F87" w:rsidR="00E3060F" w:rsidRPr="00E3060F" w:rsidRDefault="00E3060F" w:rsidP="00E3060F">
            <w:pPr>
              <w:pStyle w:val="TekstTabeli"/>
              <w:rPr>
                <w:lang w:val="pl-PL"/>
              </w:rPr>
            </w:pPr>
            <w:r w:rsidRPr="004B3FB1">
              <w:rPr>
                <w:lang w:val="pl-PL"/>
              </w:rPr>
              <w:t>WOP na podstawie rankingu Perspektywy</w:t>
            </w:r>
          </w:p>
        </w:tc>
        <w:tc>
          <w:tcPr>
            <w:tcW w:w="5443" w:type="dxa"/>
            <w:vAlign w:val="center"/>
          </w:tcPr>
          <w:p w14:paraId="51A7B588" w14:textId="4538A6E7" w:rsidR="00E3060F" w:rsidRPr="00E3060F" w:rsidRDefault="00E3060F" w:rsidP="00E3060F">
            <w:pPr>
              <w:pStyle w:val="TekstTabeli"/>
              <w:rPr>
                <w:lang w:val="pl-PL"/>
              </w:rPr>
            </w:pPr>
            <w:r w:rsidRPr="004B3FB1">
              <w:rPr>
                <w:lang w:val="pl-PL"/>
              </w:rPr>
              <w:t>Wskaźnik Oceny Punktowej, niepublikowany wskaźnik oceny ważonej szczegółowych parametrów oceny w rankingu Perspektywy</w:t>
            </w:r>
            <w:r w:rsidRPr="004B3FB1">
              <w:rPr>
                <w:rStyle w:val="Odwoanieprzypisudolnego"/>
                <w:lang w:val="pl-PL"/>
              </w:rPr>
              <w:footnoteReference w:id="18"/>
            </w:r>
          </w:p>
        </w:tc>
      </w:tr>
      <w:tr w:rsidR="00E3060F" w:rsidRPr="004B3FB1" w14:paraId="13223DB6" w14:textId="77777777" w:rsidTr="004B3FB1">
        <w:trPr>
          <w:cantSplit/>
        </w:trPr>
        <w:tc>
          <w:tcPr>
            <w:tcW w:w="510" w:type="dxa"/>
            <w:vAlign w:val="center"/>
          </w:tcPr>
          <w:p w14:paraId="7255EAAF" w14:textId="23861A25" w:rsidR="00E3060F" w:rsidRPr="004B3FB1" w:rsidRDefault="00E3060F" w:rsidP="00E3060F">
            <w:pPr>
              <w:pStyle w:val="TekstTabeli"/>
            </w:pPr>
            <w:r>
              <w:t>8.</w:t>
            </w:r>
          </w:p>
        </w:tc>
        <w:tc>
          <w:tcPr>
            <w:tcW w:w="3118" w:type="dxa"/>
            <w:vAlign w:val="center"/>
          </w:tcPr>
          <w:p w14:paraId="0AFAA39B" w14:textId="6EC7640B" w:rsidR="00E3060F" w:rsidRPr="004B3FB1" w:rsidRDefault="00E3060F" w:rsidP="00E3060F">
            <w:pPr>
              <w:pStyle w:val="TekstTabeli"/>
              <w:rPr>
                <w:lang w:val="pl-PL"/>
              </w:rPr>
            </w:pPr>
            <w:r w:rsidRPr="004B3FB1">
              <w:rPr>
                <w:lang w:val="pl-PL"/>
              </w:rPr>
              <w:t>Poziom zarobków absolwentów po 3. latach od zakończenia studiów</w:t>
            </w:r>
          </w:p>
        </w:tc>
        <w:tc>
          <w:tcPr>
            <w:tcW w:w="5443" w:type="dxa"/>
            <w:vAlign w:val="center"/>
          </w:tcPr>
          <w:p w14:paraId="4C6328D4" w14:textId="0D82614E" w:rsidR="00E3060F" w:rsidRPr="004B3FB1" w:rsidRDefault="00E3060F" w:rsidP="00E3060F">
            <w:pPr>
              <w:pStyle w:val="TekstTabeli"/>
              <w:rPr>
                <w:lang w:val="pl-PL"/>
              </w:rPr>
            </w:pPr>
            <w:r w:rsidRPr="004B3FB1">
              <w:rPr>
                <w:lang w:val="pl-PL"/>
              </w:rPr>
              <w:t>Na podstawie ogólnopolskiego badania ELA, a w przypadku braku dostępności wyników na podstawie własnych badań</w:t>
            </w:r>
          </w:p>
        </w:tc>
      </w:tr>
      <w:tr w:rsidR="00E3060F" w:rsidRPr="004B3FB1" w14:paraId="6E327836" w14:textId="77777777" w:rsidTr="004B3FB1">
        <w:trPr>
          <w:cantSplit/>
        </w:trPr>
        <w:tc>
          <w:tcPr>
            <w:tcW w:w="510" w:type="dxa"/>
            <w:vAlign w:val="center"/>
          </w:tcPr>
          <w:p w14:paraId="152B06A1" w14:textId="6AA5B94F" w:rsidR="00E3060F" w:rsidRPr="004B3FB1" w:rsidRDefault="00E3060F" w:rsidP="00E3060F">
            <w:pPr>
              <w:pStyle w:val="TekstTabeli"/>
            </w:pPr>
            <w:r>
              <w:t>9.</w:t>
            </w:r>
          </w:p>
        </w:tc>
        <w:tc>
          <w:tcPr>
            <w:tcW w:w="3118" w:type="dxa"/>
            <w:vAlign w:val="center"/>
          </w:tcPr>
          <w:p w14:paraId="1C9FA3B9" w14:textId="651942F8" w:rsidR="00E3060F" w:rsidRPr="004B3FB1" w:rsidRDefault="00E3060F" w:rsidP="00E3060F">
            <w:pPr>
              <w:pStyle w:val="TekstTabeli"/>
              <w:rPr>
                <w:lang w:val="pl-PL"/>
              </w:rPr>
            </w:pPr>
            <w:r w:rsidRPr="004B3FB1">
              <w:rPr>
                <w:lang w:val="pl-PL"/>
              </w:rPr>
              <w:t>Stopa zatrudnienia absolwentów po 3. latach od zakończenia studiów</w:t>
            </w:r>
          </w:p>
        </w:tc>
        <w:tc>
          <w:tcPr>
            <w:tcW w:w="5443" w:type="dxa"/>
            <w:vAlign w:val="center"/>
          </w:tcPr>
          <w:p w14:paraId="3358BC09" w14:textId="04CA64D2" w:rsidR="00E3060F" w:rsidRPr="004B3FB1" w:rsidRDefault="00E3060F" w:rsidP="00E3060F">
            <w:pPr>
              <w:pStyle w:val="TekstTabeli"/>
              <w:rPr>
                <w:lang w:val="pl-PL"/>
              </w:rPr>
            </w:pPr>
            <w:r w:rsidRPr="004B3FB1">
              <w:rPr>
                <w:lang w:val="pl-PL"/>
              </w:rPr>
              <w:t>Na podstawie ogólnopolskiego badania ELA, a w przypadku braku dostępności wyników na podstawie własnych badań</w:t>
            </w:r>
          </w:p>
        </w:tc>
      </w:tr>
      <w:tr w:rsidR="00E3060F" w:rsidRPr="004B3FB1" w14:paraId="7A54C6F0" w14:textId="77777777" w:rsidTr="004B3FB1">
        <w:trPr>
          <w:cantSplit/>
        </w:trPr>
        <w:tc>
          <w:tcPr>
            <w:tcW w:w="510" w:type="dxa"/>
            <w:vAlign w:val="center"/>
          </w:tcPr>
          <w:p w14:paraId="4A485BD8" w14:textId="72C2EA8E" w:rsidR="00E3060F" w:rsidRPr="004B3FB1" w:rsidRDefault="00E3060F" w:rsidP="00E3060F">
            <w:pPr>
              <w:pStyle w:val="TekstTabeli"/>
              <w:keepNext/>
            </w:pPr>
            <w:r>
              <w:t>10.</w:t>
            </w:r>
          </w:p>
        </w:tc>
        <w:tc>
          <w:tcPr>
            <w:tcW w:w="3118" w:type="dxa"/>
            <w:vAlign w:val="center"/>
          </w:tcPr>
          <w:p w14:paraId="5524843C" w14:textId="1FF5C8C0" w:rsidR="00E3060F" w:rsidRPr="004B3FB1" w:rsidRDefault="00E3060F" w:rsidP="00E3060F">
            <w:pPr>
              <w:pStyle w:val="TekstTabeli"/>
              <w:keepNext/>
              <w:rPr>
                <w:lang w:val="pl-PL"/>
              </w:rPr>
            </w:pPr>
            <w:r w:rsidRPr="004B3FB1">
              <w:rPr>
                <w:lang w:val="pl-PL"/>
              </w:rPr>
              <w:t>Wskaźnik prestiżu rankingu Perspektywy</w:t>
            </w:r>
          </w:p>
        </w:tc>
        <w:tc>
          <w:tcPr>
            <w:tcW w:w="5443" w:type="dxa"/>
            <w:vAlign w:val="center"/>
          </w:tcPr>
          <w:p w14:paraId="74F1C663" w14:textId="33231E14" w:rsidR="00E3060F" w:rsidRPr="004B3FB1" w:rsidRDefault="00E3060F" w:rsidP="00E3060F">
            <w:pPr>
              <w:pStyle w:val="TekstTabeli"/>
              <w:keepNext/>
              <w:rPr>
                <w:lang w:val="pl-PL"/>
              </w:rPr>
            </w:pPr>
            <w:r w:rsidRPr="004B3FB1">
              <w:rPr>
                <w:lang w:val="pl-PL"/>
              </w:rPr>
              <w:t>Ocena na podstawie badania ankietowego wykonywanego wśród kadry akademickiej w Polsce przez Fundację Edukacyjną „Perspektywy” oraz parametru „uznanie międzynarodowe”</w:t>
            </w:r>
          </w:p>
        </w:tc>
      </w:tr>
    </w:tbl>
    <w:p w14:paraId="20872A2A" w14:textId="2FEB2EE2" w:rsidR="00DA2A4D" w:rsidRPr="00E3060F" w:rsidRDefault="00E3060F" w:rsidP="00E3060F">
      <w:pPr>
        <w:pStyle w:val="rdo"/>
      </w:pPr>
      <w:r w:rsidRPr="00E3060F">
        <w:t>Źródło: opracowanie własne</w:t>
      </w:r>
    </w:p>
    <w:p w14:paraId="6F1B847D" w14:textId="7B86343D" w:rsidR="00DA2A4D" w:rsidRPr="00A80B85" w:rsidRDefault="0018054B" w:rsidP="004F24CC">
      <w:r>
        <w:t>Przedstawione w tabeli po</w:t>
      </w:r>
      <w:r>
        <w:fldChar w:fldCharType="begin"/>
      </w:r>
      <w:r>
        <w:instrText xml:space="preserve"> REF _Ref163293941 \p \h </w:instrText>
      </w:r>
      <w:r>
        <w:fldChar w:fldCharType="separate"/>
      </w:r>
      <w:r>
        <w:t>wyżej</w:t>
      </w:r>
      <w:r>
        <w:fldChar w:fldCharType="end"/>
      </w:r>
      <w:r>
        <w:t xml:space="preserve"> (</w:t>
      </w:r>
      <w:r>
        <w:fldChar w:fldCharType="begin"/>
      </w:r>
      <w:r>
        <w:instrText xml:space="preserve"> REF _Ref163293949 \h </w:instrText>
      </w:r>
      <w:r>
        <w:fldChar w:fldCharType="separate"/>
      </w:r>
      <w:r>
        <w:t xml:space="preserve">Tabela </w:t>
      </w:r>
      <w:r>
        <w:rPr>
          <w:noProof/>
        </w:rPr>
        <w:t>78</w:t>
      </w:r>
      <w:r>
        <w:fldChar w:fldCharType="end"/>
      </w:r>
      <w:r>
        <w:t xml:space="preserve">) rekomendowane wskaźniki stanowią </w:t>
      </w:r>
      <w:r w:rsidR="00934E1F">
        <w:t xml:space="preserve">podsumowanie analiz wyników przeprowadzonych badań z uwzględnieniem kontekstu publicznych uczelni technicznych. Warto jednak traktować te rekomendacje jako wstępną wskazówkę w zakresie miar pomocnych do stosowania przy doskonaleniu systemu zarządzania jakością uczelni przy pomocy proponowanego modelu SSDQM. W ramach działań doskonalących zgodnych z tym modelem należy jednak weryfikować przydatność pomiaru stosowanych wskaźników w sytuacji konkretnej organizacji. A zatem prezentowany zestaw wskaźników nie powinien mieć, ani charakteru zamkniętej listy (można go poszerzać), ani obowiązkowego minimum. Oznacza to, że w przypadku stwierdzenia na podstawie faktów, że któryś spośród rekomendowanych wstępnych wskaźników nie jest istotny w przypadku konkretnej organizacji to można zrezygnować ze stosowania go do oceny efektów działań uczelni. </w:t>
      </w:r>
      <w:r w:rsidR="00A80B85">
        <w:t xml:space="preserve">Niemniej trudno sobie wyobrazić, by przy efektywnym wdrażaniu modelu SSDQM opartym na koncepcji </w:t>
      </w:r>
      <w:proofErr w:type="spellStart"/>
      <w:r w:rsidR="00A80B85">
        <w:t>interesariuszo</w:t>
      </w:r>
      <w:proofErr w:type="spellEnd"/>
      <w:r w:rsidR="00A80B85">
        <w:t xml:space="preserve">-centryzmu mogło się okazać zasadnym rezygnowanie z pomiaru satysfakcji interesariuszy i mierzenia wartości wskaźników SSI (zagregowanego lub szczegółowych). Niemniej w ramach poszukiwań wskaźników uzupełniających wobec tych zawartych na liście rekomendowanych jako wstępne można posłużyć się sugestiami wynikającymi z analizy literatury przedmiotu w odniesieniu do zarządzania jakością uczelni wyższych oraz tymi zawartymi w załącznikach do normy ISO 21001. Autorska lista propozycji wartych do rozważenia przy stosowaniu modelu SSDQM została </w:t>
      </w:r>
      <w:r w:rsidR="00A80B85" w:rsidRPr="00A80B85">
        <w:t>przedstawiona w tabeli po</w:t>
      </w:r>
      <w:r w:rsidR="00A80B85" w:rsidRPr="00A80B85">
        <w:fldChar w:fldCharType="begin"/>
      </w:r>
      <w:r w:rsidR="00A80B85" w:rsidRPr="00A80B85">
        <w:instrText xml:space="preserve"> REF _Ref134898852 \p \h </w:instrText>
      </w:r>
      <w:r w:rsidR="00A80B85">
        <w:instrText xml:space="preserve"> \* MERGEFORMAT </w:instrText>
      </w:r>
      <w:r w:rsidR="00A80B85" w:rsidRPr="00A80B85">
        <w:fldChar w:fldCharType="separate"/>
      </w:r>
      <w:r w:rsidR="00A80B85" w:rsidRPr="00A80B85">
        <w:t>niżej</w:t>
      </w:r>
      <w:r w:rsidR="00A80B85" w:rsidRPr="00A80B85">
        <w:fldChar w:fldCharType="end"/>
      </w:r>
      <w:r w:rsidR="00A80B85" w:rsidRPr="00A80B85">
        <w:t xml:space="preserve"> (</w:t>
      </w:r>
      <w:r w:rsidR="00A80B85" w:rsidRPr="00A80B85">
        <w:fldChar w:fldCharType="begin"/>
      </w:r>
      <w:r w:rsidR="00A80B85" w:rsidRPr="00A80B85">
        <w:instrText xml:space="preserve"> REF _Ref163297173 \h </w:instrText>
      </w:r>
      <w:r w:rsidR="00A80B85">
        <w:instrText xml:space="preserve"> \* MERGEFORMAT </w:instrText>
      </w:r>
      <w:r w:rsidR="00A80B85" w:rsidRPr="00A80B85">
        <w:fldChar w:fldCharType="separate"/>
      </w:r>
      <w:r w:rsidR="00A80B85" w:rsidRPr="00A80B85">
        <w:t xml:space="preserve">Tabela </w:t>
      </w:r>
      <w:r w:rsidR="00A80B85" w:rsidRPr="00A80B85">
        <w:rPr>
          <w:noProof/>
        </w:rPr>
        <w:t>79</w:t>
      </w:r>
      <w:r w:rsidR="00A80B85" w:rsidRPr="00A80B85">
        <w:fldChar w:fldCharType="end"/>
      </w:r>
      <w:r w:rsidR="00A80B85" w:rsidRPr="00A80B85">
        <w:t>).</w:t>
      </w:r>
    </w:p>
    <w:p w14:paraId="415E66F6" w14:textId="60795297" w:rsidR="00D855E2" w:rsidRPr="00AE7E6F" w:rsidRDefault="00D855E2" w:rsidP="00D855E2">
      <w:pPr>
        <w:pStyle w:val="Tytutabeli"/>
      </w:pPr>
      <w:bookmarkStart w:id="148" w:name="_Ref163297173"/>
      <w:bookmarkStart w:id="149" w:name="_Ref134898852"/>
      <w:bookmarkStart w:id="150" w:name="_Toc163576368"/>
      <w:r w:rsidRPr="00AE7E6F">
        <w:lastRenderedPageBreak/>
        <w:t xml:space="preserve">Tabela </w:t>
      </w:r>
      <w:r w:rsidRPr="00AE7E6F">
        <w:fldChar w:fldCharType="begin"/>
      </w:r>
      <w:r w:rsidRPr="00AE7E6F">
        <w:instrText xml:space="preserve"> SEQ Tabela \* ARABIC </w:instrText>
      </w:r>
      <w:r w:rsidRPr="00AE7E6F">
        <w:fldChar w:fldCharType="separate"/>
      </w:r>
      <w:r w:rsidR="00DA2A4D" w:rsidRPr="00AE7E6F">
        <w:rPr>
          <w:noProof/>
        </w:rPr>
        <w:t>79</w:t>
      </w:r>
      <w:r w:rsidRPr="00AE7E6F">
        <w:fldChar w:fldCharType="end"/>
      </w:r>
      <w:bookmarkEnd w:id="148"/>
      <w:r w:rsidRPr="00AE7E6F">
        <w:t xml:space="preserve"> Przykłady mierników </w:t>
      </w:r>
      <w:r w:rsidR="00AE7E6F">
        <w:t xml:space="preserve">dodatkowych odnoszących się do </w:t>
      </w:r>
      <w:r w:rsidRPr="00AE7E6F">
        <w:t>efektów działań uczelni</w:t>
      </w:r>
      <w:bookmarkEnd w:id="149"/>
      <w:bookmarkEnd w:id="150"/>
    </w:p>
    <w:tbl>
      <w:tblPr>
        <w:tblStyle w:val="Tabela-Siatka"/>
        <w:tblW w:w="0" w:type="auto"/>
        <w:tblLook w:val="04A0" w:firstRow="1" w:lastRow="0" w:firstColumn="1" w:lastColumn="0" w:noHBand="0" w:noVBand="1"/>
      </w:tblPr>
      <w:tblGrid>
        <w:gridCol w:w="2835"/>
        <w:gridCol w:w="6236"/>
      </w:tblGrid>
      <w:tr w:rsidR="00D855E2" w:rsidRPr="00233788" w14:paraId="7725F684" w14:textId="77777777" w:rsidTr="0058350A">
        <w:trPr>
          <w:cantSplit/>
          <w:tblHeader/>
        </w:trPr>
        <w:tc>
          <w:tcPr>
            <w:tcW w:w="2835" w:type="dxa"/>
          </w:tcPr>
          <w:p w14:paraId="5DA0C68E" w14:textId="77777777" w:rsidR="00D855E2" w:rsidRPr="00A80B85" w:rsidRDefault="00D855E2" w:rsidP="00A80B85">
            <w:pPr>
              <w:pStyle w:val="TekstTabeli"/>
              <w:keepNext/>
              <w:rPr>
                <w:b/>
                <w:bCs w:val="0"/>
                <w:lang w:val="pl-PL"/>
              </w:rPr>
            </w:pPr>
            <w:r w:rsidRPr="00A80B85">
              <w:rPr>
                <w:b/>
                <w:bCs w:val="0"/>
                <w:lang w:val="pl-PL"/>
              </w:rPr>
              <w:t>Nazwa kategorii mierników</w:t>
            </w:r>
          </w:p>
        </w:tc>
        <w:tc>
          <w:tcPr>
            <w:tcW w:w="6236" w:type="dxa"/>
          </w:tcPr>
          <w:p w14:paraId="7BEE1198" w14:textId="77777777" w:rsidR="00D855E2" w:rsidRPr="00A80B85" w:rsidRDefault="00D855E2" w:rsidP="00A80B85">
            <w:pPr>
              <w:pStyle w:val="TekstTabeli"/>
              <w:keepNext/>
              <w:rPr>
                <w:b/>
                <w:bCs w:val="0"/>
                <w:lang w:val="pl-PL"/>
              </w:rPr>
            </w:pPr>
            <w:r w:rsidRPr="00A80B85">
              <w:rPr>
                <w:b/>
                <w:bCs w:val="0"/>
                <w:lang w:val="pl-PL"/>
              </w:rPr>
              <w:t>Nazwa miernika</w:t>
            </w:r>
          </w:p>
        </w:tc>
      </w:tr>
      <w:tr w:rsidR="00D855E2" w:rsidRPr="00233788" w14:paraId="22AE4342" w14:textId="77777777" w:rsidTr="0058350A">
        <w:trPr>
          <w:cantSplit/>
        </w:trPr>
        <w:tc>
          <w:tcPr>
            <w:tcW w:w="2835" w:type="dxa"/>
          </w:tcPr>
          <w:p w14:paraId="705FA68D" w14:textId="6A6A3401" w:rsidR="00D855E2" w:rsidRPr="00233788" w:rsidRDefault="00D855E2" w:rsidP="00A80B85">
            <w:pPr>
              <w:pStyle w:val="TekstTabeli"/>
              <w:rPr>
                <w:lang w:val="pl-PL"/>
              </w:rPr>
            </w:pPr>
            <w:r w:rsidRPr="00233788">
              <w:rPr>
                <w:lang w:val="pl-PL"/>
              </w:rPr>
              <w:t>Mierniki efektów ekonomicznych</w:t>
            </w:r>
          </w:p>
        </w:tc>
        <w:tc>
          <w:tcPr>
            <w:tcW w:w="6236" w:type="dxa"/>
          </w:tcPr>
          <w:p w14:paraId="709FF814" w14:textId="29A1F2D3" w:rsidR="00575477" w:rsidRDefault="00575477" w:rsidP="00A80B85">
            <w:pPr>
              <w:pStyle w:val="TekstTabeli"/>
              <w:rPr>
                <w:lang w:val="pl-PL"/>
              </w:rPr>
            </w:pPr>
            <w:r>
              <w:rPr>
                <w:lang w:val="pl-PL"/>
              </w:rPr>
              <w:t>dochody uczelni</w:t>
            </w:r>
            <w:r w:rsidR="0058350A">
              <w:rPr>
                <w:lang w:val="pl-PL"/>
              </w:rPr>
              <w:t>;</w:t>
            </w:r>
          </w:p>
          <w:p w14:paraId="20857127" w14:textId="425D1421" w:rsidR="00D855E2" w:rsidRPr="00233788" w:rsidRDefault="00D855E2" w:rsidP="00A80B85">
            <w:pPr>
              <w:pStyle w:val="TekstTabeli"/>
              <w:rPr>
                <w:lang w:val="pl-PL"/>
              </w:rPr>
            </w:pPr>
            <w:r w:rsidRPr="00233788">
              <w:rPr>
                <w:lang w:val="pl-PL"/>
              </w:rPr>
              <w:t>liczba doktorantów przypadających na 1 samodzielnego pracownika naukowo-dydaktycznego</w:t>
            </w:r>
            <w:r w:rsidR="0058350A">
              <w:rPr>
                <w:lang w:val="pl-PL"/>
              </w:rPr>
              <w:t>;</w:t>
            </w:r>
          </w:p>
          <w:p w14:paraId="3A529772" w14:textId="07DA1E71" w:rsidR="00D855E2" w:rsidRPr="00233788" w:rsidRDefault="00D855E2" w:rsidP="00A80B85">
            <w:pPr>
              <w:pStyle w:val="TekstTabeli"/>
              <w:rPr>
                <w:lang w:val="pl-PL"/>
              </w:rPr>
            </w:pPr>
            <w:r w:rsidRPr="00233788">
              <w:rPr>
                <w:lang w:val="pl-PL"/>
              </w:rPr>
              <w:t xml:space="preserve">kwota dotacji przypadająca na 1 </w:t>
            </w:r>
            <w:r w:rsidR="00575477">
              <w:rPr>
                <w:lang w:val="pl-PL"/>
              </w:rPr>
              <w:t>studenta</w:t>
            </w:r>
            <w:r w:rsidR="00575477" w:rsidRPr="00233788">
              <w:rPr>
                <w:lang w:val="pl-PL"/>
              </w:rPr>
              <w:t xml:space="preserve"> </w:t>
            </w:r>
            <w:r w:rsidR="00575477">
              <w:rPr>
                <w:lang w:val="pl-PL"/>
              </w:rPr>
              <w:t xml:space="preserve">lub </w:t>
            </w:r>
            <w:r w:rsidR="00575477" w:rsidRPr="00233788">
              <w:rPr>
                <w:lang w:val="pl-PL"/>
              </w:rPr>
              <w:t>doktoranta</w:t>
            </w:r>
            <w:r w:rsidR="0058350A">
              <w:rPr>
                <w:lang w:val="pl-PL"/>
              </w:rPr>
              <w:t>;</w:t>
            </w:r>
          </w:p>
          <w:p w14:paraId="58451B94" w14:textId="70892701" w:rsidR="00D855E2" w:rsidRPr="00233788" w:rsidRDefault="00D855E2" w:rsidP="00A80B85">
            <w:pPr>
              <w:pStyle w:val="TekstTabeli"/>
              <w:rPr>
                <w:lang w:val="pl-PL"/>
              </w:rPr>
            </w:pPr>
            <w:r w:rsidRPr="00233788">
              <w:rPr>
                <w:lang w:val="pl-PL"/>
              </w:rPr>
              <w:t>kwota pozyskanych grantów badawczych</w:t>
            </w:r>
            <w:r w:rsidR="0058350A">
              <w:rPr>
                <w:lang w:val="pl-PL"/>
              </w:rPr>
              <w:t>;</w:t>
            </w:r>
          </w:p>
          <w:p w14:paraId="7B09AA35" w14:textId="16BD93CF" w:rsidR="00D855E2" w:rsidRDefault="00D855E2" w:rsidP="00A80B85">
            <w:pPr>
              <w:pStyle w:val="TekstTabeli"/>
              <w:rPr>
                <w:lang w:val="pl-PL"/>
              </w:rPr>
            </w:pPr>
            <w:r w:rsidRPr="00233788">
              <w:rPr>
                <w:lang w:val="pl-PL"/>
              </w:rPr>
              <w:t>wartość realizowanych projektów rozwojowych uczelni</w:t>
            </w:r>
            <w:r w:rsidR="0058350A">
              <w:rPr>
                <w:lang w:val="pl-PL"/>
              </w:rPr>
              <w:t>;</w:t>
            </w:r>
          </w:p>
          <w:p w14:paraId="6E3FDA80" w14:textId="75339BF5" w:rsidR="00575477" w:rsidRPr="00233788" w:rsidRDefault="00575477" w:rsidP="00575477">
            <w:pPr>
              <w:pStyle w:val="TekstTabeli"/>
              <w:keepNext/>
              <w:rPr>
                <w:lang w:val="pl-PL"/>
              </w:rPr>
            </w:pPr>
            <w:r>
              <w:rPr>
                <w:lang w:val="pl-PL"/>
              </w:rPr>
              <w:t>ilość funduszy pozyskanych w ramach inwestycji</w:t>
            </w:r>
            <w:r w:rsidR="0058350A">
              <w:rPr>
                <w:lang w:val="pl-PL"/>
              </w:rPr>
              <w:t>;</w:t>
            </w:r>
          </w:p>
        </w:tc>
      </w:tr>
      <w:tr w:rsidR="00575477" w:rsidRPr="00233788" w14:paraId="437AEB47" w14:textId="77777777" w:rsidTr="0058350A">
        <w:trPr>
          <w:cantSplit/>
        </w:trPr>
        <w:tc>
          <w:tcPr>
            <w:tcW w:w="2835" w:type="dxa"/>
          </w:tcPr>
          <w:p w14:paraId="491F1781" w14:textId="03208935" w:rsidR="00575477" w:rsidRPr="00575477" w:rsidRDefault="00575477" w:rsidP="00A80B85">
            <w:pPr>
              <w:pStyle w:val="TekstTabeli"/>
              <w:rPr>
                <w:lang w:val="pl-PL"/>
              </w:rPr>
            </w:pPr>
            <w:r w:rsidRPr="00575477">
              <w:rPr>
                <w:lang w:val="pl-PL"/>
              </w:rPr>
              <w:t>Mierniki związane z wdrożeniami o</w:t>
            </w:r>
            <w:r>
              <w:rPr>
                <w:lang w:val="pl-PL"/>
              </w:rPr>
              <w:t>dkryć naukowych</w:t>
            </w:r>
          </w:p>
        </w:tc>
        <w:tc>
          <w:tcPr>
            <w:tcW w:w="6236" w:type="dxa"/>
          </w:tcPr>
          <w:p w14:paraId="6FE4D3F4" w14:textId="1DA191C7" w:rsidR="00575477" w:rsidRPr="00233788" w:rsidRDefault="00575477" w:rsidP="00575477">
            <w:pPr>
              <w:pStyle w:val="TekstTabeli"/>
              <w:rPr>
                <w:lang w:val="pl-PL"/>
              </w:rPr>
            </w:pPr>
            <w:r w:rsidRPr="00233788">
              <w:rPr>
                <w:lang w:val="pl-PL"/>
              </w:rPr>
              <w:t>liczba zgłoszonych patentów</w:t>
            </w:r>
            <w:r w:rsidR="0058350A">
              <w:rPr>
                <w:lang w:val="pl-PL"/>
              </w:rPr>
              <w:t>;</w:t>
            </w:r>
          </w:p>
          <w:p w14:paraId="38A426F3" w14:textId="07E2F778" w:rsidR="00575477" w:rsidRPr="00233788" w:rsidRDefault="00575477" w:rsidP="00575477">
            <w:pPr>
              <w:pStyle w:val="TekstTabeli"/>
              <w:rPr>
                <w:lang w:val="pl-PL"/>
              </w:rPr>
            </w:pPr>
            <w:r w:rsidRPr="00233788">
              <w:rPr>
                <w:lang w:val="pl-PL"/>
              </w:rPr>
              <w:t>liczba przyjętych zgłoszeń patentowych</w:t>
            </w:r>
            <w:r w:rsidR="0058350A">
              <w:rPr>
                <w:lang w:val="pl-PL"/>
              </w:rPr>
              <w:t>;</w:t>
            </w:r>
          </w:p>
          <w:p w14:paraId="08620882" w14:textId="0F6A52F2" w:rsidR="00575477" w:rsidRDefault="00575477" w:rsidP="00A80B85">
            <w:pPr>
              <w:pStyle w:val="TekstTabeli"/>
              <w:rPr>
                <w:lang w:val="pl-PL"/>
              </w:rPr>
            </w:pPr>
            <w:r>
              <w:rPr>
                <w:lang w:val="pl-PL"/>
              </w:rPr>
              <w:t xml:space="preserve">przychody firm </w:t>
            </w:r>
            <w:proofErr w:type="spellStart"/>
            <w:r>
              <w:rPr>
                <w:lang w:val="pl-PL"/>
              </w:rPr>
              <w:t>spin</w:t>
            </w:r>
            <w:proofErr w:type="spellEnd"/>
            <w:r>
              <w:rPr>
                <w:lang w:val="pl-PL"/>
              </w:rPr>
              <w:t>-off z produktów opracowanych w efekcie prowadzonych badań</w:t>
            </w:r>
            <w:r w:rsidR="0058350A">
              <w:rPr>
                <w:lang w:val="pl-PL"/>
              </w:rPr>
              <w:t>;</w:t>
            </w:r>
          </w:p>
          <w:p w14:paraId="48D58C79" w14:textId="077A0C2B" w:rsidR="00575477" w:rsidRPr="00575477" w:rsidRDefault="00575477" w:rsidP="00A80B85">
            <w:pPr>
              <w:pStyle w:val="TekstTabeli"/>
              <w:rPr>
                <w:lang w:val="pl-PL"/>
              </w:rPr>
            </w:pPr>
            <w:r>
              <w:rPr>
                <w:lang w:val="pl-PL"/>
              </w:rPr>
              <w:t>przychody z tytułu praw patentowych</w:t>
            </w:r>
            <w:r w:rsidR="0058350A">
              <w:rPr>
                <w:lang w:val="pl-PL"/>
              </w:rPr>
              <w:t>;</w:t>
            </w:r>
          </w:p>
        </w:tc>
      </w:tr>
      <w:tr w:rsidR="00D855E2" w:rsidRPr="00233788" w14:paraId="796408EC" w14:textId="77777777" w:rsidTr="0058350A">
        <w:trPr>
          <w:cantSplit/>
        </w:trPr>
        <w:tc>
          <w:tcPr>
            <w:tcW w:w="2835" w:type="dxa"/>
          </w:tcPr>
          <w:p w14:paraId="2E5C8EEA" w14:textId="525C90A8" w:rsidR="00D855E2" w:rsidRPr="00233788" w:rsidRDefault="00D855E2" w:rsidP="00A80B85">
            <w:pPr>
              <w:pStyle w:val="TekstTabeli"/>
              <w:rPr>
                <w:lang w:val="pl-PL"/>
              </w:rPr>
            </w:pPr>
            <w:r w:rsidRPr="00233788">
              <w:rPr>
                <w:lang w:val="pl-PL"/>
              </w:rPr>
              <w:t>Mierniki efektów organizacyjnych</w:t>
            </w:r>
          </w:p>
        </w:tc>
        <w:tc>
          <w:tcPr>
            <w:tcW w:w="6236" w:type="dxa"/>
          </w:tcPr>
          <w:p w14:paraId="04A99C07" w14:textId="35F3309A" w:rsidR="00575477" w:rsidRDefault="00575477" w:rsidP="00A80B85">
            <w:pPr>
              <w:pStyle w:val="TekstTabeli"/>
              <w:rPr>
                <w:lang w:val="pl-PL"/>
              </w:rPr>
            </w:pPr>
            <w:r w:rsidRPr="00233788">
              <w:rPr>
                <w:lang w:val="pl-PL"/>
              </w:rPr>
              <w:t xml:space="preserve">liczba </w:t>
            </w:r>
            <w:r>
              <w:rPr>
                <w:lang w:val="pl-PL"/>
              </w:rPr>
              <w:t>studentów lub doktorantów</w:t>
            </w:r>
            <w:r w:rsidRPr="00233788">
              <w:rPr>
                <w:lang w:val="pl-PL"/>
              </w:rPr>
              <w:t xml:space="preserve"> przypadających na 1 samodzielnego pracownika naukowo-dydaktycznego</w:t>
            </w:r>
            <w:r>
              <w:rPr>
                <w:lang w:val="pl-PL"/>
              </w:rPr>
              <w:t xml:space="preserve"> lub dydaktycznego</w:t>
            </w:r>
            <w:r w:rsidR="0058350A">
              <w:rPr>
                <w:lang w:val="pl-PL"/>
              </w:rPr>
              <w:t>;</w:t>
            </w:r>
          </w:p>
          <w:p w14:paraId="2FE37336" w14:textId="7F0C64A0" w:rsidR="00D855E2" w:rsidRPr="00233788" w:rsidRDefault="00D855E2" w:rsidP="00A80B85">
            <w:pPr>
              <w:pStyle w:val="TekstTabeli"/>
              <w:rPr>
                <w:lang w:val="pl-PL"/>
              </w:rPr>
            </w:pPr>
            <w:r w:rsidRPr="00233788">
              <w:rPr>
                <w:lang w:val="pl-PL"/>
              </w:rPr>
              <w:t xml:space="preserve">liczba samodzielnych pracowników </w:t>
            </w:r>
            <w:r w:rsidR="00575477">
              <w:rPr>
                <w:lang w:val="pl-PL"/>
              </w:rPr>
              <w:t xml:space="preserve">naukowych lub </w:t>
            </w:r>
            <w:r w:rsidRPr="00233788">
              <w:rPr>
                <w:lang w:val="pl-PL"/>
              </w:rPr>
              <w:t>naukowo-dydaktycznych</w:t>
            </w:r>
            <w:r w:rsidR="00575477">
              <w:rPr>
                <w:lang w:val="pl-PL"/>
              </w:rPr>
              <w:t xml:space="preserve"> lub dydaktycznych</w:t>
            </w:r>
            <w:r w:rsidR="0058350A">
              <w:rPr>
                <w:lang w:val="pl-PL"/>
              </w:rPr>
              <w:t>;</w:t>
            </w:r>
          </w:p>
          <w:p w14:paraId="43C7AE0B" w14:textId="5D44090A" w:rsidR="00D855E2" w:rsidRPr="00233788" w:rsidRDefault="00D855E2" w:rsidP="00A80B85">
            <w:pPr>
              <w:pStyle w:val="TekstTabeli"/>
              <w:rPr>
                <w:lang w:val="pl-PL"/>
              </w:rPr>
            </w:pPr>
            <w:r w:rsidRPr="00233788">
              <w:rPr>
                <w:lang w:val="pl-PL"/>
              </w:rPr>
              <w:t>stosunek liczby nauczycieli do liczby studentów/doktorantów</w:t>
            </w:r>
            <w:r w:rsidR="0058350A">
              <w:rPr>
                <w:lang w:val="pl-PL"/>
              </w:rPr>
              <w:t>;</w:t>
            </w:r>
          </w:p>
          <w:p w14:paraId="5E6CA427" w14:textId="75331548" w:rsidR="00D855E2" w:rsidRPr="00233788" w:rsidRDefault="00D855E2" w:rsidP="00A80B85">
            <w:pPr>
              <w:pStyle w:val="TekstTabeli"/>
              <w:rPr>
                <w:lang w:val="pl-PL"/>
              </w:rPr>
            </w:pPr>
            <w:r w:rsidRPr="00233788">
              <w:rPr>
                <w:lang w:val="pl-PL"/>
              </w:rPr>
              <w:t>wielkość grup</w:t>
            </w:r>
            <w:r w:rsidR="002C4BC2">
              <w:rPr>
                <w:lang w:val="pl-PL"/>
              </w:rPr>
              <w:t xml:space="preserve"> studenckich</w:t>
            </w:r>
            <w:r w:rsidR="0058350A">
              <w:rPr>
                <w:lang w:val="pl-PL"/>
              </w:rPr>
              <w:t>;</w:t>
            </w:r>
          </w:p>
          <w:p w14:paraId="7673092F" w14:textId="3C817ACB" w:rsidR="00D855E2" w:rsidRDefault="00D855E2" w:rsidP="00A80B85">
            <w:pPr>
              <w:pStyle w:val="TekstTabeli"/>
              <w:rPr>
                <w:lang w:val="pl-PL"/>
              </w:rPr>
            </w:pPr>
            <w:r w:rsidRPr="00233788">
              <w:rPr>
                <w:lang w:val="pl-PL"/>
              </w:rPr>
              <w:t>liczba pracowników administracji przypadająca na 1 pracownika naukowo-dydaktycznego</w:t>
            </w:r>
            <w:r w:rsidR="0058350A">
              <w:rPr>
                <w:lang w:val="pl-PL"/>
              </w:rPr>
              <w:t>;</w:t>
            </w:r>
          </w:p>
          <w:p w14:paraId="6B2EB1B3" w14:textId="4E5095DC" w:rsidR="00575477" w:rsidRPr="00233788" w:rsidRDefault="00575477" w:rsidP="00575477">
            <w:pPr>
              <w:pStyle w:val="TekstTabeli"/>
              <w:keepNext/>
              <w:rPr>
                <w:lang w:val="pl-PL"/>
              </w:rPr>
            </w:pPr>
            <w:r>
              <w:rPr>
                <w:lang w:val="pl-PL"/>
              </w:rPr>
              <w:t>wskaźniki proporcji różnych grup wśród ogółu pracowników (administracyjni, naukowych, naukowo-dydaktyczni, dydaktyczni)</w:t>
            </w:r>
            <w:r w:rsidR="0058350A">
              <w:rPr>
                <w:lang w:val="pl-PL"/>
              </w:rPr>
              <w:t>;</w:t>
            </w:r>
          </w:p>
        </w:tc>
      </w:tr>
      <w:tr w:rsidR="00D855E2" w:rsidRPr="00233788" w14:paraId="11CB2200" w14:textId="77777777" w:rsidTr="0058350A">
        <w:trPr>
          <w:cantSplit/>
        </w:trPr>
        <w:tc>
          <w:tcPr>
            <w:tcW w:w="2835" w:type="dxa"/>
          </w:tcPr>
          <w:p w14:paraId="4CB7C647" w14:textId="44267032" w:rsidR="00D855E2" w:rsidRPr="00233788" w:rsidRDefault="00D855E2" w:rsidP="00A80B85">
            <w:pPr>
              <w:pStyle w:val="TekstTabeli"/>
              <w:rPr>
                <w:lang w:val="pl-PL"/>
              </w:rPr>
            </w:pPr>
            <w:r w:rsidRPr="00233788">
              <w:rPr>
                <w:lang w:val="pl-PL"/>
              </w:rPr>
              <w:t>Mierniki odnoszące się do infrastruktury</w:t>
            </w:r>
          </w:p>
        </w:tc>
        <w:tc>
          <w:tcPr>
            <w:tcW w:w="6236" w:type="dxa"/>
          </w:tcPr>
          <w:p w14:paraId="3290FB7D" w14:textId="719BCC29" w:rsidR="00575477" w:rsidRPr="00233788" w:rsidRDefault="00575477" w:rsidP="00575477">
            <w:pPr>
              <w:pStyle w:val="TekstTabeli"/>
              <w:rPr>
                <w:lang w:val="pl-PL"/>
              </w:rPr>
            </w:pPr>
            <w:r w:rsidRPr="00233788">
              <w:rPr>
                <w:lang w:val="pl-PL"/>
              </w:rPr>
              <w:t>baza dydaktyczna i administracyjna</w:t>
            </w:r>
            <w:r w:rsidR="0058350A">
              <w:rPr>
                <w:lang w:val="pl-PL"/>
              </w:rPr>
              <w:t>;</w:t>
            </w:r>
          </w:p>
          <w:p w14:paraId="38372B90" w14:textId="326A10BF" w:rsidR="00D855E2" w:rsidRDefault="00575477" w:rsidP="00A80B85">
            <w:pPr>
              <w:pStyle w:val="TekstTabeli"/>
              <w:rPr>
                <w:lang w:val="pl-PL"/>
              </w:rPr>
            </w:pPr>
            <w:r>
              <w:rPr>
                <w:lang w:val="pl-PL"/>
              </w:rPr>
              <w:t xml:space="preserve">czas potrzebny na przemieszczanie się w ramach </w:t>
            </w:r>
            <w:r w:rsidR="0058350A">
              <w:rPr>
                <w:lang w:val="pl-PL"/>
              </w:rPr>
              <w:t>miejsc odbywania zajęć;</w:t>
            </w:r>
          </w:p>
          <w:p w14:paraId="0FD98F34" w14:textId="7532E7BB" w:rsidR="0058350A" w:rsidRDefault="0058350A" w:rsidP="00A80B85">
            <w:pPr>
              <w:pStyle w:val="TekstTabeli"/>
              <w:rPr>
                <w:lang w:val="pl-PL"/>
              </w:rPr>
            </w:pPr>
            <w:r>
              <w:rPr>
                <w:lang w:val="pl-PL"/>
              </w:rPr>
              <w:t>liczba dostępnych miejsc w akademikach;</w:t>
            </w:r>
          </w:p>
          <w:p w14:paraId="413E6590" w14:textId="0B526E67" w:rsidR="0058350A" w:rsidRPr="00233788" w:rsidRDefault="0058350A" w:rsidP="0058350A">
            <w:pPr>
              <w:pStyle w:val="TekstTabeli"/>
              <w:rPr>
                <w:lang w:val="pl-PL"/>
              </w:rPr>
            </w:pPr>
            <w:r>
              <w:rPr>
                <w:lang w:val="pl-PL"/>
              </w:rPr>
              <w:t>skomunikowanie kampusu (infrastruktury) uczelni z istotnymi dla interesariuszy miejscami;</w:t>
            </w:r>
          </w:p>
        </w:tc>
      </w:tr>
      <w:tr w:rsidR="00D855E2" w:rsidRPr="00233788" w14:paraId="750A6FAE" w14:textId="77777777" w:rsidTr="0058350A">
        <w:trPr>
          <w:cantSplit/>
        </w:trPr>
        <w:tc>
          <w:tcPr>
            <w:tcW w:w="2835" w:type="dxa"/>
          </w:tcPr>
          <w:p w14:paraId="23DC8558" w14:textId="11AB0EF9" w:rsidR="00D855E2" w:rsidRPr="00233788" w:rsidRDefault="00D855E2" w:rsidP="00A80B85">
            <w:pPr>
              <w:pStyle w:val="TekstTabeli"/>
              <w:rPr>
                <w:lang w:val="pl-PL"/>
              </w:rPr>
            </w:pPr>
            <w:r w:rsidRPr="00233788">
              <w:rPr>
                <w:lang w:val="pl-PL"/>
              </w:rPr>
              <w:t>Mierniki odnoszące się do efektów dla interesariuszy</w:t>
            </w:r>
          </w:p>
        </w:tc>
        <w:tc>
          <w:tcPr>
            <w:tcW w:w="6236" w:type="dxa"/>
          </w:tcPr>
          <w:p w14:paraId="5DF43711" w14:textId="71790556" w:rsidR="00D855E2" w:rsidRPr="00233788" w:rsidRDefault="00D855E2" w:rsidP="00A80B85">
            <w:pPr>
              <w:pStyle w:val="TekstTabeli"/>
              <w:rPr>
                <w:lang w:val="pl-PL"/>
              </w:rPr>
            </w:pPr>
            <w:r w:rsidRPr="00233788">
              <w:rPr>
                <w:lang w:val="pl-PL"/>
              </w:rPr>
              <w:t>zatrudnialność absolwentów</w:t>
            </w:r>
            <w:r w:rsidR="0058350A">
              <w:rPr>
                <w:lang w:val="pl-PL"/>
              </w:rPr>
              <w:t>;</w:t>
            </w:r>
          </w:p>
          <w:p w14:paraId="7CF1668E" w14:textId="75271F97" w:rsidR="00D855E2" w:rsidRPr="00233788" w:rsidRDefault="00D855E2" w:rsidP="00A80B85">
            <w:pPr>
              <w:pStyle w:val="TekstTabeli"/>
              <w:rPr>
                <w:lang w:val="pl-PL"/>
              </w:rPr>
            </w:pPr>
            <w:r w:rsidRPr="00233788">
              <w:rPr>
                <w:lang w:val="pl-PL"/>
              </w:rPr>
              <w:t>zdawalność egzaminów zewnętrznych</w:t>
            </w:r>
            <w:r w:rsidR="0058350A">
              <w:rPr>
                <w:lang w:val="pl-PL"/>
              </w:rPr>
              <w:t>;</w:t>
            </w:r>
          </w:p>
          <w:p w14:paraId="53F85E8E" w14:textId="4052BBAE" w:rsidR="00D855E2" w:rsidRPr="00233788" w:rsidRDefault="00D855E2" w:rsidP="00A80B85">
            <w:pPr>
              <w:pStyle w:val="TekstTabeli"/>
              <w:rPr>
                <w:lang w:val="pl-PL"/>
              </w:rPr>
            </w:pPr>
            <w:r w:rsidRPr="00233788">
              <w:rPr>
                <w:lang w:val="pl-PL"/>
              </w:rPr>
              <w:t>przyrost wynagrodzenia absolwentów</w:t>
            </w:r>
            <w:r w:rsidR="0058350A">
              <w:rPr>
                <w:lang w:val="pl-PL"/>
              </w:rPr>
              <w:t>;</w:t>
            </w:r>
          </w:p>
          <w:p w14:paraId="7A5048EC" w14:textId="5A3F2691" w:rsidR="00D855E2" w:rsidRPr="00233788" w:rsidRDefault="00D855E2" w:rsidP="00A80B85">
            <w:pPr>
              <w:pStyle w:val="TekstTabeli"/>
              <w:rPr>
                <w:lang w:val="pl-PL"/>
              </w:rPr>
            </w:pPr>
            <w:r w:rsidRPr="00233788">
              <w:rPr>
                <w:lang w:val="pl-PL"/>
              </w:rPr>
              <w:t>liczba noblistów wśród absolwentów</w:t>
            </w:r>
            <w:r w:rsidR="0058350A">
              <w:rPr>
                <w:lang w:val="pl-PL"/>
              </w:rPr>
              <w:t>;</w:t>
            </w:r>
          </w:p>
        </w:tc>
      </w:tr>
      <w:tr w:rsidR="00D855E2" w:rsidRPr="00233788" w14:paraId="64146557" w14:textId="77777777" w:rsidTr="0058350A">
        <w:trPr>
          <w:cantSplit/>
        </w:trPr>
        <w:tc>
          <w:tcPr>
            <w:tcW w:w="2835" w:type="dxa"/>
          </w:tcPr>
          <w:p w14:paraId="2E5ECC9A" w14:textId="6F96ABF3" w:rsidR="00D855E2" w:rsidRPr="00233788" w:rsidRDefault="00D855E2" w:rsidP="00A80B85">
            <w:pPr>
              <w:pStyle w:val="TekstTabeli"/>
              <w:rPr>
                <w:lang w:val="pl-PL"/>
              </w:rPr>
            </w:pPr>
            <w:r w:rsidRPr="00233788">
              <w:rPr>
                <w:lang w:val="pl-PL"/>
              </w:rPr>
              <w:t xml:space="preserve">Mierniki odnoszące się do popularności </w:t>
            </w:r>
            <w:r w:rsidR="0040437F">
              <w:rPr>
                <w:lang w:val="pl-PL"/>
              </w:rPr>
              <w:t>uczelni</w:t>
            </w:r>
            <w:r w:rsidRPr="00233788">
              <w:rPr>
                <w:lang w:val="pl-PL"/>
              </w:rPr>
              <w:t xml:space="preserve"> w Internecie</w:t>
            </w:r>
          </w:p>
        </w:tc>
        <w:tc>
          <w:tcPr>
            <w:tcW w:w="6236" w:type="dxa"/>
          </w:tcPr>
          <w:p w14:paraId="56691D9D" w14:textId="7FC38B41" w:rsidR="00D855E2" w:rsidRDefault="0058350A" w:rsidP="00A80B85">
            <w:pPr>
              <w:pStyle w:val="TekstTabeli"/>
              <w:rPr>
                <w:lang w:val="pl-PL"/>
              </w:rPr>
            </w:pPr>
            <w:r>
              <w:rPr>
                <w:lang w:val="pl-PL"/>
              </w:rPr>
              <w:t>liczba subskrybentów w mediach społecznościowych;</w:t>
            </w:r>
          </w:p>
          <w:p w14:paraId="2E62E610" w14:textId="77777777" w:rsidR="0058350A" w:rsidRDefault="0058350A" w:rsidP="00A80B85">
            <w:pPr>
              <w:pStyle w:val="TekstTabeli"/>
              <w:rPr>
                <w:lang w:val="pl-PL"/>
              </w:rPr>
            </w:pPr>
            <w:r>
              <w:rPr>
                <w:lang w:val="pl-PL"/>
              </w:rPr>
              <w:t>liczba wyświetleń materiałów publikowanych przez uczelnię i jej pracowników oraz studentów;</w:t>
            </w:r>
          </w:p>
          <w:p w14:paraId="05DC00B9" w14:textId="6A4083E9" w:rsidR="0058350A" w:rsidRPr="00233788" w:rsidRDefault="00AE7E6F" w:rsidP="00A80B85">
            <w:pPr>
              <w:pStyle w:val="TekstTabeli"/>
              <w:rPr>
                <w:lang w:val="pl-PL"/>
              </w:rPr>
            </w:pPr>
            <w:r>
              <w:rPr>
                <w:lang w:val="pl-PL"/>
              </w:rPr>
              <w:t>liczba stron zawierających linki do stron uczelni (narzędzia analizy SEO);</w:t>
            </w:r>
          </w:p>
        </w:tc>
      </w:tr>
      <w:tr w:rsidR="00D855E2" w:rsidRPr="00233788" w14:paraId="0927E414" w14:textId="77777777" w:rsidTr="0058350A">
        <w:trPr>
          <w:cantSplit/>
        </w:trPr>
        <w:tc>
          <w:tcPr>
            <w:tcW w:w="2835" w:type="dxa"/>
          </w:tcPr>
          <w:p w14:paraId="7D8093EB" w14:textId="77777777" w:rsidR="00D855E2" w:rsidRPr="00233788" w:rsidRDefault="00D855E2" w:rsidP="00A80B85">
            <w:pPr>
              <w:pStyle w:val="TekstTabeli"/>
              <w:rPr>
                <w:lang w:val="pl-PL"/>
              </w:rPr>
            </w:pPr>
            <w:r w:rsidRPr="00233788">
              <w:rPr>
                <w:lang w:val="pl-PL"/>
              </w:rPr>
              <w:t>Mierniki procesów kształcenia</w:t>
            </w:r>
          </w:p>
        </w:tc>
        <w:tc>
          <w:tcPr>
            <w:tcW w:w="6236" w:type="dxa"/>
          </w:tcPr>
          <w:p w14:paraId="48B78BFE" w14:textId="6C487F43" w:rsidR="00D855E2" w:rsidRPr="00233788" w:rsidRDefault="00D855E2" w:rsidP="00A80B85">
            <w:pPr>
              <w:pStyle w:val="TekstTabeli"/>
              <w:rPr>
                <w:lang w:val="pl-PL"/>
              </w:rPr>
            </w:pPr>
            <w:r w:rsidRPr="00233788">
              <w:rPr>
                <w:lang w:val="pl-PL"/>
              </w:rPr>
              <w:t>poziom realizacji określonych efektów kształcenia (wiedza, umiejętności, kompetencje społeczne)</w:t>
            </w:r>
            <w:r w:rsidR="0058350A">
              <w:rPr>
                <w:lang w:val="pl-PL"/>
              </w:rPr>
              <w:t>;</w:t>
            </w:r>
          </w:p>
          <w:p w14:paraId="2FF249D6" w14:textId="196AA1B6" w:rsidR="00D855E2" w:rsidRDefault="00D855E2" w:rsidP="00A80B85">
            <w:pPr>
              <w:pStyle w:val="TekstTabeli"/>
              <w:rPr>
                <w:lang w:val="pl-PL"/>
              </w:rPr>
            </w:pPr>
            <w:r w:rsidRPr="00233788">
              <w:rPr>
                <w:lang w:val="pl-PL"/>
              </w:rPr>
              <w:t>ocena zajęć</w:t>
            </w:r>
            <w:r w:rsidR="0058350A">
              <w:rPr>
                <w:lang w:val="pl-PL"/>
              </w:rPr>
              <w:t xml:space="preserve"> i prowadzących przedmioty;</w:t>
            </w:r>
          </w:p>
          <w:p w14:paraId="7D0755E7" w14:textId="2ACA922B" w:rsidR="0058350A" w:rsidRDefault="0058350A" w:rsidP="0058350A">
            <w:pPr>
              <w:pStyle w:val="TekstTabeli"/>
              <w:keepNext/>
              <w:rPr>
                <w:lang w:val="pl-PL"/>
              </w:rPr>
            </w:pPr>
            <w:r>
              <w:rPr>
                <w:lang w:val="pl-PL"/>
              </w:rPr>
              <w:t>poziom kwalifikacji kadry nauczającej (różne ujęcia);</w:t>
            </w:r>
          </w:p>
          <w:p w14:paraId="588BE047" w14:textId="3856474D" w:rsidR="0058350A" w:rsidRPr="00233788" w:rsidRDefault="0058350A" w:rsidP="0058350A">
            <w:pPr>
              <w:pStyle w:val="TekstTabeli"/>
              <w:keepNext/>
              <w:rPr>
                <w:lang w:val="pl-PL"/>
              </w:rPr>
            </w:pPr>
            <w:r>
              <w:rPr>
                <w:lang w:val="pl-PL"/>
              </w:rPr>
              <w:t>wskaźnik akredytacji kierunków studiów (np. akredytacje nieobligatoryjne);</w:t>
            </w:r>
          </w:p>
        </w:tc>
      </w:tr>
      <w:tr w:rsidR="00D855E2" w:rsidRPr="00233788" w14:paraId="1354C7B1" w14:textId="77777777" w:rsidTr="0058350A">
        <w:trPr>
          <w:cantSplit/>
        </w:trPr>
        <w:tc>
          <w:tcPr>
            <w:tcW w:w="2835" w:type="dxa"/>
          </w:tcPr>
          <w:p w14:paraId="5A659666" w14:textId="77777777" w:rsidR="00D855E2" w:rsidRPr="00233788" w:rsidRDefault="00D855E2" w:rsidP="00A80B85">
            <w:pPr>
              <w:pStyle w:val="TekstTabeli"/>
              <w:rPr>
                <w:lang w:val="pl-PL"/>
              </w:rPr>
            </w:pPr>
            <w:r w:rsidRPr="00233788">
              <w:rPr>
                <w:lang w:val="pl-PL"/>
              </w:rPr>
              <w:t>Mierniki poziomu naukowego jednostki</w:t>
            </w:r>
          </w:p>
        </w:tc>
        <w:tc>
          <w:tcPr>
            <w:tcW w:w="6236" w:type="dxa"/>
          </w:tcPr>
          <w:p w14:paraId="0647BDAC" w14:textId="5051DBE1" w:rsidR="00D855E2" w:rsidRPr="00233788" w:rsidRDefault="00D855E2" w:rsidP="00A80B85">
            <w:pPr>
              <w:pStyle w:val="TekstTabeli"/>
              <w:rPr>
                <w:lang w:val="pl-PL"/>
              </w:rPr>
            </w:pPr>
            <w:r w:rsidRPr="00233788">
              <w:rPr>
                <w:lang w:val="pl-PL"/>
              </w:rPr>
              <w:t xml:space="preserve">liczba i </w:t>
            </w:r>
            <w:proofErr w:type="spellStart"/>
            <w:r w:rsidRPr="00233788">
              <w:rPr>
                <w:lang w:val="pl-PL"/>
              </w:rPr>
              <w:t>cytowalność</w:t>
            </w:r>
            <w:proofErr w:type="spellEnd"/>
            <w:r w:rsidRPr="00233788">
              <w:rPr>
                <w:lang w:val="pl-PL"/>
              </w:rPr>
              <w:t xml:space="preserve"> publikacji </w:t>
            </w:r>
            <w:r w:rsidR="0058350A">
              <w:rPr>
                <w:lang w:val="pl-PL"/>
              </w:rPr>
              <w:t>pracowników i studentów uczelni (różne narzędzia);</w:t>
            </w:r>
          </w:p>
          <w:p w14:paraId="09441135" w14:textId="70338D5E" w:rsidR="00D855E2" w:rsidRPr="00233788" w:rsidRDefault="00D855E2" w:rsidP="00A80B85">
            <w:pPr>
              <w:pStyle w:val="TekstTabeli"/>
              <w:rPr>
                <w:lang w:val="pl-PL"/>
              </w:rPr>
            </w:pPr>
            <w:r w:rsidRPr="00233788">
              <w:rPr>
                <w:lang w:val="pl-PL"/>
              </w:rPr>
              <w:t xml:space="preserve">liczba noblistów </w:t>
            </w:r>
            <w:r w:rsidR="00575477">
              <w:rPr>
                <w:lang w:val="pl-PL"/>
              </w:rPr>
              <w:t xml:space="preserve">i laureatów prestiżowych nagród naukowych </w:t>
            </w:r>
            <w:r w:rsidRPr="00233788">
              <w:rPr>
                <w:lang w:val="pl-PL"/>
              </w:rPr>
              <w:t xml:space="preserve">wśród </w:t>
            </w:r>
            <w:r w:rsidR="00575477">
              <w:rPr>
                <w:lang w:val="pl-PL"/>
              </w:rPr>
              <w:t>pracowników</w:t>
            </w:r>
            <w:r w:rsidR="0058350A">
              <w:rPr>
                <w:lang w:val="pl-PL"/>
              </w:rPr>
              <w:t xml:space="preserve"> uczelni;</w:t>
            </w:r>
          </w:p>
        </w:tc>
      </w:tr>
      <w:tr w:rsidR="00D855E2" w:rsidRPr="00CA4E44" w14:paraId="2DA509EC" w14:textId="77777777" w:rsidTr="0058350A">
        <w:trPr>
          <w:cantSplit/>
        </w:trPr>
        <w:tc>
          <w:tcPr>
            <w:tcW w:w="2835" w:type="dxa"/>
          </w:tcPr>
          <w:p w14:paraId="0AEDDA5A" w14:textId="24514E7B" w:rsidR="00D855E2" w:rsidRPr="00233788" w:rsidRDefault="00575477" w:rsidP="00A80B85">
            <w:pPr>
              <w:pStyle w:val="TekstTabeli"/>
              <w:rPr>
                <w:lang w:val="pl-PL"/>
              </w:rPr>
            </w:pPr>
            <w:r>
              <w:rPr>
                <w:lang w:val="pl-PL"/>
              </w:rPr>
              <w:lastRenderedPageBreak/>
              <w:t>Mierniki</w:t>
            </w:r>
            <w:r w:rsidR="00CA4E44">
              <w:rPr>
                <w:lang w:val="pl-PL"/>
              </w:rPr>
              <w:t xml:space="preserve"> </w:t>
            </w:r>
            <w:r>
              <w:rPr>
                <w:lang w:val="pl-PL"/>
              </w:rPr>
              <w:t>związane z informacją o</w:t>
            </w:r>
            <w:r w:rsidR="0058350A">
              <w:rPr>
                <w:lang w:val="pl-PL"/>
              </w:rPr>
              <w:t> </w:t>
            </w:r>
            <w:r w:rsidR="00CA4E44">
              <w:rPr>
                <w:lang w:val="pl-PL"/>
              </w:rPr>
              <w:t>satysf</w:t>
            </w:r>
            <w:r w:rsidR="001B0484">
              <w:rPr>
                <w:lang w:val="pl-PL"/>
              </w:rPr>
              <w:t>ak</w:t>
            </w:r>
            <w:r w:rsidR="00CA4E44">
              <w:rPr>
                <w:lang w:val="pl-PL"/>
              </w:rPr>
              <w:t>cji odbiorców</w:t>
            </w:r>
          </w:p>
        </w:tc>
        <w:tc>
          <w:tcPr>
            <w:tcW w:w="6236" w:type="dxa"/>
          </w:tcPr>
          <w:p w14:paraId="28735D1A" w14:textId="4FF6AD6A" w:rsidR="00575477" w:rsidRDefault="00575477" w:rsidP="00575477">
            <w:pPr>
              <w:pStyle w:val="TekstTabeli"/>
              <w:keepNext/>
              <w:rPr>
                <w:lang w:val="en-GB"/>
              </w:rPr>
            </w:pPr>
            <w:proofErr w:type="spellStart"/>
            <w:r w:rsidRPr="0058350A">
              <w:rPr>
                <w:lang w:val="en-GB"/>
              </w:rPr>
              <w:t>liczba</w:t>
            </w:r>
            <w:proofErr w:type="spellEnd"/>
            <w:r w:rsidRPr="0058350A">
              <w:rPr>
                <w:lang w:val="en-GB"/>
              </w:rPr>
              <w:t xml:space="preserve"> </w:t>
            </w:r>
            <w:proofErr w:type="spellStart"/>
            <w:r w:rsidRPr="0058350A">
              <w:rPr>
                <w:lang w:val="en-GB"/>
              </w:rPr>
              <w:t>skarg</w:t>
            </w:r>
            <w:proofErr w:type="spellEnd"/>
            <w:r w:rsidRPr="0058350A">
              <w:rPr>
                <w:lang w:val="en-GB"/>
              </w:rPr>
              <w:t xml:space="preserve"> </w:t>
            </w:r>
            <w:proofErr w:type="spellStart"/>
            <w:r w:rsidRPr="0058350A">
              <w:rPr>
                <w:lang w:val="en-GB"/>
              </w:rPr>
              <w:t>i</w:t>
            </w:r>
            <w:proofErr w:type="spellEnd"/>
            <w:r w:rsidRPr="0058350A">
              <w:rPr>
                <w:lang w:val="en-GB"/>
              </w:rPr>
              <w:t xml:space="preserve"> </w:t>
            </w:r>
            <w:proofErr w:type="spellStart"/>
            <w:r w:rsidRPr="0058350A">
              <w:rPr>
                <w:lang w:val="en-GB"/>
              </w:rPr>
              <w:t>odwołań</w:t>
            </w:r>
            <w:proofErr w:type="spellEnd"/>
            <w:r w:rsidR="0058350A">
              <w:rPr>
                <w:lang w:val="en-GB"/>
              </w:rPr>
              <w:t>;</w:t>
            </w:r>
          </w:p>
          <w:p w14:paraId="33F19662" w14:textId="3015FD4F" w:rsidR="00CA4E44" w:rsidRDefault="00CA4E44" w:rsidP="00A80B85">
            <w:pPr>
              <w:pStyle w:val="TekstTabeli"/>
              <w:rPr>
                <w:lang w:val="en-GB"/>
              </w:rPr>
            </w:pPr>
            <w:r>
              <w:rPr>
                <w:lang w:val="en-GB"/>
              </w:rPr>
              <w:t>PGCV (Potential Gain Customer Value)</w:t>
            </w:r>
            <w:r w:rsidR="0058350A">
              <w:rPr>
                <w:lang w:val="en-GB"/>
              </w:rPr>
              <w:t>;</w:t>
            </w:r>
          </w:p>
          <w:p w14:paraId="189EDD2A" w14:textId="5C6E7E81" w:rsidR="001B0484" w:rsidRDefault="001B0484" w:rsidP="00A80B85">
            <w:pPr>
              <w:pStyle w:val="TekstTabeli"/>
              <w:rPr>
                <w:lang w:val="en-GB"/>
              </w:rPr>
            </w:pPr>
            <w:r>
              <w:rPr>
                <w:lang w:val="en-GB"/>
              </w:rPr>
              <w:t>ACSI (American Customer Satisfaction Index measurement method)</w:t>
            </w:r>
            <w:r w:rsidR="0058350A">
              <w:rPr>
                <w:lang w:val="en-GB"/>
              </w:rPr>
              <w:t>;</w:t>
            </w:r>
          </w:p>
          <w:p w14:paraId="61DE7114" w14:textId="64B58C16" w:rsidR="00575477" w:rsidRPr="00CA4E44" w:rsidRDefault="001B0484" w:rsidP="00A80B85">
            <w:pPr>
              <w:pStyle w:val="TekstTabeli"/>
              <w:rPr>
                <w:lang w:val="en-GB"/>
              </w:rPr>
            </w:pPr>
            <w:r>
              <w:rPr>
                <w:lang w:val="en-GB"/>
              </w:rPr>
              <w:t>IPA (Importance Performance Analysis)</w:t>
            </w:r>
            <w:r w:rsidR="0058350A">
              <w:rPr>
                <w:lang w:val="en-GB"/>
              </w:rPr>
              <w:t>;</w:t>
            </w:r>
          </w:p>
        </w:tc>
      </w:tr>
      <w:tr w:rsidR="00244AAA" w:rsidRPr="002C4BC2" w14:paraId="1B0AE672" w14:textId="77777777" w:rsidTr="0058350A">
        <w:trPr>
          <w:cantSplit/>
          <w:trHeight w:val="37"/>
        </w:trPr>
        <w:tc>
          <w:tcPr>
            <w:tcW w:w="2835" w:type="dxa"/>
          </w:tcPr>
          <w:p w14:paraId="5AA59F08" w14:textId="7B5313B8" w:rsidR="00244AAA" w:rsidRPr="002C4BC2" w:rsidRDefault="002C4BC2" w:rsidP="002C4BC2">
            <w:pPr>
              <w:pStyle w:val="TekstTabeli"/>
              <w:rPr>
                <w:lang w:val="pl-PL"/>
              </w:rPr>
            </w:pPr>
            <w:r w:rsidRPr="002C4BC2">
              <w:rPr>
                <w:lang w:val="pl-PL"/>
              </w:rPr>
              <w:t>Mierniki związane z procesem studiowania</w:t>
            </w:r>
          </w:p>
        </w:tc>
        <w:tc>
          <w:tcPr>
            <w:tcW w:w="6236" w:type="dxa"/>
          </w:tcPr>
          <w:p w14:paraId="34654FB2" w14:textId="6768D7C7" w:rsidR="00244AAA" w:rsidRPr="00575477" w:rsidRDefault="002C4BC2" w:rsidP="00A80B85">
            <w:pPr>
              <w:pStyle w:val="TekstTabeli"/>
              <w:keepNext/>
              <w:rPr>
                <w:lang w:val="pl-PL"/>
              </w:rPr>
            </w:pPr>
            <w:r w:rsidRPr="00575477">
              <w:rPr>
                <w:lang w:val="pl-PL"/>
              </w:rPr>
              <w:t>wskaźnik rezygnacji ze studiów</w:t>
            </w:r>
            <w:r w:rsidR="0058350A">
              <w:rPr>
                <w:lang w:val="pl-PL"/>
              </w:rPr>
              <w:t>;</w:t>
            </w:r>
          </w:p>
          <w:p w14:paraId="61934CF8" w14:textId="5325B27E" w:rsidR="002C4BC2" w:rsidRDefault="002C4BC2" w:rsidP="00A80B85">
            <w:pPr>
              <w:pStyle w:val="TekstTabeli"/>
              <w:keepNext/>
              <w:rPr>
                <w:lang w:val="pl-PL"/>
              </w:rPr>
            </w:pPr>
            <w:r w:rsidRPr="002C4BC2">
              <w:rPr>
                <w:lang w:val="pl-PL"/>
              </w:rPr>
              <w:t xml:space="preserve">wskaźnik zdawalności na kolejny </w:t>
            </w:r>
            <w:r>
              <w:rPr>
                <w:lang w:val="pl-PL"/>
              </w:rPr>
              <w:t>semestr</w:t>
            </w:r>
            <w:r w:rsidR="0058350A">
              <w:rPr>
                <w:lang w:val="pl-PL"/>
              </w:rPr>
              <w:t>;</w:t>
            </w:r>
          </w:p>
          <w:p w14:paraId="6201BFE8" w14:textId="18335568" w:rsidR="002C4BC2" w:rsidRDefault="002C4BC2" w:rsidP="00A80B85">
            <w:pPr>
              <w:pStyle w:val="TekstTabeli"/>
              <w:keepNext/>
              <w:rPr>
                <w:lang w:val="pl-PL"/>
              </w:rPr>
            </w:pPr>
            <w:r>
              <w:rPr>
                <w:lang w:val="pl-PL"/>
              </w:rPr>
              <w:t>wskaźnik frekwencji na zajęciach (np. wykładach)</w:t>
            </w:r>
            <w:r w:rsidR="0058350A">
              <w:rPr>
                <w:lang w:val="pl-PL"/>
              </w:rPr>
              <w:t>;</w:t>
            </w:r>
          </w:p>
          <w:p w14:paraId="5312454D" w14:textId="78F70F7F" w:rsidR="002C4BC2" w:rsidRDefault="002C4BC2" w:rsidP="00A80B85">
            <w:pPr>
              <w:pStyle w:val="TekstTabeli"/>
              <w:keepNext/>
              <w:rPr>
                <w:lang w:val="pl-PL"/>
              </w:rPr>
            </w:pPr>
            <w:r>
              <w:rPr>
                <w:lang w:val="pl-PL"/>
              </w:rPr>
              <w:t>wskaźnik popularności wyboru przedmiotów i specjalności</w:t>
            </w:r>
            <w:r w:rsidR="0058350A">
              <w:rPr>
                <w:lang w:val="pl-PL"/>
              </w:rPr>
              <w:t>;</w:t>
            </w:r>
          </w:p>
          <w:p w14:paraId="3FB621A1" w14:textId="493F5BAA" w:rsidR="002C4BC2" w:rsidRDefault="002C4BC2" w:rsidP="00A80B85">
            <w:pPr>
              <w:pStyle w:val="TekstTabeli"/>
              <w:keepNext/>
              <w:rPr>
                <w:lang w:val="pl-PL"/>
              </w:rPr>
            </w:pPr>
            <w:r>
              <w:rPr>
                <w:lang w:val="pl-PL"/>
              </w:rPr>
              <w:t>wskaźnik ukończenia studiów</w:t>
            </w:r>
            <w:r w:rsidR="0058350A">
              <w:rPr>
                <w:lang w:val="pl-PL"/>
              </w:rPr>
              <w:t>;</w:t>
            </w:r>
          </w:p>
          <w:p w14:paraId="60895A48" w14:textId="55720336" w:rsidR="002C4BC2" w:rsidRDefault="002C4BC2" w:rsidP="00A80B85">
            <w:pPr>
              <w:pStyle w:val="TekstTabeli"/>
              <w:keepNext/>
              <w:rPr>
                <w:lang w:val="pl-PL"/>
              </w:rPr>
            </w:pPr>
            <w:r>
              <w:rPr>
                <w:lang w:val="pl-PL"/>
              </w:rPr>
              <w:t>wskaźnik długość czasu studiowania na jednym kierunku</w:t>
            </w:r>
            <w:r w:rsidR="0058350A">
              <w:rPr>
                <w:lang w:val="pl-PL"/>
              </w:rPr>
              <w:t>;</w:t>
            </w:r>
          </w:p>
          <w:p w14:paraId="1ED2E0E8" w14:textId="0EB990FB" w:rsidR="002C4BC2" w:rsidRPr="002C4BC2" w:rsidRDefault="002C4BC2" w:rsidP="00A80B85">
            <w:pPr>
              <w:pStyle w:val="TekstTabeli"/>
              <w:keepNext/>
              <w:rPr>
                <w:lang w:val="pl-PL"/>
              </w:rPr>
            </w:pPr>
            <w:r>
              <w:rPr>
                <w:lang w:val="pl-PL"/>
              </w:rPr>
              <w:t xml:space="preserve">poziom osiągnięć </w:t>
            </w:r>
            <w:r w:rsidR="00575477">
              <w:rPr>
                <w:lang w:val="pl-PL"/>
              </w:rPr>
              <w:t xml:space="preserve">studentów </w:t>
            </w:r>
            <w:r>
              <w:rPr>
                <w:lang w:val="pl-PL"/>
              </w:rPr>
              <w:t>związanych z nauczaniem</w:t>
            </w:r>
            <w:r w:rsidR="0058350A">
              <w:rPr>
                <w:lang w:val="pl-PL"/>
              </w:rPr>
              <w:t>;</w:t>
            </w:r>
          </w:p>
        </w:tc>
      </w:tr>
    </w:tbl>
    <w:p w14:paraId="75BB2A1E" w14:textId="73402268" w:rsidR="00D855E2" w:rsidRPr="00233788" w:rsidRDefault="00D855E2" w:rsidP="00A80B85">
      <w:pPr>
        <w:pStyle w:val="rdo"/>
      </w:pPr>
      <w:r w:rsidRPr="00233788">
        <w:t>Źródło: opracowanie własne na podstawie</w:t>
      </w:r>
      <w:r w:rsidR="00A80B85">
        <w:t xml:space="preserve"> </w:t>
      </w:r>
      <w:r w:rsidR="006245C0">
        <w:fldChar w:fldCharType="begin" w:fldLock="1"/>
      </w:r>
      <w:r w:rsidR="00A64A94">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use","type":"report"},"label":"part","locator":"zał. E","uris":["http://www.mendeley.com/documents/?uuid=f19423f7-3fa4-4ace-a3ad-349b7ee45f4f"]},{"id":"ITEM-2","itemData":{"abstract":"Artykuł koncentruje się na zagadnieniach dotyczących jakości kształcenia w szkolnictwie wyższym. W pracy przybliżone są uwarunkowania zmian zachodzących na uczelniach w ostatnich dwudziestu latach, jak również wskazanie interesariuszy i czynników mających wpływ na jakość kształcenia. W artykule zawarto także propozycję mierników jakości kształcenia w podziale na 3 kategorie. (abstrakt oryginalny) The article focuses on issues concerning the quality assurance in higher education institutions (HEIs). There are described the changes in higher education in the last twenty years in Poland, as well as the role of the stakeholders and the factors affecting the quality of education. The article also contains a proposal of measures of quality of education, devoted down into 3 categories. (original abstract)","author":[{"dropping-particle":"","family":"Grudowski","given":"Piotr","non-dropping-particle":"","parse-names":false,"suffix":""},{"dropping-particle":"","family":"Lewandowski","given":"Kajetan","non-dropping-particle":"","parse-names":false,"suffix":""}],"container-title":"Zarządzanie i Finanse","id":"ITEM-2","issue":"nr 3, cz. 1","issued":{"date-parts":[["2012"]]},"page":"394-403","title":"Pojęcie jakości kształcenia i uwarunkowania jej kwantyfikacji w uczelniach wyższych","type":"article-journal","volume":"R. 10"},"uris":["http://www.mendeley.com/documents/?uuid=7c7d18d5-19d2-4b5e-894c-93572b5f07d2"]},{"id":"ITEM-3","itemData":{"DOI":"10.20885/AMBR.vol3.iss2.art2","ISSN":"2775-202X","abstract":"The current weakness of various dimensions of service quality measurement scales that have been adopted in measuring the level of student service satisfaction at HE is often an obstacle to understanding weaknesses in the quality of HE service. This study aims to investigate the level of student service satisfaction based on the HEISQUAL synthesis combined with the ACSI, IPA, and PGCV methods as a holistic approach to determine priorities for continuous improvement. The integration of these three methods is very appropriate to answer the needs of HE in improving the quality of its services. The data in this study were obtained by distributing questionnaires to respondents with a sample size of 320 students using a convenience sampling technique (non-probability sampling). The results of this study indicate that HE service satisfaction is in the satisfied criteria, where 6 sub-dimensions are in quadrant A, 5 sub-dimensions are in quadrant B, 1 sub-dimension is in quadrant C, and 4 sub-dimensions are in quadrant D. From this analysis, the priority order of improvement are 1) ET, 2) LWE, 3) LF, 4) ECA, 5) C&amp;M, 6) BTS. Through the HEISQUAL – ACSI – IPA – PGCV synthesis, HE can understand and determine well-accelerated strategic and practical policies.","author":[{"dropping-particle":"","family":"Raharjo","given":"Teguh Hardi","non-dropping-particle":"","parse-names":false,"suffix":""},{"dropping-particle":"","family":"Mulyono","given":"Kemal Budi","non-dropping-particle":"","parse-names":false,"suffix":""},{"dropping-particle":"","family":"Ismiyati","given":"Ismiyati","non-dropping-particle":"","parse-names":false,"suffix":""},{"dropping-particle":"","family":"Jaenudin","given":"Ahmad","non-dropping-particle":"","parse-names":false,"suffix":""}],"container-title":"Asian Management and Business Review","id":"ITEM-3","issued":{"date-parts":[["2023","8","28"]]},"page":"121-137","title":"HEISQUAL – ACSI – IPA – PGCV: Synthesis of higher education service satisfaction measurements","type":"article-journal"},"uris":["http://www.mendeley.com/documents/?uuid=6d1123f3-7584-4a82-92a2-0694e161a4da"]}],"mendeley":{"formattedCitation":"(Grudowski &amp; Lewandowski, 2012; ISO 21001, 2018, cz. zał. E; Raharjo i in., 2023)","plainTextFormattedCitation":"(Grudowski &amp; Lewandowski, 2012; ISO 21001, 2018, cz. zał. E; Raharjo i in., 2023)","previouslyFormattedCitation":"(Grudowski &amp; Lewandowski, 2012; ISO 21001, 2018, cz. zał. E; Raharjo i in., 2023)"},"properties":{"noteIndex":0},"schema":"https://github.com/citation-style-language/schema/raw/master/csl-citation.json"}</w:instrText>
      </w:r>
      <w:r w:rsidR="006245C0">
        <w:fldChar w:fldCharType="separate"/>
      </w:r>
      <w:r w:rsidR="001B0484" w:rsidRPr="001B0484">
        <w:rPr>
          <w:noProof/>
        </w:rPr>
        <w:t>(Grudowski &amp; Lewandowski, 2012; ISO 21001, 2018, cz. zał. E; Raharjo i in., 2023)</w:t>
      </w:r>
      <w:r w:rsidR="006245C0">
        <w:fldChar w:fldCharType="end"/>
      </w:r>
    </w:p>
    <w:p w14:paraId="284BBD48" w14:textId="6D5BA47B" w:rsidR="00D855E2" w:rsidRDefault="004042A5" w:rsidP="00D855E2">
      <w:r>
        <w:t xml:space="preserve">Wiele spośród proponowanych wskaźników przedstawionych w tabeli </w:t>
      </w:r>
      <w:r w:rsidRPr="00A80B85">
        <w:t>po</w:t>
      </w:r>
      <w:r w:rsidRPr="00A80B85">
        <w:fldChar w:fldCharType="begin"/>
      </w:r>
      <w:r w:rsidRPr="00A80B85">
        <w:instrText xml:space="preserve"> REF _Ref134898852 \p \h </w:instrText>
      </w:r>
      <w:r>
        <w:instrText xml:space="preserve"> \* MERGEFORMAT </w:instrText>
      </w:r>
      <w:r w:rsidRPr="00A80B85">
        <w:fldChar w:fldCharType="separate"/>
      </w:r>
      <w:r>
        <w:t>wyżej</w:t>
      </w:r>
      <w:r w:rsidRPr="00A80B85">
        <w:fldChar w:fldCharType="end"/>
      </w:r>
      <w:r w:rsidRPr="00A80B85">
        <w:t xml:space="preserve"> (</w:t>
      </w:r>
      <w:r w:rsidRPr="00A80B85">
        <w:fldChar w:fldCharType="begin"/>
      </w:r>
      <w:r w:rsidRPr="00A80B85">
        <w:instrText xml:space="preserve"> REF _Ref163297173 \h </w:instrText>
      </w:r>
      <w:r>
        <w:instrText xml:space="preserve"> \* MERGEFORMAT </w:instrText>
      </w:r>
      <w:r w:rsidRPr="00A80B85">
        <w:fldChar w:fldCharType="separate"/>
      </w:r>
      <w:r w:rsidRPr="00A80B85">
        <w:t xml:space="preserve">Tabela </w:t>
      </w:r>
      <w:r w:rsidRPr="00A80B85">
        <w:rPr>
          <w:noProof/>
        </w:rPr>
        <w:t>79</w:t>
      </w:r>
      <w:r w:rsidRPr="00A80B85">
        <w:fldChar w:fldCharType="end"/>
      </w:r>
      <w:r w:rsidRPr="00A80B85">
        <w:t>)</w:t>
      </w:r>
      <w:r>
        <w:t xml:space="preserve"> jest analogicznych lub zbieżnych z miarami wykorzystywanymi w metodologiach różnych rankingów. Niektóre bowiem z takich metodologii wykorzystują bardzo wiele różnorodnych parametrów oceny biorąc pod uwagę wiele perspektyw analizując zarówno czynniki odnoszące się do przyczyn jak i skutków występującego poziomu jakości działań uniwersytetów. Nawiązując do idei bardzo popularnego w odniesieniu do usług modelu SERVQUAL ocena jakości wiąże się z pomiarem różnicy pomiędzy oczekiwaniami, a postrzeganiem stopnia ich spełnienia. W związku z tym do celów lepszego poznania przyczyn istniejącego poziomu jakości warto nie tylko pytać interesariuszy o poziom ich satysfakcji, ale też uwzględniać pozyskiwanie informacji o oczekiwaniach różnych grup interesariuszy względem uczelni. Na przykład warto nie tylko mierzyć poziom zarobków i zatrudnienia absolwentów, ale również pytać studentów</w:t>
      </w:r>
      <w:r w:rsidR="00D078D3">
        <w:t xml:space="preserve"> lub kandydatów na studia o ich oczekiwania w tym zakresie.</w:t>
      </w:r>
      <w:r w:rsidR="00947FF3">
        <w:t xml:space="preserve"> Lista proponowanych miar do wspomagania oceny i analizy efektów działań uczelni przy stosowaniu modelu SSDQM do doskonalenia SZJ uczelni nie jest listą zamkniętą. Również zawiera ona wskaźniki, które mogą być z powodzeniem stosowane nie tylko przez uczelnie techniczne.</w:t>
      </w:r>
      <w:r w:rsidR="00F651C6">
        <w:t xml:space="preserve"> Wskaźniki te w świetle opisanych w niniejszej pracy badań i analiz nie wykazywały cech wskazujących na ich szczególną wartość dla ogółu uczelni technicznych, ale jednocześnie są one dość powszechnie </w:t>
      </w:r>
      <w:r w:rsidR="0040437F">
        <w:t>stosowane</w:t>
      </w:r>
      <w:r w:rsidR="00F651C6">
        <w:t xml:space="preserve"> jako miary odnoszące się do jakości odpowiednie w kontekście usług edukacji wyższej</w:t>
      </w:r>
      <w:r w:rsidR="0040437F">
        <w:t>.</w:t>
      </w:r>
      <w:r w:rsidR="00DB65CD">
        <w:t xml:space="preserve"> Warto zauważyć, że wiele z przedstawionych propozycji miar ma charakter wskaźników, które domyślnie będą wyrażane w wartościach liczbowych. Natomiast są wśród nich też propozycje mające raczej charakter obszarów tematycznych do oceny, które mogą być prezentowane w sposób opisowy lub też w ramach tych obszarów mogą zostać opracowane szczegółowe mierniki pozwalające na liczbowe przedstawienie zarówno ocenianego stanu jak i zmian w czasie.</w:t>
      </w:r>
    </w:p>
    <w:p w14:paraId="12735FB2" w14:textId="223CDC0F" w:rsidR="00D855E2" w:rsidRDefault="0040437F" w:rsidP="00531824">
      <w:r>
        <w:t>Przedstawione w niniejszym rozdziale mierniki stanowią praktyczną propozycję do wykorzystania opracowaną pomocniczo do stosowania przy prowadzeniu procesów doskonalenia systemu zarządzania jakością zgodnie z autorskim modelem SSDQM.</w:t>
      </w:r>
      <w:r w:rsidR="00DB65CD">
        <w:t xml:space="preserve"> Mierniki te mają jednak silne uzasadnienie do stosowania wywodzące się z przedstawionych w niniejszej pracy analiz literatury przedmiotu, stosowanych w praktyce metod pomiaru jakości w kontekście uniwersytetów, teorii zarządzania jako</w:t>
      </w:r>
      <w:r w:rsidR="00DB65CD">
        <w:lastRenderedPageBreak/>
        <w:t xml:space="preserve">ścią oraz własnych badaniach dotyczących pomiaru jakości efektów działań uczelni ze szczególnym uwzględnieniem satysfakcji interesariuszy. W związku z tym możliwości wykorzystania tych miar nie ograniczają się jedynie do stosowania wraz z modelem SSDQM, ale są znacznie szersze i mogą obejmować wszelkie </w:t>
      </w:r>
      <w:r>
        <w:t>działania doskonaląc</w:t>
      </w:r>
      <w:r w:rsidR="00DB65CD">
        <w:t>e</w:t>
      </w:r>
      <w:r>
        <w:t xml:space="preserve"> prowadzon</w:t>
      </w:r>
      <w:r w:rsidR="00DB65CD">
        <w:t>e</w:t>
      </w:r>
      <w:r>
        <w:t xml:space="preserve"> w ramach organizacji świadczących usługi edukacji wyższej.</w:t>
      </w:r>
      <w:r w:rsidR="00DB65CD">
        <w:t xml:space="preserve"> Niemniej warto mieć na uwadze, iż w ramach przeprowadzonych badań wykazano, że niektóre miary mają </w:t>
      </w:r>
      <w:r w:rsidR="00A64A94">
        <w:t>znacznie większy potencjał do stosowania w przypadku specyfiki polskich publicznych uczelni technicznych niż dla innych rodzajów organizacji edukacji wyższej. Szczególnie dotyczy to miar odnoszących się do pomiarów związanych z zarobkami i zatrudnieniem absolwentów po co najmniej 3. latach od ukończenia studiów. Ze względu na to, iż miary te mają szerszy potencjał to stosowania niż tylko przy doskonaleniu zgodnym z zaproponowanym modelem doskonalenia systemu zarządzania jakością uczelni inspirowanego satysfakcją interesariuszy warto zauważyć, że stosowanie ich może wspomóc także procesy weryfikacji:</w:t>
      </w:r>
    </w:p>
    <w:p w14:paraId="1477F090" w14:textId="2D423D2B" w:rsidR="00531824" w:rsidRPr="008C71AF" w:rsidRDefault="00A64A94" w:rsidP="00531824">
      <w:pPr>
        <w:numPr>
          <w:ilvl w:val="0"/>
          <w:numId w:val="2"/>
        </w:numPr>
      </w:pPr>
      <w:r w:rsidRPr="008C71AF">
        <w:t>Misji uczelni</w:t>
      </w:r>
    </w:p>
    <w:p w14:paraId="58549037" w14:textId="6DE67B67" w:rsidR="00531824" w:rsidRPr="008C71AF" w:rsidRDefault="00A64A94" w:rsidP="00531824">
      <w:pPr>
        <w:numPr>
          <w:ilvl w:val="0"/>
          <w:numId w:val="2"/>
        </w:numPr>
      </w:pPr>
      <w:r w:rsidRPr="008C71AF">
        <w:t>Wizji uczelni</w:t>
      </w:r>
    </w:p>
    <w:p w14:paraId="3F2D67E5" w14:textId="29E099AB" w:rsidR="00531824" w:rsidRPr="008C71AF" w:rsidRDefault="00A64A94" w:rsidP="00531824">
      <w:pPr>
        <w:numPr>
          <w:ilvl w:val="0"/>
          <w:numId w:val="2"/>
        </w:numPr>
      </w:pPr>
      <w:r w:rsidRPr="008C71AF">
        <w:t>P</w:t>
      </w:r>
      <w:r w:rsidR="00531824" w:rsidRPr="008C71AF">
        <w:t xml:space="preserve">olityki jakości </w:t>
      </w:r>
      <w:proofErr w:type="spellStart"/>
      <w:r w:rsidRPr="008C71AF">
        <w:t>jakości</w:t>
      </w:r>
      <w:proofErr w:type="spellEnd"/>
    </w:p>
    <w:p w14:paraId="4BF794D5" w14:textId="5A94BBB7" w:rsidR="00531824" w:rsidRPr="008C71AF" w:rsidRDefault="00A64A94" w:rsidP="00531824">
      <w:pPr>
        <w:numPr>
          <w:ilvl w:val="0"/>
          <w:numId w:val="2"/>
        </w:numPr>
      </w:pPr>
      <w:r w:rsidRPr="008C71AF">
        <w:t>C</w:t>
      </w:r>
      <w:r w:rsidR="00531824" w:rsidRPr="008C71AF">
        <w:t xml:space="preserve">elów </w:t>
      </w:r>
      <w:r w:rsidRPr="008C71AF">
        <w:t>uczelni</w:t>
      </w:r>
      <w:r w:rsidR="00531824" w:rsidRPr="008C71AF">
        <w:t xml:space="preserve"> (również celów jakościowych)</w:t>
      </w:r>
    </w:p>
    <w:p w14:paraId="741584A5" w14:textId="5051AB6A" w:rsidR="00531824" w:rsidRPr="008C71AF" w:rsidRDefault="00A64A94" w:rsidP="00531824">
      <w:pPr>
        <w:numPr>
          <w:ilvl w:val="0"/>
          <w:numId w:val="2"/>
        </w:numPr>
      </w:pPr>
      <w:r w:rsidRPr="008C71AF">
        <w:t>Zestawu obecnie stosowanych w</w:t>
      </w:r>
      <w:r w:rsidR="00531824" w:rsidRPr="008C71AF">
        <w:t>skaźników i metod pomiaru jakości</w:t>
      </w:r>
      <w:r w:rsidRPr="008C71AF">
        <w:t xml:space="preserve"> </w:t>
      </w:r>
      <w:r w:rsidRPr="008C71AF">
        <w:fldChar w:fldCharType="begin" w:fldLock="1"/>
      </w:r>
      <w:r w:rsidR="00ED7B61">
        <w:instrText>ADDIN CSL_CITATION {"citationItems":[{"id":"ITEM-1","itemData":{"author":[{"dropping-particle":"","family":"Grudowski","given":"Piotr","non-dropping-particle":"","parse-names":false,"suffix":""},{"dropping-particle":"","family":"Szefler","given":"Jan Paweł","non-dropping-particle":"","parse-names":false,"suffix":""}],"container-title":"Managing in Recovering Markets, GCMRM 2015","id":"ITEM-1","issued":{"date-parts":[["2015"]]},"title":"Stakeholders Satisfaction Index as an Important Factor of Improving Quality Management Systems of Universities in Poland","type":"paper-conference"},"uris":["http://www.mendeley.com/documents/?uuid=1476c8e6-af3b-4343-be87-40308268e63b"]}],"mendeley":{"formattedCitation":"(Grudowski &amp; Szefler, 2015b)","plainTextFormattedCitation":"(Grudowski &amp; Szefler, 2015b)","previouslyFormattedCitation":"(Grudowski &amp; Szefler, 2015b)"},"properties":{"noteIndex":0},"schema":"https://github.com/citation-style-language/schema/raw/master/csl-citation.json"}</w:instrText>
      </w:r>
      <w:r w:rsidRPr="008C71AF">
        <w:fldChar w:fldCharType="separate"/>
      </w:r>
      <w:r w:rsidR="008C71AF" w:rsidRPr="008C71AF">
        <w:rPr>
          <w:noProof/>
        </w:rPr>
        <w:t>(Grudowski &amp; Szefler, 2015b)</w:t>
      </w:r>
      <w:r w:rsidRPr="008C71AF">
        <w:fldChar w:fldCharType="end"/>
      </w:r>
      <w:r w:rsidR="008C71AF" w:rsidRPr="008C71AF">
        <w:t>.</w:t>
      </w:r>
    </w:p>
    <w:p w14:paraId="130C6697" w14:textId="7C0B298F" w:rsidR="00531824" w:rsidRPr="008C71AF" w:rsidRDefault="00531824" w:rsidP="00531824">
      <w:r w:rsidRPr="008C71AF">
        <w:t>Weryfikacja misji i wizji instytucji może być wsparta wynikami badania satysfakcji interesariuszy dzięki umożliwieniu pozyskania aktualnych informacji na temat potrzeb interesariuszy i ich postrzegania usługi dostarczanej przez uczelnię</w:t>
      </w:r>
      <w:r w:rsidR="00EF0ECB" w:rsidRPr="008C71AF">
        <w:t>, a także dzięki poznaniu ich oczekiwań</w:t>
      </w:r>
      <w:r w:rsidRPr="008C71AF">
        <w:t xml:space="preserve">. Wiedza ta nie powinna mieć wpływu na częste zmiany wizji i misji, ponieważ te dwa elementy powinny stanowić </w:t>
      </w:r>
      <w:r w:rsidR="00EF0ECB" w:rsidRPr="008C71AF">
        <w:t xml:space="preserve">długoterminową </w:t>
      </w:r>
      <w:r w:rsidRPr="008C71AF">
        <w:t>podstawę działalności instytucji. Wiedza ta może jednak być cenna w obszarze lepszego dopasowania sformułowania misji i wizji do percepcji interesariuszy oraz lepszego uwzględniania ich wymagań. Podobnie weryfikacja polityki jakości może zyskać na skuteczności dzięki lepszej wiedzy o satysfakcji interesariuszy.</w:t>
      </w:r>
      <w:r w:rsidR="00EF0ECB" w:rsidRPr="008C71AF">
        <w:t xml:space="preserve"> Ponieważ o</w:t>
      </w:r>
      <w:r w:rsidRPr="008C71AF">
        <w:t>kreślanie celów instytucji akademickiej powinno wynikać z wiarygodnych informacji o potrzebach i możliwościach doskonalenia w różnych obszarach działalności uczelni</w:t>
      </w:r>
      <w:r w:rsidR="00EF0ECB" w:rsidRPr="008C71AF">
        <w:t xml:space="preserve"> również ten obszar może być wspierany przez</w:t>
      </w:r>
      <w:r w:rsidRPr="008C71AF">
        <w:t xml:space="preserve"> badania satysfakcji interesariuszy. Niektóre </w:t>
      </w:r>
      <w:r w:rsidR="00EF0ECB" w:rsidRPr="008C71AF">
        <w:t>z celów</w:t>
      </w:r>
      <w:r w:rsidRPr="008C71AF">
        <w:t xml:space="preserve"> </w:t>
      </w:r>
      <w:r w:rsidR="00EF0ECB" w:rsidRPr="008C71AF">
        <w:t>uniwersytetu</w:t>
      </w:r>
      <w:r w:rsidRPr="008C71AF">
        <w:t xml:space="preserve"> mogą zostać wyrażone </w:t>
      </w:r>
      <w:r w:rsidR="00EF0ECB" w:rsidRPr="008C71AF">
        <w:t xml:space="preserve">w sposób mierzalny na przykład </w:t>
      </w:r>
      <w:r w:rsidRPr="008C71AF">
        <w:t>poprzez określenie kierunku zmian lub docelowych wartości indeksu SSI</w:t>
      </w:r>
      <w:r w:rsidR="00EF0ECB" w:rsidRPr="008C71AF">
        <w:t xml:space="preserve"> – zagregowanego lub szczegółowych</w:t>
      </w:r>
      <w:r w:rsidRPr="008C71AF">
        <w:t xml:space="preserve">. </w:t>
      </w:r>
    </w:p>
    <w:p w14:paraId="055A7CD7" w14:textId="479DB0E4" w:rsidR="00531824" w:rsidRPr="008C71AF" w:rsidRDefault="00EF0ECB" w:rsidP="008C71AF">
      <w:r w:rsidRPr="008C71AF">
        <w:t xml:space="preserve">Jak to zaprezentowano poprzez przykład przedstawionych miar i wskaźników odnoszących się do </w:t>
      </w:r>
      <w:r w:rsidR="00531824" w:rsidRPr="008C71AF">
        <w:t xml:space="preserve">jakości metody pomiaru powinny uwzględniać różne sposoby pozyskiwania informacji na temat </w:t>
      </w:r>
      <w:r w:rsidR="008C71AF" w:rsidRPr="008C71AF">
        <w:t>poziomu</w:t>
      </w:r>
      <w:r w:rsidR="00531824" w:rsidRPr="008C71AF">
        <w:t xml:space="preserve"> oferowanych przez instytucję akademicką usług</w:t>
      </w:r>
      <w:r w:rsidRPr="008C71AF">
        <w:t xml:space="preserve"> oraz innych efektów jej działań</w:t>
      </w:r>
      <w:r w:rsidR="00531824" w:rsidRPr="008C71AF">
        <w:t>. Poza metodami ilościowymi</w:t>
      </w:r>
      <w:r w:rsidRPr="008C71AF">
        <w:t>,</w:t>
      </w:r>
      <w:r w:rsidR="00531824" w:rsidRPr="008C71AF">
        <w:t xml:space="preserve"> do których </w:t>
      </w:r>
      <w:r w:rsidRPr="008C71AF">
        <w:t>należą m. in. autorskie propozycje wskaźników</w:t>
      </w:r>
      <w:r w:rsidR="00531824" w:rsidRPr="008C71AF">
        <w:t xml:space="preserve"> SSI</w:t>
      </w:r>
      <w:r w:rsidRPr="008C71AF">
        <w:t xml:space="preserve"> oraz IWRA</w:t>
      </w:r>
      <w:r w:rsidR="00531824" w:rsidRPr="008C71AF">
        <w:t>, w celu pozyskania użytecznych danych wejściowych do procesów doskonalenia należy korzystać również z metod jakościowych</w:t>
      </w:r>
      <w:r w:rsidR="008C71AF" w:rsidRPr="008C71AF">
        <w:t>.</w:t>
      </w:r>
      <w:r w:rsidRPr="008C71AF">
        <w:t xml:space="preserve"> </w:t>
      </w:r>
      <w:r w:rsidR="008C71AF" w:rsidRPr="008C71AF">
        <w:t>Pozwoli to na</w:t>
      </w:r>
      <w:r w:rsidR="00531824" w:rsidRPr="008C71AF">
        <w:t xml:space="preserve"> </w:t>
      </w:r>
      <w:r w:rsidRPr="008C71AF">
        <w:t>bardziej dogłębne</w:t>
      </w:r>
      <w:r w:rsidR="00531824" w:rsidRPr="008C71AF">
        <w:t xml:space="preserve"> rozpoznanie zjawisk zbadanych przy wykorzystaniu SSI </w:t>
      </w:r>
      <w:r w:rsidR="008C71AF" w:rsidRPr="008C71AF">
        <w:t xml:space="preserve">i </w:t>
      </w:r>
      <w:r w:rsidR="00531824" w:rsidRPr="008C71AF">
        <w:t xml:space="preserve">może znacznie zwiększyć skuteczność </w:t>
      </w:r>
      <w:r w:rsidRPr="008C71AF">
        <w:t>podejmowanych działań doskonalących</w:t>
      </w:r>
      <w:r w:rsidR="00531824" w:rsidRPr="008C71AF">
        <w:t>.</w:t>
      </w:r>
    </w:p>
    <w:p w14:paraId="07158B41" w14:textId="2098DC61" w:rsidR="000613B8" w:rsidRPr="00233788" w:rsidRDefault="007F4465" w:rsidP="004E7B54">
      <w:pPr>
        <w:pStyle w:val="Nagwek1"/>
        <w:numPr>
          <w:ilvl w:val="0"/>
          <w:numId w:val="0"/>
        </w:numPr>
        <w:ind w:left="432"/>
      </w:pPr>
      <w:bookmarkStart w:id="151" w:name="_Ref66902367"/>
      <w:bookmarkStart w:id="152" w:name="_Toc157667029"/>
      <w:r w:rsidRPr="00233788">
        <w:lastRenderedPageBreak/>
        <w:t>Załącznik 1</w:t>
      </w:r>
      <w:r w:rsidR="003D5522" w:rsidRPr="00233788">
        <w:t xml:space="preserve"> </w:t>
      </w:r>
      <w:r w:rsidR="00FB1317" w:rsidRPr="00233788">
        <w:t>–</w:t>
      </w:r>
      <w:r w:rsidR="003D5522" w:rsidRPr="00233788">
        <w:t xml:space="preserve"> </w:t>
      </w:r>
      <w:r w:rsidR="00FB1317" w:rsidRPr="00233788">
        <w:t>Lista głównych zmian wprowadzonych w ramach Konstytucji dla Nauki</w:t>
      </w:r>
      <w:bookmarkEnd w:id="151"/>
      <w:bookmarkEnd w:id="152"/>
    </w:p>
    <w:p w14:paraId="1870C31C" w14:textId="77777777" w:rsidR="00FB1317" w:rsidRPr="00233788" w:rsidRDefault="00FB1317" w:rsidP="004E7B54">
      <w:pPr>
        <w:spacing w:line="240" w:lineRule="auto"/>
        <w:ind w:firstLine="0"/>
        <w:jc w:val="left"/>
      </w:pPr>
    </w:p>
    <w:p w14:paraId="7AADB627" w14:textId="6BC04328" w:rsidR="00FB1317" w:rsidRPr="00233788" w:rsidRDefault="00FB1317" w:rsidP="00FB1317">
      <w:r w:rsidRPr="00233788">
        <w:t xml:space="preserve">Główne zmiany wprowadzone wraz Ustawą 2.0 wg Przewodnika opracowanego przez Ministerstwo Nauki i Szkolnictwa wyższego </w:t>
      </w:r>
      <w:r w:rsidRPr="00233788">
        <w:rPr>
          <w:u w:val="single"/>
        </w:rPr>
        <w:fldChar w:fldCharType="begin" w:fldLock="1"/>
      </w:r>
      <w:r w:rsidR="001A2624">
        <w:rPr>
          <w:u w:val="single"/>
        </w:rPr>
        <w:instrText>ADDIN CSL_CITATION {"citationItems":[{"id":"ITEM-1","itemData":{"author":[{"dropping-particle":"","family":"Ministerstwo Nauki i Szkolnictwa Wyższego","given":"","non-dropping-particle":"","parse-names":false,"suffix":""},{"dropping-particle":"","family":"MNiSW","given":"","non-dropping-particle":"","parse-names":false,"suffix":""}],"id":"ITEM-1","issued":{"date-parts":[["2019"]]},"publisher-place":"Warszawa","title":"Przewodnik po systemie szkolnictwa wyższego i nauki","type":"report"},"uris":["http://www.mendeley.com/documents/?uuid=499943fb-ebe1-4ae2-a5d9-a460d2ef0a92"]}],"mendeley":{"formattedCitation":"(Ministerstwo Nauki i Szkolnictwa Wyższego &amp; MNiSW, 2019)","plainTextFormattedCitation":"(Ministerstwo Nauki i Szkolnictwa Wyższego &amp; MNiSW, 2019)","previouslyFormattedCitation":"(Ministerstwo Nauki i Szkolnictwa Wyższego &amp; MNiSW, 2019)"},"properties":{"noteIndex":0},"schema":"https://github.com/citation-style-language/schema/raw/master/csl-citation.json"}</w:instrText>
      </w:r>
      <w:r w:rsidRPr="00233788">
        <w:rPr>
          <w:u w:val="single"/>
        </w:rPr>
        <w:fldChar w:fldCharType="separate"/>
      </w:r>
      <w:r w:rsidR="00921CC1" w:rsidRPr="00921CC1">
        <w:rPr>
          <w:noProof/>
        </w:rPr>
        <w:t>(Ministerstwo Nauki i Szkolnictwa Wyższego &amp; MNiSW, 2019)</w:t>
      </w:r>
      <w:r w:rsidRPr="00233788">
        <w:rPr>
          <w:u w:val="single"/>
        </w:rPr>
        <w:fldChar w:fldCharType="end"/>
      </w:r>
      <w:r w:rsidRPr="00233788">
        <w:rPr>
          <w:u w:val="single"/>
        </w:rPr>
        <w:t>.</w:t>
      </w:r>
    </w:p>
    <w:p w14:paraId="7531F65E" w14:textId="79D165EA" w:rsidR="00FB1317" w:rsidRPr="00233788" w:rsidRDefault="00FB1317" w:rsidP="00FB1317">
      <w:pPr>
        <w:rPr>
          <w:u w:val="single"/>
        </w:rPr>
      </w:pPr>
      <w:r w:rsidRPr="00233788">
        <w:rPr>
          <w:u w:val="single"/>
        </w:rPr>
        <w:t>Uczelnia (ustrój, typy):</w:t>
      </w:r>
    </w:p>
    <w:p w14:paraId="18C56C43" w14:textId="77777777" w:rsidR="00FB1317" w:rsidRPr="00233788" w:rsidRDefault="00FB1317" w:rsidP="002D3260">
      <w:pPr>
        <w:pStyle w:val="Akapitzlist"/>
        <w:numPr>
          <w:ilvl w:val="0"/>
          <w:numId w:val="26"/>
        </w:numPr>
      </w:pPr>
      <w:r w:rsidRPr="00233788">
        <w:t>wprowadzono możliwość utworzenia uczelni publicznej w wyniku połączenia uczelni publicznych, instytutów badawczych lub instytutów PAN,</w:t>
      </w:r>
    </w:p>
    <w:p w14:paraId="68D70068" w14:textId="04F0F84D" w:rsidR="00FB1317" w:rsidRPr="00233788" w:rsidRDefault="00FB1317" w:rsidP="002D3260">
      <w:pPr>
        <w:pStyle w:val="Akapitzlist"/>
        <w:numPr>
          <w:ilvl w:val="0"/>
          <w:numId w:val="26"/>
        </w:numPr>
      </w:pPr>
      <w:r w:rsidRPr="00233788">
        <w:t>uproszczono procedurę tworzenia uczelni niepublicznej – obecnie założyciel występuje do Ministra z wnioskiem o wpis uczelni niepublicznej do ewidencji, do którego załącza wszystkie dokumenty i informacje. Wraz z wnioskiem o wpis składany jest wniosek o wydanie pozwolenia na utworzenie studiów na określonym kierunku, poziomie i profilu,</w:t>
      </w:r>
    </w:p>
    <w:p w14:paraId="1B378D38" w14:textId="77777777" w:rsidR="00FB1317" w:rsidRPr="00233788" w:rsidRDefault="00FB1317" w:rsidP="002D3260">
      <w:pPr>
        <w:pStyle w:val="Akapitzlist"/>
        <w:numPr>
          <w:ilvl w:val="0"/>
          <w:numId w:val="26"/>
        </w:numPr>
      </w:pPr>
      <w:r w:rsidRPr="00233788">
        <w:t>podniesiono minimalny poziom środków finansowych, jakie założyciel przekazuje nowo tworzonej uczelni niepublicznej,</w:t>
      </w:r>
    </w:p>
    <w:p w14:paraId="3D31655A" w14:textId="77777777" w:rsidR="00FB1317" w:rsidRPr="00233788" w:rsidRDefault="00FB1317" w:rsidP="002D3260">
      <w:pPr>
        <w:pStyle w:val="Akapitzlist"/>
        <w:numPr>
          <w:ilvl w:val="0"/>
          <w:numId w:val="26"/>
        </w:numPr>
      </w:pPr>
      <w:r w:rsidRPr="00233788">
        <w:t>zmieniono rejestr uczelni niepublicznych na ewidencję uczelni niepublicznych oraz zmodyfikowano zakres danych podlegających wpisowi,</w:t>
      </w:r>
    </w:p>
    <w:p w14:paraId="2B09F687" w14:textId="77777777" w:rsidR="00FB1317" w:rsidRPr="00233788" w:rsidRDefault="00FB1317" w:rsidP="002D3260">
      <w:pPr>
        <w:pStyle w:val="Akapitzlist"/>
        <w:numPr>
          <w:ilvl w:val="0"/>
          <w:numId w:val="26"/>
        </w:numPr>
      </w:pPr>
      <w:r w:rsidRPr="00233788">
        <w:t>doprecyzowano zasady likwidacji uczelni publicznych, w tym zasady powoływania likwidatora, przebiegu procesu likwidacyjnego oraz skutki postawienia uczelni w stan likwidacji,</w:t>
      </w:r>
    </w:p>
    <w:p w14:paraId="384361CD" w14:textId="77777777" w:rsidR="00FB1317" w:rsidRPr="00233788" w:rsidRDefault="00FB1317" w:rsidP="002D3260">
      <w:pPr>
        <w:pStyle w:val="Akapitzlist"/>
        <w:numPr>
          <w:ilvl w:val="0"/>
          <w:numId w:val="26"/>
        </w:numPr>
      </w:pPr>
      <w:r w:rsidRPr="00233788">
        <w:t>zmieniono kryteria zaliczenia uczelni do grupy akademickiej lub zawodowej i powiązano status uczelni z oceną jakości działalności naukowej,</w:t>
      </w:r>
    </w:p>
    <w:p w14:paraId="0C0BB743" w14:textId="77777777" w:rsidR="00FB1317" w:rsidRPr="00233788" w:rsidRDefault="00FB1317" w:rsidP="002D3260">
      <w:pPr>
        <w:pStyle w:val="Akapitzlist"/>
        <w:numPr>
          <w:ilvl w:val="0"/>
          <w:numId w:val="26"/>
        </w:numPr>
      </w:pPr>
      <w:r w:rsidRPr="00233788">
        <w:t>zmodyfikowano zasady posługiwania się nazwami uczelni i powiązano je z oceną jakości działalności naukowej,</w:t>
      </w:r>
    </w:p>
    <w:p w14:paraId="38824B40" w14:textId="77777777" w:rsidR="00FB1317" w:rsidRPr="00233788" w:rsidRDefault="00FB1317" w:rsidP="002D3260">
      <w:pPr>
        <w:pStyle w:val="Akapitzlist"/>
        <w:numPr>
          <w:ilvl w:val="0"/>
          <w:numId w:val="26"/>
        </w:numPr>
      </w:pPr>
      <w:r w:rsidRPr="00233788">
        <w:t>wprowadzono możliwość zmiany statusu uczelni akademickiej na zawodową na wniosek samej uczelni,</w:t>
      </w:r>
    </w:p>
    <w:p w14:paraId="798D9BC8" w14:textId="77777777" w:rsidR="00FB1317" w:rsidRPr="00233788" w:rsidRDefault="00FB1317" w:rsidP="002D3260">
      <w:pPr>
        <w:pStyle w:val="Akapitzlist"/>
        <w:numPr>
          <w:ilvl w:val="0"/>
          <w:numId w:val="26"/>
        </w:numPr>
      </w:pPr>
      <w:r w:rsidRPr="00233788">
        <w:t>wprowadzono możliwość tworzenia federacji uczelni stanowiących bardziej zaawansowaną formę współpracy niż dotychczas funkcjonujące związki uczelni,</w:t>
      </w:r>
    </w:p>
    <w:p w14:paraId="489E3713" w14:textId="77777777" w:rsidR="00FB1317" w:rsidRPr="00233788" w:rsidRDefault="00FB1317" w:rsidP="002D3260">
      <w:pPr>
        <w:pStyle w:val="Akapitzlist"/>
        <w:numPr>
          <w:ilvl w:val="0"/>
          <w:numId w:val="26"/>
        </w:numPr>
      </w:pPr>
      <w:r w:rsidRPr="00233788">
        <w:t>wprowadzenie rady uczelni w uczelniach publicznych, z wyjątkiem uczelni wojskowych i uczelni służb państwowych,</w:t>
      </w:r>
    </w:p>
    <w:p w14:paraId="78B3B1A2" w14:textId="77777777" w:rsidR="00FB1317" w:rsidRPr="00233788" w:rsidRDefault="00FB1317" w:rsidP="002D3260">
      <w:pPr>
        <w:pStyle w:val="Akapitzlist"/>
        <w:numPr>
          <w:ilvl w:val="0"/>
          <w:numId w:val="26"/>
        </w:numPr>
      </w:pPr>
      <w:r w:rsidRPr="00233788">
        <w:t>rada uczelni zatwierdza sprawozdanie z wykonania planu rzeczowo-finansowego oraz sprawozdanie finansowe,</w:t>
      </w:r>
    </w:p>
    <w:p w14:paraId="20B29CF9" w14:textId="77777777" w:rsidR="00FB1317" w:rsidRPr="00233788" w:rsidRDefault="00FB1317" w:rsidP="002D3260">
      <w:pPr>
        <w:pStyle w:val="Akapitzlist"/>
        <w:numPr>
          <w:ilvl w:val="0"/>
          <w:numId w:val="26"/>
        </w:numPr>
      </w:pPr>
      <w:r w:rsidRPr="00233788">
        <w:t>uległ zmianie proces wyboru kandydatów na rektora w uczelni publicznej poprzez udział w tym procesie rady uczelni oraz senatu,</w:t>
      </w:r>
    </w:p>
    <w:p w14:paraId="7F3CBF84" w14:textId="77777777" w:rsidR="00FB1317" w:rsidRPr="00233788" w:rsidRDefault="00FB1317" w:rsidP="002D3260">
      <w:pPr>
        <w:pStyle w:val="Akapitzlist"/>
        <w:numPr>
          <w:ilvl w:val="0"/>
          <w:numId w:val="26"/>
        </w:numPr>
      </w:pPr>
      <w:r w:rsidRPr="00233788">
        <w:t>zrezygnowano z konkursowego trybu powoływania rektora uczelni publicznej jako jednej z możliwości, na rzecz wyboru wyłącznie w drodze głosowania przeprowadzanego przez kolegium elektorów,</w:t>
      </w:r>
    </w:p>
    <w:p w14:paraId="588C1A98" w14:textId="77777777" w:rsidR="00FB1317" w:rsidRPr="00233788" w:rsidRDefault="00FB1317" w:rsidP="002D3260">
      <w:pPr>
        <w:pStyle w:val="Akapitzlist"/>
        <w:numPr>
          <w:ilvl w:val="0"/>
          <w:numId w:val="26"/>
        </w:numPr>
      </w:pPr>
      <w:r w:rsidRPr="00233788">
        <w:t>senat uzyskał kompetencję do nadawania stopni naukowych i stopni w zakresie sztuki</w:t>
      </w:r>
    </w:p>
    <w:p w14:paraId="11E52BF0" w14:textId="77777777" w:rsidR="00FB1317" w:rsidRPr="00233788" w:rsidRDefault="00FB1317" w:rsidP="002D3260">
      <w:pPr>
        <w:pStyle w:val="Akapitzlist"/>
        <w:numPr>
          <w:ilvl w:val="0"/>
          <w:numId w:val="26"/>
        </w:numPr>
      </w:pPr>
      <w:r w:rsidRPr="00233788">
        <w:t>zrezygnowano z ustawowego określania składu senatu uczelni niepublicznej</w:t>
      </w:r>
    </w:p>
    <w:p w14:paraId="1FD34D30" w14:textId="77777777" w:rsidR="00FB1317" w:rsidRPr="00233788" w:rsidRDefault="00FB1317" w:rsidP="002D3260">
      <w:pPr>
        <w:pStyle w:val="Akapitzlist"/>
        <w:numPr>
          <w:ilvl w:val="0"/>
          <w:numId w:val="26"/>
        </w:numPr>
      </w:pPr>
      <w:r w:rsidRPr="00233788">
        <w:t>odejście od pojęcia i konstrukcji podstawowej jednostki organizacyjnej uczelni na rzecz swobodnego decydowania o typach jednostek w statucie,</w:t>
      </w:r>
    </w:p>
    <w:p w14:paraId="0844EA5B" w14:textId="77777777" w:rsidR="00FB1317" w:rsidRPr="00233788" w:rsidRDefault="00FB1317" w:rsidP="002D3260">
      <w:pPr>
        <w:pStyle w:val="Akapitzlist"/>
        <w:numPr>
          <w:ilvl w:val="0"/>
          <w:numId w:val="26"/>
        </w:numPr>
      </w:pPr>
      <w:r w:rsidRPr="00233788">
        <w:lastRenderedPageBreak/>
        <w:t>statut uczelni wskazuje jedynie typy jednostek organizacyjnych, a konkretne jednostki tworzy, przekształca i likwiduje rektor poprzez określenie struktury uczelni w regulaminie organizacyjnym,</w:t>
      </w:r>
    </w:p>
    <w:p w14:paraId="56DF5636" w14:textId="5C2B0F9D" w:rsidR="00FB1317" w:rsidRPr="00233788" w:rsidRDefault="00FB1317" w:rsidP="002D3260">
      <w:pPr>
        <w:pStyle w:val="Akapitzlist"/>
        <w:numPr>
          <w:ilvl w:val="0"/>
          <w:numId w:val="26"/>
        </w:numPr>
      </w:pPr>
      <w:r w:rsidRPr="00233788">
        <w:t>zmieniono zasady prowadzenia działalności poza siedzibą uczelni, która obecnie może przybrać jedynie formę filii. Inaczej niż dotychczas filia nie jest już zamiejscową jednostką organizacyjną, w której skład wchodzą minimum dwie podstawowe jednostki organizacyjne.</w:t>
      </w:r>
    </w:p>
    <w:p w14:paraId="50FB3573" w14:textId="77777777" w:rsidR="00FB1317" w:rsidRPr="00233788" w:rsidRDefault="00FB1317" w:rsidP="00FB1317">
      <w:pPr>
        <w:pStyle w:val="Akapitzlist"/>
        <w:ind w:firstLine="0"/>
        <w:rPr>
          <w:u w:val="single"/>
        </w:rPr>
      </w:pPr>
      <w:r w:rsidRPr="00233788">
        <w:rPr>
          <w:u w:val="single"/>
        </w:rPr>
        <w:t>Pracownicy</w:t>
      </w:r>
    </w:p>
    <w:p w14:paraId="503E62D4" w14:textId="77777777" w:rsidR="00FB1317" w:rsidRPr="00233788" w:rsidRDefault="00FB1317" w:rsidP="002D3260">
      <w:pPr>
        <w:pStyle w:val="Akapitzlist"/>
        <w:numPr>
          <w:ilvl w:val="0"/>
          <w:numId w:val="26"/>
        </w:numPr>
      </w:pPr>
      <w:r w:rsidRPr="00233788">
        <w:t>ograniczono ustawowy katalog stanowisk nauczycieli akademickich,</w:t>
      </w:r>
    </w:p>
    <w:p w14:paraId="046247FE" w14:textId="77777777" w:rsidR="00FB1317" w:rsidRPr="00233788" w:rsidRDefault="00FB1317" w:rsidP="002D3260">
      <w:pPr>
        <w:pStyle w:val="Akapitzlist"/>
        <w:numPr>
          <w:ilvl w:val="0"/>
          <w:numId w:val="26"/>
        </w:numPr>
      </w:pPr>
      <w:r w:rsidRPr="00233788">
        <w:t>wprowadzono stanowisko profesora uczelni, na którym mogą być zatrudniane także osoby posiadające stopień doktora,</w:t>
      </w:r>
    </w:p>
    <w:p w14:paraId="4970A11B" w14:textId="77777777" w:rsidR="00FB1317" w:rsidRPr="00233788" w:rsidRDefault="00FB1317" w:rsidP="002D3260">
      <w:pPr>
        <w:pStyle w:val="Akapitzlist"/>
        <w:numPr>
          <w:ilvl w:val="0"/>
          <w:numId w:val="26"/>
        </w:numPr>
      </w:pPr>
      <w:r w:rsidRPr="00233788">
        <w:t>umożliwiono uczelniom autonomiczne określanie własnych stanowisk zawodowych dla nauczycieli akademickich oraz odpowiadających im wymogów kwalifikacyjnych,</w:t>
      </w:r>
    </w:p>
    <w:p w14:paraId="00E16DBE" w14:textId="77777777" w:rsidR="00FB1317" w:rsidRPr="00233788" w:rsidRDefault="00FB1317" w:rsidP="002D3260">
      <w:pPr>
        <w:pStyle w:val="Akapitzlist"/>
        <w:numPr>
          <w:ilvl w:val="0"/>
          <w:numId w:val="26"/>
        </w:numPr>
      </w:pPr>
      <w:r w:rsidRPr="00233788">
        <w:t>likwidacja mianowania jako jednej z form nawiązania stosunku pracy,</w:t>
      </w:r>
    </w:p>
    <w:p w14:paraId="633BB8D6" w14:textId="77777777" w:rsidR="00FB1317" w:rsidRPr="00233788" w:rsidRDefault="00FB1317" w:rsidP="002D3260">
      <w:pPr>
        <w:pStyle w:val="Akapitzlist"/>
        <w:numPr>
          <w:ilvl w:val="0"/>
          <w:numId w:val="26"/>
        </w:numPr>
      </w:pPr>
      <w:r w:rsidRPr="00233788">
        <w:t>druga umowa o pracę może zostać zawarta na czas nieokreślony bez przeprowadzenia konkursu,</w:t>
      </w:r>
    </w:p>
    <w:p w14:paraId="052EC708" w14:textId="77777777" w:rsidR="00FB1317" w:rsidRPr="00233788" w:rsidRDefault="00FB1317" w:rsidP="002D3260">
      <w:pPr>
        <w:pStyle w:val="Akapitzlist"/>
        <w:numPr>
          <w:ilvl w:val="0"/>
          <w:numId w:val="26"/>
        </w:numPr>
      </w:pPr>
      <w:r w:rsidRPr="00233788">
        <w:t>wprowadzenie jasnej normy w zakresie zadaniowego czasu pracy,</w:t>
      </w:r>
    </w:p>
    <w:p w14:paraId="6E964250" w14:textId="77777777" w:rsidR="00FB1317" w:rsidRPr="00233788" w:rsidRDefault="00FB1317" w:rsidP="002D3260">
      <w:pPr>
        <w:pStyle w:val="Akapitzlist"/>
        <w:numPr>
          <w:ilvl w:val="0"/>
          <w:numId w:val="26"/>
        </w:numPr>
      </w:pPr>
      <w:r w:rsidRPr="00233788">
        <w:t>likwidacja minimalnego wymiaru zajęć dydaktycznych,</w:t>
      </w:r>
    </w:p>
    <w:p w14:paraId="157AF10C" w14:textId="77777777" w:rsidR="00FB1317" w:rsidRPr="00233788" w:rsidRDefault="00FB1317" w:rsidP="002D3260">
      <w:pPr>
        <w:pStyle w:val="Akapitzlist"/>
        <w:numPr>
          <w:ilvl w:val="0"/>
          <w:numId w:val="26"/>
        </w:numPr>
      </w:pPr>
      <w:r w:rsidRPr="00233788">
        <w:t>nowe zasady wynagradzania pracowników,</w:t>
      </w:r>
    </w:p>
    <w:p w14:paraId="287E281C" w14:textId="77777777" w:rsidR="00FB1317" w:rsidRPr="00233788" w:rsidRDefault="00FB1317" w:rsidP="002D3260">
      <w:pPr>
        <w:pStyle w:val="Akapitzlist"/>
        <w:numPr>
          <w:ilvl w:val="0"/>
          <w:numId w:val="26"/>
        </w:numPr>
      </w:pPr>
      <w:r w:rsidRPr="00233788">
        <w:t>kryteria oceny dla każdej grupy pracowników i rodzaju stanowisk oraz tryb i podmiot dokonujący oceny określa rektor,</w:t>
      </w:r>
    </w:p>
    <w:p w14:paraId="0AD59058" w14:textId="77777777" w:rsidR="00FB1317" w:rsidRPr="00233788" w:rsidRDefault="00FB1317" w:rsidP="002D3260">
      <w:pPr>
        <w:pStyle w:val="Akapitzlist"/>
        <w:numPr>
          <w:ilvl w:val="0"/>
          <w:numId w:val="26"/>
        </w:numPr>
      </w:pPr>
      <w:r w:rsidRPr="00233788">
        <w:t>inicjatorem wniosku o poddanie nauczyciela akademickiego ocenie dodatkowej jest wyłącznie rektor,</w:t>
      </w:r>
    </w:p>
    <w:p w14:paraId="3E0F2F19" w14:textId="77777777" w:rsidR="00FB1317" w:rsidRPr="00233788" w:rsidRDefault="00FB1317" w:rsidP="002D3260">
      <w:pPr>
        <w:pStyle w:val="Akapitzlist"/>
        <w:numPr>
          <w:ilvl w:val="0"/>
          <w:numId w:val="26"/>
        </w:numPr>
      </w:pPr>
      <w:r w:rsidRPr="00233788">
        <w:t>ocena okresowa nauczyciela akademickiego może być wyłącznie pozytywna lub negatywna,</w:t>
      </w:r>
    </w:p>
    <w:p w14:paraId="678EB596" w14:textId="77777777" w:rsidR="00FB1317" w:rsidRPr="00233788" w:rsidRDefault="00FB1317" w:rsidP="002D3260">
      <w:pPr>
        <w:pStyle w:val="Akapitzlist"/>
        <w:numPr>
          <w:ilvl w:val="0"/>
          <w:numId w:val="26"/>
        </w:numPr>
      </w:pPr>
      <w:r w:rsidRPr="00233788">
        <w:t>odstąpienie od kryterium uzyskania stopnia naukowego w procedurze oceny okresowej nauczyciela akademickiego,</w:t>
      </w:r>
    </w:p>
    <w:p w14:paraId="68D91DB9" w14:textId="77777777" w:rsidR="00FB1317" w:rsidRPr="00233788" w:rsidRDefault="00FB1317" w:rsidP="002D3260">
      <w:pPr>
        <w:pStyle w:val="Akapitzlist"/>
        <w:numPr>
          <w:ilvl w:val="0"/>
          <w:numId w:val="26"/>
        </w:numPr>
      </w:pPr>
      <w:r w:rsidRPr="00233788">
        <w:t>urlop dla poratowania zdrowia przysługuje już po 10 latach zatrudnienia w uczelni,</w:t>
      </w:r>
    </w:p>
    <w:p w14:paraId="6C562110" w14:textId="77777777" w:rsidR="00FB1317" w:rsidRPr="00233788" w:rsidRDefault="00FB1317" w:rsidP="00FB1317">
      <w:pPr>
        <w:pStyle w:val="Akapitzlist"/>
        <w:ind w:firstLine="0"/>
        <w:rPr>
          <w:u w:val="single"/>
        </w:rPr>
      </w:pPr>
      <w:r w:rsidRPr="00233788">
        <w:rPr>
          <w:u w:val="single"/>
        </w:rPr>
        <w:t>Awans naukowy - doktoraty</w:t>
      </w:r>
    </w:p>
    <w:p w14:paraId="3F3F615E" w14:textId="77777777" w:rsidR="00FB1317" w:rsidRPr="00233788" w:rsidRDefault="00FB1317" w:rsidP="002D3260">
      <w:pPr>
        <w:pStyle w:val="Akapitzlist"/>
        <w:numPr>
          <w:ilvl w:val="0"/>
          <w:numId w:val="26"/>
        </w:numPr>
      </w:pPr>
      <w:r w:rsidRPr="00233788">
        <w:t>umożliwiono nadawanie stopnia naukowego doktora w dziedzinie,</w:t>
      </w:r>
    </w:p>
    <w:p w14:paraId="7D87250B" w14:textId="77777777" w:rsidR="00FB1317" w:rsidRPr="00233788" w:rsidRDefault="00FB1317" w:rsidP="002D3260">
      <w:pPr>
        <w:pStyle w:val="Akapitzlist"/>
        <w:numPr>
          <w:ilvl w:val="0"/>
          <w:numId w:val="26"/>
        </w:numPr>
      </w:pPr>
      <w:r w:rsidRPr="00233788">
        <w:t>wprowadzono możliwość nadawania tytułu profesora w dziedzinie i dyscyplinie lub dyscyplinach,</w:t>
      </w:r>
    </w:p>
    <w:p w14:paraId="44A5054A" w14:textId="77777777" w:rsidR="00FB1317" w:rsidRPr="00233788" w:rsidRDefault="00FB1317" w:rsidP="002D3260">
      <w:pPr>
        <w:pStyle w:val="Akapitzlist"/>
        <w:numPr>
          <w:ilvl w:val="0"/>
          <w:numId w:val="26"/>
        </w:numPr>
      </w:pPr>
      <w:r w:rsidRPr="00233788">
        <w:t>przeniesiono uprawnienia do nadawania stopni z jednostek organizacyjnych na szczebel uczelni,</w:t>
      </w:r>
    </w:p>
    <w:p w14:paraId="09C8D01D" w14:textId="77777777" w:rsidR="00FB1317" w:rsidRPr="00233788" w:rsidRDefault="00FB1317" w:rsidP="002D3260">
      <w:pPr>
        <w:pStyle w:val="Akapitzlist"/>
        <w:numPr>
          <w:ilvl w:val="0"/>
          <w:numId w:val="26"/>
        </w:numPr>
      </w:pPr>
      <w:r w:rsidRPr="00233788">
        <w:t>wprowadzono nową klasyfikację dziedzin nauki i sztuki oraz dyscyplin naukowych i artystycznych, w których można nadawać stopnie i tytuł naukowy,</w:t>
      </w:r>
    </w:p>
    <w:p w14:paraId="77E48F0C" w14:textId="77777777" w:rsidR="00FB1317" w:rsidRPr="00233788" w:rsidRDefault="00FB1317" w:rsidP="002D3260">
      <w:pPr>
        <w:pStyle w:val="Akapitzlist"/>
        <w:numPr>
          <w:ilvl w:val="0"/>
          <w:numId w:val="26"/>
        </w:numPr>
      </w:pPr>
      <w:r w:rsidRPr="00233788">
        <w:t>uzależniono posiadanie uprawnień do doktoryzowania i habilitacji w dyscyplinie od kategorii naukowej, jaką posiada uczelnia, instytut PAN, instytut badawczy, międzynarodowy instytut badawczy lub federacja,</w:t>
      </w:r>
    </w:p>
    <w:p w14:paraId="1650A723" w14:textId="77777777" w:rsidR="00FB1317" w:rsidRPr="00233788" w:rsidRDefault="00FB1317" w:rsidP="002D3260">
      <w:pPr>
        <w:pStyle w:val="Akapitzlist"/>
        <w:numPr>
          <w:ilvl w:val="0"/>
          <w:numId w:val="26"/>
        </w:numPr>
      </w:pPr>
      <w:r w:rsidRPr="00233788">
        <w:t>zrezygnowano z udziału podmiotów posiadających uprawnienia habilitacyjne w proce- durze nadawania tytułu profesora,</w:t>
      </w:r>
    </w:p>
    <w:p w14:paraId="2F28B339" w14:textId="77777777" w:rsidR="00FB1317" w:rsidRPr="00233788" w:rsidRDefault="00FB1317" w:rsidP="002D3260">
      <w:pPr>
        <w:pStyle w:val="Akapitzlist"/>
        <w:numPr>
          <w:ilvl w:val="0"/>
          <w:numId w:val="26"/>
        </w:numPr>
      </w:pPr>
      <w:r w:rsidRPr="00233788">
        <w:t>Centralną Komisję ds. Stopni i Tytułów zastąpiono Radą Doskonałości Naukowej,</w:t>
      </w:r>
    </w:p>
    <w:p w14:paraId="47704C73" w14:textId="77777777" w:rsidR="00FB1317" w:rsidRPr="00233788" w:rsidRDefault="00FB1317" w:rsidP="002D3260">
      <w:pPr>
        <w:pStyle w:val="Akapitzlist"/>
        <w:numPr>
          <w:ilvl w:val="0"/>
          <w:numId w:val="26"/>
        </w:numPr>
      </w:pPr>
      <w:r w:rsidRPr="00233788">
        <w:lastRenderedPageBreak/>
        <w:t xml:space="preserve">przewody doktorskie stały się postępowaniami </w:t>
      </w:r>
      <w:proofErr w:type="spellStart"/>
      <w:r w:rsidRPr="00233788">
        <w:t>ws</w:t>
      </w:r>
      <w:proofErr w:type="spellEnd"/>
      <w:r w:rsidRPr="00233788">
        <w:t>. nadania stopnia doktora,</w:t>
      </w:r>
    </w:p>
    <w:p w14:paraId="3A31C134" w14:textId="77777777" w:rsidR="00FB1317" w:rsidRPr="00233788" w:rsidRDefault="00FB1317" w:rsidP="002D3260">
      <w:pPr>
        <w:pStyle w:val="Akapitzlist"/>
        <w:numPr>
          <w:ilvl w:val="0"/>
          <w:numId w:val="26"/>
        </w:numPr>
      </w:pPr>
      <w:r w:rsidRPr="00233788">
        <w:t>zniesiony został obowiązek przeprowadzania egzaminów doktorskich na rzecz weryfikacji efektów kształcenia na 8 poziomie PRK,</w:t>
      </w:r>
    </w:p>
    <w:p w14:paraId="21CDB12C" w14:textId="77777777" w:rsidR="00FB1317" w:rsidRPr="00233788" w:rsidRDefault="00FB1317" w:rsidP="002D3260">
      <w:pPr>
        <w:pStyle w:val="Akapitzlist"/>
        <w:numPr>
          <w:ilvl w:val="0"/>
          <w:numId w:val="26"/>
        </w:numPr>
      </w:pPr>
      <w:r w:rsidRPr="00233788">
        <w:t>rozprawy doktorskie przed obroną będą obligatoryjnie udostępniane w BIP podmiotu doktoryzującego,</w:t>
      </w:r>
    </w:p>
    <w:p w14:paraId="6B12B12F" w14:textId="77777777" w:rsidR="00FB1317" w:rsidRPr="00233788" w:rsidRDefault="00FB1317" w:rsidP="002D3260">
      <w:pPr>
        <w:pStyle w:val="Akapitzlist"/>
        <w:numPr>
          <w:ilvl w:val="0"/>
          <w:numId w:val="26"/>
        </w:numPr>
      </w:pPr>
      <w:r w:rsidRPr="00233788">
        <w:t>wszczęcie postępowania (dawne otwarcie przewodu) będzie możliwe dopiero wraz ze złożeniem rozprawy doktorskiej,</w:t>
      </w:r>
    </w:p>
    <w:p w14:paraId="47244DDD" w14:textId="77777777" w:rsidR="00FB1317" w:rsidRPr="00233788" w:rsidRDefault="00FB1317" w:rsidP="002D3260">
      <w:pPr>
        <w:pStyle w:val="Akapitzlist"/>
        <w:numPr>
          <w:ilvl w:val="0"/>
          <w:numId w:val="26"/>
        </w:numPr>
      </w:pPr>
      <w:r w:rsidRPr="00233788">
        <w:t>liczba recenzentów w postępowaniu zwiększyła się do trzech,</w:t>
      </w:r>
    </w:p>
    <w:p w14:paraId="56CBDF71" w14:textId="77777777" w:rsidR="00FB1317" w:rsidRPr="00233788" w:rsidRDefault="00FB1317" w:rsidP="002D3260">
      <w:pPr>
        <w:pStyle w:val="Akapitzlist"/>
        <w:numPr>
          <w:ilvl w:val="0"/>
          <w:numId w:val="26"/>
        </w:numPr>
      </w:pPr>
      <w:r w:rsidRPr="00233788">
        <w:t>szczegółowe zasady prowadzenia postępowań w uczelni określi senat, a w instytutach rada naukowa</w:t>
      </w:r>
    </w:p>
    <w:p w14:paraId="6647C8D1" w14:textId="77777777" w:rsidR="00FB1317" w:rsidRPr="00233788" w:rsidRDefault="00FB1317" w:rsidP="00FB1317">
      <w:pPr>
        <w:pStyle w:val="Akapitzlist"/>
        <w:ind w:firstLine="0"/>
        <w:rPr>
          <w:u w:val="single"/>
        </w:rPr>
      </w:pPr>
      <w:r w:rsidRPr="00233788">
        <w:rPr>
          <w:u w:val="single"/>
        </w:rPr>
        <w:t>Awans naukowy - habilitacje:</w:t>
      </w:r>
    </w:p>
    <w:p w14:paraId="6AEFE0CD" w14:textId="77777777" w:rsidR="00FB1317" w:rsidRPr="00233788" w:rsidRDefault="00FB1317" w:rsidP="002D3260">
      <w:pPr>
        <w:pStyle w:val="Akapitzlist"/>
        <w:numPr>
          <w:ilvl w:val="0"/>
          <w:numId w:val="26"/>
        </w:numPr>
      </w:pPr>
      <w:r w:rsidRPr="00233788">
        <w:t>zwiększono liczbę recenzentów w postępowaniu w sprawie nadania stopnia doktora habilitowanego do czterech,</w:t>
      </w:r>
    </w:p>
    <w:p w14:paraId="0F900160" w14:textId="77777777" w:rsidR="00FB1317" w:rsidRPr="00233788" w:rsidRDefault="00FB1317" w:rsidP="002D3260">
      <w:pPr>
        <w:pStyle w:val="Akapitzlist"/>
        <w:numPr>
          <w:ilvl w:val="0"/>
          <w:numId w:val="26"/>
        </w:numPr>
      </w:pPr>
      <w:r w:rsidRPr="00233788">
        <w:t>wprowadzono obowiązkowe kolokwium habilitacyjne w naukach humanistycznych, społecznych i teologicznych oraz możliwość przeprowadzania kolokwium w pozostałych dziedzinach,</w:t>
      </w:r>
    </w:p>
    <w:p w14:paraId="22917EBE" w14:textId="77777777" w:rsidR="00FB1317" w:rsidRPr="00233788" w:rsidRDefault="00FB1317" w:rsidP="002D3260">
      <w:pPr>
        <w:pStyle w:val="Akapitzlist"/>
        <w:numPr>
          <w:ilvl w:val="0"/>
          <w:numId w:val="26"/>
        </w:numPr>
      </w:pPr>
      <w:r w:rsidRPr="00233788">
        <w:t>wprowadzono sankcje za wycofanie wniosku o nadanie stopnia po powołaniu komisji habilitacyjnej</w:t>
      </w:r>
    </w:p>
    <w:p w14:paraId="42B801B6" w14:textId="77777777" w:rsidR="00FB1317" w:rsidRPr="00233788" w:rsidRDefault="00FB1317" w:rsidP="00FB1317">
      <w:pPr>
        <w:pStyle w:val="Akapitzlist"/>
        <w:ind w:firstLine="0"/>
        <w:rPr>
          <w:u w:val="single"/>
        </w:rPr>
      </w:pPr>
      <w:r w:rsidRPr="00233788">
        <w:rPr>
          <w:u w:val="single"/>
        </w:rPr>
        <w:t>Awans naukowy - profesury:</w:t>
      </w:r>
    </w:p>
    <w:p w14:paraId="28266FEC" w14:textId="0C1C4F8C" w:rsidR="00FB1317" w:rsidRPr="00233788" w:rsidRDefault="00FB1317" w:rsidP="002D3260">
      <w:pPr>
        <w:pStyle w:val="Akapitzlist"/>
        <w:numPr>
          <w:ilvl w:val="0"/>
          <w:numId w:val="26"/>
        </w:numPr>
      </w:pPr>
      <w:r w:rsidRPr="00233788">
        <w:t xml:space="preserve">uprawnienie do prowadzenia postępowań </w:t>
      </w:r>
      <w:proofErr w:type="spellStart"/>
      <w:r w:rsidRPr="00233788">
        <w:t>ws</w:t>
      </w:r>
      <w:proofErr w:type="spellEnd"/>
      <w:r w:rsidRPr="00233788">
        <w:t>. nadania tytułu profesora przyznano wyłącznie Radzie Doskonałości Naukowej,</w:t>
      </w:r>
    </w:p>
    <w:p w14:paraId="65A06B2D" w14:textId="77777777" w:rsidR="00FB1317" w:rsidRPr="00233788" w:rsidRDefault="00FB1317" w:rsidP="002D3260">
      <w:pPr>
        <w:pStyle w:val="Akapitzlist"/>
        <w:numPr>
          <w:ilvl w:val="0"/>
          <w:numId w:val="26"/>
        </w:numPr>
      </w:pPr>
      <w:r w:rsidRPr="00233788">
        <w:t>całkowicie zrezygnowano z udziału uczelni w procedurze nadawania tytułu profesora,</w:t>
      </w:r>
    </w:p>
    <w:p w14:paraId="563C9143" w14:textId="77777777" w:rsidR="00FB1317" w:rsidRPr="00233788" w:rsidRDefault="00FB1317" w:rsidP="002D3260">
      <w:pPr>
        <w:pStyle w:val="Akapitzlist"/>
        <w:numPr>
          <w:ilvl w:val="0"/>
          <w:numId w:val="26"/>
        </w:numPr>
      </w:pPr>
      <w:r w:rsidRPr="00233788">
        <w:t>zmodyfikowano warunki stawiane osobom ubiegającym się o tytuł profesora, w tym m.in. zniesiono wymogi dotyczące pełnienia opieki naukowej nad doktorantami.</w:t>
      </w:r>
    </w:p>
    <w:p w14:paraId="6C9D911A" w14:textId="77777777" w:rsidR="00FB1317" w:rsidRPr="00233788" w:rsidRDefault="00FB1317" w:rsidP="00FB1317">
      <w:pPr>
        <w:pStyle w:val="Akapitzlist"/>
        <w:ind w:firstLine="0"/>
        <w:rPr>
          <w:u w:val="single"/>
        </w:rPr>
      </w:pPr>
      <w:r w:rsidRPr="00233788">
        <w:rPr>
          <w:u w:val="single"/>
        </w:rPr>
        <w:t>Przeciwdziałanie plagiatom:</w:t>
      </w:r>
    </w:p>
    <w:p w14:paraId="73D48382" w14:textId="77777777" w:rsidR="00FB1317" w:rsidRPr="00233788" w:rsidRDefault="00FB1317" w:rsidP="002D3260">
      <w:pPr>
        <w:pStyle w:val="Akapitzlist"/>
        <w:numPr>
          <w:ilvl w:val="0"/>
          <w:numId w:val="26"/>
        </w:numPr>
      </w:pPr>
      <w:r w:rsidRPr="00233788">
        <w:t>wprowadzono obowiązek publikowania rozpraw doktorskich w BIP uczelni oraz w systemie POL-on,</w:t>
      </w:r>
    </w:p>
    <w:p w14:paraId="3AC6162D" w14:textId="77777777" w:rsidR="00FB1317" w:rsidRPr="00233788" w:rsidRDefault="00FB1317" w:rsidP="002D3260">
      <w:pPr>
        <w:pStyle w:val="Akapitzlist"/>
        <w:numPr>
          <w:ilvl w:val="0"/>
          <w:numId w:val="26"/>
        </w:numPr>
      </w:pPr>
      <w:r w:rsidRPr="00233788">
        <w:t xml:space="preserve">zmodyfikowano zakres dokumentów publikowanych w BIP uczelni w ramach postępowań </w:t>
      </w:r>
      <w:proofErr w:type="spellStart"/>
      <w:r w:rsidRPr="00233788">
        <w:t>ws</w:t>
      </w:r>
      <w:proofErr w:type="spellEnd"/>
      <w:r w:rsidRPr="00233788">
        <w:t>. nadawania stopni doktora i doktora habilitowanego.</w:t>
      </w:r>
    </w:p>
    <w:p w14:paraId="5C4D913D" w14:textId="77777777" w:rsidR="00FB1317" w:rsidRPr="00233788" w:rsidRDefault="00FB1317" w:rsidP="00FB1317">
      <w:pPr>
        <w:pStyle w:val="Akapitzlist"/>
        <w:ind w:firstLine="0"/>
        <w:rPr>
          <w:u w:val="single"/>
        </w:rPr>
      </w:pPr>
      <w:r w:rsidRPr="00233788">
        <w:rPr>
          <w:u w:val="single"/>
        </w:rPr>
        <w:t>Szkoły doktorskie:</w:t>
      </w:r>
    </w:p>
    <w:p w14:paraId="26C9C9A6" w14:textId="77777777" w:rsidR="00FB1317" w:rsidRPr="00233788" w:rsidRDefault="00FB1317" w:rsidP="002D3260">
      <w:pPr>
        <w:pStyle w:val="Akapitzlist"/>
        <w:numPr>
          <w:ilvl w:val="0"/>
          <w:numId w:val="26"/>
        </w:numPr>
      </w:pPr>
      <w:r w:rsidRPr="00233788">
        <w:t>dotychczasowe studia doktoranckie (studia trzeciego stopnia) zastąpiono kształceniem doktorantów w szkołach doktorskich,</w:t>
      </w:r>
    </w:p>
    <w:p w14:paraId="26499BC8" w14:textId="77777777" w:rsidR="00FB1317" w:rsidRPr="00233788" w:rsidRDefault="00FB1317" w:rsidP="002D3260">
      <w:pPr>
        <w:pStyle w:val="Akapitzlist"/>
        <w:numPr>
          <w:ilvl w:val="0"/>
          <w:numId w:val="26"/>
        </w:numPr>
      </w:pPr>
      <w:r w:rsidRPr="00233788">
        <w:t>szkołę doktorską będzie prowadziła, nie jak dotychczas studia doktoranckie uprawniona jednostka uczelni, ale cała uczelnia,</w:t>
      </w:r>
    </w:p>
    <w:p w14:paraId="70E9FD27" w14:textId="77777777" w:rsidR="00FB1317" w:rsidRPr="00233788" w:rsidRDefault="00FB1317" w:rsidP="002D3260">
      <w:pPr>
        <w:pStyle w:val="Akapitzlist"/>
        <w:numPr>
          <w:ilvl w:val="0"/>
          <w:numId w:val="26"/>
        </w:numPr>
      </w:pPr>
      <w:r w:rsidRPr="00233788">
        <w:t>szkoła doktorska jest zorganizowaną formą kształcenia doktorantów, a sposób jej uwzględnienia w strukturze uczelni lub instytutu zależy od regulacji wewnętrznych,</w:t>
      </w:r>
    </w:p>
    <w:p w14:paraId="5BA1B588" w14:textId="77777777" w:rsidR="00FB1317" w:rsidRPr="00233788" w:rsidRDefault="00FB1317" w:rsidP="002D3260">
      <w:pPr>
        <w:pStyle w:val="Akapitzlist"/>
        <w:numPr>
          <w:ilvl w:val="0"/>
          <w:numId w:val="26"/>
        </w:numPr>
      </w:pPr>
      <w:r w:rsidRPr="00233788">
        <w:t>powiązano prawo do prowadzenia szkoły doktorskiej z kategorią naukową – może ją prowadzić podmiot prowadzący działalność naukową w co najmniej dwóch dyscyplinach naukowych z kategorią A+, A albo B+,</w:t>
      </w:r>
    </w:p>
    <w:p w14:paraId="65BDFFB1" w14:textId="77777777" w:rsidR="00FB1317" w:rsidRPr="00233788" w:rsidRDefault="00FB1317" w:rsidP="002D3260">
      <w:pPr>
        <w:pStyle w:val="Akapitzlist"/>
        <w:numPr>
          <w:ilvl w:val="0"/>
          <w:numId w:val="26"/>
        </w:numPr>
      </w:pPr>
      <w:r w:rsidRPr="00233788">
        <w:t>w miejsce środowiskowych studiów doktoranckich podmioty, które posiadają co najmniej jedną kategorię naukową nie niższą niż B+, mogą prowadzić wspólną szkołę doktorską,</w:t>
      </w:r>
    </w:p>
    <w:p w14:paraId="4507089C" w14:textId="77777777" w:rsidR="00FB1317" w:rsidRPr="00233788" w:rsidRDefault="00FB1317" w:rsidP="002D3260">
      <w:pPr>
        <w:pStyle w:val="Akapitzlist"/>
        <w:numPr>
          <w:ilvl w:val="0"/>
          <w:numId w:val="26"/>
        </w:numPr>
      </w:pPr>
      <w:r w:rsidRPr="00233788">
        <w:lastRenderedPageBreak/>
        <w:t xml:space="preserve">zamiast ogólnouczelnianych i </w:t>
      </w:r>
      <w:proofErr w:type="spellStart"/>
      <w:r w:rsidRPr="00233788">
        <w:t>ogólnoinstytutowych</w:t>
      </w:r>
      <w:proofErr w:type="spellEnd"/>
      <w:r w:rsidRPr="00233788">
        <w:t xml:space="preserve"> regulaminów studiów doktoranckich wprowadza się regulaminy szkół doktorskich uchwalane odpowiednio przez senaty albo rady naukowe dla poszczególnych szkół doktorskich,</w:t>
      </w:r>
    </w:p>
    <w:p w14:paraId="39E2244F" w14:textId="77777777" w:rsidR="00FB1317" w:rsidRPr="00233788" w:rsidRDefault="00FB1317" w:rsidP="002D3260">
      <w:pPr>
        <w:pStyle w:val="Akapitzlist"/>
        <w:numPr>
          <w:ilvl w:val="0"/>
          <w:numId w:val="26"/>
        </w:numPr>
      </w:pPr>
      <w:r w:rsidRPr="00233788">
        <w:t>zlikwidowano podział na tryby (stacjonarny i niestacjonarny) studiów doktoranckich, a kształcenie w szkole doktorskiej jest nieodpłatne dla doktorantów,</w:t>
      </w:r>
    </w:p>
    <w:p w14:paraId="3397CA29" w14:textId="77777777" w:rsidR="00FB1317" w:rsidRPr="00233788" w:rsidRDefault="00FB1317" w:rsidP="002D3260">
      <w:pPr>
        <w:pStyle w:val="Akapitzlist"/>
        <w:numPr>
          <w:ilvl w:val="0"/>
          <w:numId w:val="26"/>
        </w:numPr>
      </w:pPr>
      <w:r w:rsidRPr="00233788">
        <w:t>rekrutacja tylko w drodze konkursu z jawnymi wynikami,</w:t>
      </w:r>
    </w:p>
    <w:p w14:paraId="61334A1A" w14:textId="77777777" w:rsidR="00FB1317" w:rsidRPr="00233788" w:rsidRDefault="00FB1317" w:rsidP="002D3260">
      <w:pPr>
        <w:pStyle w:val="Akapitzlist"/>
        <w:numPr>
          <w:ilvl w:val="0"/>
          <w:numId w:val="26"/>
        </w:numPr>
      </w:pPr>
      <w:r w:rsidRPr="00233788">
        <w:t>nowe przepisy nie przewidują już programu „Diamentowy Grant” w dotychczasowej formie, ale dopuszczają na zasadach wyjątku przyjęcie do szkoły doktorskiej absolwentów studiów pierwszego stopnia lub studentów po trzecim roku jednolitych studiów magisterskich, o ile posiadają wysokie osiągnięcia naukowe,</w:t>
      </w:r>
    </w:p>
    <w:p w14:paraId="07AEC507" w14:textId="77777777" w:rsidR="00FB1317" w:rsidRPr="00233788" w:rsidRDefault="00FB1317" w:rsidP="002D3260">
      <w:pPr>
        <w:pStyle w:val="Akapitzlist"/>
        <w:numPr>
          <w:ilvl w:val="0"/>
          <w:numId w:val="26"/>
        </w:numPr>
      </w:pPr>
      <w:r w:rsidRPr="00233788">
        <w:t>ustawa wyklucza możliwość jednoczesnego kształcenia się w więcej niż jednej szkole doktorskiej,</w:t>
      </w:r>
    </w:p>
    <w:p w14:paraId="56C96180" w14:textId="77777777" w:rsidR="00FB1317" w:rsidRPr="00233788" w:rsidRDefault="00FB1317" w:rsidP="002D3260">
      <w:pPr>
        <w:pStyle w:val="Akapitzlist"/>
        <w:numPr>
          <w:ilvl w:val="0"/>
          <w:numId w:val="26"/>
        </w:numPr>
      </w:pPr>
      <w:r w:rsidRPr="00233788">
        <w:t>kształcenie doktorantów jest nieodpłatne dla jego uczestników</w:t>
      </w:r>
    </w:p>
    <w:p w14:paraId="06AE620A" w14:textId="77777777" w:rsidR="00FB1317" w:rsidRPr="00233788" w:rsidRDefault="00FB1317" w:rsidP="002D3260">
      <w:pPr>
        <w:pStyle w:val="Akapitzlist"/>
        <w:numPr>
          <w:ilvl w:val="0"/>
          <w:numId w:val="26"/>
        </w:numPr>
      </w:pPr>
      <w:r w:rsidRPr="00233788">
        <w:t>realizacja kształcenia w szkole doktorskiej powinna prowadzić do przygotowania rozprawy doktorskiej oraz wypełnienia innych wymagań koniecznych do uzyskania stopnia doktora (w tym osiągnięcia efektów kształcenia na 8 poziomie PRK),</w:t>
      </w:r>
    </w:p>
    <w:p w14:paraId="6AF3DABE" w14:textId="77777777" w:rsidR="00FB1317" w:rsidRPr="00233788" w:rsidRDefault="00FB1317" w:rsidP="002D3260">
      <w:pPr>
        <w:pStyle w:val="Akapitzlist"/>
        <w:numPr>
          <w:ilvl w:val="0"/>
          <w:numId w:val="26"/>
        </w:numPr>
      </w:pPr>
      <w:r w:rsidRPr="00233788">
        <w:t>kształcenie w szkole doktorskiej obejmuje dwa zasadnicze elementy: program kształcenia oraz indywidualny plan badawczy,</w:t>
      </w:r>
    </w:p>
    <w:p w14:paraId="281BA54F" w14:textId="77777777" w:rsidR="00FB1317" w:rsidRPr="00233788" w:rsidRDefault="00FB1317" w:rsidP="002D3260">
      <w:pPr>
        <w:pStyle w:val="Akapitzlist"/>
        <w:numPr>
          <w:ilvl w:val="0"/>
          <w:numId w:val="26"/>
        </w:numPr>
      </w:pPr>
      <w:r w:rsidRPr="00233788">
        <w:t>program kształcenia ustala senat uczelni lub rada naukowa instytutu,</w:t>
      </w:r>
    </w:p>
    <w:p w14:paraId="47A18BF5" w14:textId="77777777" w:rsidR="00FB1317" w:rsidRPr="00233788" w:rsidRDefault="00FB1317" w:rsidP="002D3260">
      <w:pPr>
        <w:pStyle w:val="Akapitzlist"/>
        <w:numPr>
          <w:ilvl w:val="0"/>
          <w:numId w:val="26"/>
        </w:numPr>
      </w:pPr>
      <w:r w:rsidRPr="00233788">
        <w:t>w przepisach nie narzucono wymiaru zajęć określonego w punktach ECTS lub godzinach, a samo stosowanie systemu ECTS pozostaje w gestii podmiotu prowadzącego szkołę doktorską,</w:t>
      </w:r>
    </w:p>
    <w:p w14:paraId="1B83220E" w14:textId="77777777" w:rsidR="00FB1317" w:rsidRPr="00233788" w:rsidRDefault="00FB1317" w:rsidP="002D3260">
      <w:pPr>
        <w:pStyle w:val="Akapitzlist"/>
        <w:numPr>
          <w:ilvl w:val="0"/>
          <w:numId w:val="26"/>
        </w:numPr>
      </w:pPr>
      <w:r w:rsidRPr="00233788">
        <w:t>każdemu doktorantowi należy wyznaczyć promotora nie później niż 3 miesiące od podjęcia kształcenia (zlikwidowano instytucję opiekuna naukowego),</w:t>
      </w:r>
    </w:p>
    <w:p w14:paraId="10BE23B8" w14:textId="77777777" w:rsidR="00FB1317" w:rsidRPr="00233788" w:rsidRDefault="00FB1317" w:rsidP="002D3260">
      <w:pPr>
        <w:pStyle w:val="Akapitzlist"/>
        <w:numPr>
          <w:ilvl w:val="0"/>
          <w:numId w:val="26"/>
        </w:numPr>
      </w:pPr>
      <w:r w:rsidRPr="00233788">
        <w:t>program może przewidywać praktyki dydaktyczne w maks. wymiarze 60 godz. w roku,</w:t>
      </w:r>
    </w:p>
    <w:p w14:paraId="696CF8E6" w14:textId="77777777" w:rsidR="00FB1317" w:rsidRPr="00233788" w:rsidRDefault="00FB1317" w:rsidP="002D3260">
      <w:pPr>
        <w:pStyle w:val="Akapitzlist"/>
        <w:numPr>
          <w:ilvl w:val="0"/>
          <w:numId w:val="26"/>
        </w:numPr>
      </w:pPr>
      <w:r w:rsidRPr="00233788">
        <w:t>realizacja indywidualnego planu badawczego podlega komisyjnej ocenie śródokresowej (bez udział promotora), a jej negatywny wynik skutkuje skreśleniem z listy doktorantów,</w:t>
      </w:r>
    </w:p>
    <w:p w14:paraId="14956C18" w14:textId="77777777" w:rsidR="00FB1317" w:rsidRPr="00233788" w:rsidRDefault="00FB1317" w:rsidP="002D3260">
      <w:pPr>
        <w:pStyle w:val="Akapitzlist"/>
        <w:numPr>
          <w:ilvl w:val="0"/>
          <w:numId w:val="26"/>
        </w:numPr>
      </w:pPr>
      <w:r w:rsidRPr="00233788">
        <w:t>kształcenie w szkole doktorskiej trwa od 6 do 8 semestrów,</w:t>
      </w:r>
    </w:p>
    <w:p w14:paraId="436094B5" w14:textId="77777777" w:rsidR="00FB1317" w:rsidRPr="00233788" w:rsidRDefault="00FB1317" w:rsidP="002D3260">
      <w:pPr>
        <w:pStyle w:val="Akapitzlist"/>
        <w:numPr>
          <w:ilvl w:val="0"/>
          <w:numId w:val="26"/>
        </w:numPr>
      </w:pPr>
      <w:r w:rsidRPr="00233788">
        <w:t>kształcenie doktoranta kończy się wraz ze złożeniem rozprawy doktorskiej,</w:t>
      </w:r>
    </w:p>
    <w:p w14:paraId="6B35C23C" w14:textId="77777777" w:rsidR="00FB1317" w:rsidRPr="00233788" w:rsidRDefault="00FB1317" w:rsidP="002D3260">
      <w:pPr>
        <w:pStyle w:val="Akapitzlist"/>
        <w:numPr>
          <w:ilvl w:val="0"/>
          <w:numId w:val="26"/>
        </w:numPr>
      </w:pPr>
      <w:r w:rsidRPr="00233788">
        <w:t>termin złożenia wyznaczony jest w indywidualnym planie badawczym i może być wydłużony maksymalnie o 2 lata,</w:t>
      </w:r>
    </w:p>
    <w:p w14:paraId="086979E0" w14:textId="77777777" w:rsidR="00FB1317" w:rsidRPr="00233788" w:rsidRDefault="00FB1317" w:rsidP="002D3260">
      <w:pPr>
        <w:pStyle w:val="Akapitzlist"/>
        <w:numPr>
          <w:ilvl w:val="0"/>
          <w:numId w:val="26"/>
        </w:numPr>
      </w:pPr>
      <w:r w:rsidRPr="00233788">
        <w:t>doktorant musi być skreślony z listy doktorantów w przypadku negatywnego wyniku oceny śródokresowej, niezłożenia rozprawy w ustalonym terminie albo rezygnacji,</w:t>
      </w:r>
    </w:p>
    <w:p w14:paraId="51754670" w14:textId="77777777" w:rsidR="00FB1317" w:rsidRPr="00233788" w:rsidRDefault="00FB1317" w:rsidP="002D3260">
      <w:pPr>
        <w:pStyle w:val="Akapitzlist"/>
        <w:numPr>
          <w:ilvl w:val="0"/>
          <w:numId w:val="26"/>
        </w:numPr>
      </w:pPr>
      <w:r w:rsidRPr="00233788">
        <w:t>doktorant może być skreślony z listy doktorantów, gdy nie wykazuje postępów w przygotowaniu rozprawy lub nie wywiązuje się z obowiązków wynikających z regulaminu, programu kształcenia albo indywidualnego planu badawczego,</w:t>
      </w:r>
    </w:p>
    <w:p w14:paraId="1B1C1C25" w14:textId="77777777" w:rsidR="00FB1317" w:rsidRPr="00233788" w:rsidRDefault="00FB1317" w:rsidP="002D3260">
      <w:pPr>
        <w:pStyle w:val="Akapitzlist"/>
        <w:numPr>
          <w:ilvl w:val="0"/>
          <w:numId w:val="26"/>
        </w:numPr>
      </w:pPr>
      <w:r w:rsidRPr="00233788">
        <w:t>nieuzyskanie w ramach ewaluacji jakości działalności naukowej odpowiedniej kategorii w danej dyscyplinie (A+, A albo B+) skutkuje utratą prawa do kształcenia doktorantów w tej dyscyplinie,</w:t>
      </w:r>
    </w:p>
    <w:p w14:paraId="207068AC" w14:textId="77777777" w:rsidR="00FB1317" w:rsidRPr="00233788" w:rsidRDefault="00FB1317" w:rsidP="002D3260">
      <w:pPr>
        <w:pStyle w:val="Akapitzlist"/>
        <w:numPr>
          <w:ilvl w:val="0"/>
          <w:numId w:val="26"/>
        </w:numPr>
      </w:pPr>
      <w:r w:rsidRPr="00233788">
        <w:lastRenderedPageBreak/>
        <w:t>brak kategorii naukowej B+ lub wyższej w co najmniej dwóch dyscyplinach (z wyjątkiem uczelni prowadzących działalność tylko w jednej dyscyplinie, gdy jest to dyscyplina z zakresu teologii, kultury fizycznej lub dyscyplina artystyczna) uniemożliwia prowadzenie szkoły doktorskiej,</w:t>
      </w:r>
    </w:p>
    <w:p w14:paraId="136C4EED" w14:textId="77777777" w:rsidR="00FB1317" w:rsidRPr="00233788" w:rsidRDefault="00FB1317" w:rsidP="002D3260">
      <w:pPr>
        <w:pStyle w:val="Akapitzlist"/>
        <w:numPr>
          <w:ilvl w:val="0"/>
          <w:numId w:val="26"/>
        </w:numPr>
      </w:pPr>
      <w:r w:rsidRPr="00233788">
        <w:t>prawo prowadzenia danej szkoły doktorskiej można także utracić w wyniku oceny negatywnej otrzymanej w ramach ewaluacji szkoły,</w:t>
      </w:r>
    </w:p>
    <w:p w14:paraId="3D1C95AB" w14:textId="77777777" w:rsidR="00FB1317" w:rsidRPr="00233788" w:rsidRDefault="00FB1317" w:rsidP="002D3260">
      <w:pPr>
        <w:pStyle w:val="Akapitzlist"/>
        <w:numPr>
          <w:ilvl w:val="0"/>
          <w:numId w:val="26"/>
        </w:numPr>
      </w:pPr>
      <w:r w:rsidRPr="00233788">
        <w:t>podmiot, który utraci prawo kształcenia doktorantów, musi zapewnić im możliwość do- kończenia kształcenia w innej szkole doktorskiej lub pokrycie kosztów uzyskania stopnia w trybie eksternistycznym w przypadku braku innej szkoły doktorskiej kształcącej w danej dyscyplinie,</w:t>
      </w:r>
    </w:p>
    <w:p w14:paraId="0CA6841C" w14:textId="77777777" w:rsidR="00FB1317" w:rsidRPr="00233788" w:rsidRDefault="00FB1317" w:rsidP="002D3260">
      <w:pPr>
        <w:pStyle w:val="Akapitzlist"/>
        <w:numPr>
          <w:ilvl w:val="0"/>
          <w:numId w:val="26"/>
        </w:numPr>
      </w:pPr>
      <w:r w:rsidRPr="00233788">
        <w:t>za przeprowadzenie ewaluacji szkół doktorskich odpowiada Komisja Ewaluacji Nauki,</w:t>
      </w:r>
    </w:p>
    <w:p w14:paraId="6B26E87B" w14:textId="77777777" w:rsidR="00FB1317" w:rsidRPr="00233788" w:rsidRDefault="00FB1317" w:rsidP="002D3260">
      <w:pPr>
        <w:pStyle w:val="Akapitzlist"/>
        <w:numPr>
          <w:ilvl w:val="0"/>
          <w:numId w:val="26"/>
        </w:numPr>
      </w:pPr>
      <w:r w:rsidRPr="00233788">
        <w:t>ewaluacji podlegają obligatoryjnie wszystkie szkoły doktorskie bez względu na to, jaki podmiot je prowadzi (uczelnia, instytut PAN etc.),</w:t>
      </w:r>
    </w:p>
    <w:p w14:paraId="4EB1AD5F" w14:textId="77777777" w:rsidR="00FB1317" w:rsidRPr="00233788" w:rsidRDefault="00FB1317" w:rsidP="002D3260">
      <w:pPr>
        <w:pStyle w:val="Akapitzlist"/>
        <w:numPr>
          <w:ilvl w:val="0"/>
          <w:numId w:val="26"/>
        </w:numPr>
      </w:pPr>
      <w:r w:rsidRPr="00233788">
        <w:t>ewaluacja szkół doktorskich jest niezależna od ewaluacji jakości działalności naukowej i posiadanych kategorii naukowych,</w:t>
      </w:r>
    </w:p>
    <w:p w14:paraId="1154E490" w14:textId="77777777" w:rsidR="00FB1317" w:rsidRPr="00233788" w:rsidRDefault="00FB1317" w:rsidP="002D3260">
      <w:pPr>
        <w:pStyle w:val="Akapitzlist"/>
        <w:numPr>
          <w:ilvl w:val="0"/>
          <w:numId w:val="26"/>
        </w:numPr>
      </w:pPr>
      <w:r w:rsidRPr="00233788">
        <w:t>negatywna ocena skutkuje zakończeniem działania szkoły doktorskiej,</w:t>
      </w:r>
    </w:p>
    <w:p w14:paraId="00D133FF" w14:textId="77777777" w:rsidR="00FB1317" w:rsidRPr="00233788" w:rsidRDefault="00FB1317" w:rsidP="002D3260">
      <w:pPr>
        <w:pStyle w:val="Akapitzlist"/>
        <w:numPr>
          <w:ilvl w:val="0"/>
          <w:numId w:val="26"/>
        </w:numPr>
      </w:pPr>
      <w:r w:rsidRPr="00233788">
        <w:t>ewaluację przeprowadza się w oparciu o raport samooceny (w jęz. polskim i angielskim) oraz wizytację,</w:t>
      </w:r>
    </w:p>
    <w:p w14:paraId="74C45C48" w14:textId="77777777" w:rsidR="00FB1317" w:rsidRPr="00233788" w:rsidRDefault="00FB1317" w:rsidP="002D3260">
      <w:pPr>
        <w:pStyle w:val="Akapitzlist"/>
        <w:numPr>
          <w:ilvl w:val="0"/>
          <w:numId w:val="26"/>
        </w:numPr>
      </w:pPr>
      <w:r w:rsidRPr="00233788">
        <w:t>wszyscy doktoranci bez stopnia doktora w szkole doktorskiej otrzymują stypendium doktoranckie,</w:t>
      </w:r>
    </w:p>
    <w:p w14:paraId="2C151B2A" w14:textId="77777777" w:rsidR="00FB1317" w:rsidRPr="00233788" w:rsidRDefault="00FB1317" w:rsidP="002D3260">
      <w:pPr>
        <w:pStyle w:val="Akapitzlist"/>
        <w:numPr>
          <w:ilvl w:val="0"/>
          <w:numId w:val="26"/>
        </w:numPr>
      </w:pPr>
      <w:r w:rsidRPr="00233788">
        <w:t>łączny okres pobierania stypendiów doktoranckich we wszystkich szkołach, w których kształcił się doktorant, to 4 lata,</w:t>
      </w:r>
    </w:p>
    <w:p w14:paraId="40BFD394" w14:textId="77777777" w:rsidR="00FB1317" w:rsidRPr="00233788" w:rsidRDefault="00FB1317" w:rsidP="002D3260">
      <w:pPr>
        <w:pStyle w:val="Akapitzlist"/>
        <w:numPr>
          <w:ilvl w:val="0"/>
          <w:numId w:val="26"/>
        </w:numPr>
      </w:pPr>
      <w:r w:rsidRPr="00233788">
        <w:t>doktorantom z niepełnosprawnościami przysługuje zwiększenie stypendium doktoranckiego,</w:t>
      </w:r>
    </w:p>
    <w:p w14:paraId="1A24ACE2" w14:textId="77777777" w:rsidR="00FB1317" w:rsidRPr="00233788" w:rsidRDefault="00FB1317" w:rsidP="002D3260">
      <w:pPr>
        <w:pStyle w:val="Akapitzlist"/>
        <w:numPr>
          <w:ilvl w:val="0"/>
          <w:numId w:val="26"/>
        </w:numPr>
      </w:pPr>
      <w:r w:rsidRPr="00233788">
        <w:t>likwiduje się świadczenia dla doktorantów z funduszu pomocy materialnej,</w:t>
      </w:r>
    </w:p>
    <w:p w14:paraId="0C0924F5" w14:textId="77777777" w:rsidR="00FB1317" w:rsidRPr="00233788" w:rsidRDefault="00FB1317" w:rsidP="002D3260">
      <w:pPr>
        <w:pStyle w:val="Akapitzlist"/>
        <w:numPr>
          <w:ilvl w:val="0"/>
          <w:numId w:val="26"/>
        </w:numPr>
      </w:pPr>
      <w:r w:rsidRPr="00233788">
        <w:t>likwiduje się zwiększenie stypendium doktoranckiego z dotacji projakościowej,</w:t>
      </w:r>
    </w:p>
    <w:p w14:paraId="55DB9016" w14:textId="77777777" w:rsidR="00FB1317" w:rsidRPr="00233788" w:rsidRDefault="00FB1317" w:rsidP="002D3260">
      <w:pPr>
        <w:pStyle w:val="Akapitzlist"/>
        <w:numPr>
          <w:ilvl w:val="0"/>
          <w:numId w:val="26"/>
        </w:numPr>
      </w:pPr>
      <w:r w:rsidRPr="00233788">
        <w:t>doktorantów obejmuje się ubezpieczeniami społecznymi (emerytalno-rentowym i wypadkowym),</w:t>
      </w:r>
    </w:p>
    <w:p w14:paraId="633387F6" w14:textId="77777777" w:rsidR="00FB1317" w:rsidRPr="00233788" w:rsidRDefault="00FB1317" w:rsidP="002D3260">
      <w:pPr>
        <w:pStyle w:val="Akapitzlist"/>
        <w:numPr>
          <w:ilvl w:val="0"/>
          <w:numId w:val="26"/>
        </w:numPr>
      </w:pPr>
      <w:r w:rsidRPr="00233788">
        <w:t>ograniczono możliwość zatrudnienia doktorantów na stanowiskach naukowych lub nauczycieli akademickich,</w:t>
      </w:r>
    </w:p>
    <w:p w14:paraId="4AF3DEC1" w14:textId="77777777" w:rsidR="00FB1317" w:rsidRPr="00233788" w:rsidRDefault="00FB1317" w:rsidP="002D3260">
      <w:pPr>
        <w:pStyle w:val="Akapitzlist"/>
        <w:numPr>
          <w:ilvl w:val="0"/>
          <w:numId w:val="26"/>
        </w:numPr>
      </w:pPr>
      <w:r w:rsidRPr="00233788">
        <w:t>w ramach stypendiów dla młodych naukowców przyznawanych przez Ministra zostaje wyodrębniona pula dla doktorantów.</w:t>
      </w:r>
    </w:p>
    <w:p w14:paraId="08B56BA8" w14:textId="77777777" w:rsidR="00FB1317" w:rsidRPr="00233788" w:rsidRDefault="00FB1317" w:rsidP="00FB1317">
      <w:pPr>
        <w:pStyle w:val="Akapitzlist"/>
        <w:ind w:firstLine="0"/>
        <w:rPr>
          <w:u w:val="single"/>
        </w:rPr>
      </w:pPr>
      <w:r w:rsidRPr="00233788">
        <w:rPr>
          <w:u w:val="single"/>
        </w:rPr>
        <w:t>Studenci:</w:t>
      </w:r>
    </w:p>
    <w:p w14:paraId="32EFC1D5" w14:textId="77777777" w:rsidR="00FB1317" w:rsidRPr="00233788" w:rsidRDefault="00FB1317" w:rsidP="002D3260">
      <w:pPr>
        <w:pStyle w:val="Akapitzlist"/>
        <w:numPr>
          <w:ilvl w:val="0"/>
          <w:numId w:val="26"/>
        </w:numPr>
      </w:pPr>
      <w:r w:rsidRPr="00233788">
        <w:t>dotychczas wymagane w regulaminie studiów prawa studentów zostały zapewnione wprost w ustawie, zaś regulamin może je rozwijać i dodawać nowe,</w:t>
      </w:r>
    </w:p>
    <w:p w14:paraId="32EBCBE4" w14:textId="77777777" w:rsidR="00FB1317" w:rsidRPr="00233788" w:rsidRDefault="00FB1317" w:rsidP="002D3260">
      <w:pPr>
        <w:pStyle w:val="Akapitzlist"/>
        <w:numPr>
          <w:ilvl w:val="0"/>
          <w:numId w:val="26"/>
        </w:numPr>
      </w:pPr>
      <w:r w:rsidRPr="00233788">
        <w:t>wprowadzono silniejszą ochronę studentek w ciąży oraz studentów będących rodzicami,</w:t>
      </w:r>
    </w:p>
    <w:p w14:paraId="1AF9B68F" w14:textId="77777777" w:rsidR="00FB1317" w:rsidRPr="00233788" w:rsidRDefault="00FB1317" w:rsidP="002D3260">
      <w:pPr>
        <w:pStyle w:val="Akapitzlist"/>
        <w:numPr>
          <w:ilvl w:val="0"/>
          <w:numId w:val="26"/>
        </w:numPr>
      </w:pPr>
      <w:r w:rsidRPr="00233788">
        <w:t>wprowadzenie możliwości skreślenia z listy studentów studenta, który nie bierze udziału w obowiązkowych zajęciach,</w:t>
      </w:r>
    </w:p>
    <w:p w14:paraId="78DD3F6C" w14:textId="77777777" w:rsidR="00FB1317" w:rsidRPr="00233788" w:rsidRDefault="00FB1317" w:rsidP="002D3260">
      <w:pPr>
        <w:pStyle w:val="Akapitzlist"/>
        <w:numPr>
          <w:ilvl w:val="0"/>
          <w:numId w:val="26"/>
        </w:numPr>
      </w:pPr>
      <w:r w:rsidRPr="00233788">
        <w:t>rezygnacja z przesłanki skreślenia w postaci niepodpisania przez studenta przedłożonej przez uczelnię umowy o warunkach odpłatności za studia lub usługi edukacyjne z uwagi na niezawieranie umów od roku akademickiego 2019/2020,</w:t>
      </w:r>
    </w:p>
    <w:p w14:paraId="5AD70A45" w14:textId="77777777" w:rsidR="00FB1317" w:rsidRPr="00233788" w:rsidRDefault="00FB1317" w:rsidP="002D3260">
      <w:pPr>
        <w:pStyle w:val="Akapitzlist"/>
        <w:numPr>
          <w:ilvl w:val="0"/>
          <w:numId w:val="26"/>
        </w:numPr>
      </w:pPr>
      <w:r w:rsidRPr="00233788">
        <w:lastRenderedPageBreak/>
        <w:t>rozszerzenie przesłanek przyznania zwiększonego stypendium socjalnego bez ograniczania do kwestii dojazdowych,</w:t>
      </w:r>
    </w:p>
    <w:p w14:paraId="06B1D29C" w14:textId="77777777" w:rsidR="00FB1317" w:rsidRPr="00233788" w:rsidRDefault="00FB1317" w:rsidP="002D3260">
      <w:pPr>
        <w:pStyle w:val="Akapitzlist"/>
        <w:numPr>
          <w:ilvl w:val="0"/>
          <w:numId w:val="26"/>
        </w:numPr>
      </w:pPr>
      <w:r w:rsidRPr="00233788">
        <w:t>rezygnacja z oświadczeń studenta o pobieraniu stypendium na jednym kierunku,</w:t>
      </w:r>
    </w:p>
    <w:p w14:paraId="6EE96078" w14:textId="77777777" w:rsidR="00FB1317" w:rsidRPr="00233788" w:rsidRDefault="00FB1317" w:rsidP="002D3260">
      <w:pPr>
        <w:pStyle w:val="Akapitzlist"/>
        <w:numPr>
          <w:ilvl w:val="0"/>
          <w:numId w:val="26"/>
        </w:numPr>
      </w:pPr>
      <w:r w:rsidRPr="00233788">
        <w:t>wprowadzenie obowiązku przedkładania zaświadczenia z ośrodka pomocy społecznej,</w:t>
      </w:r>
    </w:p>
    <w:p w14:paraId="0A26C579" w14:textId="77777777" w:rsidR="00FB1317" w:rsidRPr="00233788" w:rsidRDefault="00FB1317" w:rsidP="002D3260">
      <w:pPr>
        <w:pStyle w:val="Akapitzlist"/>
        <w:numPr>
          <w:ilvl w:val="0"/>
          <w:numId w:val="26"/>
        </w:numPr>
      </w:pPr>
      <w:r w:rsidRPr="00233788">
        <w:t>doprecyzowanie okresu dopuszczalnego korzystania przez studenta z pomocy materialnej,</w:t>
      </w:r>
    </w:p>
    <w:p w14:paraId="0C725966" w14:textId="77777777" w:rsidR="00FB1317" w:rsidRPr="00233788" w:rsidRDefault="00FB1317" w:rsidP="002D3260">
      <w:pPr>
        <w:pStyle w:val="Akapitzlist"/>
        <w:numPr>
          <w:ilvl w:val="0"/>
          <w:numId w:val="26"/>
        </w:numPr>
      </w:pPr>
      <w:r w:rsidRPr="00233788">
        <w:t>zastąpienie regulaminu pomocy materialnej regulaminem świadczeń dla studentów,</w:t>
      </w:r>
    </w:p>
    <w:p w14:paraId="19DC5880" w14:textId="77777777" w:rsidR="00FB1317" w:rsidRPr="00233788" w:rsidRDefault="00FB1317" w:rsidP="002D3260">
      <w:pPr>
        <w:pStyle w:val="Akapitzlist"/>
        <w:numPr>
          <w:ilvl w:val="0"/>
          <w:numId w:val="26"/>
        </w:numPr>
      </w:pPr>
      <w:r w:rsidRPr="00233788">
        <w:t>zmodyfikowanie wymagań dotyczących przyznania stypendium Ministra oraz rozszerzenie kryteriów przyznania stypendium rektora,</w:t>
      </w:r>
    </w:p>
    <w:p w14:paraId="353BF40D" w14:textId="77777777" w:rsidR="00FB1317" w:rsidRPr="00233788" w:rsidRDefault="00FB1317" w:rsidP="002D3260">
      <w:pPr>
        <w:pStyle w:val="Akapitzlist"/>
        <w:numPr>
          <w:ilvl w:val="0"/>
          <w:numId w:val="26"/>
        </w:numPr>
      </w:pPr>
      <w:r w:rsidRPr="00233788">
        <w:t>rezygnacja z warunku „losowości” przyczyny ubiegania się o zapomogę,</w:t>
      </w:r>
    </w:p>
    <w:p w14:paraId="580E707C" w14:textId="77777777" w:rsidR="00FB1317" w:rsidRPr="00233788" w:rsidRDefault="00FB1317" w:rsidP="002D3260">
      <w:pPr>
        <w:pStyle w:val="Akapitzlist"/>
        <w:numPr>
          <w:ilvl w:val="0"/>
          <w:numId w:val="26"/>
        </w:numPr>
      </w:pPr>
      <w:r w:rsidRPr="00233788">
        <w:t>doprecyzowanie orzeczeń uzasadniających przyznanie stypendium dla osób niepełno- prawnych,</w:t>
      </w:r>
    </w:p>
    <w:p w14:paraId="3CFE361D" w14:textId="77777777" w:rsidR="00FB1317" w:rsidRPr="00233788" w:rsidRDefault="00FB1317" w:rsidP="002D3260">
      <w:pPr>
        <w:pStyle w:val="Akapitzlist"/>
        <w:numPr>
          <w:ilvl w:val="0"/>
          <w:numId w:val="26"/>
        </w:numPr>
      </w:pPr>
      <w:r w:rsidRPr="00233788">
        <w:t>rozszerzenie kompetencji jednostek samorządu terytorialnego w zakresie uchwalania aktu prawa miejscowego określającego przyznawanie stypendiów dla studentów,</w:t>
      </w:r>
    </w:p>
    <w:p w14:paraId="7F6ED40B" w14:textId="77777777" w:rsidR="00FB1317" w:rsidRPr="00233788" w:rsidRDefault="00FB1317" w:rsidP="002D3260">
      <w:pPr>
        <w:pStyle w:val="Akapitzlist"/>
        <w:numPr>
          <w:ilvl w:val="0"/>
          <w:numId w:val="26"/>
        </w:numPr>
      </w:pPr>
      <w:r w:rsidRPr="00233788">
        <w:t>bezpośrednie, a nie „odpowiednie” stosowanie przepisów Kodeksu postępowania administracyjnego przy przyznawaniu świadczeń,</w:t>
      </w:r>
    </w:p>
    <w:p w14:paraId="59C99E35" w14:textId="77777777" w:rsidR="00FB1317" w:rsidRPr="00233788" w:rsidRDefault="00FB1317" w:rsidP="002D3260">
      <w:pPr>
        <w:pStyle w:val="Akapitzlist"/>
        <w:numPr>
          <w:ilvl w:val="0"/>
          <w:numId w:val="26"/>
        </w:numPr>
      </w:pPr>
      <w:r w:rsidRPr="00233788">
        <w:t>określono limit wieku 30 lat dla studenta ubiegającego się o kredyt, a dla doktoranta do 35 lat,</w:t>
      </w:r>
    </w:p>
    <w:p w14:paraId="26C74CF8" w14:textId="77777777" w:rsidR="00FB1317" w:rsidRPr="00233788" w:rsidRDefault="00FB1317" w:rsidP="002D3260">
      <w:pPr>
        <w:pStyle w:val="Akapitzlist"/>
        <w:numPr>
          <w:ilvl w:val="0"/>
          <w:numId w:val="26"/>
        </w:numPr>
      </w:pPr>
      <w:r w:rsidRPr="00233788">
        <w:t>zmodyfikowano zasady badania sytuacji finansowej wnioskodawcy,</w:t>
      </w:r>
    </w:p>
    <w:p w14:paraId="46E08748" w14:textId="77777777" w:rsidR="00FB1317" w:rsidRPr="00233788" w:rsidRDefault="00FB1317" w:rsidP="002D3260">
      <w:pPr>
        <w:pStyle w:val="Akapitzlist"/>
        <w:numPr>
          <w:ilvl w:val="0"/>
          <w:numId w:val="26"/>
        </w:numPr>
      </w:pPr>
      <w:r w:rsidRPr="00233788">
        <w:t>określono wysokość oprocentowania spłacanego przez kredytobiorcę na 0,5 stopy redyskontowej NBP i na 0,75 stopy w przypadku, gdy kredytobiorca nie ukończył studiów lub upłynął preferencyjny okres spłaty,</w:t>
      </w:r>
    </w:p>
    <w:p w14:paraId="2EB2B00C" w14:textId="77777777" w:rsidR="00FB1317" w:rsidRPr="00233788" w:rsidRDefault="00FB1317" w:rsidP="002D3260">
      <w:pPr>
        <w:pStyle w:val="Akapitzlist"/>
        <w:numPr>
          <w:ilvl w:val="0"/>
          <w:numId w:val="26"/>
        </w:numPr>
      </w:pPr>
      <w:r w:rsidRPr="00233788">
        <w:t>z rozporządzenia do ustawy przeniesiono zasadę kontynuacji kredytu w przypadku podjęcia studiów na innym poziomie kształcenia po ukończeniu studiów pierwszego stopnia,</w:t>
      </w:r>
    </w:p>
    <w:p w14:paraId="18187C80" w14:textId="77777777" w:rsidR="00FB1317" w:rsidRPr="00233788" w:rsidRDefault="00FB1317" w:rsidP="002D3260">
      <w:pPr>
        <w:pStyle w:val="Akapitzlist"/>
        <w:numPr>
          <w:ilvl w:val="0"/>
          <w:numId w:val="26"/>
        </w:numPr>
      </w:pPr>
      <w:r w:rsidRPr="00233788">
        <w:t>zlikwidowano obowiązek przeprowadzenia procedury rejestracji organizacji studenckich na rzecz informacji o powstaniu organizacji przekazywanej rektorowi,</w:t>
      </w:r>
    </w:p>
    <w:p w14:paraId="7E6D008E" w14:textId="77777777" w:rsidR="00FB1317" w:rsidRPr="00233788" w:rsidRDefault="00FB1317" w:rsidP="002D3260">
      <w:pPr>
        <w:pStyle w:val="Akapitzlist"/>
        <w:numPr>
          <w:ilvl w:val="0"/>
          <w:numId w:val="26"/>
        </w:numPr>
      </w:pPr>
      <w:r w:rsidRPr="00233788">
        <w:t>regulamin samorządu studenckiego zatwierdza rektor, a nie senat uczelni jak dotychczas,</w:t>
      </w:r>
    </w:p>
    <w:p w14:paraId="36BB416C" w14:textId="77777777" w:rsidR="00FB1317" w:rsidRPr="00233788" w:rsidRDefault="00FB1317" w:rsidP="002D3260">
      <w:pPr>
        <w:pStyle w:val="Akapitzlist"/>
        <w:numPr>
          <w:ilvl w:val="0"/>
          <w:numId w:val="26"/>
        </w:numPr>
      </w:pPr>
      <w:r w:rsidRPr="00233788">
        <w:t>ustalono obowiązek utworzenia co najmniej dwóch organów samorządu studenckie- go, przewodniczący i organ uchwałodawczy,</w:t>
      </w:r>
    </w:p>
    <w:p w14:paraId="48C98D32" w14:textId="77777777" w:rsidR="00FB1317" w:rsidRPr="00233788" w:rsidRDefault="00FB1317" w:rsidP="002D3260">
      <w:pPr>
        <w:pStyle w:val="Akapitzlist"/>
        <w:numPr>
          <w:ilvl w:val="0"/>
          <w:numId w:val="26"/>
        </w:numPr>
      </w:pPr>
      <w:r w:rsidRPr="00233788">
        <w:t>wprowadzono obowiązek publikowania sprawozdania z rozdziału środków na sprawy studenckie i ich rozliczenia w BIP uczelni,</w:t>
      </w:r>
    </w:p>
    <w:p w14:paraId="773AA382" w14:textId="77777777" w:rsidR="00FB1317" w:rsidRPr="00233788" w:rsidRDefault="00FB1317" w:rsidP="002D3260">
      <w:pPr>
        <w:pStyle w:val="Akapitzlist"/>
        <w:numPr>
          <w:ilvl w:val="0"/>
          <w:numId w:val="26"/>
        </w:numPr>
      </w:pPr>
      <w:r w:rsidRPr="00233788">
        <w:t>uszczegółowiono warunki niezbędne do funkcjonowania samorządu studenckiego,</w:t>
      </w:r>
    </w:p>
    <w:p w14:paraId="1F9FA518" w14:textId="77777777" w:rsidR="00FB1317" w:rsidRPr="00233788" w:rsidRDefault="00FB1317" w:rsidP="002D3260">
      <w:pPr>
        <w:pStyle w:val="Akapitzlist"/>
        <w:numPr>
          <w:ilvl w:val="0"/>
          <w:numId w:val="26"/>
        </w:numPr>
      </w:pPr>
      <w:r w:rsidRPr="00233788">
        <w:t>wprowadzono obowiązek przeprowadzenia negocjacji z rektorem, zanim zostanie podjęty strajk studencki.</w:t>
      </w:r>
    </w:p>
    <w:p w14:paraId="4A8D4EBA" w14:textId="77777777" w:rsidR="00FB1317" w:rsidRPr="00233788" w:rsidRDefault="00FB1317" w:rsidP="00FB1317">
      <w:pPr>
        <w:pStyle w:val="Akapitzlist"/>
        <w:ind w:firstLine="0"/>
        <w:rPr>
          <w:u w:val="single"/>
        </w:rPr>
      </w:pPr>
      <w:r w:rsidRPr="00233788">
        <w:rPr>
          <w:u w:val="single"/>
        </w:rPr>
        <w:t>Prowadzenie studiów:</w:t>
      </w:r>
    </w:p>
    <w:p w14:paraId="2A121A93" w14:textId="77777777" w:rsidR="00FB1317" w:rsidRPr="00233788" w:rsidRDefault="00FB1317" w:rsidP="002D3260">
      <w:pPr>
        <w:pStyle w:val="Akapitzlist"/>
        <w:numPr>
          <w:ilvl w:val="0"/>
          <w:numId w:val="26"/>
        </w:numPr>
      </w:pPr>
      <w:r w:rsidRPr="00233788">
        <w:t>pozwolenia na prowadzenie studiów na określonych kierunkach są przypisane do uczelni, a nie do podstawowej jednostki organizacyjnej,</w:t>
      </w:r>
    </w:p>
    <w:p w14:paraId="13924D8D" w14:textId="77777777" w:rsidR="00FB1317" w:rsidRPr="00233788" w:rsidRDefault="00FB1317" w:rsidP="002D3260">
      <w:pPr>
        <w:pStyle w:val="Akapitzlist"/>
        <w:numPr>
          <w:ilvl w:val="0"/>
          <w:numId w:val="26"/>
        </w:numPr>
      </w:pPr>
      <w:r w:rsidRPr="00233788">
        <w:t>kształcenie jest prowadzone w dziedzinach i dyscyplinach,</w:t>
      </w:r>
    </w:p>
    <w:p w14:paraId="6EB5CD06" w14:textId="77777777" w:rsidR="00FB1317" w:rsidRPr="00233788" w:rsidRDefault="00FB1317" w:rsidP="002D3260">
      <w:pPr>
        <w:pStyle w:val="Akapitzlist"/>
        <w:numPr>
          <w:ilvl w:val="0"/>
          <w:numId w:val="26"/>
        </w:numPr>
      </w:pPr>
      <w:r w:rsidRPr="00233788">
        <w:t>wprowadzono do ustawy pojęcie „dyscyplina wiodąca”,</w:t>
      </w:r>
    </w:p>
    <w:p w14:paraId="4F873EDD" w14:textId="77777777" w:rsidR="00FB1317" w:rsidRPr="00233788" w:rsidRDefault="00FB1317" w:rsidP="002D3260">
      <w:pPr>
        <w:pStyle w:val="Akapitzlist"/>
        <w:numPr>
          <w:ilvl w:val="0"/>
          <w:numId w:val="26"/>
        </w:numPr>
      </w:pPr>
      <w:r w:rsidRPr="00233788">
        <w:t>poziom samodzielności w tworzeniu kierunków jest uzależniony od posiadanej kategorii naukowej,</w:t>
      </w:r>
    </w:p>
    <w:p w14:paraId="12837C7B" w14:textId="77777777" w:rsidR="00FB1317" w:rsidRPr="00233788" w:rsidRDefault="00FB1317" w:rsidP="002D3260">
      <w:pPr>
        <w:pStyle w:val="Akapitzlist"/>
        <w:numPr>
          <w:ilvl w:val="0"/>
          <w:numId w:val="26"/>
        </w:numPr>
      </w:pPr>
      <w:r w:rsidRPr="00233788">
        <w:lastRenderedPageBreak/>
        <w:t>zmianom uległy wymagania dotyczące wniosku o pozwolenie na utworzenie studiów,</w:t>
      </w:r>
    </w:p>
    <w:p w14:paraId="594B2624" w14:textId="77777777" w:rsidR="00FB1317" w:rsidRPr="00233788" w:rsidRDefault="00FB1317" w:rsidP="002D3260">
      <w:pPr>
        <w:pStyle w:val="Akapitzlist"/>
        <w:numPr>
          <w:ilvl w:val="0"/>
          <w:numId w:val="26"/>
        </w:numPr>
      </w:pPr>
      <w:r w:rsidRPr="00233788">
        <w:t>nie można utworzyć w siedzibie uczelni kierunków o tej samej nazwie lub których programy określają takie same efekty uczenia się, przyporządkowane do tej samej dyscypliny (możliwa jest jedynie sytuacja, gdy jeden będzie prowadzony w siedzibie, a drugi, o tej samej nazwie lub o takich samych efektach uczenia się przypisanych do dyscypliny, w filii),</w:t>
      </w:r>
    </w:p>
    <w:p w14:paraId="33031A68" w14:textId="77777777" w:rsidR="00FB1317" w:rsidRPr="00233788" w:rsidRDefault="00FB1317" w:rsidP="002D3260">
      <w:pPr>
        <w:pStyle w:val="Akapitzlist"/>
        <w:numPr>
          <w:ilvl w:val="0"/>
          <w:numId w:val="26"/>
        </w:numPr>
      </w:pPr>
      <w:r w:rsidRPr="00233788">
        <w:t>Minister może odmówić wydania pozwolenia bez zasięgania opinii PKA, jeżeli na dzień złożenia wniosku kształcenie na studiach na danym kierunku nie odpowiada potrzebom społeczno-gospodarczym,</w:t>
      </w:r>
    </w:p>
    <w:p w14:paraId="1918CDC4" w14:textId="77777777" w:rsidR="00FB1317" w:rsidRPr="00233788" w:rsidRDefault="00FB1317" w:rsidP="002D3260">
      <w:pPr>
        <w:pStyle w:val="Akapitzlist"/>
        <w:numPr>
          <w:ilvl w:val="0"/>
          <w:numId w:val="26"/>
        </w:numPr>
      </w:pPr>
      <w:r w:rsidRPr="00233788">
        <w:t>zmianie uległ katalog przyczyn cofnięcia pozwolenia na utworzenie studiów, jak również limit czasu na zaprzestanie prowadzenia studiów, na które cofnięto pozwolenie,</w:t>
      </w:r>
    </w:p>
    <w:p w14:paraId="679AA4B4" w14:textId="77777777" w:rsidR="00FB1317" w:rsidRPr="00233788" w:rsidRDefault="00FB1317" w:rsidP="002D3260">
      <w:pPr>
        <w:pStyle w:val="Akapitzlist"/>
        <w:numPr>
          <w:ilvl w:val="0"/>
          <w:numId w:val="26"/>
        </w:numPr>
      </w:pPr>
      <w:r w:rsidRPr="00233788">
        <w:t>zlikwidowano instytucję wydziału zamiejscowego. W jego miejsce wprowadzono filię, której definicja w nowych przepisach została zmieniona,</w:t>
      </w:r>
    </w:p>
    <w:p w14:paraId="32AD78B0" w14:textId="77777777" w:rsidR="00FB1317" w:rsidRPr="00233788" w:rsidRDefault="00FB1317" w:rsidP="002D3260">
      <w:pPr>
        <w:pStyle w:val="Akapitzlist"/>
        <w:numPr>
          <w:ilvl w:val="0"/>
          <w:numId w:val="26"/>
        </w:numPr>
      </w:pPr>
      <w:r w:rsidRPr="00233788">
        <w:t xml:space="preserve">przewidziano organizację studiów w formie indywidualnych studiów </w:t>
      </w:r>
      <w:proofErr w:type="spellStart"/>
      <w:r w:rsidRPr="00233788">
        <w:t>międzydziedzinowych</w:t>
      </w:r>
      <w:proofErr w:type="spellEnd"/>
      <w:r w:rsidRPr="00233788">
        <w:t>,</w:t>
      </w:r>
    </w:p>
    <w:p w14:paraId="43FBD5F9" w14:textId="77777777" w:rsidR="00FB1317" w:rsidRPr="00233788" w:rsidRDefault="00FB1317" w:rsidP="002D3260">
      <w:pPr>
        <w:pStyle w:val="Akapitzlist"/>
        <w:numPr>
          <w:ilvl w:val="0"/>
          <w:numId w:val="26"/>
        </w:numPr>
      </w:pPr>
      <w:r w:rsidRPr="00233788">
        <w:t>zmianom uległy regulacje dotyczące studiów wspólnych, w tym międzynarodowych,</w:t>
      </w:r>
    </w:p>
    <w:p w14:paraId="2F4C89B9" w14:textId="77777777" w:rsidR="00FB1317" w:rsidRPr="00233788" w:rsidRDefault="00FB1317" w:rsidP="002D3260">
      <w:pPr>
        <w:pStyle w:val="Akapitzlist"/>
        <w:numPr>
          <w:ilvl w:val="0"/>
          <w:numId w:val="26"/>
        </w:numPr>
      </w:pPr>
      <w:r w:rsidRPr="00233788">
        <w:t>do przepisów wprowadzono pojęcie „studia dualne”,</w:t>
      </w:r>
    </w:p>
    <w:p w14:paraId="264C5700" w14:textId="77777777" w:rsidR="00FB1317" w:rsidRPr="00233788" w:rsidRDefault="00FB1317" w:rsidP="002D3260">
      <w:pPr>
        <w:pStyle w:val="Akapitzlist"/>
        <w:numPr>
          <w:ilvl w:val="0"/>
          <w:numId w:val="26"/>
        </w:numPr>
      </w:pPr>
      <w:r w:rsidRPr="00233788">
        <w:t>poszerzono listy kierunków prowadzonych obligatoryjnie albo fakultatywnie jako jednolite studia magisterskie,</w:t>
      </w:r>
    </w:p>
    <w:p w14:paraId="59B257D7" w14:textId="77777777" w:rsidR="00FB1317" w:rsidRPr="00233788" w:rsidRDefault="00FB1317" w:rsidP="002D3260">
      <w:pPr>
        <w:pStyle w:val="Akapitzlist"/>
        <w:numPr>
          <w:ilvl w:val="0"/>
          <w:numId w:val="26"/>
        </w:numPr>
      </w:pPr>
      <w:r w:rsidRPr="00233788">
        <w:t>program kształcenia zastąpiono programem studiów i określono warunki, jakie musi on spełnić,</w:t>
      </w:r>
    </w:p>
    <w:p w14:paraId="29E0BFD4" w14:textId="77777777" w:rsidR="00FB1317" w:rsidRPr="00233788" w:rsidRDefault="00FB1317" w:rsidP="002D3260">
      <w:pPr>
        <w:pStyle w:val="Akapitzlist"/>
        <w:numPr>
          <w:ilvl w:val="0"/>
          <w:numId w:val="26"/>
        </w:numPr>
      </w:pPr>
      <w:r w:rsidRPr="00233788">
        <w:t>zaktualizowano i uproszczono charakterystyki drugiego stopnia Polskiej Ramy Kwalifikacji typowych dla kwalifikacji uzyskiwanych w ramach szkolnictwa wyższego,</w:t>
      </w:r>
    </w:p>
    <w:p w14:paraId="2E2BF0FF" w14:textId="77777777" w:rsidR="00FB1317" w:rsidRPr="00233788" w:rsidRDefault="00FB1317" w:rsidP="002D3260">
      <w:pPr>
        <w:pStyle w:val="Akapitzlist"/>
        <w:numPr>
          <w:ilvl w:val="0"/>
          <w:numId w:val="26"/>
        </w:numPr>
      </w:pPr>
      <w:r w:rsidRPr="00233788">
        <w:t>uregulowano ramy czasowe roku akademickiego,</w:t>
      </w:r>
    </w:p>
    <w:p w14:paraId="66C93D54" w14:textId="77777777" w:rsidR="00FB1317" w:rsidRPr="00233788" w:rsidRDefault="00FB1317" w:rsidP="002D3260">
      <w:pPr>
        <w:pStyle w:val="Akapitzlist"/>
        <w:numPr>
          <w:ilvl w:val="0"/>
          <w:numId w:val="26"/>
        </w:numPr>
      </w:pPr>
      <w:r w:rsidRPr="00233788">
        <w:t>przelicznik części programu, który może zostać zrealizowany w ramach kształcenia z wykorzystaniem metod i technik kształcenia na odległość, został zmieniony z godzi- nowego na liczony punktami ECTS,</w:t>
      </w:r>
    </w:p>
    <w:p w14:paraId="51429F6C" w14:textId="77777777" w:rsidR="00FB1317" w:rsidRPr="00233788" w:rsidRDefault="00FB1317" w:rsidP="002D3260">
      <w:pPr>
        <w:pStyle w:val="Akapitzlist"/>
        <w:numPr>
          <w:ilvl w:val="0"/>
          <w:numId w:val="26"/>
        </w:numPr>
      </w:pPr>
      <w:r w:rsidRPr="00233788">
        <w:t>wymiar praktyk zawodowych na profilu praktycznym na studiach pierwszego stopnia i jednolitych studiach magisterskich zwiększono dwukrotnie, tj. do 6 miesięcy</w:t>
      </w:r>
    </w:p>
    <w:p w14:paraId="03EADF42" w14:textId="77777777" w:rsidR="00FB1317" w:rsidRPr="00233788" w:rsidRDefault="00FB1317" w:rsidP="002D3260">
      <w:pPr>
        <w:pStyle w:val="Akapitzlist"/>
        <w:numPr>
          <w:ilvl w:val="0"/>
          <w:numId w:val="26"/>
        </w:numPr>
      </w:pPr>
      <w:r w:rsidRPr="00233788">
        <w:t>poszerzono listę kierunków, których ukończenie jest konieczne do wykonywania określonych zawodów, a program studiów musi spełniać wymagania określone standardem kształcenia,</w:t>
      </w:r>
    </w:p>
    <w:p w14:paraId="6483A577" w14:textId="77777777" w:rsidR="00FB1317" w:rsidRPr="00233788" w:rsidRDefault="00FB1317" w:rsidP="002D3260">
      <w:pPr>
        <w:pStyle w:val="Akapitzlist"/>
        <w:numPr>
          <w:ilvl w:val="0"/>
          <w:numId w:val="26"/>
        </w:numPr>
      </w:pPr>
      <w:r w:rsidRPr="00233788">
        <w:t>uproszczono zakres wymagań stawianych przed prowadzącymi zajęcia,</w:t>
      </w:r>
    </w:p>
    <w:p w14:paraId="296FB2CE" w14:textId="77777777" w:rsidR="00FB1317" w:rsidRPr="00233788" w:rsidRDefault="00FB1317" w:rsidP="002D3260">
      <w:pPr>
        <w:pStyle w:val="Akapitzlist"/>
        <w:numPr>
          <w:ilvl w:val="0"/>
          <w:numId w:val="26"/>
        </w:numPr>
      </w:pPr>
      <w:r w:rsidRPr="00233788">
        <w:t>zlikwidowano instytucję minimum kadrowego,</w:t>
      </w:r>
    </w:p>
    <w:p w14:paraId="3D2B43E1" w14:textId="77777777" w:rsidR="00FB1317" w:rsidRPr="00233788" w:rsidRDefault="00FB1317" w:rsidP="002D3260">
      <w:pPr>
        <w:pStyle w:val="Akapitzlist"/>
        <w:numPr>
          <w:ilvl w:val="0"/>
          <w:numId w:val="26"/>
        </w:numPr>
      </w:pPr>
      <w:r w:rsidRPr="00233788">
        <w:t>zniesiono obowiązek zawierania umów ze studentami,</w:t>
      </w:r>
    </w:p>
    <w:p w14:paraId="3FD7EDAC" w14:textId="77777777" w:rsidR="00FB1317" w:rsidRPr="00233788" w:rsidRDefault="00FB1317" w:rsidP="002D3260">
      <w:pPr>
        <w:pStyle w:val="Akapitzlist"/>
        <w:numPr>
          <w:ilvl w:val="0"/>
          <w:numId w:val="26"/>
        </w:numPr>
      </w:pPr>
      <w:r w:rsidRPr="00233788">
        <w:t>zmieniono katalog opłat możliwych do pobierania przez uczelnie,</w:t>
      </w:r>
    </w:p>
    <w:p w14:paraId="59C5BEA4" w14:textId="77777777" w:rsidR="00FB1317" w:rsidRPr="00233788" w:rsidRDefault="00FB1317" w:rsidP="002D3260">
      <w:pPr>
        <w:pStyle w:val="Akapitzlist"/>
        <w:numPr>
          <w:ilvl w:val="0"/>
          <w:numId w:val="26"/>
        </w:numPr>
      </w:pPr>
      <w:r w:rsidRPr="00233788">
        <w:t>zredefiniowano katalog opłat zakazanych,</w:t>
      </w:r>
    </w:p>
    <w:p w14:paraId="122F8DA5" w14:textId="77777777" w:rsidR="00FB1317" w:rsidRPr="00233788" w:rsidRDefault="00FB1317" w:rsidP="002D3260">
      <w:pPr>
        <w:pStyle w:val="Akapitzlist"/>
        <w:numPr>
          <w:ilvl w:val="0"/>
          <w:numId w:val="26"/>
        </w:numPr>
      </w:pPr>
      <w:r w:rsidRPr="00233788">
        <w:t>doprecyzowano zasady ustalania i publikowania informacji w sprawie wysokości opłat,</w:t>
      </w:r>
    </w:p>
    <w:p w14:paraId="4559B447" w14:textId="77777777" w:rsidR="00FB1317" w:rsidRPr="00233788" w:rsidRDefault="00FB1317" w:rsidP="002D3260">
      <w:pPr>
        <w:pStyle w:val="Akapitzlist"/>
        <w:numPr>
          <w:ilvl w:val="0"/>
          <w:numId w:val="26"/>
        </w:numPr>
      </w:pPr>
      <w:r w:rsidRPr="00233788">
        <w:t>wprowadzono karę pieniężną dla uczelni za pobieranie opłat z naruszeniem przepisów,</w:t>
      </w:r>
    </w:p>
    <w:p w14:paraId="1D65F09F" w14:textId="77777777" w:rsidR="00FB1317" w:rsidRPr="00233788" w:rsidRDefault="00FB1317" w:rsidP="002D3260">
      <w:pPr>
        <w:pStyle w:val="Akapitzlist"/>
        <w:numPr>
          <w:ilvl w:val="0"/>
          <w:numId w:val="26"/>
        </w:numPr>
      </w:pPr>
      <w:r w:rsidRPr="00233788">
        <w:t>z dokumentów przebiegu studiów znikną informacje o nazwie podstawowej jednostki organizacyjnej, a także pieczęć imienna i podpis jej kierownika,</w:t>
      </w:r>
    </w:p>
    <w:p w14:paraId="6ACCBBA8" w14:textId="77777777" w:rsidR="00FB1317" w:rsidRPr="00233788" w:rsidRDefault="00FB1317" w:rsidP="002D3260">
      <w:pPr>
        <w:pStyle w:val="Akapitzlist"/>
        <w:numPr>
          <w:ilvl w:val="0"/>
          <w:numId w:val="26"/>
        </w:numPr>
      </w:pPr>
      <w:r w:rsidRPr="00233788">
        <w:t>zmianie uległa zawartość teczki akt osobowych studenta,</w:t>
      </w:r>
    </w:p>
    <w:p w14:paraId="4B480934" w14:textId="77777777" w:rsidR="00FB1317" w:rsidRPr="00233788" w:rsidRDefault="00FB1317" w:rsidP="002D3260">
      <w:pPr>
        <w:pStyle w:val="Akapitzlist"/>
        <w:numPr>
          <w:ilvl w:val="0"/>
          <w:numId w:val="26"/>
        </w:numPr>
      </w:pPr>
      <w:r w:rsidRPr="00233788">
        <w:t>zrezygnowano z wydawania decyzji o przyjęciu na studia,</w:t>
      </w:r>
    </w:p>
    <w:p w14:paraId="2595DC65" w14:textId="77777777" w:rsidR="00FB1317" w:rsidRPr="00233788" w:rsidRDefault="00FB1317" w:rsidP="002D3260">
      <w:pPr>
        <w:pStyle w:val="Akapitzlist"/>
        <w:numPr>
          <w:ilvl w:val="0"/>
          <w:numId w:val="26"/>
        </w:numPr>
      </w:pPr>
      <w:r w:rsidRPr="00233788">
        <w:lastRenderedPageBreak/>
        <w:t>z obowiązku przechowywania została wyłączona część zawartości teczki akt osobowych studenta,</w:t>
      </w:r>
    </w:p>
    <w:p w14:paraId="0134D3A1" w14:textId="77777777" w:rsidR="00FB1317" w:rsidRPr="00233788" w:rsidRDefault="00FB1317" w:rsidP="002D3260">
      <w:pPr>
        <w:pStyle w:val="Akapitzlist"/>
        <w:numPr>
          <w:ilvl w:val="0"/>
          <w:numId w:val="26"/>
        </w:numPr>
      </w:pPr>
      <w:r w:rsidRPr="00233788">
        <w:t>od 1 lipca 2019 r. legitymacje studenckie będą wydawane wyłącznie w postaci elektronicznej,</w:t>
      </w:r>
    </w:p>
    <w:p w14:paraId="62A77F29" w14:textId="77777777" w:rsidR="00FB1317" w:rsidRPr="00233788" w:rsidRDefault="00FB1317" w:rsidP="002D3260">
      <w:pPr>
        <w:pStyle w:val="Akapitzlist"/>
        <w:numPr>
          <w:ilvl w:val="0"/>
          <w:numId w:val="26"/>
        </w:numPr>
      </w:pPr>
      <w:r w:rsidRPr="00233788">
        <w:t>hologram umieszczany w kolejno oznaczonych polach legitymacji jest drukiem ścisłego zarachowania,</w:t>
      </w:r>
    </w:p>
    <w:p w14:paraId="4EC62029" w14:textId="77777777" w:rsidR="00FB1317" w:rsidRPr="00233788" w:rsidRDefault="00FB1317" w:rsidP="002D3260">
      <w:pPr>
        <w:pStyle w:val="Akapitzlist"/>
        <w:numPr>
          <w:ilvl w:val="0"/>
          <w:numId w:val="26"/>
        </w:numPr>
      </w:pPr>
      <w:r w:rsidRPr="00233788">
        <w:t>zmianie uległo postępowanie z dokumentacją przebiegu studiów w przypadku likwidacji uczelni,</w:t>
      </w:r>
    </w:p>
    <w:p w14:paraId="21CCA927" w14:textId="77777777" w:rsidR="00FB1317" w:rsidRPr="00233788" w:rsidRDefault="00FB1317" w:rsidP="002D3260">
      <w:pPr>
        <w:pStyle w:val="Akapitzlist"/>
        <w:numPr>
          <w:ilvl w:val="0"/>
          <w:numId w:val="26"/>
        </w:numPr>
      </w:pPr>
      <w:r w:rsidRPr="00233788">
        <w:t>zmieniono katalog dokumentów, za które uczelnia może pobierać opłatę, a także wysokość opłat,</w:t>
      </w:r>
    </w:p>
    <w:p w14:paraId="4381F1FE" w14:textId="77777777" w:rsidR="00FB1317" w:rsidRPr="00233788" w:rsidRDefault="00FB1317" w:rsidP="002D3260">
      <w:pPr>
        <w:pStyle w:val="Akapitzlist"/>
        <w:numPr>
          <w:ilvl w:val="0"/>
          <w:numId w:val="26"/>
        </w:numPr>
      </w:pPr>
      <w:r w:rsidRPr="00233788">
        <w:t>zmieniono definicję pracy dyplomowej i dano uczelni możliwość rezygnacji z obowiązku jej przygotowywania w przypadku studiów pierwszego stopnia,</w:t>
      </w:r>
    </w:p>
    <w:p w14:paraId="6B2D7948" w14:textId="77777777" w:rsidR="00FB1317" w:rsidRPr="00233788" w:rsidRDefault="00FB1317" w:rsidP="002D3260">
      <w:pPr>
        <w:pStyle w:val="Akapitzlist"/>
        <w:numPr>
          <w:ilvl w:val="0"/>
          <w:numId w:val="26"/>
        </w:numPr>
      </w:pPr>
      <w:r w:rsidRPr="00233788">
        <w:t>recenzje pracy dyplomowej stały się co do zasady jawne,</w:t>
      </w:r>
    </w:p>
    <w:p w14:paraId="4A92C175" w14:textId="77777777" w:rsidR="00FB1317" w:rsidRPr="00233788" w:rsidRDefault="00FB1317" w:rsidP="002D3260">
      <w:pPr>
        <w:pStyle w:val="Akapitzlist"/>
        <w:numPr>
          <w:ilvl w:val="0"/>
          <w:numId w:val="26"/>
        </w:numPr>
      </w:pPr>
      <w:r w:rsidRPr="00233788">
        <w:t>zmianie uległy katalogi niezbędnych elementów dyplomu ukończenia studiów i dyplomu wspólnego oraz tytułów zawodowych,</w:t>
      </w:r>
    </w:p>
    <w:p w14:paraId="7B147A8B" w14:textId="77777777" w:rsidR="00FB1317" w:rsidRPr="00233788" w:rsidRDefault="00FB1317" w:rsidP="002D3260">
      <w:pPr>
        <w:pStyle w:val="Akapitzlist"/>
        <w:numPr>
          <w:ilvl w:val="0"/>
          <w:numId w:val="26"/>
        </w:numPr>
      </w:pPr>
      <w:r w:rsidRPr="00233788">
        <w:t>nieznacznym zmianom uległa procedura uwierzytelniania dokumentów,</w:t>
      </w:r>
    </w:p>
    <w:p w14:paraId="5BAE2CEB" w14:textId="77777777" w:rsidR="00FB1317" w:rsidRPr="00233788" w:rsidRDefault="00FB1317" w:rsidP="002D3260">
      <w:pPr>
        <w:pStyle w:val="Akapitzlist"/>
        <w:numPr>
          <w:ilvl w:val="0"/>
          <w:numId w:val="26"/>
        </w:numPr>
      </w:pPr>
      <w:r w:rsidRPr="00233788">
        <w:t>wyłącznie decyzje odmowne w postępowaniu rekrutacyjnym mają postać decyzji administracyjnych,</w:t>
      </w:r>
    </w:p>
    <w:p w14:paraId="43FE081D" w14:textId="77777777" w:rsidR="00FB1317" w:rsidRPr="00233788" w:rsidRDefault="00FB1317" w:rsidP="002D3260">
      <w:pPr>
        <w:pStyle w:val="Akapitzlist"/>
        <w:numPr>
          <w:ilvl w:val="0"/>
          <w:numId w:val="26"/>
        </w:numPr>
      </w:pPr>
      <w:r w:rsidRPr="00233788">
        <w:t>sprawdzian uzdolnień artystycznych lub sprawności fizycznej może przesądzać w całości o wyniku rekrutacji,</w:t>
      </w:r>
    </w:p>
    <w:p w14:paraId="038A2B16" w14:textId="77777777" w:rsidR="00FB1317" w:rsidRPr="00233788" w:rsidRDefault="00FB1317" w:rsidP="002D3260">
      <w:pPr>
        <w:pStyle w:val="Akapitzlist"/>
        <w:numPr>
          <w:ilvl w:val="0"/>
          <w:numId w:val="26"/>
        </w:numPr>
      </w:pPr>
      <w:r w:rsidRPr="00233788">
        <w:t>wprowadzono kształcenie specjalistyczne (poziom 5 PRK), które jest możliwe wyłącznie w uczelniach zawodowych,</w:t>
      </w:r>
    </w:p>
    <w:p w14:paraId="66A3A9B5" w14:textId="77777777" w:rsidR="00FB1317" w:rsidRPr="00233788" w:rsidRDefault="00FB1317" w:rsidP="002D3260">
      <w:pPr>
        <w:pStyle w:val="Akapitzlist"/>
        <w:numPr>
          <w:ilvl w:val="0"/>
          <w:numId w:val="26"/>
        </w:numPr>
      </w:pPr>
      <w:r w:rsidRPr="00233788">
        <w:t>w ramach kształcenia specjalistycznego uczelnie zawodowe mogą wydawać świadectwa dyplomowanego specjalisty oraz dyplomowanego specjalisty technologa,</w:t>
      </w:r>
    </w:p>
    <w:p w14:paraId="2FB25FDE" w14:textId="77777777" w:rsidR="00FB1317" w:rsidRPr="00233788" w:rsidRDefault="00FB1317" w:rsidP="002D3260">
      <w:pPr>
        <w:pStyle w:val="Akapitzlist"/>
        <w:numPr>
          <w:ilvl w:val="0"/>
          <w:numId w:val="26"/>
        </w:numPr>
      </w:pPr>
      <w:r w:rsidRPr="00233788">
        <w:t>zmieniono skalę ocen programowych wydawanych przez PKA. Nowe przepisy przewidują wydanie jedynie oceny pozytywnej albo negatywnej,</w:t>
      </w:r>
    </w:p>
    <w:p w14:paraId="69149CB1" w14:textId="77777777" w:rsidR="00FB1317" w:rsidRPr="00233788" w:rsidRDefault="00FB1317" w:rsidP="002D3260">
      <w:pPr>
        <w:pStyle w:val="Akapitzlist"/>
        <w:numPr>
          <w:ilvl w:val="0"/>
          <w:numId w:val="26"/>
        </w:numPr>
      </w:pPr>
      <w:r w:rsidRPr="00233788">
        <w:t>negatywna ocena jakości kształcenia powoduje zaprzestanie prowadzenia ocenionych studiów,</w:t>
      </w:r>
    </w:p>
    <w:p w14:paraId="56CC125C" w14:textId="77777777" w:rsidR="00FB1317" w:rsidRPr="00233788" w:rsidRDefault="00FB1317" w:rsidP="002D3260">
      <w:pPr>
        <w:pStyle w:val="Akapitzlist"/>
        <w:numPr>
          <w:ilvl w:val="0"/>
          <w:numId w:val="26"/>
        </w:numPr>
      </w:pPr>
      <w:r w:rsidRPr="00233788">
        <w:t>wprowadzono kompleksową ocenę PKA,</w:t>
      </w:r>
    </w:p>
    <w:p w14:paraId="6DE92803" w14:textId="77777777" w:rsidR="00FB1317" w:rsidRPr="00233788" w:rsidRDefault="00FB1317" w:rsidP="002D3260">
      <w:pPr>
        <w:pStyle w:val="Akapitzlist"/>
        <w:numPr>
          <w:ilvl w:val="0"/>
          <w:numId w:val="26"/>
        </w:numPr>
      </w:pPr>
      <w:r w:rsidRPr="00233788">
        <w:t>uczelnia udostępnia w BIP na swojej stronie uchwałę PKA dotyczącą oceny programowej lub kompleksowej wraz z uzasadnieniem,</w:t>
      </w:r>
    </w:p>
    <w:p w14:paraId="24B0FE11" w14:textId="77777777" w:rsidR="00FB1317" w:rsidRPr="00233788" w:rsidRDefault="00FB1317" w:rsidP="002D3260">
      <w:pPr>
        <w:pStyle w:val="Akapitzlist"/>
        <w:numPr>
          <w:ilvl w:val="0"/>
          <w:numId w:val="26"/>
        </w:numPr>
      </w:pPr>
      <w:r w:rsidRPr="00233788">
        <w:t>termin na rozpatrzenie przez PKA wniosku o pozwolenie na utworzenie studiów skrócono do 2 miesięcy</w:t>
      </w:r>
    </w:p>
    <w:p w14:paraId="350F9922" w14:textId="77777777" w:rsidR="00FB1317" w:rsidRPr="00233788" w:rsidRDefault="00FB1317" w:rsidP="00FB1317">
      <w:pPr>
        <w:pStyle w:val="Akapitzlist"/>
        <w:ind w:firstLine="0"/>
        <w:rPr>
          <w:u w:val="single"/>
        </w:rPr>
      </w:pPr>
      <w:r w:rsidRPr="00233788">
        <w:rPr>
          <w:u w:val="single"/>
        </w:rPr>
        <w:t>Finansowanie uczelni</w:t>
      </w:r>
    </w:p>
    <w:p w14:paraId="327287B7" w14:textId="77777777" w:rsidR="00FB1317" w:rsidRPr="00233788" w:rsidRDefault="00FB1317" w:rsidP="002D3260">
      <w:pPr>
        <w:pStyle w:val="Akapitzlist"/>
        <w:numPr>
          <w:ilvl w:val="0"/>
          <w:numId w:val="26"/>
        </w:numPr>
      </w:pPr>
      <w:r w:rsidRPr="00233788">
        <w:t xml:space="preserve">zasady dotyczące finansowania zadań uczelni określone w </w:t>
      </w:r>
      <w:proofErr w:type="spellStart"/>
      <w:r w:rsidRPr="00233788">
        <w:t>UPSWiN</w:t>
      </w:r>
      <w:proofErr w:type="spellEnd"/>
      <w:r w:rsidRPr="00233788">
        <w:t xml:space="preserve"> zastępują dotychczasowe regulacje dotyczące przeznaczenia środków na finansowanie szkolnictwa wyższego i nauki zawarte w dwóch odrębnych aktach prawnych,</w:t>
      </w:r>
    </w:p>
    <w:p w14:paraId="6ECD5391" w14:textId="77777777" w:rsidR="00FB1317" w:rsidRPr="00233788" w:rsidRDefault="00FB1317" w:rsidP="002D3260">
      <w:pPr>
        <w:pStyle w:val="Akapitzlist"/>
        <w:numPr>
          <w:ilvl w:val="0"/>
          <w:numId w:val="26"/>
        </w:numPr>
      </w:pPr>
      <w:r w:rsidRPr="00233788">
        <w:t>ujednolicono zasady finansowania zadań uczelni w obszarze kształcenia i badań naukowych,</w:t>
      </w:r>
    </w:p>
    <w:p w14:paraId="560BC495" w14:textId="77777777" w:rsidR="00FB1317" w:rsidRPr="00233788" w:rsidRDefault="00FB1317" w:rsidP="002D3260">
      <w:pPr>
        <w:pStyle w:val="Akapitzlist"/>
        <w:numPr>
          <w:ilvl w:val="0"/>
          <w:numId w:val="26"/>
        </w:numPr>
      </w:pPr>
      <w:r w:rsidRPr="00233788">
        <w:t>wprowadzono instytucję subwencji zarówno na finansowanie utrzymania i rozwoju potencjału dydaktycznego, jak i badawczego, w miejsce dotychczasowego finansowania w postaci dotacji (z których część miała formę dotacji celowej),</w:t>
      </w:r>
    </w:p>
    <w:p w14:paraId="1C8158FB" w14:textId="77777777" w:rsidR="00FB1317" w:rsidRPr="00233788" w:rsidRDefault="00FB1317" w:rsidP="002D3260">
      <w:pPr>
        <w:pStyle w:val="Akapitzlist"/>
        <w:numPr>
          <w:ilvl w:val="0"/>
          <w:numId w:val="26"/>
        </w:numPr>
      </w:pPr>
      <w:r w:rsidRPr="00233788">
        <w:lastRenderedPageBreak/>
        <w:t>z subwencji od 2019 r. finansowane są także domy i stołówki studenckie</w:t>
      </w:r>
    </w:p>
    <w:p w14:paraId="293F4849" w14:textId="77777777" w:rsidR="00FB1317" w:rsidRPr="00233788" w:rsidRDefault="00FB1317" w:rsidP="002D3260">
      <w:pPr>
        <w:pStyle w:val="Akapitzlist"/>
        <w:numPr>
          <w:ilvl w:val="0"/>
          <w:numId w:val="26"/>
        </w:numPr>
      </w:pPr>
      <w:r w:rsidRPr="00233788">
        <w:t>w miejsce dotychczasowych środków na działalność dydaktyczną i działalność statutową przydzielanych publicznym uczelniom akademickim w formie odrębnych dotacji wydatkowanych i rozliczanych według odrębnych zasad, uczelnie będą otrzymywać te środki w formie jednej subwencji,</w:t>
      </w:r>
    </w:p>
    <w:p w14:paraId="7BC4EDB6" w14:textId="77777777" w:rsidR="00FB1317" w:rsidRPr="00233788" w:rsidRDefault="00FB1317" w:rsidP="002D3260">
      <w:pPr>
        <w:pStyle w:val="Akapitzlist"/>
        <w:numPr>
          <w:ilvl w:val="0"/>
          <w:numId w:val="26"/>
        </w:numPr>
      </w:pPr>
      <w:r w:rsidRPr="00233788">
        <w:t>środki na działalność statutową według dotychczasowych zasad przyznawane były podstawowym jednostkom naukowym, a od stycznia 2019 r. środki (w ramach subwencji na utrzymanie i rozwój potencjału badawczego) otrzymywać będzie uczelnia</w:t>
      </w:r>
    </w:p>
    <w:p w14:paraId="4CE04D1D" w14:textId="77777777" w:rsidR="00FB1317" w:rsidRPr="00233788" w:rsidRDefault="00FB1317" w:rsidP="002D3260">
      <w:pPr>
        <w:pStyle w:val="Akapitzlist"/>
        <w:numPr>
          <w:ilvl w:val="0"/>
          <w:numId w:val="26"/>
        </w:numPr>
      </w:pPr>
      <w:r w:rsidRPr="00233788">
        <w:t>w dotychczasowych regulacjach współczynniki kosztochłonności były określone dla poszczególnych kierunków studiów stacjonarnych pierwszego i drugiego stopnia, jednolitych studiów magisterskich oraz obszarów kształcenia, a także dla stacjonarnych studiów doktoranckich w poszczególnych dziedzinach nauki. Obecnie współczynniki kosztochłonności prowadzenia kształcenia na studiach stacjonarnych i prowadzenia działalności naukowej przypisuje się dyscyplinie,</w:t>
      </w:r>
    </w:p>
    <w:p w14:paraId="53FB1DE3" w14:textId="77777777" w:rsidR="00FB1317" w:rsidRPr="00233788" w:rsidRDefault="00FB1317" w:rsidP="002D3260">
      <w:pPr>
        <w:pStyle w:val="Akapitzlist"/>
        <w:numPr>
          <w:ilvl w:val="0"/>
          <w:numId w:val="26"/>
        </w:numPr>
      </w:pPr>
      <w:r w:rsidRPr="00233788">
        <w:t>ujednolicono tryb przyznawania dotacji na zadania inwestycyjne,</w:t>
      </w:r>
    </w:p>
    <w:p w14:paraId="63B66AD3" w14:textId="77777777" w:rsidR="00FB1317" w:rsidRPr="00233788" w:rsidRDefault="00FB1317" w:rsidP="002D3260">
      <w:pPr>
        <w:pStyle w:val="Akapitzlist"/>
        <w:numPr>
          <w:ilvl w:val="0"/>
          <w:numId w:val="26"/>
        </w:numPr>
      </w:pPr>
      <w:r w:rsidRPr="00233788">
        <w:t>wprowadzono nowe programy Ministra: „Inicjatywa doskonałości – uczelnia badawcza”, „Regionalna inicjatywa doskonałości”, „Wsparcie dla czasopism naukowych”,</w:t>
      </w:r>
    </w:p>
    <w:p w14:paraId="682D06ED" w14:textId="77777777" w:rsidR="00FB1317" w:rsidRPr="00233788" w:rsidRDefault="00FB1317" w:rsidP="002D3260">
      <w:pPr>
        <w:pStyle w:val="Akapitzlist"/>
        <w:numPr>
          <w:ilvl w:val="0"/>
          <w:numId w:val="26"/>
        </w:numPr>
      </w:pPr>
      <w:r w:rsidRPr="00233788">
        <w:t>wprowadzono możliwość finansowania programów Ministra także w obszarze działalności dydaktycznej (obecne programy Ministra umożliwiały finansowanie zadań jedynie w obszarze działalności badawczej),</w:t>
      </w:r>
    </w:p>
    <w:p w14:paraId="226FAFFB" w14:textId="77777777" w:rsidR="00FB1317" w:rsidRPr="00233788" w:rsidRDefault="00FB1317" w:rsidP="002D3260">
      <w:pPr>
        <w:pStyle w:val="Akapitzlist"/>
        <w:numPr>
          <w:ilvl w:val="0"/>
          <w:numId w:val="26"/>
        </w:numPr>
      </w:pPr>
      <w:r w:rsidRPr="00233788">
        <w:t>wprowadzono możliwość finansowania uczelni przez związek metropolitalny (dotychczasowe regulacje dotyczyły finansowania uczelni przez jednostki samorządu terytorialnego lub ich związki),</w:t>
      </w:r>
    </w:p>
    <w:p w14:paraId="31BEE9A8" w14:textId="77777777" w:rsidR="00FB1317" w:rsidRPr="00233788" w:rsidRDefault="00FB1317" w:rsidP="002D3260">
      <w:pPr>
        <w:pStyle w:val="Akapitzlist"/>
        <w:numPr>
          <w:ilvl w:val="0"/>
          <w:numId w:val="26"/>
        </w:numPr>
      </w:pPr>
      <w:r w:rsidRPr="00233788">
        <w:t>zwiększono swobodę finansowania uczelni przez samorząd terytorialny, np. dotychczas udzielanie dotacji celowych przez jednostki samorządu terytorialnego było możliwe tylko wtedy, jeśli dotyczyły one realizacji zadań uczelni związanych z zadaniami własnymi jednostek samorządu terytorialnego,</w:t>
      </w:r>
    </w:p>
    <w:p w14:paraId="041691B9" w14:textId="77777777" w:rsidR="00FB1317" w:rsidRPr="00233788" w:rsidRDefault="00FB1317" w:rsidP="002D3260">
      <w:pPr>
        <w:pStyle w:val="Akapitzlist"/>
        <w:numPr>
          <w:ilvl w:val="0"/>
          <w:numId w:val="26"/>
        </w:numPr>
      </w:pPr>
      <w:r w:rsidRPr="00233788">
        <w:t>podstawowym źródłem utrzymania potencjału dydaktycznego i badawczego jest subwencja, a nie dotacja. Oznacza to w konsekwencji bardziej elastyczne, a tym samym bardziej efektywne wydatkowanie środków publicznych,</w:t>
      </w:r>
    </w:p>
    <w:p w14:paraId="70E128D1" w14:textId="77777777" w:rsidR="00FB1317" w:rsidRPr="00233788" w:rsidRDefault="00FB1317" w:rsidP="002D3260">
      <w:pPr>
        <w:pStyle w:val="Akapitzlist"/>
        <w:numPr>
          <w:ilvl w:val="0"/>
          <w:numId w:val="26"/>
        </w:numPr>
      </w:pPr>
      <w:r w:rsidRPr="00233788">
        <w:t>podobnie jak dotychczas środki dotacji, uczelnia gromadzi środki subwencji i dotacji na wyodrębnionym koncie bankowym, ale od 2020 r. uczelnia publiczna gromadzi środki subwencji na rachunku Banku Gospodarstwa Krajowego,</w:t>
      </w:r>
    </w:p>
    <w:p w14:paraId="08E7C620" w14:textId="77777777" w:rsidR="00FB1317" w:rsidRPr="00233788" w:rsidRDefault="00FB1317" w:rsidP="002D3260">
      <w:pPr>
        <w:pStyle w:val="Akapitzlist"/>
        <w:numPr>
          <w:ilvl w:val="0"/>
          <w:numId w:val="26"/>
        </w:numPr>
      </w:pPr>
      <w:r w:rsidRPr="00233788">
        <w:t>uczelnia tworzy fundusz wsparcia osób niepełnosprawnych i przekształca fundusz po- mocy materialnej w fundusz stypendialny,</w:t>
      </w:r>
    </w:p>
    <w:p w14:paraId="3EA87831" w14:textId="77777777" w:rsidR="00FB1317" w:rsidRPr="00233788" w:rsidRDefault="00FB1317" w:rsidP="002D3260">
      <w:pPr>
        <w:pStyle w:val="Akapitzlist"/>
        <w:numPr>
          <w:ilvl w:val="0"/>
          <w:numId w:val="26"/>
        </w:numPr>
      </w:pPr>
      <w:r w:rsidRPr="00233788">
        <w:t>środki funduszu stypendialnego i funduszu wsparcia osób niepełnosprawnych uczelnie publiczne gromadzą na rachunku BGK od stycznia 2020r. Uczelnie niepubliczne ten obowiązek mają od stycznia 2019 r.,</w:t>
      </w:r>
    </w:p>
    <w:p w14:paraId="6017BCFA" w14:textId="77777777" w:rsidR="00FB1317" w:rsidRPr="00233788" w:rsidRDefault="00FB1317" w:rsidP="002D3260">
      <w:pPr>
        <w:pStyle w:val="Akapitzlist"/>
        <w:numPr>
          <w:ilvl w:val="0"/>
          <w:numId w:val="26"/>
        </w:numPr>
      </w:pPr>
      <w:r w:rsidRPr="00233788">
        <w:t xml:space="preserve">uczelnie prowadzą gospodarkę finansową na podstawie przepisów szczególnych </w:t>
      </w:r>
      <w:proofErr w:type="spellStart"/>
      <w:r w:rsidRPr="00233788">
        <w:t>PSWiN</w:t>
      </w:r>
      <w:proofErr w:type="spellEnd"/>
      <w:r w:rsidRPr="00233788">
        <w:t>, a przede wszystkim ustawy o rachunkowości. Nie będzie już wydawane, jak dotychczas, roz</w:t>
      </w:r>
      <w:r w:rsidRPr="00233788">
        <w:lastRenderedPageBreak/>
        <w:t xml:space="preserve">porządzenie Rady Ministrów </w:t>
      </w:r>
      <w:proofErr w:type="spellStart"/>
      <w:r w:rsidRPr="00233788">
        <w:t>ws</w:t>
      </w:r>
      <w:proofErr w:type="spellEnd"/>
      <w:r w:rsidRPr="00233788">
        <w:t>. szczegółowych zasad gospodarki finansowej uczelni publicznych,</w:t>
      </w:r>
    </w:p>
    <w:p w14:paraId="09B9A01C" w14:textId="77777777" w:rsidR="00FB1317" w:rsidRPr="00233788" w:rsidRDefault="00FB1317" w:rsidP="002D3260">
      <w:pPr>
        <w:pStyle w:val="Akapitzlist"/>
        <w:numPr>
          <w:ilvl w:val="0"/>
          <w:numId w:val="26"/>
        </w:numPr>
      </w:pPr>
      <w:r w:rsidRPr="00233788">
        <w:t>uczelnia może dokonywać lokat wszystkich środków finansowych (w tym subwencji), z wyłączeniem dotacji w bankach komercyjnych na maksymalny okres 3 dni. Lokaty na dłuższy okres mogą być otwierane m.in. jako depozyt u Ministra Finansów,</w:t>
      </w:r>
    </w:p>
    <w:p w14:paraId="31400B1E" w14:textId="77777777" w:rsidR="00FB1317" w:rsidRPr="00233788" w:rsidRDefault="00FB1317" w:rsidP="002D3260">
      <w:pPr>
        <w:pStyle w:val="Akapitzlist"/>
        <w:numPr>
          <w:ilvl w:val="0"/>
          <w:numId w:val="26"/>
        </w:numPr>
      </w:pPr>
      <w:r w:rsidRPr="00233788">
        <w:t>z dniem 1 stycznia 2019 r. niewykorzystane środki finansowe z dotacji na wsparcie osób z niepełnosprawnością,</w:t>
      </w:r>
    </w:p>
    <w:p w14:paraId="00F7598A" w14:textId="77777777" w:rsidR="00FB1317" w:rsidRPr="00233788" w:rsidRDefault="00FB1317" w:rsidP="002D3260">
      <w:pPr>
        <w:pStyle w:val="Akapitzlist"/>
        <w:numPr>
          <w:ilvl w:val="0"/>
          <w:numId w:val="26"/>
        </w:numPr>
      </w:pPr>
      <w:r w:rsidRPr="00233788">
        <w:t>z dniem 1 stycznia 2019 r. niewykorzystane do dnia 31 grudnia 2018 r. środki finansowe z funduszu pomocy materialnej, przeznaczone na pokrycie kosztów utrzymania domów i stołówek studenckich oraz na remonty i modernizacje domów oraz stołówek studenckich, uczelnia publiczna przekazuje na fundusz zasadniczy, a uczelnia niepubliczna – na kapitał podstawowy. Wydatki na te cele finansowane są w ramach pod- stawowej działalności operacyjnej uczelni i w przypadku uczelni publicznej mogą być pokrywane z subwencji,</w:t>
      </w:r>
    </w:p>
    <w:p w14:paraId="2C32BC3B" w14:textId="77777777" w:rsidR="00FB1317" w:rsidRPr="00233788" w:rsidRDefault="00FB1317" w:rsidP="002D3260">
      <w:pPr>
        <w:pStyle w:val="Akapitzlist"/>
        <w:numPr>
          <w:ilvl w:val="0"/>
          <w:numId w:val="26"/>
        </w:numPr>
      </w:pPr>
      <w:r w:rsidRPr="00233788">
        <w:t>zaostrzono przepisy dotyczące obowiązku skutecznego przeprowadzenia programu naprawczego (musi doprowadzić co najmniej do zrównoważenia kosztów z przychodami) i zmniejszeniu zadłużenia uczelni,</w:t>
      </w:r>
    </w:p>
    <w:p w14:paraId="316BE6A6" w14:textId="77777777" w:rsidR="00FB1317" w:rsidRPr="00233788" w:rsidRDefault="00FB1317" w:rsidP="002D3260">
      <w:pPr>
        <w:pStyle w:val="Akapitzlist"/>
        <w:numPr>
          <w:ilvl w:val="0"/>
          <w:numId w:val="26"/>
        </w:numPr>
      </w:pPr>
      <w:r w:rsidRPr="00233788">
        <w:t>obowiązki senatu uczelni dotyczące programu naprawczego przejmuje rada uczelni.</w:t>
      </w:r>
    </w:p>
    <w:p w14:paraId="137C2AAA" w14:textId="77777777" w:rsidR="00FB1317" w:rsidRPr="00233788" w:rsidRDefault="00FB1317" w:rsidP="00FB1317">
      <w:pPr>
        <w:pStyle w:val="Akapitzlist"/>
        <w:ind w:firstLine="0"/>
        <w:rPr>
          <w:u w:val="single"/>
        </w:rPr>
      </w:pPr>
      <w:r w:rsidRPr="00233788">
        <w:rPr>
          <w:u w:val="single"/>
        </w:rPr>
        <w:t>Nadzór nad uczelniami:</w:t>
      </w:r>
    </w:p>
    <w:p w14:paraId="1D7D6801" w14:textId="77777777" w:rsidR="00FB1317" w:rsidRPr="00233788" w:rsidRDefault="00FB1317" w:rsidP="002D3260">
      <w:pPr>
        <w:pStyle w:val="Akapitzlist"/>
        <w:numPr>
          <w:ilvl w:val="0"/>
          <w:numId w:val="26"/>
        </w:numPr>
      </w:pPr>
      <w:r w:rsidRPr="00233788">
        <w:t>w związku z modyfikacją ustawowego katalogu organów uczelni zmianie uległ zakres aktów wewnętrznych uczelni, których nieważność (w przypadku niezgodności z przepisami prawa) stwierdza Minister,</w:t>
      </w:r>
    </w:p>
    <w:p w14:paraId="6F0BBEF2" w14:textId="77777777" w:rsidR="00FB1317" w:rsidRPr="00233788" w:rsidRDefault="00FB1317" w:rsidP="002D3260">
      <w:pPr>
        <w:pStyle w:val="Akapitzlist"/>
        <w:numPr>
          <w:ilvl w:val="0"/>
          <w:numId w:val="26"/>
        </w:numPr>
      </w:pPr>
      <w:r w:rsidRPr="00233788">
        <w:t>wniosek o odwołanie rektora naruszającego przepisy prawa Minister kieruje do kolegium elektorów albo do innego podmiotu, który dokonał jego wyboru lub powołania, a nie jak dotychczas do senatu,</w:t>
      </w:r>
    </w:p>
    <w:p w14:paraId="30A94489" w14:textId="77777777" w:rsidR="00FB1317" w:rsidRPr="00233788" w:rsidRDefault="00FB1317" w:rsidP="002D3260">
      <w:pPr>
        <w:pStyle w:val="Akapitzlist"/>
        <w:numPr>
          <w:ilvl w:val="0"/>
          <w:numId w:val="26"/>
        </w:numPr>
      </w:pPr>
      <w:r w:rsidRPr="00233788">
        <w:t>wprowadzono możliwość skrócenia kadencji rady uczelni (w przypadku stwierdzenia naruszenia prawa) przez senat na wniosek Ministra</w:t>
      </w:r>
    </w:p>
    <w:p w14:paraId="5F11E61F" w14:textId="77777777" w:rsidR="00FB1317" w:rsidRPr="00233788" w:rsidRDefault="00FB1317" w:rsidP="004E7B54">
      <w:pPr>
        <w:spacing w:line="240" w:lineRule="auto"/>
        <w:ind w:firstLine="0"/>
        <w:jc w:val="left"/>
      </w:pPr>
    </w:p>
    <w:p w14:paraId="6F5FC3FF" w14:textId="77777777" w:rsidR="00BC6853" w:rsidRDefault="003D5522" w:rsidP="004E7B54">
      <w:pPr>
        <w:spacing w:line="240" w:lineRule="auto"/>
        <w:ind w:firstLine="0"/>
        <w:jc w:val="left"/>
        <w:sectPr w:rsidR="00BC6853" w:rsidSect="00083014">
          <w:headerReference w:type="default" r:id="rId35"/>
          <w:footerReference w:type="default" r:id="rId36"/>
          <w:pgSz w:w="11906" w:h="16838"/>
          <w:pgMar w:top="1417" w:right="1417" w:bottom="1417" w:left="1417" w:header="708" w:footer="708" w:gutter="0"/>
          <w:cols w:space="708"/>
          <w:docGrid w:linePitch="360"/>
        </w:sectPr>
      </w:pPr>
      <w:r w:rsidRPr="00233788">
        <w:br w:type="page"/>
      </w:r>
    </w:p>
    <w:p w14:paraId="45883B48" w14:textId="53E67570" w:rsidR="00FB1317" w:rsidRPr="00233788" w:rsidRDefault="00FB1317" w:rsidP="00FB1317">
      <w:pPr>
        <w:pStyle w:val="Nagwek1"/>
        <w:numPr>
          <w:ilvl w:val="0"/>
          <w:numId w:val="0"/>
        </w:numPr>
        <w:ind w:left="432"/>
      </w:pPr>
      <w:bookmarkStart w:id="153" w:name="_Toc157667030"/>
      <w:r w:rsidRPr="00233788">
        <w:lastRenderedPageBreak/>
        <w:t>Załącznik 2 - Kwestionariusze badania satysfakcji interesariuszy</w:t>
      </w:r>
      <w:bookmarkEnd w:id="153"/>
    </w:p>
    <w:p w14:paraId="16571B9D" w14:textId="77777777" w:rsidR="00FB1317" w:rsidRPr="00233788" w:rsidRDefault="00FB1317" w:rsidP="00FB1317">
      <w:pPr>
        <w:pStyle w:val="Akapitzlist"/>
        <w:ind w:left="1069" w:firstLine="0"/>
      </w:pPr>
    </w:p>
    <w:p w14:paraId="26CB2370" w14:textId="77777777" w:rsidR="00FB1317" w:rsidRPr="00233788" w:rsidRDefault="00FB1317" w:rsidP="002D3260">
      <w:pPr>
        <w:pStyle w:val="Akapitzlist"/>
        <w:numPr>
          <w:ilvl w:val="0"/>
          <w:numId w:val="25"/>
        </w:numPr>
        <w:rPr>
          <w:bCs/>
        </w:rPr>
      </w:pPr>
      <w:r w:rsidRPr="00233788">
        <w:t>Kwestionariusz badania</w:t>
      </w:r>
      <w:r w:rsidRPr="00233788">
        <w:rPr>
          <w:bCs/>
        </w:rPr>
        <w:t xml:space="preserve"> satysfakcji studentów z usług uczelni technicznej</w:t>
      </w:r>
    </w:p>
    <w:p w14:paraId="5A1B4B83" w14:textId="77777777" w:rsidR="00FB1317" w:rsidRPr="00233788" w:rsidRDefault="00FB1317" w:rsidP="002D3260">
      <w:pPr>
        <w:pStyle w:val="Akapitzlist"/>
        <w:numPr>
          <w:ilvl w:val="0"/>
          <w:numId w:val="25"/>
        </w:numPr>
        <w:rPr>
          <w:bCs/>
        </w:rPr>
      </w:pPr>
      <w:r w:rsidRPr="00233788">
        <w:t>Kwestionariusz badania</w:t>
      </w:r>
      <w:r w:rsidRPr="00233788">
        <w:rPr>
          <w:bCs/>
        </w:rPr>
        <w:t xml:space="preserve"> satysfakcji absolwentów z usług uczelni technicznej</w:t>
      </w:r>
    </w:p>
    <w:p w14:paraId="642CD9E6" w14:textId="77777777" w:rsidR="00FB1317" w:rsidRPr="00233788" w:rsidRDefault="00FB1317" w:rsidP="002D3260">
      <w:pPr>
        <w:pStyle w:val="Akapitzlist"/>
        <w:numPr>
          <w:ilvl w:val="0"/>
          <w:numId w:val="25"/>
        </w:numPr>
        <w:rPr>
          <w:bCs/>
        </w:rPr>
      </w:pPr>
      <w:r w:rsidRPr="00233788">
        <w:t>Kwestionariusz badania</w:t>
      </w:r>
      <w:r w:rsidRPr="00233788">
        <w:rPr>
          <w:bCs/>
        </w:rPr>
        <w:t xml:space="preserve"> satysfakcji rodziców / opiekunów absolwentów z usług uczelni technicznej</w:t>
      </w:r>
    </w:p>
    <w:p w14:paraId="27B02951" w14:textId="77777777" w:rsidR="00FB1317" w:rsidRPr="00233788" w:rsidRDefault="00FB1317" w:rsidP="002D3260">
      <w:pPr>
        <w:pStyle w:val="Akapitzlist"/>
        <w:numPr>
          <w:ilvl w:val="0"/>
          <w:numId w:val="25"/>
        </w:numPr>
        <w:rPr>
          <w:bCs/>
        </w:rPr>
      </w:pPr>
      <w:r w:rsidRPr="00233788">
        <w:t>Kwestionariusz badania</w:t>
      </w:r>
      <w:r w:rsidRPr="00233788">
        <w:rPr>
          <w:bCs/>
        </w:rPr>
        <w:t xml:space="preserve"> satysfakcji nauczycieli akademickich uczelni technicznej</w:t>
      </w:r>
    </w:p>
    <w:p w14:paraId="2C2DDD52" w14:textId="77777777" w:rsidR="00FB1317" w:rsidRPr="00233788" w:rsidRDefault="00FB1317" w:rsidP="002D3260">
      <w:pPr>
        <w:pStyle w:val="Akapitzlist"/>
        <w:numPr>
          <w:ilvl w:val="0"/>
          <w:numId w:val="25"/>
        </w:numPr>
      </w:pPr>
      <w:r w:rsidRPr="00233788">
        <w:t>Kwestionariusz badania satysfakcji pracowników administracyjnych uczelni technicznej</w:t>
      </w:r>
    </w:p>
    <w:p w14:paraId="769064E8" w14:textId="77777777" w:rsidR="00FB1317" w:rsidRPr="00233788" w:rsidRDefault="00FB1317" w:rsidP="002D3260">
      <w:pPr>
        <w:pStyle w:val="Akapitzlist"/>
        <w:numPr>
          <w:ilvl w:val="0"/>
          <w:numId w:val="25"/>
        </w:numPr>
      </w:pPr>
      <w:r w:rsidRPr="00233788">
        <w:t>Kwestionariusz badania satysfakcji pracodawców z usług uczelni technicznej</w:t>
      </w:r>
    </w:p>
    <w:p w14:paraId="1C7C1B7C" w14:textId="77777777" w:rsidR="00FB1317" w:rsidRPr="00233788" w:rsidRDefault="00FB1317" w:rsidP="002D3260">
      <w:pPr>
        <w:pStyle w:val="Akapitzlist"/>
        <w:numPr>
          <w:ilvl w:val="0"/>
          <w:numId w:val="25"/>
        </w:numPr>
        <w:rPr>
          <w:bCs/>
        </w:rPr>
      </w:pPr>
      <w:r w:rsidRPr="00233788">
        <w:t>Kwestionariusz badania</w:t>
      </w:r>
      <w:r w:rsidRPr="00233788">
        <w:rPr>
          <w:bCs/>
        </w:rPr>
        <w:t xml:space="preserve"> satysfakcji z usług uczelni technicznej przedstawicieli władz samorządowych oraz centralnych</w:t>
      </w:r>
    </w:p>
    <w:p w14:paraId="6037199E" w14:textId="77777777" w:rsidR="00FB1317" w:rsidRPr="00233788" w:rsidRDefault="00FB1317" w:rsidP="002D3260">
      <w:pPr>
        <w:pStyle w:val="Akapitzlist"/>
        <w:numPr>
          <w:ilvl w:val="0"/>
          <w:numId w:val="25"/>
        </w:numPr>
      </w:pPr>
      <w:r w:rsidRPr="00233788">
        <w:t>Kwestionariusz badania satysfakcji przedstawicieli władz uczelni technicznej: jakość usług uczelni wyższej</w:t>
      </w:r>
    </w:p>
    <w:p w14:paraId="1D8A42AC" w14:textId="77777777" w:rsidR="00BC6853" w:rsidRDefault="00FB1317" w:rsidP="00FB1317">
      <w:pPr>
        <w:spacing w:line="240" w:lineRule="auto"/>
        <w:ind w:firstLine="0"/>
        <w:jc w:val="left"/>
        <w:sectPr w:rsidR="00BC6853" w:rsidSect="00083014">
          <w:pgSz w:w="11906" w:h="16838"/>
          <w:pgMar w:top="1417" w:right="1417" w:bottom="1417" w:left="1417" w:header="708" w:footer="708" w:gutter="0"/>
          <w:cols w:space="708"/>
          <w:docGrid w:linePitch="360"/>
        </w:sectPr>
      </w:pPr>
      <w:r w:rsidRPr="00233788">
        <w:br w:type="page"/>
      </w:r>
    </w:p>
    <w:p w14:paraId="3D4B9007" w14:textId="149E5D62" w:rsidR="00E87884" w:rsidRDefault="008B3CA6" w:rsidP="004E7B54">
      <w:pPr>
        <w:pStyle w:val="Nagwek1"/>
        <w:numPr>
          <w:ilvl w:val="0"/>
          <w:numId w:val="0"/>
        </w:numPr>
        <w:ind w:left="432"/>
      </w:pPr>
      <w:bookmarkStart w:id="154" w:name="_Toc157667031"/>
      <w:r w:rsidRPr="00233788">
        <w:lastRenderedPageBreak/>
        <w:t xml:space="preserve">Załącznik </w:t>
      </w:r>
      <w:r w:rsidR="00FB1317" w:rsidRPr="00233788">
        <w:t>3</w:t>
      </w:r>
      <w:r w:rsidRPr="00233788">
        <w:t xml:space="preserve"> –</w:t>
      </w:r>
      <w:r w:rsidR="00FB1317" w:rsidRPr="00233788">
        <w:t xml:space="preserve"> </w:t>
      </w:r>
      <w:r w:rsidR="00465951">
        <w:t>Lista uczelni zaklasyfikowanych jako uczelnie</w:t>
      </w:r>
      <w:r w:rsidR="003D5522" w:rsidRPr="00233788">
        <w:t xml:space="preserve"> </w:t>
      </w:r>
      <w:r w:rsidR="0014301C" w:rsidRPr="00233788">
        <w:t xml:space="preserve">techniczne </w:t>
      </w:r>
      <w:r w:rsidR="00465951">
        <w:t>w ramach badań uwzględnionych w niniejszej pracy</w:t>
      </w:r>
      <w:bookmarkEnd w:id="154"/>
    </w:p>
    <w:p w14:paraId="78EE0C33" w14:textId="4B1F5741" w:rsidR="009832CD" w:rsidRPr="009832CD" w:rsidRDefault="009832CD" w:rsidP="009832CD">
      <w:r>
        <w:t>Stan na rok 2020</w:t>
      </w:r>
    </w:p>
    <w:p w14:paraId="16E12394" w14:textId="77777777" w:rsidR="007C7E94" w:rsidRPr="00233788" w:rsidRDefault="007C7E94" w:rsidP="009832CD">
      <w:pPr>
        <w:pStyle w:val="Numerowanie"/>
        <w:numPr>
          <w:ilvl w:val="0"/>
          <w:numId w:val="16"/>
        </w:numPr>
        <w:jc w:val="left"/>
      </w:pPr>
      <w:r w:rsidRPr="00233788">
        <w:t xml:space="preserve">Akademia Górniczo-Hutnicza </w:t>
      </w:r>
      <w:r w:rsidR="00160300" w:rsidRPr="00233788">
        <w:t>(AGH)</w:t>
      </w:r>
    </w:p>
    <w:p w14:paraId="189FF92A" w14:textId="4641ABE8" w:rsidR="007C7E94" w:rsidRPr="00233788" w:rsidRDefault="007C7E94" w:rsidP="009832CD">
      <w:pPr>
        <w:pStyle w:val="Numerowanie"/>
        <w:numPr>
          <w:ilvl w:val="0"/>
          <w:numId w:val="16"/>
        </w:numPr>
        <w:jc w:val="left"/>
      </w:pPr>
      <w:r w:rsidRPr="00233788">
        <w:t>Akademia Techniczno-Humanistyczna w Bielsku-Białej</w:t>
      </w:r>
      <w:r w:rsidR="009832CD">
        <w:t xml:space="preserve"> </w:t>
      </w:r>
      <w:r w:rsidR="009832CD">
        <w:br/>
        <w:t>(obecnie Uniwersytet Bielsko-Bialski)</w:t>
      </w:r>
    </w:p>
    <w:p w14:paraId="4C268C16" w14:textId="545306E0" w:rsidR="007C7E94" w:rsidRDefault="007C7E94" w:rsidP="009832CD">
      <w:pPr>
        <w:pStyle w:val="Numerowanie"/>
        <w:numPr>
          <w:ilvl w:val="0"/>
          <w:numId w:val="16"/>
        </w:numPr>
        <w:jc w:val="left"/>
      </w:pPr>
      <w:r w:rsidRPr="00233788">
        <w:t xml:space="preserve">Politechnika Białostocka </w:t>
      </w:r>
    </w:p>
    <w:p w14:paraId="0B810A74" w14:textId="242110FE" w:rsidR="00A45F41" w:rsidRPr="00233788" w:rsidRDefault="00A45F41" w:rsidP="009832CD">
      <w:pPr>
        <w:pStyle w:val="Numerowanie"/>
        <w:numPr>
          <w:ilvl w:val="0"/>
          <w:numId w:val="16"/>
        </w:numPr>
        <w:jc w:val="left"/>
      </w:pPr>
      <w:r>
        <w:t>Politechnika Bydgoska (dawniej Uniwersytet Technologiczno-Przyrodniczy)</w:t>
      </w:r>
    </w:p>
    <w:p w14:paraId="7DD8FAEF" w14:textId="77777777" w:rsidR="007C7E94" w:rsidRPr="00233788" w:rsidRDefault="007C7E94" w:rsidP="009832CD">
      <w:pPr>
        <w:pStyle w:val="Numerowanie"/>
        <w:numPr>
          <w:ilvl w:val="0"/>
          <w:numId w:val="16"/>
        </w:numPr>
        <w:jc w:val="left"/>
      </w:pPr>
      <w:r w:rsidRPr="00233788">
        <w:t xml:space="preserve">Politechnika Częstochowska </w:t>
      </w:r>
    </w:p>
    <w:p w14:paraId="081FA5F4" w14:textId="77777777" w:rsidR="007C7E94" w:rsidRPr="00233788" w:rsidRDefault="007C7E94" w:rsidP="009832CD">
      <w:pPr>
        <w:pStyle w:val="Numerowanie"/>
        <w:numPr>
          <w:ilvl w:val="0"/>
          <w:numId w:val="16"/>
        </w:numPr>
        <w:jc w:val="left"/>
      </w:pPr>
      <w:r w:rsidRPr="00233788">
        <w:t xml:space="preserve">Politechnika Gdańska </w:t>
      </w:r>
    </w:p>
    <w:p w14:paraId="412E3052" w14:textId="77777777" w:rsidR="007C7E94" w:rsidRPr="00233788" w:rsidRDefault="007C7E94" w:rsidP="009832CD">
      <w:pPr>
        <w:pStyle w:val="Numerowanie"/>
        <w:numPr>
          <w:ilvl w:val="0"/>
          <w:numId w:val="16"/>
        </w:numPr>
        <w:jc w:val="left"/>
      </w:pPr>
      <w:r w:rsidRPr="00233788">
        <w:t xml:space="preserve">Politechnika Koszalińska </w:t>
      </w:r>
    </w:p>
    <w:p w14:paraId="240099D9" w14:textId="77777777" w:rsidR="007C7E94" w:rsidRPr="00233788" w:rsidRDefault="007C7E94" w:rsidP="009832CD">
      <w:pPr>
        <w:pStyle w:val="Numerowanie"/>
        <w:numPr>
          <w:ilvl w:val="0"/>
          <w:numId w:val="16"/>
        </w:numPr>
        <w:jc w:val="left"/>
      </w:pPr>
      <w:r w:rsidRPr="00233788">
        <w:t xml:space="preserve">Politechnika Krakowska </w:t>
      </w:r>
    </w:p>
    <w:p w14:paraId="461AEE6D" w14:textId="77777777" w:rsidR="007C7E94" w:rsidRPr="00233788" w:rsidRDefault="007C7E94" w:rsidP="009832CD">
      <w:pPr>
        <w:pStyle w:val="Numerowanie"/>
        <w:numPr>
          <w:ilvl w:val="0"/>
          <w:numId w:val="16"/>
        </w:numPr>
        <w:jc w:val="left"/>
      </w:pPr>
      <w:r w:rsidRPr="00233788">
        <w:t xml:space="preserve">Politechnika Lubelska </w:t>
      </w:r>
    </w:p>
    <w:p w14:paraId="1239A836" w14:textId="77777777" w:rsidR="007C7E94" w:rsidRDefault="007C7E94" w:rsidP="009832CD">
      <w:pPr>
        <w:pStyle w:val="Numerowanie"/>
        <w:numPr>
          <w:ilvl w:val="0"/>
          <w:numId w:val="16"/>
        </w:numPr>
        <w:jc w:val="left"/>
      </w:pPr>
      <w:r w:rsidRPr="00233788">
        <w:t xml:space="preserve">Politechnika Łódzka </w:t>
      </w:r>
    </w:p>
    <w:p w14:paraId="6C4BA4CB" w14:textId="77777777" w:rsidR="00BA3A19" w:rsidRPr="00233788" w:rsidRDefault="00BA3A19" w:rsidP="009832CD">
      <w:pPr>
        <w:pStyle w:val="Numerowanie"/>
        <w:numPr>
          <w:ilvl w:val="0"/>
          <w:numId w:val="16"/>
        </w:numPr>
        <w:jc w:val="left"/>
      </w:pPr>
      <w:r>
        <w:t>Politechnika</w:t>
      </w:r>
      <w:r w:rsidRPr="00233788">
        <w:t xml:space="preserve"> Morska w Szczecinie</w:t>
      </w:r>
      <w:r>
        <w:t xml:space="preserve"> (dawniej Akademia Morska)</w:t>
      </w:r>
    </w:p>
    <w:p w14:paraId="48F6E693" w14:textId="77777777" w:rsidR="007C7E94" w:rsidRPr="00233788" w:rsidRDefault="007C7E94" w:rsidP="009832CD">
      <w:pPr>
        <w:pStyle w:val="Numerowanie"/>
        <w:numPr>
          <w:ilvl w:val="0"/>
          <w:numId w:val="16"/>
        </w:numPr>
        <w:jc w:val="left"/>
      </w:pPr>
      <w:r w:rsidRPr="00233788">
        <w:t xml:space="preserve">Politechnika Opolska </w:t>
      </w:r>
    </w:p>
    <w:p w14:paraId="42F86FC4" w14:textId="77777777" w:rsidR="007C7E94" w:rsidRPr="00233788" w:rsidRDefault="007C7E94" w:rsidP="009832CD">
      <w:pPr>
        <w:pStyle w:val="Numerowanie"/>
        <w:numPr>
          <w:ilvl w:val="0"/>
          <w:numId w:val="16"/>
        </w:numPr>
        <w:jc w:val="left"/>
      </w:pPr>
      <w:r w:rsidRPr="00233788">
        <w:t xml:space="preserve">Politechnika Poznańska </w:t>
      </w:r>
    </w:p>
    <w:p w14:paraId="4FE48E4A" w14:textId="77777777" w:rsidR="007C7E94" w:rsidRPr="00233788" w:rsidRDefault="007C7E94" w:rsidP="009832CD">
      <w:pPr>
        <w:pStyle w:val="Numerowanie"/>
        <w:numPr>
          <w:ilvl w:val="0"/>
          <w:numId w:val="16"/>
        </w:numPr>
        <w:jc w:val="left"/>
      </w:pPr>
      <w:r w:rsidRPr="00233788">
        <w:t xml:space="preserve">Politechnika Rzeszowska </w:t>
      </w:r>
    </w:p>
    <w:p w14:paraId="0E338FCB" w14:textId="77777777" w:rsidR="007C7E94" w:rsidRPr="00233788" w:rsidRDefault="007C7E94" w:rsidP="009832CD">
      <w:pPr>
        <w:pStyle w:val="Numerowanie"/>
        <w:numPr>
          <w:ilvl w:val="0"/>
          <w:numId w:val="16"/>
        </w:numPr>
        <w:jc w:val="left"/>
      </w:pPr>
      <w:r w:rsidRPr="00233788">
        <w:t xml:space="preserve">Politechnika Śląska </w:t>
      </w:r>
    </w:p>
    <w:p w14:paraId="6B20093A" w14:textId="77777777" w:rsidR="007C7E94" w:rsidRPr="00233788" w:rsidRDefault="007C7E94" w:rsidP="009832CD">
      <w:pPr>
        <w:pStyle w:val="Numerowanie"/>
        <w:numPr>
          <w:ilvl w:val="0"/>
          <w:numId w:val="16"/>
        </w:numPr>
        <w:jc w:val="left"/>
      </w:pPr>
      <w:r w:rsidRPr="00233788">
        <w:t xml:space="preserve">Politechnika Świętokrzyska </w:t>
      </w:r>
    </w:p>
    <w:p w14:paraId="470EF5E6" w14:textId="77777777" w:rsidR="007C7E94" w:rsidRPr="00233788" w:rsidRDefault="007C7E94" w:rsidP="009832CD">
      <w:pPr>
        <w:pStyle w:val="Numerowanie"/>
        <w:numPr>
          <w:ilvl w:val="0"/>
          <w:numId w:val="16"/>
        </w:numPr>
        <w:jc w:val="left"/>
      </w:pPr>
      <w:r w:rsidRPr="00233788">
        <w:t xml:space="preserve">Politechnika Warszawska </w:t>
      </w:r>
    </w:p>
    <w:p w14:paraId="23FC4DE6" w14:textId="77777777" w:rsidR="00160300" w:rsidRDefault="007C7E94" w:rsidP="009832CD">
      <w:pPr>
        <w:pStyle w:val="Numerowanie"/>
        <w:numPr>
          <w:ilvl w:val="0"/>
          <w:numId w:val="16"/>
        </w:numPr>
        <w:jc w:val="left"/>
      </w:pPr>
      <w:r w:rsidRPr="00233788">
        <w:t xml:space="preserve">Politechnika Wrocławska </w:t>
      </w:r>
    </w:p>
    <w:p w14:paraId="68AF17AE" w14:textId="5CD0B6D1" w:rsidR="001A6695" w:rsidRPr="00233788" w:rsidRDefault="001A6695" w:rsidP="009832CD">
      <w:pPr>
        <w:pStyle w:val="Numerowanie"/>
        <w:numPr>
          <w:ilvl w:val="0"/>
          <w:numId w:val="16"/>
        </w:numPr>
        <w:jc w:val="left"/>
      </w:pPr>
      <w:r>
        <w:t>Uniwersytet</w:t>
      </w:r>
      <w:r w:rsidRPr="00233788">
        <w:t xml:space="preserve"> Morsk</w:t>
      </w:r>
      <w:r>
        <w:t>i</w:t>
      </w:r>
      <w:r w:rsidRPr="00233788">
        <w:t xml:space="preserve"> w Gdyni </w:t>
      </w:r>
    </w:p>
    <w:p w14:paraId="21454620" w14:textId="1246841F" w:rsidR="00160300" w:rsidRPr="00233788" w:rsidRDefault="00160300" w:rsidP="009832CD">
      <w:pPr>
        <w:pStyle w:val="Numerowanie"/>
        <w:numPr>
          <w:ilvl w:val="0"/>
          <w:numId w:val="16"/>
        </w:numPr>
        <w:jc w:val="left"/>
      </w:pPr>
      <w:r w:rsidRPr="00233788">
        <w:t xml:space="preserve">Uniwersytet Technologiczno-Humanistyczny w Radomiu </w:t>
      </w:r>
      <w:r w:rsidR="009832CD">
        <w:br/>
        <w:t>(obecnie Uniwersytet Radomski)</w:t>
      </w:r>
    </w:p>
    <w:p w14:paraId="6FE7BC03" w14:textId="4A1B45F6" w:rsidR="00160300" w:rsidRPr="00233788" w:rsidRDefault="00160300" w:rsidP="009832CD">
      <w:pPr>
        <w:pStyle w:val="Numerowanie"/>
        <w:numPr>
          <w:ilvl w:val="0"/>
          <w:numId w:val="16"/>
        </w:numPr>
        <w:jc w:val="left"/>
      </w:pPr>
      <w:r w:rsidRPr="00233788">
        <w:t>Wojskowa Akademia Techniczna</w:t>
      </w:r>
    </w:p>
    <w:p w14:paraId="2824BA20" w14:textId="77777777" w:rsidR="00160300" w:rsidRPr="00233788" w:rsidRDefault="00160300" w:rsidP="009832CD">
      <w:pPr>
        <w:pStyle w:val="Numerowanie"/>
        <w:numPr>
          <w:ilvl w:val="0"/>
          <w:numId w:val="16"/>
        </w:numPr>
        <w:jc w:val="left"/>
      </w:pPr>
      <w:r w:rsidRPr="00233788">
        <w:t xml:space="preserve">Zachodniopomorski Uniwersytet Technologiczny </w:t>
      </w:r>
    </w:p>
    <w:p w14:paraId="52031568" w14:textId="77777777" w:rsidR="00BC6853" w:rsidRDefault="00BC6853" w:rsidP="004E7B54">
      <w:pPr>
        <w:pStyle w:val="Akapitzlist"/>
        <w:autoSpaceDE w:val="0"/>
        <w:autoSpaceDN w:val="0"/>
        <w:adjustRightInd w:val="0"/>
        <w:spacing w:line="240" w:lineRule="auto"/>
        <w:ind w:left="1069" w:firstLine="0"/>
        <w:jc w:val="left"/>
        <w:rPr>
          <w:rFonts w:ascii="Times New Roman" w:hAnsi="Times New Roman"/>
          <w:b/>
          <w:bCs/>
          <w:color w:val="000000"/>
          <w:sz w:val="22"/>
        </w:rPr>
        <w:sectPr w:rsidR="00BC6853" w:rsidSect="00083014">
          <w:pgSz w:w="11906" w:h="16838"/>
          <w:pgMar w:top="1417" w:right="1417" w:bottom="1417" w:left="1417" w:header="708" w:footer="708" w:gutter="0"/>
          <w:cols w:space="708"/>
          <w:docGrid w:linePitch="360"/>
        </w:sectPr>
      </w:pPr>
    </w:p>
    <w:p w14:paraId="4E2D4FAA" w14:textId="24BAC02D" w:rsidR="00622247" w:rsidRPr="00233788" w:rsidRDefault="00622247" w:rsidP="00622247">
      <w:pPr>
        <w:pStyle w:val="Nagwek1"/>
        <w:numPr>
          <w:ilvl w:val="0"/>
          <w:numId w:val="0"/>
        </w:numPr>
        <w:ind w:left="432"/>
      </w:pPr>
      <w:bookmarkStart w:id="155" w:name="_Toc157667032"/>
      <w:r w:rsidRPr="00233788">
        <w:lastRenderedPageBreak/>
        <w:t xml:space="preserve">Załącznik </w:t>
      </w:r>
      <w:r>
        <w:t>4</w:t>
      </w:r>
      <w:r w:rsidRPr="00233788">
        <w:t xml:space="preserve"> – </w:t>
      </w:r>
      <w:r>
        <w:t>Propozycja rankingu Światowych uczelni na podstawie rezultatów globalnych THE, ARWU, QS i Webometrics – Ranking RV250</w:t>
      </w:r>
      <w:bookmarkEnd w:id="155"/>
    </w:p>
    <w:p w14:paraId="5427DF13" w14:textId="326BD41C" w:rsidR="00622247" w:rsidRDefault="00622247" w:rsidP="00622247">
      <w:pPr>
        <w:pStyle w:val="Tytutabeli"/>
      </w:pPr>
      <w:bookmarkStart w:id="156" w:name="_Ref134656238"/>
      <w:bookmarkStart w:id="157" w:name="_Toc163576369"/>
      <w:r>
        <w:t xml:space="preserve">Tabela </w:t>
      </w:r>
      <w:r>
        <w:fldChar w:fldCharType="begin"/>
      </w:r>
      <w:r>
        <w:instrText xml:space="preserve"> SEQ Tabela \* ARABIC </w:instrText>
      </w:r>
      <w:r>
        <w:fldChar w:fldCharType="separate"/>
      </w:r>
      <w:r w:rsidR="00DA2A4D">
        <w:rPr>
          <w:noProof/>
        </w:rPr>
        <w:t>80</w:t>
      </w:r>
      <w:r>
        <w:rPr>
          <w:noProof/>
        </w:rPr>
        <w:fldChar w:fldCharType="end"/>
      </w:r>
      <w:bookmarkEnd w:id="156"/>
      <w:r>
        <w:t xml:space="preserve"> </w:t>
      </w:r>
      <w:r w:rsidRPr="00622247">
        <w:rPr>
          <w:lang w:eastAsia="pl-PL"/>
        </w:rPr>
        <w:t xml:space="preserve">RankingRV250 dla top100 uczelni w THE, ARWU, QS i </w:t>
      </w:r>
      <w:proofErr w:type="spellStart"/>
      <w:r w:rsidRPr="00622247">
        <w:rPr>
          <w:lang w:eastAsia="pl-PL"/>
        </w:rPr>
        <w:t>Webometrics</w:t>
      </w:r>
      <w:bookmarkEnd w:id="157"/>
      <w:proofErr w:type="spellEnd"/>
    </w:p>
    <w:tbl>
      <w:tblPr>
        <w:tblW w:w="9072" w:type="dxa"/>
        <w:tblInd w:w="-5" w:type="dxa"/>
        <w:tblCellMar>
          <w:left w:w="70" w:type="dxa"/>
          <w:right w:w="70" w:type="dxa"/>
        </w:tblCellMar>
        <w:tblLook w:val="04A0" w:firstRow="1" w:lastRow="0" w:firstColumn="1" w:lastColumn="0" w:noHBand="0" w:noVBand="1"/>
      </w:tblPr>
      <w:tblGrid>
        <w:gridCol w:w="875"/>
        <w:gridCol w:w="3544"/>
        <w:gridCol w:w="889"/>
        <w:gridCol w:w="889"/>
        <w:gridCol w:w="889"/>
        <w:gridCol w:w="889"/>
        <w:gridCol w:w="1242"/>
      </w:tblGrid>
      <w:tr w:rsidR="00622247" w:rsidRPr="00E9332A" w14:paraId="6F37A5CE" w14:textId="77777777" w:rsidTr="00D137C7">
        <w:trPr>
          <w:cantSplit/>
          <w:trHeight w:val="1710"/>
          <w:tblHeader/>
        </w:trPr>
        <w:tc>
          <w:tcPr>
            <w:tcW w:w="8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44694" w14:textId="7265C3CD"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E9332A">
              <w:rPr>
                <w:rFonts w:eastAsia="Times New Roman" w:cs="Arial"/>
                <w:b/>
                <w:bCs/>
                <w:color w:val="000000"/>
                <w:sz w:val="18"/>
                <w:szCs w:val="18"/>
                <w:lang w:eastAsia="pl-PL"/>
              </w:rPr>
              <w:t>Pozycja</w:t>
            </w:r>
          </w:p>
        </w:tc>
        <w:tc>
          <w:tcPr>
            <w:tcW w:w="3634" w:type="dxa"/>
            <w:tcBorders>
              <w:top w:val="single" w:sz="4" w:space="0" w:color="auto"/>
              <w:left w:val="nil"/>
              <w:bottom w:val="single" w:sz="4" w:space="0" w:color="auto"/>
              <w:right w:val="single" w:sz="4" w:space="0" w:color="auto"/>
            </w:tcBorders>
            <w:shd w:val="clear" w:color="auto" w:fill="auto"/>
            <w:vAlign w:val="center"/>
            <w:hideMark/>
          </w:tcPr>
          <w:p w14:paraId="49748D95"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Nazwa Uczelni</w:t>
            </w:r>
          </w:p>
        </w:tc>
        <w:tc>
          <w:tcPr>
            <w:tcW w:w="909" w:type="dxa"/>
            <w:tcBorders>
              <w:top w:val="single" w:sz="4" w:space="0" w:color="auto"/>
              <w:left w:val="nil"/>
              <w:bottom w:val="single" w:sz="4" w:space="0" w:color="auto"/>
              <w:right w:val="single" w:sz="4" w:space="0" w:color="auto"/>
            </w:tcBorders>
            <w:shd w:val="clear" w:color="auto" w:fill="auto"/>
            <w:vAlign w:val="center"/>
            <w:hideMark/>
          </w:tcPr>
          <w:p w14:paraId="17686399"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Wartość rankingu RV250</w:t>
            </w:r>
          </w:p>
        </w:tc>
        <w:tc>
          <w:tcPr>
            <w:tcW w:w="909" w:type="dxa"/>
            <w:tcBorders>
              <w:top w:val="single" w:sz="4" w:space="0" w:color="auto"/>
              <w:left w:val="nil"/>
              <w:bottom w:val="single" w:sz="4" w:space="0" w:color="auto"/>
              <w:right w:val="single" w:sz="4" w:space="0" w:color="auto"/>
            </w:tcBorders>
            <w:shd w:val="clear" w:color="auto" w:fill="auto"/>
            <w:vAlign w:val="center"/>
            <w:hideMark/>
          </w:tcPr>
          <w:p w14:paraId="1AC1AF96"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Miejsce w top100 rankingu THE 2023</w:t>
            </w:r>
          </w:p>
        </w:tc>
        <w:tc>
          <w:tcPr>
            <w:tcW w:w="909" w:type="dxa"/>
            <w:tcBorders>
              <w:top w:val="single" w:sz="4" w:space="0" w:color="auto"/>
              <w:left w:val="nil"/>
              <w:bottom w:val="single" w:sz="4" w:space="0" w:color="auto"/>
              <w:right w:val="single" w:sz="4" w:space="0" w:color="auto"/>
            </w:tcBorders>
            <w:shd w:val="clear" w:color="auto" w:fill="auto"/>
            <w:vAlign w:val="center"/>
            <w:hideMark/>
          </w:tcPr>
          <w:p w14:paraId="1379E084"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Miejsce w top100 rankingu ARWU 2023</w:t>
            </w:r>
          </w:p>
        </w:tc>
        <w:tc>
          <w:tcPr>
            <w:tcW w:w="909" w:type="dxa"/>
            <w:tcBorders>
              <w:top w:val="single" w:sz="4" w:space="0" w:color="auto"/>
              <w:left w:val="nil"/>
              <w:bottom w:val="single" w:sz="4" w:space="0" w:color="auto"/>
              <w:right w:val="single" w:sz="4" w:space="0" w:color="auto"/>
            </w:tcBorders>
            <w:shd w:val="clear" w:color="auto" w:fill="auto"/>
            <w:vAlign w:val="center"/>
            <w:hideMark/>
          </w:tcPr>
          <w:p w14:paraId="45A6E552"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Miejsce w top100 rankingu QS 2023</w:t>
            </w:r>
          </w:p>
        </w:tc>
        <w:tc>
          <w:tcPr>
            <w:tcW w:w="909" w:type="dxa"/>
            <w:tcBorders>
              <w:top w:val="single" w:sz="4" w:space="0" w:color="auto"/>
              <w:left w:val="nil"/>
              <w:bottom w:val="single" w:sz="4" w:space="0" w:color="auto"/>
              <w:right w:val="single" w:sz="4" w:space="0" w:color="auto"/>
            </w:tcBorders>
            <w:shd w:val="clear" w:color="auto" w:fill="auto"/>
            <w:vAlign w:val="center"/>
            <w:hideMark/>
          </w:tcPr>
          <w:p w14:paraId="2EB84B90" w14:textId="77777777" w:rsidR="00622247" w:rsidRPr="00622247" w:rsidRDefault="00622247" w:rsidP="00622247">
            <w:pPr>
              <w:spacing w:before="0" w:line="240" w:lineRule="auto"/>
              <w:ind w:firstLine="0"/>
              <w:jc w:val="center"/>
              <w:rPr>
                <w:rFonts w:eastAsia="Times New Roman" w:cs="Arial"/>
                <w:b/>
                <w:bCs/>
                <w:color w:val="000000"/>
                <w:sz w:val="18"/>
                <w:szCs w:val="18"/>
                <w:lang w:eastAsia="pl-PL"/>
              </w:rPr>
            </w:pPr>
            <w:r w:rsidRPr="00622247">
              <w:rPr>
                <w:rFonts w:eastAsia="Times New Roman" w:cs="Arial"/>
                <w:b/>
                <w:bCs/>
                <w:color w:val="000000"/>
                <w:sz w:val="18"/>
                <w:szCs w:val="18"/>
                <w:lang w:eastAsia="pl-PL"/>
              </w:rPr>
              <w:t xml:space="preserve">Miejsce w top100 rankingu </w:t>
            </w:r>
            <w:proofErr w:type="spellStart"/>
            <w:r w:rsidRPr="00622247">
              <w:rPr>
                <w:rFonts w:eastAsia="Times New Roman" w:cs="Arial"/>
                <w:b/>
                <w:bCs/>
                <w:color w:val="000000"/>
                <w:sz w:val="18"/>
                <w:szCs w:val="18"/>
                <w:lang w:eastAsia="pl-PL"/>
              </w:rPr>
              <w:t>Webometrics</w:t>
            </w:r>
            <w:proofErr w:type="spellEnd"/>
            <w:r w:rsidRPr="00622247">
              <w:rPr>
                <w:rFonts w:eastAsia="Times New Roman" w:cs="Arial"/>
                <w:b/>
                <w:bCs/>
                <w:color w:val="000000"/>
                <w:sz w:val="18"/>
                <w:szCs w:val="18"/>
                <w:lang w:eastAsia="pl-PL"/>
              </w:rPr>
              <w:t xml:space="preserve"> 2023 H1</w:t>
            </w:r>
          </w:p>
        </w:tc>
      </w:tr>
      <w:tr w:rsidR="00622247" w:rsidRPr="00E9332A" w14:paraId="7F68488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4E0CF8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w:t>
            </w:r>
          </w:p>
        </w:tc>
        <w:tc>
          <w:tcPr>
            <w:tcW w:w="3634" w:type="dxa"/>
            <w:tcBorders>
              <w:top w:val="nil"/>
              <w:left w:val="nil"/>
              <w:bottom w:val="single" w:sz="4" w:space="0" w:color="auto"/>
              <w:right w:val="single" w:sz="4" w:space="0" w:color="auto"/>
            </w:tcBorders>
            <w:shd w:val="clear" w:color="auto" w:fill="auto"/>
            <w:noWrap/>
            <w:vAlign w:val="bottom"/>
            <w:hideMark/>
          </w:tcPr>
          <w:p w14:paraId="7F85C23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Harvard University</w:t>
            </w:r>
          </w:p>
        </w:tc>
        <w:tc>
          <w:tcPr>
            <w:tcW w:w="909" w:type="dxa"/>
            <w:tcBorders>
              <w:top w:val="nil"/>
              <w:left w:val="nil"/>
              <w:bottom w:val="single" w:sz="4" w:space="0" w:color="auto"/>
              <w:right w:val="single" w:sz="4" w:space="0" w:color="auto"/>
            </w:tcBorders>
            <w:shd w:val="clear" w:color="auto" w:fill="auto"/>
            <w:noWrap/>
            <w:vAlign w:val="bottom"/>
            <w:hideMark/>
          </w:tcPr>
          <w:p w14:paraId="4978617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c>
          <w:tcPr>
            <w:tcW w:w="909" w:type="dxa"/>
            <w:tcBorders>
              <w:top w:val="nil"/>
              <w:left w:val="nil"/>
              <w:bottom w:val="single" w:sz="4" w:space="0" w:color="auto"/>
              <w:right w:val="single" w:sz="4" w:space="0" w:color="auto"/>
            </w:tcBorders>
            <w:shd w:val="clear" w:color="auto" w:fill="auto"/>
            <w:noWrap/>
            <w:vAlign w:val="bottom"/>
            <w:hideMark/>
          </w:tcPr>
          <w:p w14:paraId="2A40EA8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w:t>
            </w:r>
          </w:p>
        </w:tc>
        <w:tc>
          <w:tcPr>
            <w:tcW w:w="909" w:type="dxa"/>
            <w:tcBorders>
              <w:top w:val="nil"/>
              <w:left w:val="nil"/>
              <w:bottom w:val="single" w:sz="4" w:space="0" w:color="auto"/>
              <w:right w:val="single" w:sz="4" w:space="0" w:color="auto"/>
            </w:tcBorders>
            <w:shd w:val="clear" w:color="auto" w:fill="auto"/>
            <w:noWrap/>
            <w:vAlign w:val="bottom"/>
            <w:hideMark/>
          </w:tcPr>
          <w:p w14:paraId="1772090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w:t>
            </w:r>
          </w:p>
        </w:tc>
        <w:tc>
          <w:tcPr>
            <w:tcW w:w="909" w:type="dxa"/>
            <w:tcBorders>
              <w:top w:val="nil"/>
              <w:left w:val="nil"/>
              <w:bottom w:val="single" w:sz="4" w:space="0" w:color="auto"/>
              <w:right w:val="single" w:sz="4" w:space="0" w:color="auto"/>
            </w:tcBorders>
            <w:shd w:val="clear" w:color="auto" w:fill="auto"/>
            <w:noWrap/>
            <w:vAlign w:val="bottom"/>
            <w:hideMark/>
          </w:tcPr>
          <w:p w14:paraId="0CD0E5B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w:t>
            </w:r>
          </w:p>
        </w:tc>
        <w:tc>
          <w:tcPr>
            <w:tcW w:w="909" w:type="dxa"/>
            <w:tcBorders>
              <w:top w:val="nil"/>
              <w:left w:val="nil"/>
              <w:bottom w:val="single" w:sz="4" w:space="0" w:color="auto"/>
              <w:right w:val="single" w:sz="4" w:space="0" w:color="auto"/>
            </w:tcBorders>
            <w:shd w:val="clear" w:color="auto" w:fill="auto"/>
            <w:noWrap/>
            <w:vAlign w:val="bottom"/>
            <w:hideMark/>
          </w:tcPr>
          <w:p w14:paraId="4508D88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w:t>
            </w:r>
          </w:p>
        </w:tc>
      </w:tr>
      <w:tr w:rsidR="00622247" w:rsidRPr="00E9332A" w14:paraId="15ADF35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EB247F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w:t>
            </w:r>
          </w:p>
        </w:tc>
        <w:tc>
          <w:tcPr>
            <w:tcW w:w="3634" w:type="dxa"/>
            <w:tcBorders>
              <w:top w:val="nil"/>
              <w:left w:val="nil"/>
              <w:bottom w:val="single" w:sz="4" w:space="0" w:color="auto"/>
              <w:right w:val="single" w:sz="4" w:space="0" w:color="auto"/>
            </w:tcBorders>
            <w:shd w:val="clear" w:color="auto" w:fill="auto"/>
            <w:noWrap/>
            <w:vAlign w:val="bottom"/>
            <w:hideMark/>
          </w:tcPr>
          <w:p w14:paraId="787EC2B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Stanford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1FFC77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c>
          <w:tcPr>
            <w:tcW w:w="909" w:type="dxa"/>
            <w:tcBorders>
              <w:top w:val="nil"/>
              <w:left w:val="nil"/>
              <w:bottom w:val="single" w:sz="4" w:space="0" w:color="auto"/>
              <w:right w:val="single" w:sz="4" w:space="0" w:color="auto"/>
            </w:tcBorders>
            <w:shd w:val="clear" w:color="auto" w:fill="auto"/>
            <w:noWrap/>
            <w:vAlign w:val="bottom"/>
            <w:hideMark/>
          </w:tcPr>
          <w:p w14:paraId="3C94A9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c>
          <w:tcPr>
            <w:tcW w:w="909" w:type="dxa"/>
            <w:tcBorders>
              <w:top w:val="nil"/>
              <w:left w:val="nil"/>
              <w:bottom w:val="single" w:sz="4" w:space="0" w:color="auto"/>
              <w:right w:val="single" w:sz="4" w:space="0" w:color="auto"/>
            </w:tcBorders>
            <w:shd w:val="clear" w:color="auto" w:fill="auto"/>
            <w:noWrap/>
            <w:vAlign w:val="bottom"/>
            <w:hideMark/>
          </w:tcPr>
          <w:p w14:paraId="2E28281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w:t>
            </w:r>
          </w:p>
        </w:tc>
        <w:tc>
          <w:tcPr>
            <w:tcW w:w="909" w:type="dxa"/>
            <w:tcBorders>
              <w:top w:val="nil"/>
              <w:left w:val="nil"/>
              <w:bottom w:val="single" w:sz="4" w:space="0" w:color="auto"/>
              <w:right w:val="single" w:sz="4" w:space="0" w:color="auto"/>
            </w:tcBorders>
            <w:shd w:val="clear" w:color="auto" w:fill="auto"/>
            <w:noWrap/>
            <w:vAlign w:val="bottom"/>
            <w:hideMark/>
          </w:tcPr>
          <w:p w14:paraId="55976F9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c>
          <w:tcPr>
            <w:tcW w:w="909" w:type="dxa"/>
            <w:tcBorders>
              <w:top w:val="nil"/>
              <w:left w:val="nil"/>
              <w:bottom w:val="single" w:sz="4" w:space="0" w:color="auto"/>
              <w:right w:val="single" w:sz="4" w:space="0" w:color="auto"/>
            </w:tcBorders>
            <w:shd w:val="clear" w:color="auto" w:fill="auto"/>
            <w:noWrap/>
            <w:vAlign w:val="bottom"/>
            <w:hideMark/>
          </w:tcPr>
          <w:p w14:paraId="2DA1079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w:t>
            </w:r>
          </w:p>
        </w:tc>
      </w:tr>
      <w:tr w:rsidR="00622247" w:rsidRPr="00E9332A" w14:paraId="749AE01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D5E35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c>
          <w:tcPr>
            <w:tcW w:w="3634" w:type="dxa"/>
            <w:tcBorders>
              <w:top w:val="nil"/>
              <w:left w:val="nil"/>
              <w:bottom w:val="single" w:sz="4" w:space="0" w:color="auto"/>
              <w:right w:val="single" w:sz="4" w:space="0" w:color="auto"/>
            </w:tcBorders>
            <w:shd w:val="clear" w:color="auto" w:fill="auto"/>
            <w:noWrap/>
            <w:vAlign w:val="bottom"/>
            <w:hideMark/>
          </w:tcPr>
          <w:p w14:paraId="32287CD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Massachusetts </w:t>
            </w:r>
            <w:proofErr w:type="spellStart"/>
            <w:r w:rsidRPr="00622247">
              <w:rPr>
                <w:rFonts w:eastAsia="Times New Roman" w:cs="Arial"/>
                <w:color w:val="000000"/>
                <w:sz w:val="18"/>
                <w:szCs w:val="18"/>
                <w:lang w:eastAsia="pl-PL"/>
              </w:rPr>
              <w:t>Institute</w:t>
            </w:r>
            <w:proofErr w:type="spellEnd"/>
            <w:r w:rsidRPr="00622247">
              <w:rPr>
                <w:rFonts w:eastAsia="Times New Roman" w:cs="Arial"/>
                <w:color w:val="000000"/>
                <w:sz w:val="18"/>
                <w:szCs w:val="18"/>
                <w:lang w:eastAsia="pl-PL"/>
              </w:rPr>
              <w:t xml:space="preserve">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56492B4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w:t>
            </w:r>
          </w:p>
        </w:tc>
        <w:tc>
          <w:tcPr>
            <w:tcW w:w="909" w:type="dxa"/>
            <w:tcBorders>
              <w:top w:val="nil"/>
              <w:left w:val="nil"/>
              <w:bottom w:val="single" w:sz="4" w:space="0" w:color="auto"/>
              <w:right w:val="single" w:sz="4" w:space="0" w:color="auto"/>
            </w:tcBorders>
            <w:shd w:val="clear" w:color="auto" w:fill="auto"/>
            <w:noWrap/>
            <w:vAlign w:val="bottom"/>
            <w:hideMark/>
          </w:tcPr>
          <w:p w14:paraId="500D217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w:t>
            </w:r>
          </w:p>
        </w:tc>
        <w:tc>
          <w:tcPr>
            <w:tcW w:w="909" w:type="dxa"/>
            <w:tcBorders>
              <w:top w:val="nil"/>
              <w:left w:val="nil"/>
              <w:bottom w:val="single" w:sz="4" w:space="0" w:color="auto"/>
              <w:right w:val="single" w:sz="4" w:space="0" w:color="auto"/>
            </w:tcBorders>
            <w:shd w:val="clear" w:color="auto" w:fill="auto"/>
            <w:noWrap/>
            <w:vAlign w:val="bottom"/>
            <w:hideMark/>
          </w:tcPr>
          <w:p w14:paraId="22C9F6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c>
          <w:tcPr>
            <w:tcW w:w="909" w:type="dxa"/>
            <w:tcBorders>
              <w:top w:val="nil"/>
              <w:left w:val="nil"/>
              <w:bottom w:val="single" w:sz="4" w:space="0" w:color="auto"/>
              <w:right w:val="single" w:sz="4" w:space="0" w:color="auto"/>
            </w:tcBorders>
            <w:shd w:val="clear" w:color="auto" w:fill="auto"/>
            <w:noWrap/>
            <w:vAlign w:val="bottom"/>
            <w:hideMark/>
          </w:tcPr>
          <w:p w14:paraId="38F0209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w:t>
            </w:r>
          </w:p>
        </w:tc>
        <w:tc>
          <w:tcPr>
            <w:tcW w:w="909" w:type="dxa"/>
            <w:tcBorders>
              <w:top w:val="nil"/>
              <w:left w:val="nil"/>
              <w:bottom w:val="single" w:sz="4" w:space="0" w:color="auto"/>
              <w:right w:val="single" w:sz="4" w:space="0" w:color="auto"/>
            </w:tcBorders>
            <w:shd w:val="clear" w:color="auto" w:fill="auto"/>
            <w:noWrap/>
            <w:vAlign w:val="bottom"/>
            <w:hideMark/>
          </w:tcPr>
          <w:p w14:paraId="6F1E331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r>
      <w:tr w:rsidR="00622247" w:rsidRPr="00E9332A" w14:paraId="4CF2DC2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49360A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w:t>
            </w:r>
          </w:p>
        </w:tc>
        <w:tc>
          <w:tcPr>
            <w:tcW w:w="3634" w:type="dxa"/>
            <w:tcBorders>
              <w:top w:val="nil"/>
              <w:left w:val="nil"/>
              <w:bottom w:val="single" w:sz="4" w:space="0" w:color="auto"/>
              <w:right w:val="single" w:sz="4" w:space="0" w:color="auto"/>
            </w:tcBorders>
            <w:shd w:val="clear" w:color="auto" w:fill="auto"/>
            <w:noWrap/>
            <w:vAlign w:val="bottom"/>
            <w:hideMark/>
          </w:tcPr>
          <w:p w14:paraId="54F04E4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Oxford</w:t>
            </w:r>
          </w:p>
        </w:tc>
        <w:tc>
          <w:tcPr>
            <w:tcW w:w="909" w:type="dxa"/>
            <w:tcBorders>
              <w:top w:val="nil"/>
              <w:left w:val="nil"/>
              <w:bottom w:val="single" w:sz="4" w:space="0" w:color="auto"/>
              <w:right w:val="single" w:sz="4" w:space="0" w:color="auto"/>
            </w:tcBorders>
            <w:shd w:val="clear" w:color="auto" w:fill="auto"/>
            <w:noWrap/>
            <w:vAlign w:val="bottom"/>
            <w:hideMark/>
          </w:tcPr>
          <w:p w14:paraId="21F798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w:t>
            </w:r>
          </w:p>
        </w:tc>
        <w:tc>
          <w:tcPr>
            <w:tcW w:w="909" w:type="dxa"/>
            <w:tcBorders>
              <w:top w:val="nil"/>
              <w:left w:val="nil"/>
              <w:bottom w:val="single" w:sz="4" w:space="0" w:color="auto"/>
              <w:right w:val="single" w:sz="4" w:space="0" w:color="auto"/>
            </w:tcBorders>
            <w:shd w:val="clear" w:color="auto" w:fill="auto"/>
            <w:noWrap/>
            <w:vAlign w:val="bottom"/>
            <w:hideMark/>
          </w:tcPr>
          <w:p w14:paraId="329A25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w:t>
            </w:r>
          </w:p>
        </w:tc>
        <w:tc>
          <w:tcPr>
            <w:tcW w:w="909" w:type="dxa"/>
            <w:tcBorders>
              <w:top w:val="nil"/>
              <w:left w:val="nil"/>
              <w:bottom w:val="single" w:sz="4" w:space="0" w:color="auto"/>
              <w:right w:val="single" w:sz="4" w:space="0" w:color="auto"/>
            </w:tcBorders>
            <w:shd w:val="clear" w:color="auto" w:fill="auto"/>
            <w:noWrap/>
            <w:vAlign w:val="bottom"/>
            <w:hideMark/>
          </w:tcPr>
          <w:p w14:paraId="5EAEB7A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w:t>
            </w:r>
          </w:p>
        </w:tc>
        <w:tc>
          <w:tcPr>
            <w:tcW w:w="909" w:type="dxa"/>
            <w:tcBorders>
              <w:top w:val="nil"/>
              <w:left w:val="nil"/>
              <w:bottom w:val="single" w:sz="4" w:space="0" w:color="auto"/>
              <w:right w:val="single" w:sz="4" w:space="0" w:color="auto"/>
            </w:tcBorders>
            <w:shd w:val="clear" w:color="auto" w:fill="auto"/>
            <w:noWrap/>
            <w:vAlign w:val="bottom"/>
            <w:hideMark/>
          </w:tcPr>
          <w:p w14:paraId="6FC8CD2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w:t>
            </w:r>
          </w:p>
        </w:tc>
        <w:tc>
          <w:tcPr>
            <w:tcW w:w="909" w:type="dxa"/>
            <w:tcBorders>
              <w:top w:val="nil"/>
              <w:left w:val="nil"/>
              <w:bottom w:val="single" w:sz="4" w:space="0" w:color="auto"/>
              <w:right w:val="single" w:sz="4" w:space="0" w:color="auto"/>
            </w:tcBorders>
            <w:shd w:val="clear" w:color="auto" w:fill="auto"/>
            <w:noWrap/>
            <w:vAlign w:val="bottom"/>
            <w:hideMark/>
          </w:tcPr>
          <w:p w14:paraId="0573F7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w:t>
            </w:r>
          </w:p>
        </w:tc>
      </w:tr>
      <w:tr w:rsidR="00622247" w:rsidRPr="00E9332A" w14:paraId="0B8098C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BF4B8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w:t>
            </w:r>
          </w:p>
        </w:tc>
        <w:tc>
          <w:tcPr>
            <w:tcW w:w="3634" w:type="dxa"/>
            <w:tcBorders>
              <w:top w:val="nil"/>
              <w:left w:val="nil"/>
              <w:bottom w:val="single" w:sz="4" w:space="0" w:color="auto"/>
              <w:right w:val="single" w:sz="4" w:space="0" w:color="auto"/>
            </w:tcBorders>
            <w:shd w:val="clear" w:color="auto" w:fill="auto"/>
            <w:noWrap/>
            <w:vAlign w:val="bottom"/>
            <w:hideMark/>
          </w:tcPr>
          <w:p w14:paraId="165AF67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Cambridge</w:t>
            </w:r>
          </w:p>
        </w:tc>
        <w:tc>
          <w:tcPr>
            <w:tcW w:w="909" w:type="dxa"/>
            <w:tcBorders>
              <w:top w:val="nil"/>
              <w:left w:val="nil"/>
              <w:bottom w:val="single" w:sz="4" w:space="0" w:color="auto"/>
              <w:right w:val="single" w:sz="4" w:space="0" w:color="auto"/>
            </w:tcBorders>
            <w:shd w:val="clear" w:color="auto" w:fill="auto"/>
            <w:noWrap/>
            <w:vAlign w:val="bottom"/>
            <w:hideMark/>
          </w:tcPr>
          <w:p w14:paraId="3AAEEDA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c>
          <w:tcPr>
            <w:tcW w:w="909" w:type="dxa"/>
            <w:tcBorders>
              <w:top w:val="nil"/>
              <w:left w:val="nil"/>
              <w:bottom w:val="single" w:sz="4" w:space="0" w:color="auto"/>
              <w:right w:val="single" w:sz="4" w:space="0" w:color="auto"/>
            </w:tcBorders>
            <w:shd w:val="clear" w:color="auto" w:fill="auto"/>
            <w:noWrap/>
            <w:vAlign w:val="bottom"/>
            <w:hideMark/>
          </w:tcPr>
          <w:p w14:paraId="63DF199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w:t>
            </w:r>
          </w:p>
        </w:tc>
        <w:tc>
          <w:tcPr>
            <w:tcW w:w="909" w:type="dxa"/>
            <w:tcBorders>
              <w:top w:val="nil"/>
              <w:left w:val="nil"/>
              <w:bottom w:val="single" w:sz="4" w:space="0" w:color="auto"/>
              <w:right w:val="single" w:sz="4" w:space="0" w:color="auto"/>
            </w:tcBorders>
            <w:shd w:val="clear" w:color="auto" w:fill="auto"/>
            <w:noWrap/>
            <w:vAlign w:val="bottom"/>
            <w:hideMark/>
          </w:tcPr>
          <w:p w14:paraId="00E6C45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w:t>
            </w:r>
          </w:p>
        </w:tc>
        <w:tc>
          <w:tcPr>
            <w:tcW w:w="909" w:type="dxa"/>
            <w:tcBorders>
              <w:top w:val="nil"/>
              <w:left w:val="nil"/>
              <w:bottom w:val="single" w:sz="4" w:space="0" w:color="auto"/>
              <w:right w:val="single" w:sz="4" w:space="0" w:color="auto"/>
            </w:tcBorders>
            <w:shd w:val="clear" w:color="auto" w:fill="auto"/>
            <w:noWrap/>
            <w:vAlign w:val="bottom"/>
            <w:hideMark/>
          </w:tcPr>
          <w:p w14:paraId="30067CA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w:t>
            </w:r>
          </w:p>
        </w:tc>
        <w:tc>
          <w:tcPr>
            <w:tcW w:w="909" w:type="dxa"/>
            <w:tcBorders>
              <w:top w:val="nil"/>
              <w:left w:val="nil"/>
              <w:bottom w:val="single" w:sz="4" w:space="0" w:color="auto"/>
              <w:right w:val="single" w:sz="4" w:space="0" w:color="auto"/>
            </w:tcBorders>
            <w:shd w:val="clear" w:color="auto" w:fill="auto"/>
            <w:noWrap/>
            <w:vAlign w:val="bottom"/>
            <w:hideMark/>
          </w:tcPr>
          <w:p w14:paraId="03E88D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w:t>
            </w:r>
          </w:p>
        </w:tc>
      </w:tr>
      <w:tr w:rsidR="00622247" w:rsidRPr="00E9332A" w14:paraId="17FFBB5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F71BA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c>
          <w:tcPr>
            <w:tcW w:w="3634" w:type="dxa"/>
            <w:tcBorders>
              <w:top w:val="nil"/>
              <w:left w:val="nil"/>
              <w:bottom w:val="single" w:sz="4" w:space="0" w:color="auto"/>
              <w:right w:val="single" w:sz="4" w:space="0" w:color="auto"/>
            </w:tcBorders>
            <w:shd w:val="clear" w:color="auto" w:fill="auto"/>
            <w:noWrap/>
            <w:vAlign w:val="bottom"/>
            <w:hideMark/>
          </w:tcPr>
          <w:p w14:paraId="28FBB6A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California Berkeley</w:t>
            </w:r>
          </w:p>
        </w:tc>
        <w:tc>
          <w:tcPr>
            <w:tcW w:w="909" w:type="dxa"/>
            <w:tcBorders>
              <w:top w:val="nil"/>
              <w:left w:val="nil"/>
              <w:bottom w:val="single" w:sz="4" w:space="0" w:color="auto"/>
              <w:right w:val="single" w:sz="4" w:space="0" w:color="auto"/>
            </w:tcBorders>
            <w:shd w:val="clear" w:color="auto" w:fill="auto"/>
            <w:noWrap/>
            <w:vAlign w:val="bottom"/>
            <w:hideMark/>
          </w:tcPr>
          <w:p w14:paraId="5B9A83F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51C6C6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w:t>
            </w:r>
          </w:p>
        </w:tc>
        <w:tc>
          <w:tcPr>
            <w:tcW w:w="909" w:type="dxa"/>
            <w:tcBorders>
              <w:top w:val="nil"/>
              <w:left w:val="nil"/>
              <w:bottom w:val="single" w:sz="4" w:space="0" w:color="auto"/>
              <w:right w:val="single" w:sz="4" w:space="0" w:color="auto"/>
            </w:tcBorders>
            <w:shd w:val="clear" w:color="auto" w:fill="auto"/>
            <w:noWrap/>
            <w:vAlign w:val="bottom"/>
            <w:hideMark/>
          </w:tcPr>
          <w:p w14:paraId="51B40FB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w:t>
            </w:r>
          </w:p>
        </w:tc>
        <w:tc>
          <w:tcPr>
            <w:tcW w:w="909" w:type="dxa"/>
            <w:tcBorders>
              <w:top w:val="nil"/>
              <w:left w:val="nil"/>
              <w:bottom w:val="single" w:sz="4" w:space="0" w:color="auto"/>
              <w:right w:val="single" w:sz="4" w:space="0" w:color="auto"/>
            </w:tcBorders>
            <w:shd w:val="clear" w:color="auto" w:fill="auto"/>
            <w:noWrap/>
            <w:vAlign w:val="bottom"/>
            <w:hideMark/>
          </w:tcPr>
          <w:p w14:paraId="03CB889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27</w:t>
            </w:r>
          </w:p>
        </w:tc>
        <w:tc>
          <w:tcPr>
            <w:tcW w:w="909" w:type="dxa"/>
            <w:tcBorders>
              <w:top w:val="nil"/>
              <w:left w:val="nil"/>
              <w:bottom w:val="single" w:sz="4" w:space="0" w:color="auto"/>
              <w:right w:val="single" w:sz="4" w:space="0" w:color="auto"/>
            </w:tcBorders>
            <w:shd w:val="clear" w:color="auto" w:fill="auto"/>
            <w:noWrap/>
            <w:vAlign w:val="bottom"/>
            <w:hideMark/>
          </w:tcPr>
          <w:p w14:paraId="3244E4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w:t>
            </w:r>
          </w:p>
        </w:tc>
      </w:tr>
      <w:tr w:rsidR="00622247" w:rsidRPr="00E9332A" w14:paraId="6DB775A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C2466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w:t>
            </w:r>
          </w:p>
        </w:tc>
        <w:tc>
          <w:tcPr>
            <w:tcW w:w="3634" w:type="dxa"/>
            <w:tcBorders>
              <w:top w:val="nil"/>
              <w:left w:val="nil"/>
              <w:bottom w:val="single" w:sz="4" w:space="0" w:color="auto"/>
              <w:right w:val="single" w:sz="4" w:space="0" w:color="auto"/>
            </w:tcBorders>
            <w:shd w:val="clear" w:color="auto" w:fill="auto"/>
            <w:noWrap/>
            <w:vAlign w:val="bottom"/>
            <w:hideMark/>
          </w:tcPr>
          <w:p w14:paraId="6013C2C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Columbia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124DCB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909" w:type="dxa"/>
            <w:tcBorders>
              <w:top w:val="nil"/>
              <w:left w:val="nil"/>
              <w:bottom w:val="single" w:sz="4" w:space="0" w:color="auto"/>
              <w:right w:val="single" w:sz="4" w:space="0" w:color="auto"/>
            </w:tcBorders>
            <w:shd w:val="clear" w:color="auto" w:fill="auto"/>
            <w:noWrap/>
            <w:vAlign w:val="bottom"/>
            <w:hideMark/>
          </w:tcPr>
          <w:p w14:paraId="2E34DC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c>
          <w:tcPr>
            <w:tcW w:w="909" w:type="dxa"/>
            <w:tcBorders>
              <w:top w:val="nil"/>
              <w:left w:val="nil"/>
              <w:bottom w:val="single" w:sz="4" w:space="0" w:color="auto"/>
              <w:right w:val="single" w:sz="4" w:space="0" w:color="auto"/>
            </w:tcBorders>
            <w:shd w:val="clear" w:color="auto" w:fill="auto"/>
            <w:noWrap/>
            <w:vAlign w:val="bottom"/>
            <w:hideMark/>
          </w:tcPr>
          <w:p w14:paraId="3D099F3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w:t>
            </w:r>
          </w:p>
        </w:tc>
        <w:tc>
          <w:tcPr>
            <w:tcW w:w="909" w:type="dxa"/>
            <w:tcBorders>
              <w:top w:val="nil"/>
              <w:left w:val="nil"/>
              <w:bottom w:val="single" w:sz="4" w:space="0" w:color="auto"/>
              <w:right w:val="single" w:sz="4" w:space="0" w:color="auto"/>
            </w:tcBorders>
            <w:shd w:val="clear" w:color="auto" w:fill="auto"/>
            <w:noWrap/>
            <w:vAlign w:val="bottom"/>
            <w:hideMark/>
          </w:tcPr>
          <w:p w14:paraId="352CE8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w:t>
            </w:r>
          </w:p>
        </w:tc>
        <w:tc>
          <w:tcPr>
            <w:tcW w:w="909" w:type="dxa"/>
            <w:tcBorders>
              <w:top w:val="nil"/>
              <w:left w:val="nil"/>
              <w:bottom w:val="single" w:sz="4" w:space="0" w:color="auto"/>
              <w:right w:val="single" w:sz="4" w:space="0" w:color="auto"/>
            </w:tcBorders>
            <w:shd w:val="clear" w:color="auto" w:fill="auto"/>
            <w:noWrap/>
            <w:vAlign w:val="bottom"/>
            <w:hideMark/>
          </w:tcPr>
          <w:p w14:paraId="16D7BE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r>
      <w:tr w:rsidR="00622247" w:rsidRPr="00E9332A" w14:paraId="0CA7B03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2A71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w:t>
            </w:r>
          </w:p>
        </w:tc>
        <w:tc>
          <w:tcPr>
            <w:tcW w:w="3634" w:type="dxa"/>
            <w:tcBorders>
              <w:top w:val="nil"/>
              <w:left w:val="nil"/>
              <w:bottom w:val="single" w:sz="4" w:space="0" w:color="auto"/>
              <w:right w:val="single" w:sz="4" w:space="0" w:color="auto"/>
            </w:tcBorders>
            <w:shd w:val="clear" w:color="auto" w:fill="auto"/>
            <w:noWrap/>
            <w:vAlign w:val="bottom"/>
            <w:hideMark/>
          </w:tcPr>
          <w:p w14:paraId="214B34C8"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Yale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D34A1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c>
          <w:tcPr>
            <w:tcW w:w="909" w:type="dxa"/>
            <w:tcBorders>
              <w:top w:val="nil"/>
              <w:left w:val="nil"/>
              <w:bottom w:val="single" w:sz="4" w:space="0" w:color="auto"/>
              <w:right w:val="single" w:sz="4" w:space="0" w:color="auto"/>
            </w:tcBorders>
            <w:shd w:val="clear" w:color="auto" w:fill="auto"/>
            <w:noWrap/>
            <w:vAlign w:val="bottom"/>
            <w:hideMark/>
          </w:tcPr>
          <w:p w14:paraId="4716BCA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c>
          <w:tcPr>
            <w:tcW w:w="909" w:type="dxa"/>
            <w:tcBorders>
              <w:top w:val="nil"/>
              <w:left w:val="nil"/>
              <w:bottom w:val="single" w:sz="4" w:space="0" w:color="auto"/>
              <w:right w:val="single" w:sz="4" w:space="0" w:color="auto"/>
            </w:tcBorders>
            <w:shd w:val="clear" w:color="auto" w:fill="auto"/>
            <w:noWrap/>
            <w:vAlign w:val="bottom"/>
            <w:hideMark/>
          </w:tcPr>
          <w:p w14:paraId="4E50B6C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c>
          <w:tcPr>
            <w:tcW w:w="909" w:type="dxa"/>
            <w:tcBorders>
              <w:top w:val="nil"/>
              <w:left w:val="nil"/>
              <w:bottom w:val="single" w:sz="4" w:space="0" w:color="auto"/>
              <w:right w:val="single" w:sz="4" w:space="0" w:color="auto"/>
            </w:tcBorders>
            <w:shd w:val="clear" w:color="auto" w:fill="auto"/>
            <w:noWrap/>
            <w:vAlign w:val="bottom"/>
            <w:hideMark/>
          </w:tcPr>
          <w:p w14:paraId="097FBA4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w:t>
            </w:r>
          </w:p>
        </w:tc>
        <w:tc>
          <w:tcPr>
            <w:tcW w:w="909" w:type="dxa"/>
            <w:tcBorders>
              <w:top w:val="nil"/>
              <w:left w:val="nil"/>
              <w:bottom w:val="single" w:sz="4" w:space="0" w:color="auto"/>
              <w:right w:val="single" w:sz="4" w:space="0" w:color="auto"/>
            </w:tcBorders>
            <w:shd w:val="clear" w:color="auto" w:fill="auto"/>
            <w:noWrap/>
            <w:vAlign w:val="bottom"/>
            <w:hideMark/>
          </w:tcPr>
          <w:p w14:paraId="041AA1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w:t>
            </w:r>
          </w:p>
        </w:tc>
      </w:tr>
      <w:tr w:rsidR="00622247" w:rsidRPr="00E9332A" w14:paraId="48D3168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8211EA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c>
          <w:tcPr>
            <w:tcW w:w="3634" w:type="dxa"/>
            <w:tcBorders>
              <w:top w:val="nil"/>
              <w:left w:val="nil"/>
              <w:bottom w:val="single" w:sz="4" w:space="0" w:color="auto"/>
              <w:right w:val="single" w:sz="4" w:space="0" w:color="auto"/>
            </w:tcBorders>
            <w:shd w:val="clear" w:color="auto" w:fill="auto"/>
            <w:noWrap/>
            <w:vAlign w:val="bottom"/>
            <w:hideMark/>
          </w:tcPr>
          <w:p w14:paraId="49A0D3B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Pennsylvania</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39E7DDE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c>
          <w:tcPr>
            <w:tcW w:w="909" w:type="dxa"/>
            <w:tcBorders>
              <w:top w:val="nil"/>
              <w:left w:val="nil"/>
              <w:bottom w:val="single" w:sz="4" w:space="0" w:color="auto"/>
              <w:right w:val="single" w:sz="4" w:space="0" w:color="auto"/>
            </w:tcBorders>
            <w:shd w:val="clear" w:color="auto" w:fill="auto"/>
            <w:noWrap/>
            <w:vAlign w:val="bottom"/>
            <w:hideMark/>
          </w:tcPr>
          <w:p w14:paraId="0F39353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w:t>
            </w:r>
          </w:p>
        </w:tc>
        <w:tc>
          <w:tcPr>
            <w:tcW w:w="909" w:type="dxa"/>
            <w:tcBorders>
              <w:top w:val="nil"/>
              <w:left w:val="nil"/>
              <w:bottom w:val="single" w:sz="4" w:space="0" w:color="auto"/>
              <w:right w:val="single" w:sz="4" w:space="0" w:color="auto"/>
            </w:tcBorders>
            <w:shd w:val="clear" w:color="auto" w:fill="auto"/>
            <w:noWrap/>
            <w:vAlign w:val="bottom"/>
            <w:hideMark/>
          </w:tcPr>
          <w:p w14:paraId="20BA9B2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w:t>
            </w:r>
          </w:p>
        </w:tc>
        <w:tc>
          <w:tcPr>
            <w:tcW w:w="909" w:type="dxa"/>
            <w:tcBorders>
              <w:top w:val="nil"/>
              <w:left w:val="nil"/>
              <w:bottom w:val="single" w:sz="4" w:space="0" w:color="auto"/>
              <w:right w:val="single" w:sz="4" w:space="0" w:color="auto"/>
            </w:tcBorders>
            <w:shd w:val="clear" w:color="auto" w:fill="auto"/>
            <w:noWrap/>
            <w:vAlign w:val="bottom"/>
            <w:hideMark/>
          </w:tcPr>
          <w:p w14:paraId="31DFE9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w:t>
            </w:r>
          </w:p>
        </w:tc>
        <w:tc>
          <w:tcPr>
            <w:tcW w:w="909" w:type="dxa"/>
            <w:tcBorders>
              <w:top w:val="nil"/>
              <w:left w:val="nil"/>
              <w:bottom w:val="single" w:sz="4" w:space="0" w:color="auto"/>
              <w:right w:val="single" w:sz="4" w:space="0" w:color="auto"/>
            </w:tcBorders>
            <w:shd w:val="clear" w:color="auto" w:fill="auto"/>
            <w:noWrap/>
            <w:vAlign w:val="bottom"/>
            <w:hideMark/>
          </w:tcPr>
          <w:p w14:paraId="76056A7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r>
      <w:tr w:rsidR="00622247" w:rsidRPr="00E9332A" w14:paraId="031916A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51305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c>
          <w:tcPr>
            <w:tcW w:w="3634" w:type="dxa"/>
            <w:tcBorders>
              <w:top w:val="nil"/>
              <w:left w:val="nil"/>
              <w:bottom w:val="single" w:sz="4" w:space="0" w:color="auto"/>
              <w:right w:val="single" w:sz="4" w:space="0" w:color="auto"/>
            </w:tcBorders>
            <w:shd w:val="clear" w:color="auto" w:fill="auto"/>
            <w:noWrap/>
            <w:vAlign w:val="bottom"/>
            <w:hideMark/>
          </w:tcPr>
          <w:p w14:paraId="25BECB1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Princeton</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2381F7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55</w:t>
            </w:r>
          </w:p>
        </w:tc>
        <w:tc>
          <w:tcPr>
            <w:tcW w:w="909" w:type="dxa"/>
            <w:tcBorders>
              <w:top w:val="nil"/>
              <w:left w:val="nil"/>
              <w:bottom w:val="single" w:sz="4" w:space="0" w:color="auto"/>
              <w:right w:val="single" w:sz="4" w:space="0" w:color="auto"/>
            </w:tcBorders>
            <w:shd w:val="clear" w:color="auto" w:fill="auto"/>
            <w:noWrap/>
            <w:vAlign w:val="bottom"/>
            <w:hideMark/>
          </w:tcPr>
          <w:p w14:paraId="4C08F07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w:t>
            </w:r>
          </w:p>
        </w:tc>
        <w:tc>
          <w:tcPr>
            <w:tcW w:w="909" w:type="dxa"/>
            <w:tcBorders>
              <w:top w:val="nil"/>
              <w:left w:val="nil"/>
              <w:bottom w:val="single" w:sz="4" w:space="0" w:color="auto"/>
              <w:right w:val="single" w:sz="4" w:space="0" w:color="auto"/>
            </w:tcBorders>
            <w:shd w:val="clear" w:color="auto" w:fill="auto"/>
            <w:noWrap/>
            <w:vAlign w:val="bottom"/>
            <w:hideMark/>
          </w:tcPr>
          <w:p w14:paraId="0DFDB59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c>
          <w:tcPr>
            <w:tcW w:w="909" w:type="dxa"/>
            <w:tcBorders>
              <w:top w:val="nil"/>
              <w:left w:val="nil"/>
              <w:bottom w:val="single" w:sz="4" w:space="0" w:color="auto"/>
              <w:right w:val="single" w:sz="4" w:space="0" w:color="auto"/>
            </w:tcBorders>
            <w:shd w:val="clear" w:color="auto" w:fill="auto"/>
            <w:noWrap/>
            <w:vAlign w:val="bottom"/>
            <w:hideMark/>
          </w:tcPr>
          <w:p w14:paraId="592B0ED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c>
          <w:tcPr>
            <w:tcW w:w="909" w:type="dxa"/>
            <w:tcBorders>
              <w:top w:val="nil"/>
              <w:left w:val="nil"/>
              <w:bottom w:val="single" w:sz="4" w:space="0" w:color="auto"/>
              <w:right w:val="single" w:sz="4" w:space="0" w:color="auto"/>
            </w:tcBorders>
            <w:shd w:val="clear" w:color="auto" w:fill="auto"/>
            <w:noWrap/>
            <w:vAlign w:val="bottom"/>
            <w:hideMark/>
          </w:tcPr>
          <w:p w14:paraId="63E5D4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r>
      <w:tr w:rsidR="00622247" w:rsidRPr="00E9332A" w14:paraId="68D94C5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48597F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c>
          <w:tcPr>
            <w:tcW w:w="3634" w:type="dxa"/>
            <w:tcBorders>
              <w:top w:val="nil"/>
              <w:left w:val="nil"/>
              <w:bottom w:val="single" w:sz="4" w:space="0" w:color="auto"/>
              <w:right w:val="single" w:sz="4" w:space="0" w:color="auto"/>
            </w:tcBorders>
            <w:shd w:val="clear" w:color="auto" w:fill="auto"/>
            <w:noWrap/>
            <w:vAlign w:val="bottom"/>
            <w:hideMark/>
          </w:tcPr>
          <w:p w14:paraId="4423E68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Cornell</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04EB28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c>
          <w:tcPr>
            <w:tcW w:w="909" w:type="dxa"/>
            <w:tcBorders>
              <w:top w:val="nil"/>
              <w:left w:val="nil"/>
              <w:bottom w:val="single" w:sz="4" w:space="0" w:color="auto"/>
              <w:right w:val="single" w:sz="4" w:space="0" w:color="auto"/>
            </w:tcBorders>
            <w:shd w:val="clear" w:color="auto" w:fill="auto"/>
            <w:noWrap/>
            <w:vAlign w:val="bottom"/>
            <w:hideMark/>
          </w:tcPr>
          <w:p w14:paraId="562328A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w:t>
            </w:r>
          </w:p>
        </w:tc>
        <w:tc>
          <w:tcPr>
            <w:tcW w:w="909" w:type="dxa"/>
            <w:tcBorders>
              <w:top w:val="nil"/>
              <w:left w:val="nil"/>
              <w:bottom w:val="single" w:sz="4" w:space="0" w:color="auto"/>
              <w:right w:val="single" w:sz="4" w:space="0" w:color="auto"/>
            </w:tcBorders>
            <w:shd w:val="clear" w:color="auto" w:fill="auto"/>
            <w:noWrap/>
            <w:vAlign w:val="bottom"/>
            <w:hideMark/>
          </w:tcPr>
          <w:p w14:paraId="1DDB591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w:t>
            </w:r>
          </w:p>
        </w:tc>
        <w:tc>
          <w:tcPr>
            <w:tcW w:w="909" w:type="dxa"/>
            <w:tcBorders>
              <w:top w:val="nil"/>
              <w:left w:val="nil"/>
              <w:bottom w:val="single" w:sz="4" w:space="0" w:color="auto"/>
              <w:right w:val="single" w:sz="4" w:space="0" w:color="auto"/>
            </w:tcBorders>
            <w:shd w:val="clear" w:color="auto" w:fill="auto"/>
            <w:noWrap/>
            <w:vAlign w:val="bottom"/>
            <w:hideMark/>
          </w:tcPr>
          <w:p w14:paraId="02F4EF8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w:t>
            </w:r>
          </w:p>
        </w:tc>
        <w:tc>
          <w:tcPr>
            <w:tcW w:w="909" w:type="dxa"/>
            <w:tcBorders>
              <w:top w:val="nil"/>
              <w:left w:val="nil"/>
              <w:bottom w:val="single" w:sz="4" w:space="0" w:color="auto"/>
              <w:right w:val="single" w:sz="4" w:space="0" w:color="auto"/>
            </w:tcBorders>
            <w:shd w:val="clear" w:color="auto" w:fill="auto"/>
            <w:noWrap/>
            <w:vAlign w:val="bottom"/>
            <w:hideMark/>
          </w:tcPr>
          <w:p w14:paraId="09965F7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w:t>
            </w:r>
          </w:p>
        </w:tc>
      </w:tr>
      <w:tr w:rsidR="00622247" w:rsidRPr="00E9332A" w14:paraId="09CD40C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353B7C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w:t>
            </w:r>
          </w:p>
        </w:tc>
        <w:tc>
          <w:tcPr>
            <w:tcW w:w="3634" w:type="dxa"/>
            <w:tcBorders>
              <w:top w:val="nil"/>
              <w:left w:val="nil"/>
              <w:bottom w:val="single" w:sz="4" w:space="0" w:color="auto"/>
              <w:right w:val="single" w:sz="4" w:space="0" w:color="auto"/>
            </w:tcBorders>
            <w:shd w:val="clear" w:color="auto" w:fill="auto"/>
            <w:noWrap/>
            <w:vAlign w:val="bottom"/>
            <w:hideMark/>
          </w:tcPr>
          <w:p w14:paraId="6DBF72E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Chicago</w:t>
            </w:r>
          </w:p>
        </w:tc>
        <w:tc>
          <w:tcPr>
            <w:tcW w:w="909" w:type="dxa"/>
            <w:tcBorders>
              <w:top w:val="nil"/>
              <w:left w:val="nil"/>
              <w:bottom w:val="single" w:sz="4" w:space="0" w:color="auto"/>
              <w:right w:val="single" w:sz="4" w:space="0" w:color="auto"/>
            </w:tcBorders>
            <w:shd w:val="clear" w:color="auto" w:fill="auto"/>
            <w:noWrap/>
            <w:vAlign w:val="bottom"/>
            <w:hideMark/>
          </w:tcPr>
          <w:p w14:paraId="64A8587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c>
          <w:tcPr>
            <w:tcW w:w="909" w:type="dxa"/>
            <w:tcBorders>
              <w:top w:val="nil"/>
              <w:left w:val="nil"/>
              <w:bottom w:val="single" w:sz="4" w:space="0" w:color="auto"/>
              <w:right w:val="single" w:sz="4" w:space="0" w:color="auto"/>
            </w:tcBorders>
            <w:shd w:val="clear" w:color="auto" w:fill="auto"/>
            <w:noWrap/>
            <w:vAlign w:val="bottom"/>
            <w:hideMark/>
          </w:tcPr>
          <w:p w14:paraId="2955D45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w:t>
            </w:r>
          </w:p>
        </w:tc>
        <w:tc>
          <w:tcPr>
            <w:tcW w:w="909" w:type="dxa"/>
            <w:tcBorders>
              <w:top w:val="nil"/>
              <w:left w:val="nil"/>
              <w:bottom w:val="single" w:sz="4" w:space="0" w:color="auto"/>
              <w:right w:val="single" w:sz="4" w:space="0" w:color="auto"/>
            </w:tcBorders>
            <w:shd w:val="clear" w:color="auto" w:fill="auto"/>
            <w:noWrap/>
            <w:vAlign w:val="bottom"/>
            <w:hideMark/>
          </w:tcPr>
          <w:p w14:paraId="5CC11AE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c>
          <w:tcPr>
            <w:tcW w:w="909" w:type="dxa"/>
            <w:tcBorders>
              <w:top w:val="nil"/>
              <w:left w:val="nil"/>
              <w:bottom w:val="single" w:sz="4" w:space="0" w:color="auto"/>
              <w:right w:val="single" w:sz="4" w:space="0" w:color="auto"/>
            </w:tcBorders>
            <w:shd w:val="clear" w:color="auto" w:fill="auto"/>
            <w:noWrap/>
            <w:vAlign w:val="bottom"/>
            <w:hideMark/>
          </w:tcPr>
          <w:p w14:paraId="7730DF7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c>
          <w:tcPr>
            <w:tcW w:w="909" w:type="dxa"/>
            <w:tcBorders>
              <w:top w:val="nil"/>
              <w:left w:val="nil"/>
              <w:bottom w:val="single" w:sz="4" w:space="0" w:color="auto"/>
              <w:right w:val="single" w:sz="4" w:space="0" w:color="auto"/>
            </w:tcBorders>
            <w:shd w:val="clear" w:color="auto" w:fill="auto"/>
            <w:noWrap/>
            <w:vAlign w:val="bottom"/>
            <w:hideMark/>
          </w:tcPr>
          <w:p w14:paraId="28F994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29</w:t>
            </w:r>
          </w:p>
        </w:tc>
      </w:tr>
      <w:tr w:rsidR="00622247" w:rsidRPr="00E9332A" w14:paraId="6358897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23AEBC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w:t>
            </w:r>
          </w:p>
        </w:tc>
        <w:tc>
          <w:tcPr>
            <w:tcW w:w="3634" w:type="dxa"/>
            <w:tcBorders>
              <w:top w:val="nil"/>
              <w:left w:val="nil"/>
              <w:bottom w:val="single" w:sz="4" w:space="0" w:color="auto"/>
              <w:right w:val="single" w:sz="4" w:space="0" w:color="auto"/>
            </w:tcBorders>
            <w:shd w:val="clear" w:color="auto" w:fill="auto"/>
            <w:noWrap/>
            <w:vAlign w:val="bottom"/>
            <w:hideMark/>
          </w:tcPr>
          <w:p w14:paraId="497346A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Johns</w:t>
            </w:r>
            <w:proofErr w:type="spellEnd"/>
            <w:r w:rsidRPr="00622247">
              <w:rPr>
                <w:rFonts w:eastAsia="Times New Roman" w:cs="Arial"/>
                <w:color w:val="000000"/>
                <w:sz w:val="18"/>
                <w:szCs w:val="18"/>
                <w:lang w:eastAsia="pl-PL"/>
              </w:rPr>
              <w:t xml:space="preserve"> Hopkins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66AFC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c>
          <w:tcPr>
            <w:tcW w:w="909" w:type="dxa"/>
            <w:tcBorders>
              <w:top w:val="nil"/>
              <w:left w:val="nil"/>
              <w:bottom w:val="single" w:sz="4" w:space="0" w:color="auto"/>
              <w:right w:val="single" w:sz="4" w:space="0" w:color="auto"/>
            </w:tcBorders>
            <w:shd w:val="clear" w:color="auto" w:fill="auto"/>
            <w:noWrap/>
            <w:vAlign w:val="bottom"/>
            <w:hideMark/>
          </w:tcPr>
          <w:p w14:paraId="3156D74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w:t>
            </w:r>
          </w:p>
        </w:tc>
        <w:tc>
          <w:tcPr>
            <w:tcW w:w="909" w:type="dxa"/>
            <w:tcBorders>
              <w:top w:val="nil"/>
              <w:left w:val="nil"/>
              <w:bottom w:val="single" w:sz="4" w:space="0" w:color="auto"/>
              <w:right w:val="single" w:sz="4" w:space="0" w:color="auto"/>
            </w:tcBorders>
            <w:shd w:val="clear" w:color="auto" w:fill="auto"/>
            <w:noWrap/>
            <w:vAlign w:val="bottom"/>
            <w:hideMark/>
          </w:tcPr>
          <w:p w14:paraId="6B8C8F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w:t>
            </w:r>
          </w:p>
        </w:tc>
        <w:tc>
          <w:tcPr>
            <w:tcW w:w="909" w:type="dxa"/>
            <w:tcBorders>
              <w:top w:val="nil"/>
              <w:left w:val="nil"/>
              <w:bottom w:val="single" w:sz="4" w:space="0" w:color="auto"/>
              <w:right w:val="single" w:sz="4" w:space="0" w:color="auto"/>
            </w:tcBorders>
            <w:shd w:val="clear" w:color="auto" w:fill="auto"/>
            <w:noWrap/>
            <w:vAlign w:val="bottom"/>
            <w:hideMark/>
          </w:tcPr>
          <w:p w14:paraId="0A6E39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24</w:t>
            </w:r>
          </w:p>
        </w:tc>
        <w:tc>
          <w:tcPr>
            <w:tcW w:w="909" w:type="dxa"/>
            <w:tcBorders>
              <w:top w:val="nil"/>
              <w:left w:val="nil"/>
              <w:bottom w:val="single" w:sz="4" w:space="0" w:color="auto"/>
              <w:right w:val="single" w:sz="4" w:space="0" w:color="auto"/>
            </w:tcBorders>
            <w:shd w:val="clear" w:color="auto" w:fill="auto"/>
            <w:noWrap/>
            <w:vAlign w:val="bottom"/>
            <w:hideMark/>
          </w:tcPr>
          <w:p w14:paraId="41B1F6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r>
      <w:tr w:rsidR="00622247" w:rsidRPr="00E9332A" w14:paraId="677B004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69DE2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w:t>
            </w:r>
          </w:p>
        </w:tc>
        <w:tc>
          <w:tcPr>
            <w:tcW w:w="3634" w:type="dxa"/>
            <w:tcBorders>
              <w:top w:val="nil"/>
              <w:left w:val="nil"/>
              <w:bottom w:val="single" w:sz="4" w:space="0" w:color="auto"/>
              <w:right w:val="single" w:sz="4" w:space="0" w:color="auto"/>
            </w:tcBorders>
            <w:shd w:val="clear" w:color="auto" w:fill="auto"/>
            <w:noWrap/>
            <w:vAlign w:val="bottom"/>
            <w:hideMark/>
          </w:tcPr>
          <w:p w14:paraId="020F231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UCL University College London</w:t>
            </w:r>
          </w:p>
        </w:tc>
        <w:tc>
          <w:tcPr>
            <w:tcW w:w="909" w:type="dxa"/>
            <w:tcBorders>
              <w:top w:val="nil"/>
              <w:left w:val="nil"/>
              <w:bottom w:val="single" w:sz="4" w:space="0" w:color="auto"/>
              <w:right w:val="single" w:sz="4" w:space="0" w:color="auto"/>
            </w:tcBorders>
            <w:shd w:val="clear" w:color="auto" w:fill="auto"/>
            <w:noWrap/>
            <w:vAlign w:val="bottom"/>
            <w:hideMark/>
          </w:tcPr>
          <w:p w14:paraId="19C2851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c>
          <w:tcPr>
            <w:tcW w:w="909" w:type="dxa"/>
            <w:tcBorders>
              <w:top w:val="nil"/>
              <w:left w:val="nil"/>
              <w:bottom w:val="single" w:sz="4" w:space="0" w:color="auto"/>
              <w:right w:val="single" w:sz="4" w:space="0" w:color="auto"/>
            </w:tcBorders>
            <w:shd w:val="clear" w:color="auto" w:fill="auto"/>
            <w:noWrap/>
            <w:vAlign w:val="bottom"/>
            <w:hideMark/>
          </w:tcPr>
          <w:p w14:paraId="5679C69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w:t>
            </w:r>
          </w:p>
        </w:tc>
        <w:tc>
          <w:tcPr>
            <w:tcW w:w="909" w:type="dxa"/>
            <w:tcBorders>
              <w:top w:val="nil"/>
              <w:left w:val="nil"/>
              <w:bottom w:val="single" w:sz="4" w:space="0" w:color="auto"/>
              <w:right w:val="single" w:sz="4" w:space="0" w:color="auto"/>
            </w:tcBorders>
            <w:shd w:val="clear" w:color="auto" w:fill="auto"/>
            <w:noWrap/>
            <w:vAlign w:val="bottom"/>
            <w:hideMark/>
          </w:tcPr>
          <w:p w14:paraId="18C44E8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w:t>
            </w:r>
          </w:p>
        </w:tc>
        <w:tc>
          <w:tcPr>
            <w:tcW w:w="909" w:type="dxa"/>
            <w:tcBorders>
              <w:top w:val="nil"/>
              <w:left w:val="nil"/>
              <w:bottom w:val="single" w:sz="4" w:space="0" w:color="auto"/>
              <w:right w:val="single" w:sz="4" w:space="0" w:color="auto"/>
            </w:tcBorders>
            <w:shd w:val="clear" w:color="auto" w:fill="auto"/>
            <w:noWrap/>
            <w:vAlign w:val="bottom"/>
            <w:hideMark/>
          </w:tcPr>
          <w:p w14:paraId="3E06137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w:t>
            </w:r>
          </w:p>
        </w:tc>
        <w:tc>
          <w:tcPr>
            <w:tcW w:w="909" w:type="dxa"/>
            <w:tcBorders>
              <w:top w:val="nil"/>
              <w:left w:val="nil"/>
              <w:bottom w:val="single" w:sz="4" w:space="0" w:color="auto"/>
              <w:right w:val="single" w:sz="4" w:space="0" w:color="auto"/>
            </w:tcBorders>
            <w:shd w:val="clear" w:color="auto" w:fill="auto"/>
            <w:noWrap/>
            <w:vAlign w:val="bottom"/>
            <w:hideMark/>
          </w:tcPr>
          <w:p w14:paraId="0A25CEC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w:t>
            </w:r>
          </w:p>
        </w:tc>
      </w:tr>
      <w:tr w:rsidR="00622247" w:rsidRPr="00E9332A" w14:paraId="4733324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4C7CA3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w:t>
            </w:r>
          </w:p>
        </w:tc>
        <w:tc>
          <w:tcPr>
            <w:tcW w:w="3634" w:type="dxa"/>
            <w:tcBorders>
              <w:top w:val="nil"/>
              <w:left w:val="nil"/>
              <w:bottom w:val="single" w:sz="4" w:space="0" w:color="auto"/>
              <w:right w:val="single" w:sz="4" w:space="0" w:color="auto"/>
            </w:tcBorders>
            <w:shd w:val="clear" w:color="auto" w:fill="auto"/>
            <w:noWrap/>
            <w:vAlign w:val="bottom"/>
            <w:hideMark/>
          </w:tcPr>
          <w:p w14:paraId="2FA6637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ETH Zurich</w:t>
            </w:r>
          </w:p>
        </w:tc>
        <w:tc>
          <w:tcPr>
            <w:tcW w:w="909" w:type="dxa"/>
            <w:tcBorders>
              <w:top w:val="nil"/>
              <w:left w:val="nil"/>
              <w:bottom w:val="single" w:sz="4" w:space="0" w:color="auto"/>
              <w:right w:val="single" w:sz="4" w:space="0" w:color="auto"/>
            </w:tcBorders>
            <w:shd w:val="clear" w:color="auto" w:fill="auto"/>
            <w:noWrap/>
            <w:vAlign w:val="bottom"/>
            <w:hideMark/>
          </w:tcPr>
          <w:p w14:paraId="1D41EB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c>
          <w:tcPr>
            <w:tcW w:w="909" w:type="dxa"/>
            <w:tcBorders>
              <w:top w:val="nil"/>
              <w:left w:val="nil"/>
              <w:bottom w:val="single" w:sz="4" w:space="0" w:color="auto"/>
              <w:right w:val="single" w:sz="4" w:space="0" w:color="auto"/>
            </w:tcBorders>
            <w:shd w:val="clear" w:color="auto" w:fill="auto"/>
            <w:noWrap/>
            <w:vAlign w:val="bottom"/>
            <w:hideMark/>
          </w:tcPr>
          <w:p w14:paraId="04FFD3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c>
          <w:tcPr>
            <w:tcW w:w="909" w:type="dxa"/>
            <w:tcBorders>
              <w:top w:val="nil"/>
              <w:left w:val="nil"/>
              <w:bottom w:val="single" w:sz="4" w:space="0" w:color="auto"/>
              <w:right w:val="single" w:sz="4" w:space="0" w:color="auto"/>
            </w:tcBorders>
            <w:shd w:val="clear" w:color="auto" w:fill="auto"/>
            <w:noWrap/>
            <w:vAlign w:val="bottom"/>
            <w:hideMark/>
          </w:tcPr>
          <w:p w14:paraId="6569EE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w:t>
            </w:r>
          </w:p>
        </w:tc>
        <w:tc>
          <w:tcPr>
            <w:tcW w:w="909" w:type="dxa"/>
            <w:tcBorders>
              <w:top w:val="nil"/>
              <w:left w:val="nil"/>
              <w:bottom w:val="single" w:sz="4" w:space="0" w:color="auto"/>
              <w:right w:val="single" w:sz="4" w:space="0" w:color="auto"/>
            </w:tcBorders>
            <w:shd w:val="clear" w:color="auto" w:fill="auto"/>
            <w:noWrap/>
            <w:vAlign w:val="bottom"/>
            <w:hideMark/>
          </w:tcPr>
          <w:p w14:paraId="2BFBB1E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c>
          <w:tcPr>
            <w:tcW w:w="909" w:type="dxa"/>
            <w:tcBorders>
              <w:top w:val="nil"/>
              <w:left w:val="nil"/>
              <w:bottom w:val="single" w:sz="4" w:space="0" w:color="auto"/>
              <w:right w:val="single" w:sz="4" w:space="0" w:color="auto"/>
            </w:tcBorders>
            <w:shd w:val="clear" w:color="auto" w:fill="auto"/>
            <w:noWrap/>
            <w:vAlign w:val="bottom"/>
            <w:hideMark/>
          </w:tcPr>
          <w:p w14:paraId="71E3B21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w:t>
            </w:r>
          </w:p>
        </w:tc>
      </w:tr>
      <w:tr w:rsidR="00622247" w:rsidRPr="00E9332A" w14:paraId="55EB304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21BE0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c>
          <w:tcPr>
            <w:tcW w:w="3634" w:type="dxa"/>
            <w:tcBorders>
              <w:top w:val="nil"/>
              <w:left w:val="nil"/>
              <w:bottom w:val="single" w:sz="4" w:space="0" w:color="auto"/>
              <w:right w:val="single" w:sz="4" w:space="0" w:color="auto"/>
            </w:tcBorders>
            <w:shd w:val="clear" w:color="auto" w:fill="auto"/>
            <w:noWrap/>
            <w:vAlign w:val="bottom"/>
            <w:hideMark/>
          </w:tcPr>
          <w:p w14:paraId="526E1C0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Imperial College London</w:t>
            </w:r>
          </w:p>
        </w:tc>
        <w:tc>
          <w:tcPr>
            <w:tcW w:w="909" w:type="dxa"/>
            <w:tcBorders>
              <w:top w:val="nil"/>
              <w:left w:val="nil"/>
              <w:bottom w:val="single" w:sz="4" w:space="0" w:color="auto"/>
              <w:right w:val="single" w:sz="4" w:space="0" w:color="auto"/>
            </w:tcBorders>
            <w:shd w:val="clear" w:color="auto" w:fill="auto"/>
            <w:noWrap/>
            <w:vAlign w:val="bottom"/>
            <w:hideMark/>
          </w:tcPr>
          <w:p w14:paraId="6536D85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c>
          <w:tcPr>
            <w:tcW w:w="909" w:type="dxa"/>
            <w:tcBorders>
              <w:top w:val="nil"/>
              <w:left w:val="nil"/>
              <w:bottom w:val="single" w:sz="4" w:space="0" w:color="auto"/>
              <w:right w:val="single" w:sz="4" w:space="0" w:color="auto"/>
            </w:tcBorders>
            <w:shd w:val="clear" w:color="auto" w:fill="auto"/>
            <w:noWrap/>
            <w:vAlign w:val="bottom"/>
            <w:hideMark/>
          </w:tcPr>
          <w:p w14:paraId="0416759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w:t>
            </w:r>
          </w:p>
        </w:tc>
        <w:tc>
          <w:tcPr>
            <w:tcW w:w="909" w:type="dxa"/>
            <w:tcBorders>
              <w:top w:val="nil"/>
              <w:left w:val="nil"/>
              <w:bottom w:val="single" w:sz="4" w:space="0" w:color="auto"/>
              <w:right w:val="single" w:sz="4" w:space="0" w:color="auto"/>
            </w:tcBorders>
            <w:shd w:val="clear" w:color="auto" w:fill="auto"/>
            <w:noWrap/>
            <w:vAlign w:val="bottom"/>
            <w:hideMark/>
          </w:tcPr>
          <w:p w14:paraId="6CAA28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w:t>
            </w:r>
          </w:p>
        </w:tc>
        <w:tc>
          <w:tcPr>
            <w:tcW w:w="909" w:type="dxa"/>
            <w:tcBorders>
              <w:top w:val="nil"/>
              <w:left w:val="nil"/>
              <w:bottom w:val="single" w:sz="4" w:space="0" w:color="auto"/>
              <w:right w:val="single" w:sz="4" w:space="0" w:color="auto"/>
            </w:tcBorders>
            <w:shd w:val="clear" w:color="auto" w:fill="auto"/>
            <w:noWrap/>
            <w:vAlign w:val="bottom"/>
            <w:hideMark/>
          </w:tcPr>
          <w:p w14:paraId="56F1DF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c>
          <w:tcPr>
            <w:tcW w:w="909" w:type="dxa"/>
            <w:tcBorders>
              <w:top w:val="nil"/>
              <w:left w:val="nil"/>
              <w:bottom w:val="single" w:sz="4" w:space="0" w:color="auto"/>
              <w:right w:val="single" w:sz="4" w:space="0" w:color="auto"/>
            </w:tcBorders>
            <w:shd w:val="clear" w:color="auto" w:fill="auto"/>
            <w:noWrap/>
            <w:vAlign w:val="bottom"/>
            <w:hideMark/>
          </w:tcPr>
          <w:p w14:paraId="180D6B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35</w:t>
            </w:r>
          </w:p>
        </w:tc>
      </w:tr>
      <w:tr w:rsidR="00622247" w:rsidRPr="00E9332A" w14:paraId="08D65F1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AA85F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w:t>
            </w:r>
          </w:p>
        </w:tc>
        <w:tc>
          <w:tcPr>
            <w:tcW w:w="3634" w:type="dxa"/>
            <w:tcBorders>
              <w:top w:val="nil"/>
              <w:left w:val="nil"/>
              <w:bottom w:val="single" w:sz="4" w:space="0" w:color="auto"/>
              <w:right w:val="single" w:sz="4" w:space="0" w:color="auto"/>
            </w:tcBorders>
            <w:shd w:val="clear" w:color="auto" w:fill="auto"/>
            <w:noWrap/>
            <w:vAlign w:val="bottom"/>
            <w:hideMark/>
          </w:tcPr>
          <w:p w14:paraId="686B2CB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California </w:t>
            </w:r>
            <w:proofErr w:type="spellStart"/>
            <w:r w:rsidRPr="00622247">
              <w:rPr>
                <w:rFonts w:eastAsia="Times New Roman" w:cs="Arial"/>
                <w:color w:val="000000"/>
                <w:sz w:val="18"/>
                <w:szCs w:val="18"/>
                <w:lang w:eastAsia="pl-PL"/>
              </w:rPr>
              <w:t>Institute</w:t>
            </w:r>
            <w:proofErr w:type="spellEnd"/>
            <w:r w:rsidRPr="00622247">
              <w:rPr>
                <w:rFonts w:eastAsia="Times New Roman" w:cs="Arial"/>
                <w:color w:val="000000"/>
                <w:sz w:val="18"/>
                <w:szCs w:val="18"/>
                <w:lang w:eastAsia="pl-PL"/>
              </w:rPr>
              <w:t xml:space="preserve">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729E48A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c>
          <w:tcPr>
            <w:tcW w:w="909" w:type="dxa"/>
            <w:tcBorders>
              <w:top w:val="nil"/>
              <w:left w:val="nil"/>
              <w:bottom w:val="single" w:sz="4" w:space="0" w:color="auto"/>
              <w:right w:val="single" w:sz="4" w:space="0" w:color="auto"/>
            </w:tcBorders>
            <w:shd w:val="clear" w:color="auto" w:fill="auto"/>
            <w:noWrap/>
            <w:vAlign w:val="bottom"/>
            <w:hideMark/>
          </w:tcPr>
          <w:p w14:paraId="3D56446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c>
          <w:tcPr>
            <w:tcW w:w="909" w:type="dxa"/>
            <w:tcBorders>
              <w:top w:val="nil"/>
              <w:left w:val="nil"/>
              <w:bottom w:val="single" w:sz="4" w:space="0" w:color="auto"/>
              <w:right w:val="single" w:sz="4" w:space="0" w:color="auto"/>
            </w:tcBorders>
            <w:shd w:val="clear" w:color="auto" w:fill="auto"/>
            <w:noWrap/>
            <w:vAlign w:val="bottom"/>
            <w:hideMark/>
          </w:tcPr>
          <w:p w14:paraId="3189ED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w:t>
            </w:r>
          </w:p>
        </w:tc>
        <w:tc>
          <w:tcPr>
            <w:tcW w:w="909" w:type="dxa"/>
            <w:tcBorders>
              <w:top w:val="nil"/>
              <w:left w:val="nil"/>
              <w:bottom w:val="single" w:sz="4" w:space="0" w:color="auto"/>
              <w:right w:val="single" w:sz="4" w:space="0" w:color="auto"/>
            </w:tcBorders>
            <w:shd w:val="clear" w:color="auto" w:fill="auto"/>
            <w:noWrap/>
            <w:vAlign w:val="bottom"/>
            <w:hideMark/>
          </w:tcPr>
          <w:p w14:paraId="1371735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c>
          <w:tcPr>
            <w:tcW w:w="909" w:type="dxa"/>
            <w:tcBorders>
              <w:top w:val="nil"/>
              <w:left w:val="nil"/>
              <w:bottom w:val="single" w:sz="4" w:space="0" w:color="auto"/>
              <w:right w:val="single" w:sz="4" w:space="0" w:color="auto"/>
            </w:tcBorders>
            <w:shd w:val="clear" w:color="auto" w:fill="auto"/>
            <w:noWrap/>
            <w:vAlign w:val="bottom"/>
            <w:hideMark/>
          </w:tcPr>
          <w:p w14:paraId="02621BE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w:t>
            </w:r>
          </w:p>
        </w:tc>
      </w:tr>
      <w:tr w:rsidR="00622247" w:rsidRPr="00E9332A" w14:paraId="03B9198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309CE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w:t>
            </w:r>
          </w:p>
        </w:tc>
        <w:tc>
          <w:tcPr>
            <w:tcW w:w="3634" w:type="dxa"/>
            <w:tcBorders>
              <w:top w:val="nil"/>
              <w:left w:val="nil"/>
              <w:bottom w:val="single" w:sz="4" w:space="0" w:color="auto"/>
              <w:right w:val="single" w:sz="4" w:space="0" w:color="auto"/>
            </w:tcBorders>
            <w:shd w:val="clear" w:color="auto" w:fill="auto"/>
            <w:noWrap/>
            <w:vAlign w:val="bottom"/>
            <w:hideMark/>
          </w:tcPr>
          <w:p w14:paraId="4A3DD52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Tsinghua</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412750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c>
          <w:tcPr>
            <w:tcW w:w="909" w:type="dxa"/>
            <w:tcBorders>
              <w:top w:val="nil"/>
              <w:left w:val="nil"/>
              <w:bottom w:val="single" w:sz="4" w:space="0" w:color="auto"/>
              <w:right w:val="single" w:sz="4" w:space="0" w:color="auto"/>
            </w:tcBorders>
            <w:shd w:val="clear" w:color="auto" w:fill="auto"/>
            <w:noWrap/>
            <w:vAlign w:val="bottom"/>
            <w:hideMark/>
          </w:tcPr>
          <w:p w14:paraId="1C3EEB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c>
          <w:tcPr>
            <w:tcW w:w="909" w:type="dxa"/>
            <w:tcBorders>
              <w:top w:val="nil"/>
              <w:left w:val="nil"/>
              <w:bottom w:val="single" w:sz="4" w:space="0" w:color="auto"/>
              <w:right w:val="single" w:sz="4" w:space="0" w:color="auto"/>
            </w:tcBorders>
            <w:shd w:val="clear" w:color="auto" w:fill="auto"/>
            <w:noWrap/>
            <w:vAlign w:val="bottom"/>
            <w:hideMark/>
          </w:tcPr>
          <w:p w14:paraId="34E588F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c>
          <w:tcPr>
            <w:tcW w:w="909" w:type="dxa"/>
            <w:tcBorders>
              <w:top w:val="nil"/>
              <w:left w:val="nil"/>
              <w:bottom w:val="single" w:sz="4" w:space="0" w:color="auto"/>
              <w:right w:val="single" w:sz="4" w:space="0" w:color="auto"/>
            </w:tcBorders>
            <w:shd w:val="clear" w:color="auto" w:fill="auto"/>
            <w:noWrap/>
            <w:vAlign w:val="bottom"/>
            <w:hideMark/>
          </w:tcPr>
          <w:p w14:paraId="64C57D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w:t>
            </w:r>
          </w:p>
        </w:tc>
        <w:tc>
          <w:tcPr>
            <w:tcW w:w="909" w:type="dxa"/>
            <w:tcBorders>
              <w:top w:val="nil"/>
              <w:left w:val="nil"/>
              <w:bottom w:val="single" w:sz="4" w:space="0" w:color="auto"/>
              <w:right w:val="single" w:sz="4" w:space="0" w:color="auto"/>
            </w:tcBorders>
            <w:shd w:val="clear" w:color="auto" w:fill="auto"/>
            <w:noWrap/>
            <w:vAlign w:val="bottom"/>
            <w:hideMark/>
          </w:tcPr>
          <w:p w14:paraId="076689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24</w:t>
            </w:r>
          </w:p>
        </w:tc>
      </w:tr>
      <w:tr w:rsidR="00622247" w:rsidRPr="00E9332A" w14:paraId="5C0FBCA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F16432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19</w:t>
            </w:r>
          </w:p>
        </w:tc>
        <w:tc>
          <w:tcPr>
            <w:tcW w:w="3634" w:type="dxa"/>
            <w:tcBorders>
              <w:top w:val="nil"/>
              <w:left w:val="nil"/>
              <w:bottom w:val="single" w:sz="4" w:space="0" w:color="auto"/>
              <w:right w:val="single" w:sz="4" w:space="0" w:color="auto"/>
            </w:tcBorders>
            <w:shd w:val="clear" w:color="auto" w:fill="auto"/>
            <w:noWrap/>
            <w:vAlign w:val="bottom"/>
            <w:hideMark/>
          </w:tcPr>
          <w:p w14:paraId="441B6F49"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Michigan-Ann Arbor</w:t>
            </w:r>
          </w:p>
        </w:tc>
        <w:tc>
          <w:tcPr>
            <w:tcW w:w="909" w:type="dxa"/>
            <w:tcBorders>
              <w:top w:val="nil"/>
              <w:left w:val="nil"/>
              <w:bottom w:val="single" w:sz="4" w:space="0" w:color="auto"/>
              <w:right w:val="single" w:sz="4" w:space="0" w:color="auto"/>
            </w:tcBorders>
            <w:shd w:val="clear" w:color="auto" w:fill="auto"/>
            <w:noWrap/>
            <w:vAlign w:val="bottom"/>
            <w:hideMark/>
          </w:tcPr>
          <w:p w14:paraId="6B8912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04A5B63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w:t>
            </w:r>
          </w:p>
        </w:tc>
        <w:tc>
          <w:tcPr>
            <w:tcW w:w="909" w:type="dxa"/>
            <w:tcBorders>
              <w:top w:val="nil"/>
              <w:left w:val="nil"/>
              <w:bottom w:val="single" w:sz="4" w:space="0" w:color="auto"/>
              <w:right w:val="single" w:sz="4" w:space="0" w:color="auto"/>
            </w:tcBorders>
            <w:shd w:val="clear" w:color="auto" w:fill="auto"/>
            <w:noWrap/>
            <w:vAlign w:val="bottom"/>
            <w:hideMark/>
          </w:tcPr>
          <w:p w14:paraId="644B9D9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28</w:t>
            </w:r>
          </w:p>
        </w:tc>
        <w:tc>
          <w:tcPr>
            <w:tcW w:w="909" w:type="dxa"/>
            <w:tcBorders>
              <w:top w:val="nil"/>
              <w:left w:val="nil"/>
              <w:bottom w:val="single" w:sz="4" w:space="0" w:color="auto"/>
              <w:right w:val="single" w:sz="4" w:space="0" w:color="auto"/>
            </w:tcBorders>
            <w:shd w:val="clear" w:color="auto" w:fill="auto"/>
            <w:noWrap/>
            <w:vAlign w:val="bottom"/>
            <w:hideMark/>
          </w:tcPr>
          <w:p w14:paraId="43E891C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w:t>
            </w:r>
          </w:p>
        </w:tc>
        <w:tc>
          <w:tcPr>
            <w:tcW w:w="909" w:type="dxa"/>
            <w:tcBorders>
              <w:top w:val="nil"/>
              <w:left w:val="nil"/>
              <w:bottom w:val="single" w:sz="4" w:space="0" w:color="auto"/>
              <w:right w:val="single" w:sz="4" w:space="0" w:color="auto"/>
            </w:tcBorders>
            <w:shd w:val="clear" w:color="auto" w:fill="auto"/>
            <w:noWrap/>
            <w:vAlign w:val="bottom"/>
            <w:hideMark/>
          </w:tcPr>
          <w:p w14:paraId="4C2C56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w:t>
            </w:r>
          </w:p>
        </w:tc>
      </w:tr>
      <w:tr w:rsidR="00622247" w:rsidRPr="00E9332A" w14:paraId="5C729C0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2C63F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w:t>
            </w:r>
          </w:p>
        </w:tc>
        <w:tc>
          <w:tcPr>
            <w:tcW w:w="3634" w:type="dxa"/>
            <w:tcBorders>
              <w:top w:val="nil"/>
              <w:left w:val="nil"/>
              <w:bottom w:val="single" w:sz="4" w:space="0" w:color="auto"/>
              <w:right w:val="single" w:sz="4" w:space="0" w:color="auto"/>
            </w:tcBorders>
            <w:shd w:val="clear" w:color="auto" w:fill="auto"/>
            <w:noWrap/>
            <w:vAlign w:val="bottom"/>
            <w:hideMark/>
          </w:tcPr>
          <w:p w14:paraId="6A78EE8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Toronto</w:t>
            </w:r>
          </w:p>
        </w:tc>
        <w:tc>
          <w:tcPr>
            <w:tcW w:w="909" w:type="dxa"/>
            <w:tcBorders>
              <w:top w:val="nil"/>
              <w:left w:val="nil"/>
              <w:bottom w:val="single" w:sz="4" w:space="0" w:color="auto"/>
              <w:right w:val="single" w:sz="4" w:space="0" w:color="auto"/>
            </w:tcBorders>
            <w:shd w:val="clear" w:color="auto" w:fill="auto"/>
            <w:noWrap/>
            <w:vAlign w:val="bottom"/>
            <w:hideMark/>
          </w:tcPr>
          <w:p w14:paraId="3C63AFE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909" w:type="dxa"/>
            <w:tcBorders>
              <w:top w:val="nil"/>
              <w:left w:val="nil"/>
              <w:bottom w:val="single" w:sz="4" w:space="0" w:color="auto"/>
              <w:right w:val="single" w:sz="4" w:space="0" w:color="auto"/>
            </w:tcBorders>
            <w:shd w:val="clear" w:color="auto" w:fill="auto"/>
            <w:noWrap/>
            <w:vAlign w:val="bottom"/>
            <w:hideMark/>
          </w:tcPr>
          <w:p w14:paraId="575FD1E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w:t>
            </w:r>
          </w:p>
        </w:tc>
        <w:tc>
          <w:tcPr>
            <w:tcW w:w="909" w:type="dxa"/>
            <w:tcBorders>
              <w:top w:val="nil"/>
              <w:left w:val="nil"/>
              <w:bottom w:val="single" w:sz="4" w:space="0" w:color="auto"/>
              <w:right w:val="single" w:sz="4" w:space="0" w:color="auto"/>
            </w:tcBorders>
            <w:shd w:val="clear" w:color="auto" w:fill="auto"/>
            <w:noWrap/>
            <w:vAlign w:val="bottom"/>
            <w:hideMark/>
          </w:tcPr>
          <w:p w14:paraId="1203C8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w:t>
            </w:r>
          </w:p>
        </w:tc>
        <w:tc>
          <w:tcPr>
            <w:tcW w:w="909" w:type="dxa"/>
            <w:tcBorders>
              <w:top w:val="nil"/>
              <w:left w:val="nil"/>
              <w:bottom w:val="single" w:sz="4" w:space="0" w:color="auto"/>
              <w:right w:val="single" w:sz="4" w:space="0" w:color="auto"/>
            </w:tcBorders>
            <w:shd w:val="clear" w:color="auto" w:fill="auto"/>
            <w:noWrap/>
            <w:vAlign w:val="bottom"/>
            <w:hideMark/>
          </w:tcPr>
          <w:p w14:paraId="362846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c>
          <w:tcPr>
            <w:tcW w:w="909" w:type="dxa"/>
            <w:tcBorders>
              <w:top w:val="nil"/>
              <w:left w:val="nil"/>
              <w:bottom w:val="single" w:sz="4" w:space="0" w:color="auto"/>
              <w:right w:val="single" w:sz="4" w:space="0" w:color="auto"/>
            </w:tcBorders>
            <w:shd w:val="clear" w:color="auto" w:fill="auto"/>
            <w:noWrap/>
            <w:vAlign w:val="bottom"/>
            <w:hideMark/>
          </w:tcPr>
          <w:p w14:paraId="421937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r>
      <w:tr w:rsidR="00622247" w:rsidRPr="00E9332A" w14:paraId="046BB70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3D8049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c>
          <w:tcPr>
            <w:tcW w:w="3634" w:type="dxa"/>
            <w:tcBorders>
              <w:top w:val="nil"/>
              <w:left w:val="nil"/>
              <w:bottom w:val="single" w:sz="4" w:space="0" w:color="auto"/>
              <w:right w:val="single" w:sz="4" w:space="0" w:color="auto"/>
            </w:tcBorders>
            <w:shd w:val="clear" w:color="auto" w:fill="auto"/>
            <w:noWrap/>
            <w:vAlign w:val="bottom"/>
            <w:hideMark/>
          </w:tcPr>
          <w:p w14:paraId="0135FFF6"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California Los Angeles UCLA</w:t>
            </w:r>
          </w:p>
        </w:tc>
        <w:tc>
          <w:tcPr>
            <w:tcW w:w="909" w:type="dxa"/>
            <w:tcBorders>
              <w:top w:val="nil"/>
              <w:left w:val="nil"/>
              <w:bottom w:val="single" w:sz="4" w:space="0" w:color="auto"/>
              <w:right w:val="single" w:sz="4" w:space="0" w:color="auto"/>
            </w:tcBorders>
            <w:shd w:val="clear" w:color="auto" w:fill="auto"/>
            <w:noWrap/>
            <w:vAlign w:val="bottom"/>
            <w:hideMark/>
          </w:tcPr>
          <w:p w14:paraId="0FA93CB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c>
          <w:tcPr>
            <w:tcW w:w="909" w:type="dxa"/>
            <w:tcBorders>
              <w:top w:val="nil"/>
              <w:left w:val="nil"/>
              <w:bottom w:val="single" w:sz="4" w:space="0" w:color="auto"/>
              <w:right w:val="single" w:sz="4" w:space="0" w:color="auto"/>
            </w:tcBorders>
            <w:shd w:val="clear" w:color="auto" w:fill="auto"/>
            <w:noWrap/>
            <w:vAlign w:val="bottom"/>
            <w:hideMark/>
          </w:tcPr>
          <w:p w14:paraId="6A89E7E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c>
          <w:tcPr>
            <w:tcW w:w="909" w:type="dxa"/>
            <w:tcBorders>
              <w:top w:val="nil"/>
              <w:left w:val="nil"/>
              <w:bottom w:val="single" w:sz="4" w:space="0" w:color="auto"/>
              <w:right w:val="single" w:sz="4" w:space="0" w:color="auto"/>
            </w:tcBorders>
            <w:shd w:val="clear" w:color="auto" w:fill="auto"/>
            <w:noWrap/>
            <w:vAlign w:val="bottom"/>
            <w:hideMark/>
          </w:tcPr>
          <w:p w14:paraId="4791941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w:t>
            </w:r>
          </w:p>
        </w:tc>
        <w:tc>
          <w:tcPr>
            <w:tcW w:w="909" w:type="dxa"/>
            <w:tcBorders>
              <w:top w:val="nil"/>
              <w:left w:val="nil"/>
              <w:bottom w:val="single" w:sz="4" w:space="0" w:color="auto"/>
              <w:right w:val="single" w:sz="4" w:space="0" w:color="auto"/>
            </w:tcBorders>
            <w:shd w:val="clear" w:color="auto" w:fill="auto"/>
            <w:noWrap/>
            <w:vAlign w:val="bottom"/>
            <w:hideMark/>
          </w:tcPr>
          <w:p w14:paraId="36EA32E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51B0BDB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w:t>
            </w:r>
          </w:p>
        </w:tc>
      </w:tr>
      <w:tr w:rsidR="00622247" w:rsidRPr="00E9332A" w14:paraId="2FCEB24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35875C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w:t>
            </w:r>
          </w:p>
        </w:tc>
        <w:tc>
          <w:tcPr>
            <w:tcW w:w="3634" w:type="dxa"/>
            <w:tcBorders>
              <w:top w:val="nil"/>
              <w:left w:val="nil"/>
              <w:bottom w:val="single" w:sz="4" w:space="0" w:color="auto"/>
              <w:right w:val="single" w:sz="4" w:space="0" w:color="auto"/>
            </w:tcBorders>
            <w:shd w:val="clear" w:color="auto" w:fill="auto"/>
            <w:noWrap/>
            <w:vAlign w:val="bottom"/>
            <w:hideMark/>
          </w:tcPr>
          <w:p w14:paraId="63AC54D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Peking</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540E4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058DB50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w:t>
            </w:r>
          </w:p>
        </w:tc>
        <w:tc>
          <w:tcPr>
            <w:tcW w:w="909" w:type="dxa"/>
            <w:tcBorders>
              <w:top w:val="nil"/>
              <w:left w:val="nil"/>
              <w:bottom w:val="single" w:sz="4" w:space="0" w:color="auto"/>
              <w:right w:val="single" w:sz="4" w:space="0" w:color="auto"/>
            </w:tcBorders>
            <w:shd w:val="clear" w:color="auto" w:fill="auto"/>
            <w:noWrap/>
            <w:vAlign w:val="bottom"/>
            <w:hideMark/>
          </w:tcPr>
          <w:p w14:paraId="28663D9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c>
          <w:tcPr>
            <w:tcW w:w="909" w:type="dxa"/>
            <w:tcBorders>
              <w:top w:val="nil"/>
              <w:left w:val="nil"/>
              <w:bottom w:val="single" w:sz="4" w:space="0" w:color="auto"/>
              <w:right w:val="single" w:sz="4" w:space="0" w:color="auto"/>
            </w:tcBorders>
            <w:shd w:val="clear" w:color="auto" w:fill="auto"/>
            <w:noWrap/>
            <w:vAlign w:val="bottom"/>
            <w:hideMark/>
          </w:tcPr>
          <w:p w14:paraId="755562E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w:t>
            </w:r>
          </w:p>
        </w:tc>
        <w:tc>
          <w:tcPr>
            <w:tcW w:w="909" w:type="dxa"/>
            <w:tcBorders>
              <w:top w:val="nil"/>
              <w:left w:val="nil"/>
              <w:bottom w:val="single" w:sz="4" w:space="0" w:color="auto"/>
              <w:right w:val="single" w:sz="4" w:space="0" w:color="auto"/>
            </w:tcBorders>
            <w:shd w:val="clear" w:color="auto" w:fill="auto"/>
            <w:noWrap/>
            <w:vAlign w:val="bottom"/>
            <w:hideMark/>
          </w:tcPr>
          <w:p w14:paraId="67BF453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w:t>
            </w:r>
          </w:p>
        </w:tc>
      </w:tr>
      <w:tr w:rsidR="00622247" w:rsidRPr="00E9332A" w14:paraId="5AB56C3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79A5E8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w:t>
            </w:r>
          </w:p>
        </w:tc>
        <w:tc>
          <w:tcPr>
            <w:tcW w:w="3634" w:type="dxa"/>
            <w:tcBorders>
              <w:top w:val="nil"/>
              <w:left w:val="nil"/>
              <w:bottom w:val="single" w:sz="4" w:space="0" w:color="auto"/>
              <w:right w:val="single" w:sz="4" w:space="0" w:color="auto"/>
            </w:tcBorders>
            <w:shd w:val="clear" w:color="auto" w:fill="auto"/>
            <w:noWrap/>
            <w:vAlign w:val="bottom"/>
            <w:hideMark/>
          </w:tcPr>
          <w:p w14:paraId="682A44B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Northwestern</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89B76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110</w:t>
            </w:r>
          </w:p>
        </w:tc>
        <w:tc>
          <w:tcPr>
            <w:tcW w:w="909" w:type="dxa"/>
            <w:tcBorders>
              <w:top w:val="nil"/>
              <w:left w:val="nil"/>
              <w:bottom w:val="single" w:sz="4" w:space="0" w:color="auto"/>
              <w:right w:val="single" w:sz="4" w:space="0" w:color="auto"/>
            </w:tcBorders>
            <w:shd w:val="clear" w:color="auto" w:fill="auto"/>
            <w:noWrap/>
            <w:vAlign w:val="bottom"/>
            <w:hideMark/>
          </w:tcPr>
          <w:p w14:paraId="3F2E366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c>
          <w:tcPr>
            <w:tcW w:w="909" w:type="dxa"/>
            <w:tcBorders>
              <w:top w:val="nil"/>
              <w:left w:val="nil"/>
              <w:bottom w:val="single" w:sz="4" w:space="0" w:color="auto"/>
              <w:right w:val="single" w:sz="4" w:space="0" w:color="auto"/>
            </w:tcBorders>
            <w:shd w:val="clear" w:color="auto" w:fill="auto"/>
            <w:noWrap/>
            <w:vAlign w:val="bottom"/>
            <w:hideMark/>
          </w:tcPr>
          <w:p w14:paraId="6AE9816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w:t>
            </w:r>
          </w:p>
        </w:tc>
        <w:tc>
          <w:tcPr>
            <w:tcW w:w="909" w:type="dxa"/>
            <w:tcBorders>
              <w:top w:val="nil"/>
              <w:left w:val="nil"/>
              <w:bottom w:val="single" w:sz="4" w:space="0" w:color="auto"/>
              <w:right w:val="single" w:sz="4" w:space="0" w:color="auto"/>
            </w:tcBorders>
            <w:shd w:val="clear" w:color="auto" w:fill="auto"/>
            <w:noWrap/>
            <w:vAlign w:val="bottom"/>
            <w:hideMark/>
          </w:tcPr>
          <w:p w14:paraId="1B17306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w:t>
            </w:r>
          </w:p>
        </w:tc>
        <w:tc>
          <w:tcPr>
            <w:tcW w:w="909" w:type="dxa"/>
            <w:tcBorders>
              <w:top w:val="nil"/>
              <w:left w:val="nil"/>
              <w:bottom w:val="single" w:sz="4" w:space="0" w:color="auto"/>
              <w:right w:val="single" w:sz="4" w:space="0" w:color="auto"/>
            </w:tcBorders>
            <w:shd w:val="clear" w:color="auto" w:fill="auto"/>
            <w:noWrap/>
            <w:vAlign w:val="bottom"/>
            <w:hideMark/>
          </w:tcPr>
          <w:p w14:paraId="63A8B85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w:t>
            </w:r>
          </w:p>
        </w:tc>
      </w:tr>
      <w:tr w:rsidR="00622247" w:rsidRPr="00E9332A" w14:paraId="7088643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D04C5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24</w:t>
            </w:r>
          </w:p>
        </w:tc>
        <w:tc>
          <w:tcPr>
            <w:tcW w:w="3634" w:type="dxa"/>
            <w:tcBorders>
              <w:top w:val="nil"/>
              <w:left w:val="nil"/>
              <w:bottom w:val="single" w:sz="4" w:space="0" w:color="auto"/>
              <w:right w:val="single" w:sz="4" w:space="0" w:color="auto"/>
            </w:tcBorders>
            <w:shd w:val="clear" w:color="auto" w:fill="auto"/>
            <w:noWrap/>
            <w:vAlign w:val="bottom"/>
            <w:hideMark/>
          </w:tcPr>
          <w:p w14:paraId="3B06A77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New York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953032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111</w:t>
            </w:r>
          </w:p>
        </w:tc>
        <w:tc>
          <w:tcPr>
            <w:tcW w:w="909" w:type="dxa"/>
            <w:tcBorders>
              <w:top w:val="nil"/>
              <w:left w:val="nil"/>
              <w:bottom w:val="single" w:sz="4" w:space="0" w:color="auto"/>
              <w:right w:val="single" w:sz="4" w:space="0" w:color="auto"/>
            </w:tcBorders>
            <w:shd w:val="clear" w:color="auto" w:fill="auto"/>
            <w:noWrap/>
            <w:vAlign w:val="bottom"/>
            <w:hideMark/>
          </w:tcPr>
          <w:p w14:paraId="50ACCC3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24</w:t>
            </w:r>
          </w:p>
        </w:tc>
        <w:tc>
          <w:tcPr>
            <w:tcW w:w="909" w:type="dxa"/>
            <w:tcBorders>
              <w:top w:val="nil"/>
              <w:left w:val="nil"/>
              <w:bottom w:val="single" w:sz="4" w:space="0" w:color="auto"/>
              <w:right w:val="single" w:sz="4" w:space="0" w:color="auto"/>
            </w:tcBorders>
            <w:shd w:val="clear" w:color="auto" w:fill="auto"/>
            <w:noWrap/>
            <w:vAlign w:val="bottom"/>
            <w:hideMark/>
          </w:tcPr>
          <w:p w14:paraId="1023BD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w:t>
            </w:r>
          </w:p>
        </w:tc>
        <w:tc>
          <w:tcPr>
            <w:tcW w:w="909" w:type="dxa"/>
            <w:tcBorders>
              <w:top w:val="nil"/>
              <w:left w:val="nil"/>
              <w:bottom w:val="single" w:sz="4" w:space="0" w:color="auto"/>
              <w:right w:val="single" w:sz="4" w:space="0" w:color="auto"/>
            </w:tcBorders>
            <w:shd w:val="clear" w:color="auto" w:fill="auto"/>
            <w:noWrap/>
            <w:vAlign w:val="bottom"/>
            <w:hideMark/>
          </w:tcPr>
          <w:p w14:paraId="4636A2B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w:t>
            </w:r>
          </w:p>
        </w:tc>
        <w:tc>
          <w:tcPr>
            <w:tcW w:w="909" w:type="dxa"/>
            <w:tcBorders>
              <w:top w:val="nil"/>
              <w:left w:val="nil"/>
              <w:bottom w:val="single" w:sz="4" w:space="0" w:color="auto"/>
              <w:right w:val="single" w:sz="4" w:space="0" w:color="auto"/>
            </w:tcBorders>
            <w:shd w:val="clear" w:color="auto" w:fill="auto"/>
            <w:noWrap/>
            <w:vAlign w:val="bottom"/>
            <w:hideMark/>
          </w:tcPr>
          <w:p w14:paraId="390E315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w:t>
            </w:r>
          </w:p>
        </w:tc>
      </w:tr>
      <w:tr w:rsidR="00622247" w:rsidRPr="00E9332A" w14:paraId="1F85214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B78C0D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w:t>
            </w:r>
          </w:p>
        </w:tc>
        <w:tc>
          <w:tcPr>
            <w:tcW w:w="3634" w:type="dxa"/>
            <w:tcBorders>
              <w:top w:val="nil"/>
              <w:left w:val="nil"/>
              <w:bottom w:val="single" w:sz="4" w:space="0" w:color="auto"/>
              <w:right w:val="single" w:sz="4" w:space="0" w:color="auto"/>
            </w:tcBorders>
            <w:shd w:val="clear" w:color="auto" w:fill="auto"/>
            <w:noWrap/>
            <w:vAlign w:val="bottom"/>
            <w:hideMark/>
          </w:tcPr>
          <w:p w14:paraId="228A9029"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California San Diego</w:t>
            </w:r>
          </w:p>
        </w:tc>
        <w:tc>
          <w:tcPr>
            <w:tcW w:w="909" w:type="dxa"/>
            <w:tcBorders>
              <w:top w:val="nil"/>
              <w:left w:val="nil"/>
              <w:bottom w:val="single" w:sz="4" w:space="0" w:color="auto"/>
              <w:right w:val="single" w:sz="4" w:space="0" w:color="auto"/>
            </w:tcBorders>
            <w:shd w:val="clear" w:color="auto" w:fill="auto"/>
            <w:noWrap/>
            <w:vAlign w:val="bottom"/>
            <w:hideMark/>
          </w:tcPr>
          <w:p w14:paraId="38C9342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123</w:t>
            </w:r>
          </w:p>
        </w:tc>
        <w:tc>
          <w:tcPr>
            <w:tcW w:w="909" w:type="dxa"/>
            <w:tcBorders>
              <w:top w:val="nil"/>
              <w:left w:val="nil"/>
              <w:bottom w:val="single" w:sz="4" w:space="0" w:color="auto"/>
              <w:right w:val="single" w:sz="4" w:space="0" w:color="auto"/>
            </w:tcBorders>
            <w:shd w:val="clear" w:color="auto" w:fill="auto"/>
            <w:noWrap/>
            <w:vAlign w:val="bottom"/>
            <w:hideMark/>
          </w:tcPr>
          <w:p w14:paraId="19E1E1E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w:t>
            </w:r>
          </w:p>
        </w:tc>
        <w:tc>
          <w:tcPr>
            <w:tcW w:w="909" w:type="dxa"/>
            <w:tcBorders>
              <w:top w:val="nil"/>
              <w:left w:val="nil"/>
              <w:bottom w:val="single" w:sz="4" w:space="0" w:color="auto"/>
              <w:right w:val="single" w:sz="4" w:space="0" w:color="auto"/>
            </w:tcBorders>
            <w:shd w:val="clear" w:color="auto" w:fill="auto"/>
            <w:noWrap/>
            <w:vAlign w:val="bottom"/>
            <w:hideMark/>
          </w:tcPr>
          <w:p w14:paraId="09A3534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c>
          <w:tcPr>
            <w:tcW w:w="909" w:type="dxa"/>
            <w:tcBorders>
              <w:top w:val="nil"/>
              <w:left w:val="nil"/>
              <w:bottom w:val="single" w:sz="4" w:space="0" w:color="auto"/>
              <w:right w:val="single" w:sz="4" w:space="0" w:color="auto"/>
            </w:tcBorders>
            <w:shd w:val="clear" w:color="auto" w:fill="auto"/>
            <w:noWrap/>
            <w:vAlign w:val="bottom"/>
            <w:hideMark/>
          </w:tcPr>
          <w:p w14:paraId="59BF6D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c>
          <w:tcPr>
            <w:tcW w:w="909" w:type="dxa"/>
            <w:tcBorders>
              <w:top w:val="nil"/>
              <w:left w:val="nil"/>
              <w:bottom w:val="single" w:sz="4" w:space="0" w:color="auto"/>
              <w:right w:val="single" w:sz="4" w:space="0" w:color="auto"/>
            </w:tcBorders>
            <w:shd w:val="clear" w:color="auto" w:fill="auto"/>
            <w:noWrap/>
            <w:vAlign w:val="bottom"/>
            <w:hideMark/>
          </w:tcPr>
          <w:p w14:paraId="1FD0923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w:t>
            </w:r>
          </w:p>
        </w:tc>
      </w:tr>
      <w:tr w:rsidR="00622247" w:rsidRPr="00E9332A" w14:paraId="4528BBE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15A01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c>
          <w:tcPr>
            <w:tcW w:w="3634" w:type="dxa"/>
            <w:tcBorders>
              <w:top w:val="nil"/>
              <w:left w:val="nil"/>
              <w:bottom w:val="single" w:sz="4" w:space="0" w:color="auto"/>
              <w:right w:val="single" w:sz="4" w:space="0" w:color="auto"/>
            </w:tcBorders>
            <w:shd w:val="clear" w:color="auto" w:fill="auto"/>
            <w:noWrap/>
            <w:vAlign w:val="bottom"/>
            <w:hideMark/>
          </w:tcPr>
          <w:p w14:paraId="0502DB2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Edinburgh</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99D3E6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123</w:t>
            </w:r>
          </w:p>
        </w:tc>
        <w:tc>
          <w:tcPr>
            <w:tcW w:w="909" w:type="dxa"/>
            <w:tcBorders>
              <w:top w:val="nil"/>
              <w:left w:val="nil"/>
              <w:bottom w:val="single" w:sz="4" w:space="0" w:color="auto"/>
              <w:right w:val="single" w:sz="4" w:space="0" w:color="auto"/>
            </w:tcBorders>
            <w:shd w:val="clear" w:color="auto" w:fill="auto"/>
            <w:noWrap/>
            <w:vAlign w:val="bottom"/>
            <w:hideMark/>
          </w:tcPr>
          <w:p w14:paraId="0070D9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29</w:t>
            </w:r>
          </w:p>
        </w:tc>
        <w:tc>
          <w:tcPr>
            <w:tcW w:w="909" w:type="dxa"/>
            <w:tcBorders>
              <w:top w:val="nil"/>
              <w:left w:val="nil"/>
              <w:bottom w:val="single" w:sz="4" w:space="0" w:color="auto"/>
              <w:right w:val="single" w:sz="4" w:space="0" w:color="auto"/>
            </w:tcBorders>
            <w:shd w:val="clear" w:color="auto" w:fill="auto"/>
            <w:noWrap/>
            <w:vAlign w:val="bottom"/>
            <w:hideMark/>
          </w:tcPr>
          <w:p w14:paraId="045C9C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35</w:t>
            </w:r>
          </w:p>
        </w:tc>
        <w:tc>
          <w:tcPr>
            <w:tcW w:w="909" w:type="dxa"/>
            <w:tcBorders>
              <w:top w:val="nil"/>
              <w:left w:val="nil"/>
              <w:bottom w:val="single" w:sz="4" w:space="0" w:color="auto"/>
              <w:right w:val="single" w:sz="4" w:space="0" w:color="auto"/>
            </w:tcBorders>
            <w:shd w:val="clear" w:color="auto" w:fill="auto"/>
            <w:noWrap/>
            <w:vAlign w:val="bottom"/>
            <w:hideMark/>
          </w:tcPr>
          <w:p w14:paraId="6FF6E4E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w:t>
            </w:r>
          </w:p>
        </w:tc>
        <w:tc>
          <w:tcPr>
            <w:tcW w:w="909" w:type="dxa"/>
            <w:tcBorders>
              <w:top w:val="nil"/>
              <w:left w:val="nil"/>
              <w:bottom w:val="single" w:sz="4" w:space="0" w:color="auto"/>
              <w:right w:val="single" w:sz="4" w:space="0" w:color="auto"/>
            </w:tcBorders>
            <w:shd w:val="clear" w:color="auto" w:fill="auto"/>
            <w:noWrap/>
            <w:vAlign w:val="bottom"/>
            <w:hideMark/>
          </w:tcPr>
          <w:p w14:paraId="6DB7F4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r>
      <w:tr w:rsidR="00622247" w:rsidRPr="00E9332A" w14:paraId="641935E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6BDAA0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27</w:t>
            </w:r>
          </w:p>
        </w:tc>
        <w:tc>
          <w:tcPr>
            <w:tcW w:w="3634" w:type="dxa"/>
            <w:tcBorders>
              <w:top w:val="nil"/>
              <w:left w:val="nil"/>
              <w:bottom w:val="single" w:sz="4" w:space="0" w:color="auto"/>
              <w:right w:val="single" w:sz="4" w:space="0" w:color="auto"/>
            </w:tcBorders>
            <w:shd w:val="clear" w:color="auto" w:fill="auto"/>
            <w:noWrap/>
            <w:vAlign w:val="bottom"/>
            <w:hideMark/>
          </w:tcPr>
          <w:p w14:paraId="75313E0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Duke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D24E70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127</w:t>
            </w:r>
          </w:p>
        </w:tc>
        <w:tc>
          <w:tcPr>
            <w:tcW w:w="909" w:type="dxa"/>
            <w:tcBorders>
              <w:top w:val="nil"/>
              <w:left w:val="nil"/>
              <w:bottom w:val="single" w:sz="4" w:space="0" w:color="auto"/>
              <w:right w:val="single" w:sz="4" w:space="0" w:color="auto"/>
            </w:tcBorders>
            <w:shd w:val="clear" w:color="auto" w:fill="auto"/>
            <w:noWrap/>
            <w:vAlign w:val="bottom"/>
            <w:hideMark/>
          </w:tcPr>
          <w:p w14:paraId="0BBF238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w:t>
            </w:r>
          </w:p>
        </w:tc>
        <w:tc>
          <w:tcPr>
            <w:tcW w:w="909" w:type="dxa"/>
            <w:tcBorders>
              <w:top w:val="nil"/>
              <w:left w:val="nil"/>
              <w:bottom w:val="single" w:sz="4" w:space="0" w:color="auto"/>
              <w:right w:val="single" w:sz="4" w:space="0" w:color="auto"/>
            </w:tcBorders>
            <w:shd w:val="clear" w:color="auto" w:fill="auto"/>
            <w:noWrap/>
            <w:vAlign w:val="bottom"/>
            <w:hideMark/>
          </w:tcPr>
          <w:p w14:paraId="3EC39A6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w:t>
            </w:r>
          </w:p>
        </w:tc>
        <w:tc>
          <w:tcPr>
            <w:tcW w:w="909" w:type="dxa"/>
            <w:tcBorders>
              <w:top w:val="nil"/>
              <w:left w:val="nil"/>
              <w:bottom w:val="single" w:sz="4" w:space="0" w:color="auto"/>
              <w:right w:val="single" w:sz="4" w:space="0" w:color="auto"/>
            </w:tcBorders>
            <w:shd w:val="clear" w:color="auto" w:fill="auto"/>
            <w:noWrap/>
            <w:vAlign w:val="bottom"/>
            <w:hideMark/>
          </w:tcPr>
          <w:p w14:paraId="71068A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909" w:type="dxa"/>
            <w:tcBorders>
              <w:top w:val="nil"/>
              <w:left w:val="nil"/>
              <w:bottom w:val="single" w:sz="4" w:space="0" w:color="auto"/>
              <w:right w:val="single" w:sz="4" w:space="0" w:color="auto"/>
            </w:tcBorders>
            <w:shd w:val="clear" w:color="auto" w:fill="auto"/>
            <w:noWrap/>
            <w:vAlign w:val="bottom"/>
            <w:hideMark/>
          </w:tcPr>
          <w:p w14:paraId="22F675F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r>
      <w:tr w:rsidR="00622247" w:rsidRPr="00E9332A" w14:paraId="02D7455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63625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28</w:t>
            </w:r>
          </w:p>
        </w:tc>
        <w:tc>
          <w:tcPr>
            <w:tcW w:w="3634" w:type="dxa"/>
            <w:tcBorders>
              <w:top w:val="nil"/>
              <w:left w:val="nil"/>
              <w:bottom w:val="single" w:sz="4" w:space="0" w:color="auto"/>
              <w:right w:val="single" w:sz="4" w:space="0" w:color="auto"/>
            </w:tcBorders>
            <w:shd w:val="clear" w:color="auto" w:fill="auto"/>
            <w:noWrap/>
            <w:vAlign w:val="bottom"/>
            <w:hideMark/>
          </w:tcPr>
          <w:p w14:paraId="5637614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Washington</w:t>
            </w:r>
          </w:p>
        </w:tc>
        <w:tc>
          <w:tcPr>
            <w:tcW w:w="909" w:type="dxa"/>
            <w:tcBorders>
              <w:top w:val="nil"/>
              <w:left w:val="nil"/>
              <w:bottom w:val="single" w:sz="4" w:space="0" w:color="auto"/>
              <w:right w:val="single" w:sz="4" w:space="0" w:color="auto"/>
            </w:tcBorders>
            <w:shd w:val="clear" w:color="auto" w:fill="auto"/>
            <w:noWrap/>
            <w:vAlign w:val="bottom"/>
            <w:hideMark/>
          </w:tcPr>
          <w:p w14:paraId="259B8B3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130</w:t>
            </w:r>
          </w:p>
        </w:tc>
        <w:tc>
          <w:tcPr>
            <w:tcW w:w="909" w:type="dxa"/>
            <w:tcBorders>
              <w:top w:val="nil"/>
              <w:left w:val="nil"/>
              <w:bottom w:val="single" w:sz="4" w:space="0" w:color="auto"/>
              <w:right w:val="single" w:sz="4" w:space="0" w:color="auto"/>
            </w:tcBorders>
            <w:shd w:val="clear" w:color="auto" w:fill="auto"/>
            <w:noWrap/>
            <w:vAlign w:val="bottom"/>
            <w:hideMark/>
          </w:tcPr>
          <w:p w14:paraId="5B381C6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c>
          <w:tcPr>
            <w:tcW w:w="909" w:type="dxa"/>
            <w:tcBorders>
              <w:top w:val="nil"/>
              <w:left w:val="nil"/>
              <w:bottom w:val="single" w:sz="4" w:space="0" w:color="auto"/>
              <w:right w:val="single" w:sz="4" w:space="0" w:color="auto"/>
            </w:tcBorders>
            <w:shd w:val="clear" w:color="auto" w:fill="auto"/>
            <w:noWrap/>
            <w:vAlign w:val="bottom"/>
            <w:hideMark/>
          </w:tcPr>
          <w:p w14:paraId="12A5DB4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w:t>
            </w:r>
          </w:p>
        </w:tc>
        <w:tc>
          <w:tcPr>
            <w:tcW w:w="909" w:type="dxa"/>
            <w:tcBorders>
              <w:top w:val="nil"/>
              <w:left w:val="nil"/>
              <w:bottom w:val="single" w:sz="4" w:space="0" w:color="auto"/>
              <w:right w:val="single" w:sz="4" w:space="0" w:color="auto"/>
            </w:tcBorders>
            <w:shd w:val="clear" w:color="auto" w:fill="auto"/>
            <w:noWrap/>
            <w:vAlign w:val="bottom"/>
            <w:hideMark/>
          </w:tcPr>
          <w:p w14:paraId="7FDA206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c>
          <w:tcPr>
            <w:tcW w:w="909" w:type="dxa"/>
            <w:tcBorders>
              <w:top w:val="nil"/>
              <w:left w:val="nil"/>
              <w:bottom w:val="single" w:sz="4" w:space="0" w:color="auto"/>
              <w:right w:val="single" w:sz="4" w:space="0" w:color="auto"/>
            </w:tcBorders>
            <w:shd w:val="clear" w:color="auto" w:fill="auto"/>
            <w:noWrap/>
            <w:vAlign w:val="bottom"/>
            <w:hideMark/>
          </w:tcPr>
          <w:p w14:paraId="6E1A52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w:t>
            </w:r>
          </w:p>
        </w:tc>
      </w:tr>
      <w:tr w:rsidR="00622247" w:rsidRPr="00E9332A" w14:paraId="2D2C917B"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78C80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29</w:t>
            </w:r>
          </w:p>
        </w:tc>
        <w:tc>
          <w:tcPr>
            <w:tcW w:w="3634" w:type="dxa"/>
            <w:tcBorders>
              <w:top w:val="nil"/>
              <w:left w:val="nil"/>
              <w:bottom w:val="single" w:sz="4" w:space="0" w:color="auto"/>
              <w:right w:val="single" w:sz="4" w:space="0" w:color="auto"/>
            </w:tcBorders>
            <w:shd w:val="clear" w:color="auto" w:fill="auto"/>
            <w:noWrap/>
            <w:vAlign w:val="bottom"/>
            <w:hideMark/>
          </w:tcPr>
          <w:p w14:paraId="041B9A0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Melbourne</w:t>
            </w:r>
          </w:p>
        </w:tc>
        <w:tc>
          <w:tcPr>
            <w:tcW w:w="909" w:type="dxa"/>
            <w:tcBorders>
              <w:top w:val="nil"/>
              <w:left w:val="nil"/>
              <w:bottom w:val="single" w:sz="4" w:space="0" w:color="auto"/>
              <w:right w:val="single" w:sz="4" w:space="0" w:color="auto"/>
            </w:tcBorders>
            <w:shd w:val="clear" w:color="auto" w:fill="auto"/>
            <w:noWrap/>
            <w:vAlign w:val="bottom"/>
            <w:hideMark/>
          </w:tcPr>
          <w:p w14:paraId="31F0BF9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139</w:t>
            </w:r>
          </w:p>
        </w:tc>
        <w:tc>
          <w:tcPr>
            <w:tcW w:w="909" w:type="dxa"/>
            <w:tcBorders>
              <w:top w:val="nil"/>
              <w:left w:val="nil"/>
              <w:bottom w:val="single" w:sz="4" w:space="0" w:color="auto"/>
              <w:right w:val="single" w:sz="4" w:space="0" w:color="auto"/>
            </w:tcBorders>
            <w:shd w:val="clear" w:color="auto" w:fill="auto"/>
            <w:noWrap/>
            <w:vAlign w:val="bottom"/>
            <w:hideMark/>
          </w:tcPr>
          <w:p w14:paraId="7BF284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c>
          <w:tcPr>
            <w:tcW w:w="909" w:type="dxa"/>
            <w:tcBorders>
              <w:top w:val="nil"/>
              <w:left w:val="nil"/>
              <w:bottom w:val="single" w:sz="4" w:space="0" w:color="auto"/>
              <w:right w:val="single" w:sz="4" w:space="0" w:color="auto"/>
            </w:tcBorders>
            <w:shd w:val="clear" w:color="auto" w:fill="auto"/>
            <w:noWrap/>
            <w:vAlign w:val="bottom"/>
            <w:hideMark/>
          </w:tcPr>
          <w:p w14:paraId="21C1E20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w:t>
            </w:r>
          </w:p>
        </w:tc>
        <w:tc>
          <w:tcPr>
            <w:tcW w:w="909" w:type="dxa"/>
            <w:tcBorders>
              <w:top w:val="nil"/>
              <w:left w:val="nil"/>
              <w:bottom w:val="single" w:sz="4" w:space="0" w:color="auto"/>
              <w:right w:val="single" w:sz="4" w:space="0" w:color="auto"/>
            </w:tcBorders>
            <w:shd w:val="clear" w:color="auto" w:fill="auto"/>
            <w:noWrap/>
            <w:vAlign w:val="bottom"/>
            <w:hideMark/>
          </w:tcPr>
          <w:p w14:paraId="2608528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33</w:t>
            </w:r>
          </w:p>
        </w:tc>
        <w:tc>
          <w:tcPr>
            <w:tcW w:w="909" w:type="dxa"/>
            <w:tcBorders>
              <w:top w:val="nil"/>
              <w:left w:val="nil"/>
              <w:bottom w:val="single" w:sz="4" w:space="0" w:color="auto"/>
              <w:right w:val="single" w:sz="4" w:space="0" w:color="auto"/>
            </w:tcBorders>
            <w:shd w:val="clear" w:color="auto" w:fill="auto"/>
            <w:noWrap/>
            <w:vAlign w:val="bottom"/>
            <w:hideMark/>
          </w:tcPr>
          <w:p w14:paraId="2853AD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w:t>
            </w:r>
          </w:p>
        </w:tc>
      </w:tr>
      <w:tr w:rsidR="00622247" w:rsidRPr="00E9332A" w14:paraId="088ADAC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1D5F7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w:t>
            </w:r>
          </w:p>
        </w:tc>
        <w:tc>
          <w:tcPr>
            <w:tcW w:w="3634" w:type="dxa"/>
            <w:tcBorders>
              <w:top w:val="nil"/>
              <w:left w:val="nil"/>
              <w:bottom w:val="single" w:sz="4" w:space="0" w:color="auto"/>
              <w:right w:val="single" w:sz="4" w:space="0" w:color="auto"/>
            </w:tcBorders>
            <w:shd w:val="clear" w:color="auto" w:fill="auto"/>
            <w:noWrap/>
            <w:vAlign w:val="bottom"/>
            <w:hideMark/>
          </w:tcPr>
          <w:p w14:paraId="287544A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National</w:t>
            </w:r>
            <w:proofErr w:type="spellEnd"/>
            <w:r w:rsidRPr="00622247">
              <w:rPr>
                <w:rFonts w:eastAsia="Times New Roman" w:cs="Arial"/>
                <w:color w:val="000000"/>
                <w:sz w:val="18"/>
                <w:szCs w:val="18"/>
                <w:lang w:eastAsia="pl-PL"/>
              </w:rPr>
              <w:t xml:space="preserve"> University of </w:t>
            </w:r>
            <w:proofErr w:type="spellStart"/>
            <w:r w:rsidRPr="00622247">
              <w:rPr>
                <w:rFonts w:eastAsia="Times New Roman" w:cs="Arial"/>
                <w:color w:val="000000"/>
                <w:sz w:val="18"/>
                <w:szCs w:val="18"/>
                <w:lang w:eastAsia="pl-PL"/>
              </w:rPr>
              <w:t>Singapore</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35D6F0C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148</w:t>
            </w:r>
          </w:p>
        </w:tc>
        <w:tc>
          <w:tcPr>
            <w:tcW w:w="909" w:type="dxa"/>
            <w:tcBorders>
              <w:top w:val="nil"/>
              <w:left w:val="nil"/>
              <w:bottom w:val="single" w:sz="4" w:space="0" w:color="auto"/>
              <w:right w:val="single" w:sz="4" w:space="0" w:color="auto"/>
            </w:tcBorders>
            <w:shd w:val="clear" w:color="auto" w:fill="auto"/>
            <w:noWrap/>
            <w:vAlign w:val="bottom"/>
            <w:hideMark/>
          </w:tcPr>
          <w:p w14:paraId="11E04B7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19</w:t>
            </w:r>
          </w:p>
        </w:tc>
        <w:tc>
          <w:tcPr>
            <w:tcW w:w="909" w:type="dxa"/>
            <w:tcBorders>
              <w:top w:val="nil"/>
              <w:left w:val="nil"/>
              <w:bottom w:val="single" w:sz="4" w:space="0" w:color="auto"/>
              <w:right w:val="single" w:sz="4" w:space="0" w:color="auto"/>
            </w:tcBorders>
            <w:shd w:val="clear" w:color="auto" w:fill="auto"/>
            <w:noWrap/>
            <w:vAlign w:val="bottom"/>
            <w:hideMark/>
          </w:tcPr>
          <w:p w14:paraId="64BC55D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909" w:type="dxa"/>
            <w:tcBorders>
              <w:top w:val="nil"/>
              <w:left w:val="nil"/>
              <w:bottom w:val="single" w:sz="4" w:space="0" w:color="auto"/>
              <w:right w:val="single" w:sz="4" w:space="0" w:color="auto"/>
            </w:tcBorders>
            <w:shd w:val="clear" w:color="auto" w:fill="auto"/>
            <w:noWrap/>
            <w:vAlign w:val="bottom"/>
            <w:hideMark/>
          </w:tcPr>
          <w:p w14:paraId="283627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w:t>
            </w:r>
          </w:p>
        </w:tc>
        <w:tc>
          <w:tcPr>
            <w:tcW w:w="909" w:type="dxa"/>
            <w:tcBorders>
              <w:top w:val="nil"/>
              <w:left w:val="nil"/>
              <w:bottom w:val="single" w:sz="4" w:space="0" w:color="auto"/>
              <w:right w:val="single" w:sz="4" w:space="0" w:color="auto"/>
            </w:tcBorders>
            <w:shd w:val="clear" w:color="auto" w:fill="auto"/>
            <w:noWrap/>
            <w:vAlign w:val="bottom"/>
            <w:hideMark/>
          </w:tcPr>
          <w:p w14:paraId="4086A59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w:t>
            </w:r>
          </w:p>
        </w:tc>
      </w:tr>
      <w:tr w:rsidR="00622247" w:rsidRPr="00E9332A" w14:paraId="61A9A25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1F817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w:t>
            </w:r>
          </w:p>
        </w:tc>
        <w:tc>
          <w:tcPr>
            <w:tcW w:w="3634" w:type="dxa"/>
            <w:tcBorders>
              <w:top w:val="nil"/>
              <w:left w:val="nil"/>
              <w:bottom w:val="single" w:sz="4" w:space="0" w:color="auto"/>
              <w:right w:val="single" w:sz="4" w:space="0" w:color="auto"/>
            </w:tcBorders>
            <w:shd w:val="clear" w:color="auto" w:fill="auto"/>
            <w:noWrap/>
            <w:vAlign w:val="bottom"/>
            <w:hideMark/>
          </w:tcPr>
          <w:p w14:paraId="35A88D1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Tokyo</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1E397D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152</w:t>
            </w:r>
          </w:p>
        </w:tc>
        <w:tc>
          <w:tcPr>
            <w:tcW w:w="909" w:type="dxa"/>
            <w:tcBorders>
              <w:top w:val="nil"/>
              <w:left w:val="nil"/>
              <w:bottom w:val="single" w:sz="4" w:space="0" w:color="auto"/>
              <w:right w:val="single" w:sz="4" w:space="0" w:color="auto"/>
            </w:tcBorders>
            <w:shd w:val="clear" w:color="auto" w:fill="auto"/>
            <w:noWrap/>
            <w:vAlign w:val="bottom"/>
            <w:hideMark/>
          </w:tcPr>
          <w:p w14:paraId="1EA0CD6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w:t>
            </w:r>
          </w:p>
        </w:tc>
        <w:tc>
          <w:tcPr>
            <w:tcW w:w="909" w:type="dxa"/>
            <w:tcBorders>
              <w:top w:val="nil"/>
              <w:left w:val="nil"/>
              <w:bottom w:val="single" w:sz="4" w:space="0" w:color="auto"/>
              <w:right w:val="single" w:sz="4" w:space="0" w:color="auto"/>
            </w:tcBorders>
            <w:shd w:val="clear" w:color="auto" w:fill="auto"/>
            <w:noWrap/>
            <w:vAlign w:val="bottom"/>
            <w:hideMark/>
          </w:tcPr>
          <w:p w14:paraId="19F3EBB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24</w:t>
            </w:r>
          </w:p>
        </w:tc>
        <w:tc>
          <w:tcPr>
            <w:tcW w:w="909" w:type="dxa"/>
            <w:tcBorders>
              <w:top w:val="nil"/>
              <w:left w:val="nil"/>
              <w:bottom w:val="single" w:sz="4" w:space="0" w:color="auto"/>
              <w:right w:val="single" w:sz="4" w:space="0" w:color="auto"/>
            </w:tcBorders>
            <w:shd w:val="clear" w:color="auto" w:fill="auto"/>
            <w:noWrap/>
            <w:vAlign w:val="bottom"/>
            <w:hideMark/>
          </w:tcPr>
          <w:p w14:paraId="3DA781E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w:t>
            </w:r>
          </w:p>
        </w:tc>
        <w:tc>
          <w:tcPr>
            <w:tcW w:w="909" w:type="dxa"/>
            <w:tcBorders>
              <w:top w:val="nil"/>
              <w:left w:val="nil"/>
              <w:bottom w:val="single" w:sz="4" w:space="0" w:color="auto"/>
              <w:right w:val="single" w:sz="4" w:space="0" w:color="auto"/>
            </w:tcBorders>
            <w:shd w:val="clear" w:color="auto" w:fill="auto"/>
            <w:noWrap/>
            <w:vAlign w:val="bottom"/>
            <w:hideMark/>
          </w:tcPr>
          <w:p w14:paraId="5E2F8F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w:t>
            </w:r>
          </w:p>
        </w:tc>
      </w:tr>
      <w:tr w:rsidR="00622247" w:rsidRPr="00E9332A" w14:paraId="6A19818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3C6DB2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w:t>
            </w:r>
          </w:p>
        </w:tc>
        <w:tc>
          <w:tcPr>
            <w:tcW w:w="3634" w:type="dxa"/>
            <w:tcBorders>
              <w:top w:val="nil"/>
              <w:left w:val="nil"/>
              <w:bottom w:val="single" w:sz="4" w:space="0" w:color="auto"/>
              <w:right w:val="single" w:sz="4" w:space="0" w:color="auto"/>
            </w:tcBorders>
            <w:shd w:val="clear" w:color="auto" w:fill="auto"/>
            <w:noWrap/>
            <w:vAlign w:val="bottom"/>
            <w:hideMark/>
          </w:tcPr>
          <w:p w14:paraId="3ED202F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British Columbia</w:t>
            </w:r>
          </w:p>
        </w:tc>
        <w:tc>
          <w:tcPr>
            <w:tcW w:w="909" w:type="dxa"/>
            <w:tcBorders>
              <w:top w:val="nil"/>
              <w:left w:val="nil"/>
              <w:bottom w:val="single" w:sz="4" w:space="0" w:color="auto"/>
              <w:right w:val="single" w:sz="4" w:space="0" w:color="auto"/>
            </w:tcBorders>
            <w:shd w:val="clear" w:color="auto" w:fill="auto"/>
            <w:noWrap/>
            <w:vAlign w:val="bottom"/>
            <w:hideMark/>
          </w:tcPr>
          <w:p w14:paraId="19C8A67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158</w:t>
            </w:r>
          </w:p>
        </w:tc>
        <w:tc>
          <w:tcPr>
            <w:tcW w:w="909" w:type="dxa"/>
            <w:tcBorders>
              <w:top w:val="nil"/>
              <w:left w:val="nil"/>
              <w:bottom w:val="single" w:sz="4" w:space="0" w:color="auto"/>
              <w:right w:val="single" w:sz="4" w:space="0" w:color="auto"/>
            </w:tcBorders>
            <w:shd w:val="clear" w:color="auto" w:fill="auto"/>
            <w:noWrap/>
            <w:vAlign w:val="bottom"/>
            <w:hideMark/>
          </w:tcPr>
          <w:p w14:paraId="41A793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w:t>
            </w:r>
          </w:p>
        </w:tc>
        <w:tc>
          <w:tcPr>
            <w:tcW w:w="909" w:type="dxa"/>
            <w:tcBorders>
              <w:top w:val="nil"/>
              <w:left w:val="nil"/>
              <w:bottom w:val="single" w:sz="4" w:space="0" w:color="auto"/>
              <w:right w:val="single" w:sz="4" w:space="0" w:color="auto"/>
            </w:tcBorders>
            <w:shd w:val="clear" w:color="auto" w:fill="auto"/>
            <w:noWrap/>
            <w:vAlign w:val="bottom"/>
            <w:hideMark/>
          </w:tcPr>
          <w:p w14:paraId="54E4A8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632A99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w:t>
            </w:r>
          </w:p>
        </w:tc>
        <w:tc>
          <w:tcPr>
            <w:tcW w:w="909" w:type="dxa"/>
            <w:tcBorders>
              <w:top w:val="nil"/>
              <w:left w:val="nil"/>
              <w:bottom w:val="single" w:sz="4" w:space="0" w:color="auto"/>
              <w:right w:val="single" w:sz="4" w:space="0" w:color="auto"/>
            </w:tcBorders>
            <w:shd w:val="clear" w:color="auto" w:fill="auto"/>
            <w:noWrap/>
            <w:vAlign w:val="bottom"/>
            <w:hideMark/>
          </w:tcPr>
          <w:p w14:paraId="745B355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27</w:t>
            </w:r>
          </w:p>
        </w:tc>
      </w:tr>
      <w:tr w:rsidR="00622247" w:rsidRPr="00E9332A" w14:paraId="054C7A7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F8BD4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33</w:t>
            </w:r>
          </w:p>
        </w:tc>
        <w:tc>
          <w:tcPr>
            <w:tcW w:w="3634" w:type="dxa"/>
            <w:tcBorders>
              <w:top w:val="nil"/>
              <w:left w:val="nil"/>
              <w:bottom w:val="single" w:sz="4" w:space="0" w:color="auto"/>
              <w:right w:val="single" w:sz="4" w:space="0" w:color="auto"/>
            </w:tcBorders>
            <w:shd w:val="clear" w:color="auto" w:fill="auto"/>
            <w:noWrap/>
            <w:vAlign w:val="bottom"/>
            <w:hideMark/>
          </w:tcPr>
          <w:p w14:paraId="625CF5F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Manchester</w:t>
            </w:r>
          </w:p>
        </w:tc>
        <w:tc>
          <w:tcPr>
            <w:tcW w:w="909" w:type="dxa"/>
            <w:tcBorders>
              <w:top w:val="nil"/>
              <w:left w:val="nil"/>
              <w:bottom w:val="single" w:sz="4" w:space="0" w:color="auto"/>
              <w:right w:val="single" w:sz="4" w:space="0" w:color="auto"/>
            </w:tcBorders>
            <w:shd w:val="clear" w:color="auto" w:fill="auto"/>
            <w:noWrap/>
            <w:vAlign w:val="bottom"/>
            <w:hideMark/>
          </w:tcPr>
          <w:p w14:paraId="235452E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181</w:t>
            </w:r>
          </w:p>
        </w:tc>
        <w:tc>
          <w:tcPr>
            <w:tcW w:w="909" w:type="dxa"/>
            <w:tcBorders>
              <w:top w:val="nil"/>
              <w:left w:val="nil"/>
              <w:bottom w:val="single" w:sz="4" w:space="0" w:color="auto"/>
              <w:right w:val="single" w:sz="4" w:space="0" w:color="auto"/>
            </w:tcBorders>
            <w:shd w:val="clear" w:color="auto" w:fill="auto"/>
            <w:noWrap/>
            <w:vAlign w:val="bottom"/>
            <w:hideMark/>
          </w:tcPr>
          <w:p w14:paraId="74FD49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909" w:type="dxa"/>
            <w:tcBorders>
              <w:top w:val="nil"/>
              <w:left w:val="nil"/>
              <w:bottom w:val="single" w:sz="4" w:space="0" w:color="auto"/>
              <w:right w:val="single" w:sz="4" w:space="0" w:color="auto"/>
            </w:tcBorders>
            <w:shd w:val="clear" w:color="auto" w:fill="auto"/>
            <w:noWrap/>
            <w:vAlign w:val="bottom"/>
            <w:hideMark/>
          </w:tcPr>
          <w:p w14:paraId="340413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w:t>
            </w:r>
          </w:p>
        </w:tc>
        <w:tc>
          <w:tcPr>
            <w:tcW w:w="909" w:type="dxa"/>
            <w:tcBorders>
              <w:top w:val="nil"/>
              <w:left w:val="nil"/>
              <w:bottom w:val="single" w:sz="4" w:space="0" w:color="auto"/>
              <w:right w:val="single" w:sz="4" w:space="0" w:color="auto"/>
            </w:tcBorders>
            <w:shd w:val="clear" w:color="auto" w:fill="auto"/>
            <w:noWrap/>
            <w:vAlign w:val="bottom"/>
            <w:hideMark/>
          </w:tcPr>
          <w:p w14:paraId="1B65AA9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28</w:t>
            </w:r>
          </w:p>
        </w:tc>
        <w:tc>
          <w:tcPr>
            <w:tcW w:w="909" w:type="dxa"/>
            <w:tcBorders>
              <w:top w:val="nil"/>
              <w:left w:val="nil"/>
              <w:bottom w:val="single" w:sz="4" w:space="0" w:color="auto"/>
              <w:right w:val="single" w:sz="4" w:space="0" w:color="auto"/>
            </w:tcBorders>
            <w:shd w:val="clear" w:color="auto" w:fill="auto"/>
            <w:noWrap/>
            <w:vAlign w:val="bottom"/>
            <w:hideMark/>
          </w:tcPr>
          <w:p w14:paraId="264D79F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r>
      <w:tr w:rsidR="00622247" w:rsidRPr="00E9332A" w14:paraId="0D08C00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20294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c>
          <w:tcPr>
            <w:tcW w:w="3634" w:type="dxa"/>
            <w:tcBorders>
              <w:top w:val="nil"/>
              <w:left w:val="nil"/>
              <w:bottom w:val="single" w:sz="4" w:space="0" w:color="auto"/>
              <w:right w:val="single" w:sz="4" w:space="0" w:color="auto"/>
            </w:tcBorders>
            <w:shd w:val="clear" w:color="auto" w:fill="auto"/>
            <w:noWrap/>
            <w:vAlign w:val="bottom"/>
            <w:hideMark/>
          </w:tcPr>
          <w:p w14:paraId="18133C17"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Texas at Austin</w:t>
            </w:r>
          </w:p>
        </w:tc>
        <w:tc>
          <w:tcPr>
            <w:tcW w:w="909" w:type="dxa"/>
            <w:tcBorders>
              <w:top w:val="nil"/>
              <w:left w:val="nil"/>
              <w:bottom w:val="single" w:sz="4" w:space="0" w:color="auto"/>
              <w:right w:val="single" w:sz="4" w:space="0" w:color="auto"/>
            </w:tcBorders>
            <w:shd w:val="clear" w:color="auto" w:fill="auto"/>
            <w:noWrap/>
            <w:vAlign w:val="bottom"/>
            <w:hideMark/>
          </w:tcPr>
          <w:p w14:paraId="34F4FA0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184</w:t>
            </w:r>
          </w:p>
        </w:tc>
        <w:tc>
          <w:tcPr>
            <w:tcW w:w="909" w:type="dxa"/>
            <w:tcBorders>
              <w:top w:val="nil"/>
              <w:left w:val="nil"/>
              <w:bottom w:val="single" w:sz="4" w:space="0" w:color="auto"/>
              <w:right w:val="single" w:sz="4" w:space="0" w:color="auto"/>
            </w:tcBorders>
            <w:shd w:val="clear" w:color="auto" w:fill="auto"/>
            <w:noWrap/>
            <w:vAlign w:val="bottom"/>
            <w:hideMark/>
          </w:tcPr>
          <w:p w14:paraId="35279BF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909" w:type="dxa"/>
            <w:tcBorders>
              <w:top w:val="nil"/>
              <w:left w:val="nil"/>
              <w:bottom w:val="single" w:sz="4" w:space="0" w:color="auto"/>
              <w:right w:val="single" w:sz="4" w:space="0" w:color="auto"/>
            </w:tcBorders>
            <w:shd w:val="clear" w:color="auto" w:fill="auto"/>
            <w:noWrap/>
            <w:vAlign w:val="bottom"/>
            <w:hideMark/>
          </w:tcPr>
          <w:p w14:paraId="4B96C4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w:t>
            </w:r>
          </w:p>
        </w:tc>
        <w:tc>
          <w:tcPr>
            <w:tcW w:w="909" w:type="dxa"/>
            <w:tcBorders>
              <w:top w:val="nil"/>
              <w:left w:val="nil"/>
              <w:bottom w:val="single" w:sz="4" w:space="0" w:color="auto"/>
              <w:right w:val="single" w:sz="4" w:space="0" w:color="auto"/>
            </w:tcBorders>
            <w:shd w:val="clear" w:color="auto" w:fill="auto"/>
            <w:noWrap/>
            <w:vAlign w:val="bottom"/>
            <w:hideMark/>
          </w:tcPr>
          <w:p w14:paraId="71F182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72</w:t>
            </w:r>
          </w:p>
        </w:tc>
        <w:tc>
          <w:tcPr>
            <w:tcW w:w="909" w:type="dxa"/>
            <w:tcBorders>
              <w:top w:val="nil"/>
              <w:left w:val="nil"/>
              <w:bottom w:val="single" w:sz="4" w:space="0" w:color="auto"/>
              <w:right w:val="single" w:sz="4" w:space="0" w:color="auto"/>
            </w:tcBorders>
            <w:shd w:val="clear" w:color="auto" w:fill="auto"/>
            <w:noWrap/>
            <w:vAlign w:val="bottom"/>
            <w:hideMark/>
          </w:tcPr>
          <w:p w14:paraId="593623D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w:t>
            </w:r>
          </w:p>
        </w:tc>
      </w:tr>
      <w:tr w:rsidR="00622247" w:rsidRPr="00E9332A" w14:paraId="6647134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3BA86E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35</w:t>
            </w:r>
          </w:p>
        </w:tc>
        <w:tc>
          <w:tcPr>
            <w:tcW w:w="3634" w:type="dxa"/>
            <w:tcBorders>
              <w:top w:val="nil"/>
              <w:left w:val="nil"/>
              <w:bottom w:val="single" w:sz="4" w:space="0" w:color="auto"/>
              <w:right w:val="single" w:sz="4" w:space="0" w:color="auto"/>
            </w:tcBorders>
            <w:shd w:val="clear" w:color="auto" w:fill="auto"/>
            <w:noWrap/>
            <w:vAlign w:val="bottom"/>
            <w:hideMark/>
          </w:tcPr>
          <w:p w14:paraId="45D55F7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King’s</w:t>
            </w:r>
            <w:proofErr w:type="spellEnd"/>
            <w:r w:rsidRPr="00622247">
              <w:rPr>
                <w:rFonts w:eastAsia="Times New Roman" w:cs="Arial"/>
                <w:color w:val="000000"/>
                <w:sz w:val="18"/>
                <w:szCs w:val="18"/>
                <w:lang w:eastAsia="pl-PL"/>
              </w:rPr>
              <w:t xml:space="preserve"> College London</w:t>
            </w:r>
          </w:p>
        </w:tc>
        <w:tc>
          <w:tcPr>
            <w:tcW w:w="909" w:type="dxa"/>
            <w:tcBorders>
              <w:top w:val="nil"/>
              <w:left w:val="nil"/>
              <w:bottom w:val="single" w:sz="4" w:space="0" w:color="auto"/>
              <w:right w:val="single" w:sz="4" w:space="0" w:color="auto"/>
            </w:tcBorders>
            <w:shd w:val="clear" w:color="auto" w:fill="auto"/>
            <w:noWrap/>
            <w:vAlign w:val="bottom"/>
            <w:hideMark/>
          </w:tcPr>
          <w:p w14:paraId="25BD6B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187</w:t>
            </w:r>
          </w:p>
        </w:tc>
        <w:tc>
          <w:tcPr>
            <w:tcW w:w="909" w:type="dxa"/>
            <w:tcBorders>
              <w:top w:val="nil"/>
              <w:left w:val="nil"/>
              <w:bottom w:val="single" w:sz="4" w:space="0" w:color="auto"/>
              <w:right w:val="single" w:sz="4" w:space="0" w:color="auto"/>
            </w:tcBorders>
            <w:shd w:val="clear" w:color="auto" w:fill="auto"/>
            <w:noWrap/>
            <w:vAlign w:val="bottom"/>
            <w:hideMark/>
          </w:tcPr>
          <w:p w14:paraId="6ECBF17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35</w:t>
            </w:r>
          </w:p>
        </w:tc>
        <w:tc>
          <w:tcPr>
            <w:tcW w:w="909" w:type="dxa"/>
            <w:tcBorders>
              <w:top w:val="nil"/>
              <w:left w:val="nil"/>
              <w:bottom w:val="single" w:sz="4" w:space="0" w:color="auto"/>
              <w:right w:val="single" w:sz="4" w:space="0" w:color="auto"/>
            </w:tcBorders>
            <w:shd w:val="clear" w:color="auto" w:fill="auto"/>
            <w:noWrap/>
            <w:vAlign w:val="bottom"/>
            <w:hideMark/>
          </w:tcPr>
          <w:p w14:paraId="20FC8FD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48</w:t>
            </w:r>
          </w:p>
        </w:tc>
        <w:tc>
          <w:tcPr>
            <w:tcW w:w="909" w:type="dxa"/>
            <w:tcBorders>
              <w:top w:val="nil"/>
              <w:left w:val="nil"/>
              <w:bottom w:val="single" w:sz="4" w:space="0" w:color="auto"/>
              <w:right w:val="single" w:sz="4" w:space="0" w:color="auto"/>
            </w:tcBorders>
            <w:shd w:val="clear" w:color="auto" w:fill="auto"/>
            <w:noWrap/>
            <w:vAlign w:val="bottom"/>
            <w:hideMark/>
          </w:tcPr>
          <w:p w14:paraId="142825D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w:t>
            </w:r>
          </w:p>
        </w:tc>
        <w:tc>
          <w:tcPr>
            <w:tcW w:w="909" w:type="dxa"/>
            <w:tcBorders>
              <w:top w:val="nil"/>
              <w:left w:val="nil"/>
              <w:bottom w:val="single" w:sz="4" w:space="0" w:color="auto"/>
              <w:right w:val="single" w:sz="4" w:space="0" w:color="auto"/>
            </w:tcBorders>
            <w:shd w:val="clear" w:color="auto" w:fill="auto"/>
            <w:noWrap/>
            <w:vAlign w:val="bottom"/>
            <w:hideMark/>
          </w:tcPr>
          <w:p w14:paraId="634196E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r>
      <w:tr w:rsidR="00622247" w:rsidRPr="00E9332A" w14:paraId="10BEFFF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FBB72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w:t>
            </w:r>
          </w:p>
        </w:tc>
        <w:tc>
          <w:tcPr>
            <w:tcW w:w="3634" w:type="dxa"/>
            <w:tcBorders>
              <w:top w:val="nil"/>
              <w:left w:val="nil"/>
              <w:bottom w:val="single" w:sz="4" w:space="0" w:color="auto"/>
              <w:right w:val="single" w:sz="4" w:space="0" w:color="auto"/>
            </w:tcBorders>
            <w:shd w:val="clear" w:color="auto" w:fill="auto"/>
            <w:noWrap/>
            <w:vAlign w:val="bottom"/>
            <w:hideMark/>
          </w:tcPr>
          <w:p w14:paraId="6518B51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Queensland</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FE908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202</w:t>
            </w:r>
          </w:p>
        </w:tc>
        <w:tc>
          <w:tcPr>
            <w:tcW w:w="909" w:type="dxa"/>
            <w:tcBorders>
              <w:top w:val="nil"/>
              <w:left w:val="nil"/>
              <w:bottom w:val="single" w:sz="4" w:space="0" w:color="auto"/>
              <w:right w:val="single" w:sz="4" w:space="0" w:color="auto"/>
            </w:tcBorders>
            <w:shd w:val="clear" w:color="auto" w:fill="auto"/>
            <w:noWrap/>
            <w:vAlign w:val="bottom"/>
            <w:hideMark/>
          </w:tcPr>
          <w:p w14:paraId="29EF77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c>
          <w:tcPr>
            <w:tcW w:w="909" w:type="dxa"/>
            <w:tcBorders>
              <w:top w:val="nil"/>
              <w:left w:val="nil"/>
              <w:bottom w:val="single" w:sz="4" w:space="0" w:color="auto"/>
              <w:right w:val="single" w:sz="4" w:space="0" w:color="auto"/>
            </w:tcBorders>
            <w:shd w:val="clear" w:color="auto" w:fill="auto"/>
            <w:noWrap/>
            <w:vAlign w:val="bottom"/>
            <w:hideMark/>
          </w:tcPr>
          <w:p w14:paraId="62C6EA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w:t>
            </w:r>
          </w:p>
        </w:tc>
        <w:tc>
          <w:tcPr>
            <w:tcW w:w="909" w:type="dxa"/>
            <w:tcBorders>
              <w:top w:val="nil"/>
              <w:left w:val="nil"/>
              <w:bottom w:val="single" w:sz="4" w:space="0" w:color="auto"/>
              <w:right w:val="single" w:sz="4" w:space="0" w:color="auto"/>
            </w:tcBorders>
            <w:shd w:val="clear" w:color="auto" w:fill="auto"/>
            <w:noWrap/>
            <w:vAlign w:val="bottom"/>
            <w:hideMark/>
          </w:tcPr>
          <w:p w14:paraId="042B44E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909" w:type="dxa"/>
            <w:tcBorders>
              <w:top w:val="nil"/>
              <w:left w:val="nil"/>
              <w:bottom w:val="single" w:sz="4" w:space="0" w:color="auto"/>
              <w:right w:val="single" w:sz="4" w:space="0" w:color="auto"/>
            </w:tcBorders>
            <w:shd w:val="clear" w:color="auto" w:fill="auto"/>
            <w:noWrap/>
            <w:vAlign w:val="bottom"/>
            <w:hideMark/>
          </w:tcPr>
          <w:p w14:paraId="0AFFC1E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r>
      <w:tr w:rsidR="00622247" w:rsidRPr="00E9332A" w14:paraId="28248B2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A6F0F1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lastRenderedPageBreak/>
              <w:t>37</w:t>
            </w:r>
          </w:p>
        </w:tc>
        <w:tc>
          <w:tcPr>
            <w:tcW w:w="3634" w:type="dxa"/>
            <w:tcBorders>
              <w:top w:val="nil"/>
              <w:left w:val="nil"/>
              <w:bottom w:val="single" w:sz="4" w:space="0" w:color="auto"/>
              <w:right w:val="single" w:sz="4" w:space="0" w:color="auto"/>
            </w:tcBorders>
            <w:shd w:val="clear" w:color="auto" w:fill="auto"/>
            <w:noWrap/>
            <w:vAlign w:val="bottom"/>
            <w:hideMark/>
          </w:tcPr>
          <w:p w14:paraId="61A27CB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Sydney</w:t>
            </w:r>
          </w:p>
        </w:tc>
        <w:tc>
          <w:tcPr>
            <w:tcW w:w="909" w:type="dxa"/>
            <w:tcBorders>
              <w:top w:val="nil"/>
              <w:left w:val="nil"/>
              <w:bottom w:val="single" w:sz="4" w:space="0" w:color="auto"/>
              <w:right w:val="single" w:sz="4" w:space="0" w:color="auto"/>
            </w:tcBorders>
            <w:shd w:val="clear" w:color="auto" w:fill="auto"/>
            <w:noWrap/>
            <w:vAlign w:val="bottom"/>
            <w:hideMark/>
          </w:tcPr>
          <w:p w14:paraId="3198058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205</w:t>
            </w:r>
          </w:p>
        </w:tc>
        <w:tc>
          <w:tcPr>
            <w:tcW w:w="909" w:type="dxa"/>
            <w:tcBorders>
              <w:top w:val="nil"/>
              <w:left w:val="nil"/>
              <w:bottom w:val="single" w:sz="4" w:space="0" w:color="auto"/>
              <w:right w:val="single" w:sz="4" w:space="0" w:color="auto"/>
            </w:tcBorders>
            <w:shd w:val="clear" w:color="auto" w:fill="auto"/>
            <w:noWrap/>
            <w:vAlign w:val="bottom"/>
            <w:hideMark/>
          </w:tcPr>
          <w:p w14:paraId="3019B0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909" w:type="dxa"/>
            <w:tcBorders>
              <w:top w:val="nil"/>
              <w:left w:val="nil"/>
              <w:bottom w:val="single" w:sz="4" w:space="0" w:color="auto"/>
              <w:right w:val="single" w:sz="4" w:space="0" w:color="auto"/>
            </w:tcBorders>
            <w:shd w:val="clear" w:color="auto" w:fill="auto"/>
            <w:noWrap/>
            <w:vAlign w:val="bottom"/>
            <w:hideMark/>
          </w:tcPr>
          <w:p w14:paraId="648623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c>
          <w:tcPr>
            <w:tcW w:w="909" w:type="dxa"/>
            <w:tcBorders>
              <w:top w:val="nil"/>
              <w:left w:val="nil"/>
              <w:bottom w:val="single" w:sz="4" w:space="0" w:color="auto"/>
              <w:right w:val="single" w:sz="4" w:space="0" w:color="auto"/>
            </w:tcBorders>
            <w:shd w:val="clear" w:color="auto" w:fill="auto"/>
            <w:noWrap/>
            <w:vAlign w:val="bottom"/>
            <w:hideMark/>
          </w:tcPr>
          <w:p w14:paraId="09154C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c>
          <w:tcPr>
            <w:tcW w:w="909" w:type="dxa"/>
            <w:tcBorders>
              <w:top w:val="nil"/>
              <w:left w:val="nil"/>
              <w:bottom w:val="single" w:sz="4" w:space="0" w:color="auto"/>
              <w:right w:val="single" w:sz="4" w:space="0" w:color="auto"/>
            </w:tcBorders>
            <w:shd w:val="clear" w:color="auto" w:fill="auto"/>
            <w:noWrap/>
            <w:vAlign w:val="bottom"/>
            <w:hideMark/>
          </w:tcPr>
          <w:p w14:paraId="1119DC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r>
      <w:tr w:rsidR="00622247" w:rsidRPr="00E9332A" w14:paraId="4E31C35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CFA23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w:t>
            </w:r>
          </w:p>
        </w:tc>
        <w:tc>
          <w:tcPr>
            <w:tcW w:w="3634" w:type="dxa"/>
            <w:tcBorders>
              <w:top w:val="nil"/>
              <w:left w:val="nil"/>
              <w:bottom w:val="single" w:sz="4" w:space="0" w:color="auto"/>
              <w:right w:val="single" w:sz="4" w:space="0" w:color="auto"/>
            </w:tcBorders>
            <w:shd w:val="clear" w:color="auto" w:fill="auto"/>
            <w:noWrap/>
            <w:vAlign w:val="bottom"/>
            <w:hideMark/>
          </w:tcPr>
          <w:p w14:paraId="4338FC3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McGill</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C2FE66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210</w:t>
            </w:r>
          </w:p>
        </w:tc>
        <w:tc>
          <w:tcPr>
            <w:tcW w:w="909" w:type="dxa"/>
            <w:tcBorders>
              <w:top w:val="nil"/>
              <w:left w:val="nil"/>
              <w:bottom w:val="single" w:sz="4" w:space="0" w:color="auto"/>
              <w:right w:val="single" w:sz="4" w:space="0" w:color="auto"/>
            </w:tcBorders>
            <w:shd w:val="clear" w:color="auto" w:fill="auto"/>
            <w:noWrap/>
            <w:vAlign w:val="bottom"/>
            <w:hideMark/>
          </w:tcPr>
          <w:p w14:paraId="54A6C7E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w:t>
            </w:r>
          </w:p>
        </w:tc>
        <w:tc>
          <w:tcPr>
            <w:tcW w:w="909" w:type="dxa"/>
            <w:tcBorders>
              <w:top w:val="nil"/>
              <w:left w:val="nil"/>
              <w:bottom w:val="single" w:sz="4" w:space="0" w:color="auto"/>
              <w:right w:val="single" w:sz="4" w:space="0" w:color="auto"/>
            </w:tcBorders>
            <w:shd w:val="clear" w:color="auto" w:fill="auto"/>
            <w:noWrap/>
            <w:vAlign w:val="bottom"/>
            <w:hideMark/>
          </w:tcPr>
          <w:p w14:paraId="1D4F8B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73</w:t>
            </w:r>
          </w:p>
        </w:tc>
        <w:tc>
          <w:tcPr>
            <w:tcW w:w="909" w:type="dxa"/>
            <w:tcBorders>
              <w:top w:val="nil"/>
              <w:left w:val="nil"/>
              <w:bottom w:val="single" w:sz="4" w:space="0" w:color="auto"/>
              <w:right w:val="single" w:sz="4" w:space="0" w:color="auto"/>
            </w:tcBorders>
            <w:shd w:val="clear" w:color="auto" w:fill="auto"/>
            <w:noWrap/>
            <w:vAlign w:val="bottom"/>
            <w:hideMark/>
          </w:tcPr>
          <w:p w14:paraId="0FA03DD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w:t>
            </w:r>
          </w:p>
        </w:tc>
        <w:tc>
          <w:tcPr>
            <w:tcW w:w="909" w:type="dxa"/>
            <w:tcBorders>
              <w:top w:val="nil"/>
              <w:left w:val="nil"/>
              <w:bottom w:val="single" w:sz="4" w:space="0" w:color="auto"/>
              <w:right w:val="single" w:sz="4" w:space="0" w:color="auto"/>
            </w:tcBorders>
            <w:shd w:val="clear" w:color="auto" w:fill="auto"/>
            <w:noWrap/>
            <w:vAlign w:val="bottom"/>
            <w:hideMark/>
          </w:tcPr>
          <w:p w14:paraId="11719A1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r>
      <w:tr w:rsidR="00622247" w:rsidRPr="00E9332A" w14:paraId="7859E7D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61FD00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w:t>
            </w:r>
          </w:p>
        </w:tc>
        <w:tc>
          <w:tcPr>
            <w:tcW w:w="3634" w:type="dxa"/>
            <w:tcBorders>
              <w:top w:val="nil"/>
              <w:left w:val="nil"/>
              <w:bottom w:val="single" w:sz="4" w:space="0" w:color="auto"/>
              <w:right w:val="single" w:sz="4" w:space="0" w:color="auto"/>
            </w:tcBorders>
            <w:shd w:val="clear" w:color="auto" w:fill="auto"/>
            <w:noWrap/>
            <w:vAlign w:val="bottom"/>
            <w:hideMark/>
          </w:tcPr>
          <w:p w14:paraId="6D7C53D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Zhejiang</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5A93AE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213</w:t>
            </w:r>
          </w:p>
        </w:tc>
        <w:tc>
          <w:tcPr>
            <w:tcW w:w="909" w:type="dxa"/>
            <w:tcBorders>
              <w:top w:val="nil"/>
              <w:left w:val="nil"/>
              <w:bottom w:val="single" w:sz="4" w:space="0" w:color="auto"/>
              <w:right w:val="single" w:sz="4" w:space="0" w:color="auto"/>
            </w:tcBorders>
            <w:shd w:val="clear" w:color="auto" w:fill="auto"/>
            <w:noWrap/>
            <w:vAlign w:val="bottom"/>
            <w:hideMark/>
          </w:tcPr>
          <w:p w14:paraId="58452A4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c>
          <w:tcPr>
            <w:tcW w:w="909" w:type="dxa"/>
            <w:tcBorders>
              <w:top w:val="nil"/>
              <w:left w:val="nil"/>
              <w:bottom w:val="single" w:sz="4" w:space="0" w:color="auto"/>
              <w:right w:val="single" w:sz="4" w:space="0" w:color="auto"/>
            </w:tcBorders>
            <w:shd w:val="clear" w:color="auto" w:fill="auto"/>
            <w:noWrap/>
            <w:vAlign w:val="bottom"/>
            <w:hideMark/>
          </w:tcPr>
          <w:p w14:paraId="70748DE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w:t>
            </w:r>
          </w:p>
        </w:tc>
        <w:tc>
          <w:tcPr>
            <w:tcW w:w="909" w:type="dxa"/>
            <w:tcBorders>
              <w:top w:val="nil"/>
              <w:left w:val="nil"/>
              <w:bottom w:val="single" w:sz="4" w:space="0" w:color="auto"/>
              <w:right w:val="single" w:sz="4" w:space="0" w:color="auto"/>
            </w:tcBorders>
            <w:shd w:val="clear" w:color="auto" w:fill="auto"/>
            <w:noWrap/>
            <w:vAlign w:val="bottom"/>
            <w:hideMark/>
          </w:tcPr>
          <w:p w14:paraId="4274F7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w:t>
            </w:r>
          </w:p>
        </w:tc>
        <w:tc>
          <w:tcPr>
            <w:tcW w:w="909" w:type="dxa"/>
            <w:tcBorders>
              <w:top w:val="nil"/>
              <w:left w:val="nil"/>
              <w:bottom w:val="single" w:sz="4" w:space="0" w:color="auto"/>
              <w:right w:val="single" w:sz="4" w:space="0" w:color="auto"/>
            </w:tcBorders>
            <w:shd w:val="clear" w:color="auto" w:fill="auto"/>
            <w:noWrap/>
            <w:vAlign w:val="bottom"/>
            <w:hideMark/>
          </w:tcPr>
          <w:p w14:paraId="1C475A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w:t>
            </w:r>
          </w:p>
        </w:tc>
      </w:tr>
      <w:tr w:rsidR="00622247" w:rsidRPr="00E9332A" w14:paraId="21536CE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C2068B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w:t>
            </w:r>
          </w:p>
        </w:tc>
        <w:tc>
          <w:tcPr>
            <w:tcW w:w="3634" w:type="dxa"/>
            <w:tcBorders>
              <w:top w:val="nil"/>
              <w:left w:val="nil"/>
              <w:bottom w:val="single" w:sz="4" w:space="0" w:color="auto"/>
              <w:right w:val="single" w:sz="4" w:space="0" w:color="auto"/>
            </w:tcBorders>
            <w:shd w:val="clear" w:color="auto" w:fill="auto"/>
            <w:noWrap/>
            <w:vAlign w:val="bottom"/>
            <w:hideMark/>
          </w:tcPr>
          <w:p w14:paraId="725D27B0"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Illinois at Urbana-Champaign</w:t>
            </w:r>
          </w:p>
        </w:tc>
        <w:tc>
          <w:tcPr>
            <w:tcW w:w="909" w:type="dxa"/>
            <w:tcBorders>
              <w:top w:val="nil"/>
              <w:left w:val="nil"/>
              <w:bottom w:val="single" w:sz="4" w:space="0" w:color="auto"/>
              <w:right w:val="single" w:sz="4" w:space="0" w:color="auto"/>
            </w:tcBorders>
            <w:shd w:val="clear" w:color="auto" w:fill="auto"/>
            <w:noWrap/>
            <w:vAlign w:val="bottom"/>
            <w:hideMark/>
          </w:tcPr>
          <w:p w14:paraId="7AC87F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215</w:t>
            </w:r>
          </w:p>
        </w:tc>
        <w:tc>
          <w:tcPr>
            <w:tcW w:w="909" w:type="dxa"/>
            <w:tcBorders>
              <w:top w:val="nil"/>
              <w:left w:val="nil"/>
              <w:bottom w:val="single" w:sz="4" w:space="0" w:color="auto"/>
              <w:right w:val="single" w:sz="4" w:space="0" w:color="auto"/>
            </w:tcBorders>
            <w:shd w:val="clear" w:color="auto" w:fill="auto"/>
            <w:noWrap/>
            <w:vAlign w:val="bottom"/>
            <w:hideMark/>
          </w:tcPr>
          <w:p w14:paraId="78D129C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48</w:t>
            </w:r>
          </w:p>
        </w:tc>
        <w:tc>
          <w:tcPr>
            <w:tcW w:w="909" w:type="dxa"/>
            <w:tcBorders>
              <w:top w:val="nil"/>
              <w:left w:val="nil"/>
              <w:bottom w:val="single" w:sz="4" w:space="0" w:color="auto"/>
              <w:right w:val="single" w:sz="4" w:space="0" w:color="auto"/>
            </w:tcBorders>
            <w:shd w:val="clear" w:color="auto" w:fill="auto"/>
            <w:noWrap/>
            <w:vAlign w:val="bottom"/>
            <w:hideMark/>
          </w:tcPr>
          <w:p w14:paraId="0B3D43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w:t>
            </w:r>
          </w:p>
        </w:tc>
        <w:tc>
          <w:tcPr>
            <w:tcW w:w="909" w:type="dxa"/>
            <w:tcBorders>
              <w:top w:val="nil"/>
              <w:left w:val="nil"/>
              <w:bottom w:val="single" w:sz="4" w:space="0" w:color="auto"/>
              <w:right w:val="single" w:sz="4" w:space="0" w:color="auto"/>
            </w:tcBorders>
            <w:shd w:val="clear" w:color="auto" w:fill="auto"/>
            <w:noWrap/>
            <w:vAlign w:val="bottom"/>
            <w:hideMark/>
          </w:tcPr>
          <w:p w14:paraId="484663D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w:t>
            </w:r>
          </w:p>
        </w:tc>
        <w:tc>
          <w:tcPr>
            <w:tcW w:w="909" w:type="dxa"/>
            <w:tcBorders>
              <w:top w:val="nil"/>
              <w:left w:val="nil"/>
              <w:bottom w:val="single" w:sz="4" w:space="0" w:color="auto"/>
              <w:right w:val="single" w:sz="4" w:space="0" w:color="auto"/>
            </w:tcBorders>
            <w:shd w:val="clear" w:color="auto" w:fill="auto"/>
            <w:noWrap/>
            <w:vAlign w:val="bottom"/>
            <w:hideMark/>
          </w:tcPr>
          <w:p w14:paraId="4F7046A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33</w:t>
            </w:r>
          </w:p>
        </w:tc>
      </w:tr>
      <w:tr w:rsidR="00622247" w:rsidRPr="00E9332A" w14:paraId="4EB7745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886AE6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c>
          <w:tcPr>
            <w:tcW w:w="3634" w:type="dxa"/>
            <w:tcBorders>
              <w:top w:val="nil"/>
              <w:left w:val="nil"/>
              <w:bottom w:val="single" w:sz="4" w:space="0" w:color="auto"/>
              <w:right w:val="single" w:sz="4" w:space="0" w:color="auto"/>
            </w:tcBorders>
            <w:shd w:val="clear" w:color="auto" w:fill="auto"/>
            <w:noWrap/>
            <w:vAlign w:val="bottom"/>
            <w:hideMark/>
          </w:tcPr>
          <w:p w14:paraId="01DD1A8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Wisconsin-Madison</w:t>
            </w:r>
          </w:p>
        </w:tc>
        <w:tc>
          <w:tcPr>
            <w:tcW w:w="909" w:type="dxa"/>
            <w:tcBorders>
              <w:top w:val="nil"/>
              <w:left w:val="nil"/>
              <w:bottom w:val="single" w:sz="4" w:space="0" w:color="auto"/>
              <w:right w:val="single" w:sz="4" w:space="0" w:color="auto"/>
            </w:tcBorders>
            <w:shd w:val="clear" w:color="auto" w:fill="auto"/>
            <w:noWrap/>
            <w:vAlign w:val="bottom"/>
            <w:hideMark/>
          </w:tcPr>
          <w:p w14:paraId="1A5086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217</w:t>
            </w:r>
          </w:p>
        </w:tc>
        <w:tc>
          <w:tcPr>
            <w:tcW w:w="909" w:type="dxa"/>
            <w:tcBorders>
              <w:top w:val="nil"/>
              <w:left w:val="nil"/>
              <w:bottom w:val="single" w:sz="4" w:space="0" w:color="auto"/>
              <w:right w:val="single" w:sz="4" w:space="0" w:color="auto"/>
            </w:tcBorders>
            <w:shd w:val="clear" w:color="auto" w:fill="auto"/>
            <w:noWrap/>
            <w:vAlign w:val="bottom"/>
            <w:hideMark/>
          </w:tcPr>
          <w:p w14:paraId="1E4344A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w:t>
            </w:r>
          </w:p>
        </w:tc>
        <w:tc>
          <w:tcPr>
            <w:tcW w:w="909" w:type="dxa"/>
            <w:tcBorders>
              <w:top w:val="nil"/>
              <w:left w:val="nil"/>
              <w:bottom w:val="single" w:sz="4" w:space="0" w:color="auto"/>
              <w:right w:val="single" w:sz="4" w:space="0" w:color="auto"/>
            </w:tcBorders>
            <w:shd w:val="clear" w:color="auto" w:fill="auto"/>
            <w:noWrap/>
            <w:vAlign w:val="bottom"/>
            <w:hideMark/>
          </w:tcPr>
          <w:p w14:paraId="15AD4E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33</w:t>
            </w:r>
          </w:p>
        </w:tc>
        <w:tc>
          <w:tcPr>
            <w:tcW w:w="909" w:type="dxa"/>
            <w:tcBorders>
              <w:top w:val="nil"/>
              <w:left w:val="nil"/>
              <w:bottom w:val="single" w:sz="4" w:space="0" w:color="auto"/>
              <w:right w:val="single" w:sz="4" w:space="0" w:color="auto"/>
            </w:tcBorders>
            <w:shd w:val="clear" w:color="auto" w:fill="auto"/>
            <w:noWrap/>
            <w:vAlign w:val="bottom"/>
            <w:hideMark/>
          </w:tcPr>
          <w:p w14:paraId="34A489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274CF7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20</w:t>
            </w:r>
          </w:p>
        </w:tc>
      </w:tr>
      <w:tr w:rsidR="00622247" w:rsidRPr="00E9332A" w14:paraId="3F64051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EF7697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w:t>
            </w:r>
          </w:p>
        </w:tc>
        <w:tc>
          <w:tcPr>
            <w:tcW w:w="3634" w:type="dxa"/>
            <w:tcBorders>
              <w:top w:val="nil"/>
              <w:left w:val="nil"/>
              <w:bottom w:val="single" w:sz="4" w:space="0" w:color="auto"/>
              <w:right w:val="single" w:sz="4" w:space="0" w:color="auto"/>
            </w:tcBorders>
            <w:shd w:val="clear" w:color="auto" w:fill="auto"/>
            <w:noWrap/>
            <w:vAlign w:val="bottom"/>
            <w:hideMark/>
          </w:tcPr>
          <w:p w14:paraId="249548E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Shanghai </w:t>
            </w:r>
            <w:proofErr w:type="spellStart"/>
            <w:r w:rsidRPr="00622247">
              <w:rPr>
                <w:rFonts w:eastAsia="Times New Roman" w:cs="Arial"/>
                <w:color w:val="000000"/>
                <w:sz w:val="18"/>
                <w:szCs w:val="18"/>
                <w:lang w:eastAsia="pl-PL"/>
              </w:rPr>
              <w:t>Jiao</w:t>
            </w:r>
            <w:proofErr w:type="spellEnd"/>
            <w:r w:rsidRPr="00622247">
              <w:rPr>
                <w:rFonts w:eastAsia="Times New Roman" w:cs="Arial"/>
                <w:color w:val="000000"/>
                <w:sz w:val="18"/>
                <w:szCs w:val="18"/>
                <w:lang w:eastAsia="pl-PL"/>
              </w:rPr>
              <w:t xml:space="preserve"> Tong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E1B98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221</w:t>
            </w:r>
          </w:p>
        </w:tc>
        <w:tc>
          <w:tcPr>
            <w:tcW w:w="909" w:type="dxa"/>
            <w:tcBorders>
              <w:top w:val="nil"/>
              <w:left w:val="nil"/>
              <w:bottom w:val="single" w:sz="4" w:space="0" w:color="auto"/>
              <w:right w:val="single" w:sz="4" w:space="0" w:color="auto"/>
            </w:tcBorders>
            <w:shd w:val="clear" w:color="auto" w:fill="auto"/>
            <w:noWrap/>
            <w:vAlign w:val="bottom"/>
            <w:hideMark/>
          </w:tcPr>
          <w:p w14:paraId="53B6F9C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c>
          <w:tcPr>
            <w:tcW w:w="909" w:type="dxa"/>
            <w:tcBorders>
              <w:top w:val="nil"/>
              <w:left w:val="nil"/>
              <w:bottom w:val="single" w:sz="4" w:space="0" w:color="auto"/>
              <w:right w:val="single" w:sz="4" w:space="0" w:color="auto"/>
            </w:tcBorders>
            <w:shd w:val="clear" w:color="auto" w:fill="auto"/>
            <w:noWrap/>
            <w:vAlign w:val="bottom"/>
            <w:hideMark/>
          </w:tcPr>
          <w:p w14:paraId="2D997B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909" w:type="dxa"/>
            <w:tcBorders>
              <w:top w:val="nil"/>
              <w:left w:val="nil"/>
              <w:bottom w:val="single" w:sz="4" w:space="0" w:color="auto"/>
              <w:right w:val="single" w:sz="4" w:space="0" w:color="auto"/>
            </w:tcBorders>
            <w:shd w:val="clear" w:color="auto" w:fill="auto"/>
            <w:noWrap/>
            <w:vAlign w:val="bottom"/>
            <w:hideMark/>
          </w:tcPr>
          <w:p w14:paraId="74180B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w:t>
            </w:r>
          </w:p>
        </w:tc>
        <w:tc>
          <w:tcPr>
            <w:tcW w:w="909" w:type="dxa"/>
            <w:tcBorders>
              <w:top w:val="nil"/>
              <w:left w:val="nil"/>
              <w:bottom w:val="single" w:sz="4" w:space="0" w:color="auto"/>
              <w:right w:val="single" w:sz="4" w:space="0" w:color="auto"/>
            </w:tcBorders>
            <w:shd w:val="clear" w:color="auto" w:fill="auto"/>
            <w:noWrap/>
            <w:vAlign w:val="bottom"/>
            <w:hideMark/>
          </w:tcPr>
          <w:p w14:paraId="5980DB2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69</w:t>
            </w:r>
          </w:p>
        </w:tc>
      </w:tr>
      <w:tr w:rsidR="00622247" w:rsidRPr="00E9332A" w14:paraId="60BB7B5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B2322D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w:t>
            </w:r>
          </w:p>
        </w:tc>
        <w:tc>
          <w:tcPr>
            <w:tcW w:w="3634" w:type="dxa"/>
            <w:tcBorders>
              <w:top w:val="nil"/>
              <w:left w:val="nil"/>
              <w:bottom w:val="single" w:sz="4" w:space="0" w:color="auto"/>
              <w:right w:val="single" w:sz="4" w:space="0" w:color="auto"/>
            </w:tcBorders>
            <w:shd w:val="clear" w:color="auto" w:fill="auto"/>
            <w:noWrap/>
            <w:vAlign w:val="bottom"/>
            <w:hideMark/>
          </w:tcPr>
          <w:p w14:paraId="0DFD28EB"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New South Wales</w:t>
            </w:r>
          </w:p>
        </w:tc>
        <w:tc>
          <w:tcPr>
            <w:tcW w:w="909" w:type="dxa"/>
            <w:tcBorders>
              <w:top w:val="nil"/>
              <w:left w:val="nil"/>
              <w:bottom w:val="single" w:sz="4" w:space="0" w:color="auto"/>
              <w:right w:val="single" w:sz="4" w:space="0" w:color="auto"/>
            </w:tcBorders>
            <w:shd w:val="clear" w:color="auto" w:fill="auto"/>
            <w:noWrap/>
            <w:vAlign w:val="bottom"/>
            <w:hideMark/>
          </w:tcPr>
          <w:p w14:paraId="44176E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221</w:t>
            </w:r>
          </w:p>
        </w:tc>
        <w:tc>
          <w:tcPr>
            <w:tcW w:w="909" w:type="dxa"/>
            <w:tcBorders>
              <w:top w:val="nil"/>
              <w:left w:val="nil"/>
              <w:bottom w:val="single" w:sz="4" w:space="0" w:color="auto"/>
              <w:right w:val="single" w:sz="4" w:space="0" w:color="auto"/>
            </w:tcBorders>
            <w:shd w:val="clear" w:color="auto" w:fill="auto"/>
            <w:noWrap/>
            <w:vAlign w:val="bottom"/>
            <w:hideMark/>
          </w:tcPr>
          <w:p w14:paraId="51F708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909" w:type="dxa"/>
            <w:tcBorders>
              <w:top w:val="nil"/>
              <w:left w:val="nil"/>
              <w:bottom w:val="single" w:sz="4" w:space="0" w:color="auto"/>
              <w:right w:val="single" w:sz="4" w:space="0" w:color="auto"/>
            </w:tcBorders>
            <w:shd w:val="clear" w:color="auto" w:fill="auto"/>
            <w:noWrap/>
            <w:vAlign w:val="bottom"/>
            <w:hideMark/>
          </w:tcPr>
          <w:p w14:paraId="0CFAF09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c>
          <w:tcPr>
            <w:tcW w:w="909" w:type="dxa"/>
            <w:tcBorders>
              <w:top w:val="nil"/>
              <w:left w:val="nil"/>
              <w:bottom w:val="single" w:sz="4" w:space="0" w:color="auto"/>
              <w:right w:val="single" w:sz="4" w:space="0" w:color="auto"/>
            </w:tcBorders>
            <w:shd w:val="clear" w:color="auto" w:fill="auto"/>
            <w:noWrap/>
            <w:vAlign w:val="bottom"/>
            <w:hideMark/>
          </w:tcPr>
          <w:p w14:paraId="11ECD61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45</w:t>
            </w:r>
          </w:p>
        </w:tc>
        <w:tc>
          <w:tcPr>
            <w:tcW w:w="909" w:type="dxa"/>
            <w:tcBorders>
              <w:top w:val="nil"/>
              <w:left w:val="nil"/>
              <w:bottom w:val="single" w:sz="4" w:space="0" w:color="auto"/>
              <w:right w:val="single" w:sz="4" w:space="0" w:color="auto"/>
            </w:tcBorders>
            <w:shd w:val="clear" w:color="auto" w:fill="auto"/>
            <w:noWrap/>
            <w:vAlign w:val="bottom"/>
            <w:hideMark/>
          </w:tcPr>
          <w:p w14:paraId="45DD957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r>
      <w:tr w:rsidR="00622247" w:rsidRPr="00E9332A" w14:paraId="1D94522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377067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3634" w:type="dxa"/>
            <w:tcBorders>
              <w:top w:val="nil"/>
              <w:left w:val="nil"/>
              <w:bottom w:val="single" w:sz="4" w:space="0" w:color="auto"/>
              <w:right w:val="single" w:sz="4" w:space="0" w:color="auto"/>
            </w:tcBorders>
            <w:shd w:val="clear" w:color="auto" w:fill="auto"/>
            <w:noWrap/>
            <w:vAlign w:val="bottom"/>
            <w:hideMark/>
          </w:tcPr>
          <w:p w14:paraId="584062A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Hong Kong</w:t>
            </w:r>
          </w:p>
        </w:tc>
        <w:tc>
          <w:tcPr>
            <w:tcW w:w="909" w:type="dxa"/>
            <w:tcBorders>
              <w:top w:val="nil"/>
              <w:left w:val="nil"/>
              <w:bottom w:val="single" w:sz="4" w:space="0" w:color="auto"/>
              <w:right w:val="single" w:sz="4" w:space="0" w:color="auto"/>
            </w:tcBorders>
            <w:shd w:val="clear" w:color="auto" w:fill="auto"/>
            <w:noWrap/>
            <w:vAlign w:val="bottom"/>
            <w:hideMark/>
          </w:tcPr>
          <w:p w14:paraId="391606A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223</w:t>
            </w:r>
          </w:p>
        </w:tc>
        <w:tc>
          <w:tcPr>
            <w:tcW w:w="909" w:type="dxa"/>
            <w:tcBorders>
              <w:top w:val="nil"/>
              <w:left w:val="nil"/>
              <w:bottom w:val="single" w:sz="4" w:space="0" w:color="auto"/>
              <w:right w:val="single" w:sz="4" w:space="0" w:color="auto"/>
            </w:tcBorders>
            <w:shd w:val="clear" w:color="auto" w:fill="auto"/>
            <w:noWrap/>
            <w:vAlign w:val="bottom"/>
            <w:hideMark/>
          </w:tcPr>
          <w:p w14:paraId="1D08ED1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w:t>
            </w:r>
          </w:p>
        </w:tc>
        <w:tc>
          <w:tcPr>
            <w:tcW w:w="909" w:type="dxa"/>
            <w:tcBorders>
              <w:top w:val="nil"/>
              <w:left w:val="nil"/>
              <w:bottom w:val="single" w:sz="4" w:space="0" w:color="auto"/>
              <w:right w:val="single" w:sz="4" w:space="0" w:color="auto"/>
            </w:tcBorders>
            <w:shd w:val="clear" w:color="auto" w:fill="auto"/>
            <w:noWrap/>
            <w:vAlign w:val="bottom"/>
            <w:hideMark/>
          </w:tcPr>
          <w:p w14:paraId="7A7B367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c>
          <w:tcPr>
            <w:tcW w:w="909" w:type="dxa"/>
            <w:tcBorders>
              <w:top w:val="nil"/>
              <w:left w:val="nil"/>
              <w:bottom w:val="single" w:sz="4" w:space="0" w:color="auto"/>
              <w:right w:val="single" w:sz="4" w:space="0" w:color="auto"/>
            </w:tcBorders>
            <w:shd w:val="clear" w:color="auto" w:fill="auto"/>
            <w:noWrap/>
            <w:vAlign w:val="bottom"/>
            <w:hideMark/>
          </w:tcPr>
          <w:p w14:paraId="63E60B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21</w:t>
            </w:r>
          </w:p>
        </w:tc>
        <w:tc>
          <w:tcPr>
            <w:tcW w:w="909" w:type="dxa"/>
            <w:tcBorders>
              <w:top w:val="nil"/>
              <w:left w:val="nil"/>
              <w:bottom w:val="single" w:sz="4" w:space="0" w:color="auto"/>
              <w:right w:val="single" w:sz="4" w:space="0" w:color="auto"/>
            </w:tcBorders>
            <w:shd w:val="clear" w:color="auto" w:fill="auto"/>
            <w:noWrap/>
            <w:vAlign w:val="bottom"/>
            <w:hideMark/>
          </w:tcPr>
          <w:p w14:paraId="0B4CD50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75</w:t>
            </w:r>
          </w:p>
        </w:tc>
      </w:tr>
      <w:tr w:rsidR="00622247" w:rsidRPr="00E9332A" w14:paraId="308358D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E20138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45</w:t>
            </w:r>
          </w:p>
        </w:tc>
        <w:tc>
          <w:tcPr>
            <w:tcW w:w="3634" w:type="dxa"/>
            <w:tcBorders>
              <w:top w:val="nil"/>
              <w:left w:val="nil"/>
              <w:bottom w:val="single" w:sz="4" w:space="0" w:color="auto"/>
              <w:right w:val="single" w:sz="4" w:space="0" w:color="auto"/>
            </w:tcBorders>
            <w:shd w:val="clear" w:color="auto" w:fill="auto"/>
            <w:noWrap/>
            <w:vAlign w:val="bottom"/>
            <w:hideMark/>
          </w:tcPr>
          <w:p w14:paraId="0F9B1EA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Nanyang</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Technological</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4CF4C8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230</w:t>
            </w:r>
          </w:p>
        </w:tc>
        <w:tc>
          <w:tcPr>
            <w:tcW w:w="909" w:type="dxa"/>
            <w:tcBorders>
              <w:top w:val="nil"/>
              <w:left w:val="nil"/>
              <w:bottom w:val="single" w:sz="4" w:space="0" w:color="auto"/>
              <w:right w:val="single" w:sz="4" w:space="0" w:color="auto"/>
            </w:tcBorders>
            <w:shd w:val="clear" w:color="auto" w:fill="auto"/>
            <w:noWrap/>
            <w:vAlign w:val="bottom"/>
            <w:hideMark/>
          </w:tcPr>
          <w:p w14:paraId="65CA7CF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w:t>
            </w:r>
          </w:p>
        </w:tc>
        <w:tc>
          <w:tcPr>
            <w:tcW w:w="909" w:type="dxa"/>
            <w:tcBorders>
              <w:top w:val="nil"/>
              <w:left w:val="nil"/>
              <w:bottom w:val="single" w:sz="4" w:space="0" w:color="auto"/>
              <w:right w:val="single" w:sz="4" w:space="0" w:color="auto"/>
            </w:tcBorders>
            <w:shd w:val="clear" w:color="auto" w:fill="auto"/>
            <w:noWrap/>
            <w:vAlign w:val="bottom"/>
            <w:hideMark/>
          </w:tcPr>
          <w:p w14:paraId="242999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88</w:t>
            </w:r>
          </w:p>
        </w:tc>
        <w:tc>
          <w:tcPr>
            <w:tcW w:w="909" w:type="dxa"/>
            <w:tcBorders>
              <w:top w:val="nil"/>
              <w:left w:val="nil"/>
              <w:bottom w:val="single" w:sz="4" w:space="0" w:color="auto"/>
              <w:right w:val="single" w:sz="4" w:space="0" w:color="auto"/>
            </w:tcBorders>
            <w:shd w:val="clear" w:color="auto" w:fill="auto"/>
            <w:noWrap/>
            <w:vAlign w:val="bottom"/>
            <w:hideMark/>
          </w:tcPr>
          <w:p w14:paraId="6B03E7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19</w:t>
            </w:r>
          </w:p>
        </w:tc>
        <w:tc>
          <w:tcPr>
            <w:tcW w:w="909" w:type="dxa"/>
            <w:tcBorders>
              <w:top w:val="nil"/>
              <w:left w:val="nil"/>
              <w:bottom w:val="single" w:sz="4" w:space="0" w:color="auto"/>
              <w:right w:val="single" w:sz="4" w:space="0" w:color="auto"/>
            </w:tcBorders>
            <w:shd w:val="clear" w:color="auto" w:fill="auto"/>
            <w:noWrap/>
            <w:vAlign w:val="bottom"/>
            <w:hideMark/>
          </w:tcPr>
          <w:p w14:paraId="0FCC6D2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87</w:t>
            </w:r>
          </w:p>
        </w:tc>
      </w:tr>
      <w:tr w:rsidR="00622247" w:rsidRPr="00E9332A" w14:paraId="4D646E1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F3FF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w:t>
            </w:r>
          </w:p>
        </w:tc>
        <w:tc>
          <w:tcPr>
            <w:tcW w:w="3634" w:type="dxa"/>
            <w:tcBorders>
              <w:top w:val="nil"/>
              <w:left w:val="nil"/>
              <w:bottom w:val="single" w:sz="4" w:space="0" w:color="auto"/>
              <w:right w:val="single" w:sz="4" w:space="0" w:color="auto"/>
            </w:tcBorders>
            <w:shd w:val="clear" w:color="auto" w:fill="auto"/>
            <w:noWrap/>
            <w:vAlign w:val="bottom"/>
            <w:hideMark/>
          </w:tcPr>
          <w:p w14:paraId="60990CD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Monash</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A8DB34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233</w:t>
            </w:r>
          </w:p>
        </w:tc>
        <w:tc>
          <w:tcPr>
            <w:tcW w:w="909" w:type="dxa"/>
            <w:tcBorders>
              <w:top w:val="nil"/>
              <w:left w:val="nil"/>
              <w:bottom w:val="single" w:sz="4" w:space="0" w:color="auto"/>
              <w:right w:val="single" w:sz="4" w:space="0" w:color="auto"/>
            </w:tcBorders>
            <w:shd w:val="clear" w:color="auto" w:fill="auto"/>
            <w:noWrap/>
            <w:vAlign w:val="bottom"/>
            <w:hideMark/>
          </w:tcPr>
          <w:p w14:paraId="592450B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613A2C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75</w:t>
            </w:r>
          </w:p>
        </w:tc>
        <w:tc>
          <w:tcPr>
            <w:tcW w:w="909" w:type="dxa"/>
            <w:tcBorders>
              <w:top w:val="nil"/>
              <w:left w:val="nil"/>
              <w:bottom w:val="single" w:sz="4" w:space="0" w:color="auto"/>
              <w:right w:val="single" w:sz="4" w:space="0" w:color="auto"/>
            </w:tcBorders>
            <w:shd w:val="clear" w:color="auto" w:fill="auto"/>
            <w:noWrap/>
            <w:vAlign w:val="bottom"/>
            <w:hideMark/>
          </w:tcPr>
          <w:p w14:paraId="0FC008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c>
          <w:tcPr>
            <w:tcW w:w="909" w:type="dxa"/>
            <w:tcBorders>
              <w:top w:val="nil"/>
              <w:left w:val="nil"/>
              <w:bottom w:val="single" w:sz="4" w:space="0" w:color="auto"/>
              <w:right w:val="single" w:sz="4" w:space="0" w:color="auto"/>
            </w:tcBorders>
            <w:shd w:val="clear" w:color="auto" w:fill="auto"/>
            <w:noWrap/>
            <w:vAlign w:val="bottom"/>
            <w:hideMark/>
          </w:tcPr>
          <w:p w14:paraId="5508CB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r>
      <w:tr w:rsidR="00622247" w:rsidRPr="00E9332A" w14:paraId="7157B7C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0E0A42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w:t>
            </w:r>
          </w:p>
        </w:tc>
        <w:tc>
          <w:tcPr>
            <w:tcW w:w="3634" w:type="dxa"/>
            <w:tcBorders>
              <w:top w:val="nil"/>
              <w:left w:val="nil"/>
              <w:bottom w:val="single" w:sz="4" w:space="0" w:color="auto"/>
              <w:right w:val="single" w:sz="4" w:space="0" w:color="auto"/>
            </w:tcBorders>
            <w:shd w:val="clear" w:color="auto" w:fill="auto"/>
            <w:noWrap/>
            <w:vAlign w:val="bottom"/>
            <w:hideMark/>
          </w:tcPr>
          <w:p w14:paraId="650540C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Australian</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National</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5940F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250</w:t>
            </w:r>
          </w:p>
        </w:tc>
        <w:tc>
          <w:tcPr>
            <w:tcW w:w="909" w:type="dxa"/>
            <w:tcBorders>
              <w:top w:val="nil"/>
              <w:left w:val="nil"/>
              <w:bottom w:val="single" w:sz="4" w:space="0" w:color="auto"/>
              <w:right w:val="single" w:sz="4" w:space="0" w:color="auto"/>
            </w:tcBorders>
            <w:shd w:val="clear" w:color="auto" w:fill="auto"/>
            <w:noWrap/>
            <w:vAlign w:val="bottom"/>
            <w:hideMark/>
          </w:tcPr>
          <w:p w14:paraId="6C190F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c>
          <w:tcPr>
            <w:tcW w:w="909" w:type="dxa"/>
            <w:tcBorders>
              <w:top w:val="nil"/>
              <w:left w:val="nil"/>
              <w:bottom w:val="single" w:sz="4" w:space="0" w:color="auto"/>
              <w:right w:val="single" w:sz="4" w:space="0" w:color="auto"/>
            </w:tcBorders>
            <w:shd w:val="clear" w:color="auto" w:fill="auto"/>
            <w:noWrap/>
            <w:vAlign w:val="bottom"/>
            <w:hideMark/>
          </w:tcPr>
          <w:p w14:paraId="187806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c>
          <w:tcPr>
            <w:tcW w:w="909" w:type="dxa"/>
            <w:tcBorders>
              <w:top w:val="nil"/>
              <w:left w:val="nil"/>
              <w:bottom w:val="single" w:sz="4" w:space="0" w:color="auto"/>
              <w:right w:val="single" w:sz="4" w:space="0" w:color="auto"/>
            </w:tcBorders>
            <w:shd w:val="clear" w:color="auto" w:fill="auto"/>
            <w:noWrap/>
            <w:vAlign w:val="bottom"/>
            <w:hideMark/>
          </w:tcPr>
          <w:p w14:paraId="4FA98C2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w:t>
            </w:r>
          </w:p>
        </w:tc>
        <w:tc>
          <w:tcPr>
            <w:tcW w:w="909" w:type="dxa"/>
            <w:tcBorders>
              <w:top w:val="nil"/>
              <w:left w:val="nil"/>
              <w:bottom w:val="single" w:sz="4" w:space="0" w:color="auto"/>
              <w:right w:val="single" w:sz="4" w:space="0" w:color="auto"/>
            </w:tcBorders>
            <w:shd w:val="clear" w:color="auto" w:fill="auto"/>
            <w:noWrap/>
            <w:vAlign w:val="bottom"/>
            <w:hideMark/>
          </w:tcPr>
          <w:p w14:paraId="3672E8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r>
      <w:tr w:rsidR="00622247" w:rsidRPr="00E9332A" w14:paraId="7A016F9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D32700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48</w:t>
            </w:r>
          </w:p>
        </w:tc>
        <w:tc>
          <w:tcPr>
            <w:tcW w:w="3634" w:type="dxa"/>
            <w:tcBorders>
              <w:top w:val="nil"/>
              <w:left w:val="nil"/>
              <w:bottom w:val="single" w:sz="4" w:space="0" w:color="auto"/>
              <w:right w:val="single" w:sz="4" w:space="0" w:color="auto"/>
            </w:tcBorders>
            <w:shd w:val="clear" w:color="auto" w:fill="auto"/>
            <w:noWrap/>
            <w:vAlign w:val="bottom"/>
            <w:hideMark/>
          </w:tcPr>
          <w:p w14:paraId="2300F73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Seoul</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National</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717D82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279</w:t>
            </w:r>
          </w:p>
        </w:tc>
        <w:tc>
          <w:tcPr>
            <w:tcW w:w="909" w:type="dxa"/>
            <w:tcBorders>
              <w:top w:val="nil"/>
              <w:left w:val="nil"/>
              <w:bottom w:val="single" w:sz="4" w:space="0" w:color="auto"/>
              <w:right w:val="single" w:sz="4" w:space="0" w:color="auto"/>
            </w:tcBorders>
            <w:shd w:val="clear" w:color="auto" w:fill="auto"/>
            <w:noWrap/>
            <w:vAlign w:val="bottom"/>
            <w:hideMark/>
          </w:tcPr>
          <w:p w14:paraId="68CD648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w:t>
            </w:r>
          </w:p>
        </w:tc>
        <w:tc>
          <w:tcPr>
            <w:tcW w:w="909" w:type="dxa"/>
            <w:tcBorders>
              <w:top w:val="nil"/>
              <w:left w:val="nil"/>
              <w:bottom w:val="single" w:sz="4" w:space="0" w:color="auto"/>
              <w:right w:val="single" w:sz="4" w:space="0" w:color="auto"/>
            </w:tcBorders>
            <w:shd w:val="clear" w:color="auto" w:fill="auto"/>
            <w:noWrap/>
            <w:vAlign w:val="bottom"/>
            <w:hideMark/>
          </w:tcPr>
          <w:p w14:paraId="2A97819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98</w:t>
            </w:r>
          </w:p>
        </w:tc>
        <w:tc>
          <w:tcPr>
            <w:tcW w:w="909" w:type="dxa"/>
            <w:tcBorders>
              <w:top w:val="nil"/>
              <w:left w:val="nil"/>
              <w:bottom w:val="single" w:sz="4" w:space="0" w:color="auto"/>
              <w:right w:val="single" w:sz="4" w:space="0" w:color="auto"/>
            </w:tcBorders>
            <w:shd w:val="clear" w:color="auto" w:fill="auto"/>
            <w:noWrap/>
            <w:vAlign w:val="bottom"/>
            <w:hideMark/>
          </w:tcPr>
          <w:p w14:paraId="1152535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29</w:t>
            </w:r>
          </w:p>
        </w:tc>
        <w:tc>
          <w:tcPr>
            <w:tcW w:w="909" w:type="dxa"/>
            <w:tcBorders>
              <w:top w:val="nil"/>
              <w:left w:val="nil"/>
              <w:bottom w:val="single" w:sz="4" w:space="0" w:color="auto"/>
              <w:right w:val="single" w:sz="4" w:space="0" w:color="auto"/>
            </w:tcBorders>
            <w:shd w:val="clear" w:color="auto" w:fill="auto"/>
            <w:noWrap/>
            <w:vAlign w:val="bottom"/>
            <w:hideMark/>
          </w:tcPr>
          <w:p w14:paraId="1E533A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r>
      <w:tr w:rsidR="00622247" w:rsidRPr="00E9332A" w14:paraId="40D6A88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42251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w:t>
            </w:r>
          </w:p>
        </w:tc>
        <w:tc>
          <w:tcPr>
            <w:tcW w:w="3634" w:type="dxa"/>
            <w:tcBorders>
              <w:top w:val="nil"/>
              <w:left w:val="nil"/>
              <w:bottom w:val="single" w:sz="4" w:space="0" w:color="auto"/>
              <w:right w:val="single" w:sz="4" w:space="0" w:color="auto"/>
            </w:tcBorders>
            <w:shd w:val="clear" w:color="auto" w:fill="auto"/>
            <w:noWrap/>
            <w:vAlign w:val="bottom"/>
            <w:hideMark/>
          </w:tcPr>
          <w:p w14:paraId="539C0DD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Brown University</w:t>
            </w:r>
          </w:p>
        </w:tc>
        <w:tc>
          <w:tcPr>
            <w:tcW w:w="909" w:type="dxa"/>
            <w:tcBorders>
              <w:top w:val="nil"/>
              <w:left w:val="nil"/>
              <w:bottom w:val="single" w:sz="4" w:space="0" w:color="auto"/>
              <w:right w:val="single" w:sz="4" w:space="0" w:color="auto"/>
            </w:tcBorders>
            <w:shd w:val="clear" w:color="auto" w:fill="auto"/>
            <w:noWrap/>
            <w:vAlign w:val="bottom"/>
            <w:hideMark/>
          </w:tcPr>
          <w:p w14:paraId="24CB88C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303</w:t>
            </w:r>
          </w:p>
        </w:tc>
        <w:tc>
          <w:tcPr>
            <w:tcW w:w="909" w:type="dxa"/>
            <w:tcBorders>
              <w:top w:val="nil"/>
              <w:left w:val="nil"/>
              <w:bottom w:val="single" w:sz="4" w:space="0" w:color="auto"/>
              <w:right w:val="single" w:sz="4" w:space="0" w:color="auto"/>
            </w:tcBorders>
            <w:shd w:val="clear" w:color="auto" w:fill="auto"/>
            <w:noWrap/>
            <w:vAlign w:val="bottom"/>
            <w:hideMark/>
          </w:tcPr>
          <w:p w14:paraId="2F4B49C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c>
          <w:tcPr>
            <w:tcW w:w="909" w:type="dxa"/>
            <w:tcBorders>
              <w:top w:val="nil"/>
              <w:left w:val="nil"/>
              <w:bottom w:val="single" w:sz="4" w:space="0" w:color="auto"/>
              <w:right w:val="single" w:sz="4" w:space="0" w:color="auto"/>
            </w:tcBorders>
            <w:shd w:val="clear" w:color="auto" w:fill="auto"/>
            <w:noWrap/>
            <w:vAlign w:val="bottom"/>
            <w:hideMark/>
          </w:tcPr>
          <w:p w14:paraId="765A51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909" w:type="dxa"/>
            <w:tcBorders>
              <w:top w:val="nil"/>
              <w:left w:val="nil"/>
              <w:bottom w:val="single" w:sz="4" w:space="0" w:color="auto"/>
              <w:right w:val="single" w:sz="4" w:space="0" w:color="auto"/>
            </w:tcBorders>
            <w:shd w:val="clear" w:color="auto" w:fill="auto"/>
            <w:noWrap/>
            <w:vAlign w:val="bottom"/>
            <w:hideMark/>
          </w:tcPr>
          <w:p w14:paraId="01F29F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c>
          <w:tcPr>
            <w:tcW w:w="909" w:type="dxa"/>
            <w:tcBorders>
              <w:top w:val="nil"/>
              <w:left w:val="nil"/>
              <w:bottom w:val="single" w:sz="4" w:space="0" w:color="auto"/>
              <w:right w:val="single" w:sz="4" w:space="0" w:color="auto"/>
            </w:tcBorders>
            <w:shd w:val="clear" w:color="auto" w:fill="auto"/>
            <w:noWrap/>
            <w:vAlign w:val="bottom"/>
            <w:hideMark/>
          </w:tcPr>
          <w:p w14:paraId="53D5818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r>
      <w:tr w:rsidR="00622247" w:rsidRPr="00E9332A" w14:paraId="5F6B26E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60C326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3634" w:type="dxa"/>
            <w:tcBorders>
              <w:top w:val="nil"/>
              <w:left w:val="nil"/>
              <w:bottom w:val="single" w:sz="4" w:space="0" w:color="auto"/>
              <w:right w:val="single" w:sz="4" w:space="0" w:color="auto"/>
            </w:tcBorders>
            <w:shd w:val="clear" w:color="auto" w:fill="auto"/>
            <w:noWrap/>
            <w:vAlign w:val="bottom"/>
            <w:hideMark/>
          </w:tcPr>
          <w:p w14:paraId="1CF5D6A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Zurich</w:t>
            </w:r>
          </w:p>
        </w:tc>
        <w:tc>
          <w:tcPr>
            <w:tcW w:w="909" w:type="dxa"/>
            <w:tcBorders>
              <w:top w:val="nil"/>
              <w:left w:val="nil"/>
              <w:bottom w:val="single" w:sz="4" w:space="0" w:color="auto"/>
              <w:right w:val="single" w:sz="4" w:space="0" w:color="auto"/>
            </w:tcBorders>
            <w:shd w:val="clear" w:color="auto" w:fill="auto"/>
            <w:noWrap/>
            <w:vAlign w:val="bottom"/>
            <w:hideMark/>
          </w:tcPr>
          <w:p w14:paraId="1E38CAF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316</w:t>
            </w:r>
          </w:p>
        </w:tc>
        <w:tc>
          <w:tcPr>
            <w:tcW w:w="909" w:type="dxa"/>
            <w:tcBorders>
              <w:top w:val="nil"/>
              <w:left w:val="nil"/>
              <w:bottom w:val="single" w:sz="4" w:space="0" w:color="auto"/>
              <w:right w:val="single" w:sz="4" w:space="0" w:color="auto"/>
            </w:tcBorders>
            <w:shd w:val="clear" w:color="auto" w:fill="auto"/>
            <w:noWrap/>
            <w:vAlign w:val="bottom"/>
            <w:hideMark/>
          </w:tcPr>
          <w:p w14:paraId="03CE463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1B6844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w:t>
            </w:r>
          </w:p>
        </w:tc>
        <w:tc>
          <w:tcPr>
            <w:tcW w:w="909" w:type="dxa"/>
            <w:tcBorders>
              <w:top w:val="nil"/>
              <w:left w:val="nil"/>
              <w:bottom w:val="single" w:sz="4" w:space="0" w:color="auto"/>
              <w:right w:val="single" w:sz="4" w:space="0" w:color="auto"/>
            </w:tcBorders>
            <w:shd w:val="clear" w:color="auto" w:fill="auto"/>
            <w:noWrap/>
            <w:vAlign w:val="bottom"/>
            <w:hideMark/>
          </w:tcPr>
          <w:p w14:paraId="0A09AC6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3026E6A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92</w:t>
            </w:r>
          </w:p>
        </w:tc>
      </w:tr>
      <w:tr w:rsidR="00622247" w:rsidRPr="00E9332A" w14:paraId="476D1DA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CBF3E8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51</w:t>
            </w:r>
          </w:p>
        </w:tc>
        <w:tc>
          <w:tcPr>
            <w:tcW w:w="3634" w:type="dxa"/>
            <w:tcBorders>
              <w:top w:val="nil"/>
              <w:left w:val="nil"/>
              <w:bottom w:val="single" w:sz="4" w:space="0" w:color="auto"/>
              <w:right w:val="single" w:sz="4" w:space="0" w:color="auto"/>
            </w:tcBorders>
            <w:shd w:val="clear" w:color="auto" w:fill="auto"/>
            <w:noWrap/>
            <w:vAlign w:val="bottom"/>
            <w:hideMark/>
          </w:tcPr>
          <w:p w14:paraId="3FCEDB78"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Science and Technology of China</w:t>
            </w:r>
          </w:p>
        </w:tc>
        <w:tc>
          <w:tcPr>
            <w:tcW w:w="909" w:type="dxa"/>
            <w:tcBorders>
              <w:top w:val="nil"/>
              <w:left w:val="nil"/>
              <w:bottom w:val="single" w:sz="4" w:space="0" w:color="auto"/>
              <w:right w:val="single" w:sz="4" w:space="0" w:color="auto"/>
            </w:tcBorders>
            <w:shd w:val="clear" w:color="auto" w:fill="auto"/>
            <w:noWrap/>
            <w:vAlign w:val="bottom"/>
            <w:hideMark/>
          </w:tcPr>
          <w:p w14:paraId="7DC6724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325</w:t>
            </w:r>
          </w:p>
        </w:tc>
        <w:tc>
          <w:tcPr>
            <w:tcW w:w="909" w:type="dxa"/>
            <w:tcBorders>
              <w:top w:val="nil"/>
              <w:left w:val="nil"/>
              <w:bottom w:val="single" w:sz="4" w:space="0" w:color="auto"/>
              <w:right w:val="single" w:sz="4" w:space="0" w:color="auto"/>
            </w:tcBorders>
            <w:shd w:val="clear" w:color="auto" w:fill="auto"/>
            <w:noWrap/>
            <w:vAlign w:val="bottom"/>
            <w:hideMark/>
          </w:tcPr>
          <w:p w14:paraId="411B901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c>
          <w:tcPr>
            <w:tcW w:w="909" w:type="dxa"/>
            <w:tcBorders>
              <w:top w:val="nil"/>
              <w:left w:val="nil"/>
              <w:bottom w:val="single" w:sz="4" w:space="0" w:color="auto"/>
              <w:right w:val="single" w:sz="4" w:space="0" w:color="auto"/>
            </w:tcBorders>
            <w:shd w:val="clear" w:color="auto" w:fill="auto"/>
            <w:noWrap/>
            <w:vAlign w:val="bottom"/>
            <w:hideMark/>
          </w:tcPr>
          <w:p w14:paraId="5972E0D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c>
          <w:tcPr>
            <w:tcW w:w="909" w:type="dxa"/>
            <w:tcBorders>
              <w:top w:val="nil"/>
              <w:left w:val="nil"/>
              <w:bottom w:val="single" w:sz="4" w:space="0" w:color="auto"/>
              <w:right w:val="single" w:sz="4" w:space="0" w:color="auto"/>
            </w:tcBorders>
            <w:shd w:val="clear" w:color="auto" w:fill="auto"/>
            <w:noWrap/>
            <w:vAlign w:val="bottom"/>
            <w:hideMark/>
          </w:tcPr>
          <w:p w14:paraId="2729BF2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94</w:t>
            </w:r>
          </w:p>
        </w:tc>
        <w:tc>
          <w:tcPr>
            <w:tcW w:w="909" w:type="dxa"/>
            <w:tcBorders>
              <w:top w:val="nil"/>
              <w:left w:val="nil"/>
              <w:bottom w:val="single" w:sz="4" w:space="0" w:color="auto"/>
              <w:right w:val="single" w:sz="4" w:space="0" w:color="auto"/>
            </w:tcBorders>
            <w:shd w:val="clear" w:color="auto" w:fill="auto"/>
            <w:noWrap/>
            <w:vAlign w:val="bottom"/>
            <w:hideMark/>
          </w:tcPr>
          <w:p w14:paraId="0797037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r>
      <w:tr w:rsidR="00622247" w:rsidRPr="00E9332A" w14:paraId="5950494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017BB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c>
          <w:tcPr>
            <w:tcW w:w="3634" w:type="dxa"/>
            <w:tcBorders>
              <w:top w:val="nil"/>
              <w:left w:val="nil"/>
              <w:bottom w:val="single" w:sz="4" w:space="0" w:color="auto"/>
              <w:right w:val="single" w:sz="4" w:space="0" w:color="auto"/>
            </w:tcBorders>
            <w:shd w:val="clear" w:color="auto" w:fill="auto"/>
            <w:noWrap/>
            <w:vAlign w:val="bottom"/>
            <w:hideMark/>
          </w:tcPr>
          <w:p w14:paraId="696EE53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Université</w:t>
            </w:r>
            <w:proofErr w:type="spellEnd"/>
            <w:r w:rsidRPr="00622247">
              <w:rPr>
                <w:rFonts w:eastAsia="Times New Roman" w:cs="Arial"/>
                <w:color w:val="000000"/>
                <w:sz w:val="18"/>
                <w:szCs w:val="18"/>
                <w:lang w:eastAsia="pl-PL"/>
              </w:rPr>
              <w:t xml:space="preserve"> PSL</w:t>
            </w:r>
          </w:p>
        </w:tc>
        <w:tc>
          <w:tcPr>
            <w:tcW w:w="909" w:type="dxa"/>
            <w:tcBorders>
              <w:top w:val="nil"/>
              <w:left w:val="nil"/>
              <w:bottom w:val="single" w:sz="4" w:space="0" w:color="auto"/>
              <w:right w:val="single" w:sz="4" w:space="0" w:color="auto"/>
            </w:tcBorders>
            <w:shd w:val="clear" w:color="auto" w:fill="auto"/>
            <w:noWrap/>
            <w:vAlign w:val="bottom"/>
            <w:hideMark/>
          </w:tcPr>
          <w:p w14:paraId="5E5B66F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363</w:t>
            </w:r>
          </w:p>
        </w:tc>
        <w:tc>
          <w:tcPr>
            <w:tcW w:w="909" w:type="dxa"/>
            <w:tcBorders>
              <w:top w:val="nil"/>
              <w:left w:val="nil"/>
              <w:bottom w:val="single" w:sz="4" w:space="0" w:color="auto"/>
              <w:right w:val="single" w:sz="4" w:space="0" w:color="auto"/>
            </w:tcBorders>
            <w:shd w:val="clear" w:color="auto" w:fill="auto"/>
            <w:noWrap/>
            <w:vAlign w:val="bottom"/>
            <w:hideMark/>
          </w:tcPr>
          <w:p w14:paraId="738AB7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w:t>
            </w:r>
          </w:p>
        </w:tc>
        <w:tc>
          <w:tcPr>
            <w:tcW w:w="909" w:type="dxa"/>
            <w:tcBorders>
              <w:top w:val="nil"/>
              <w:left w:val="nil"/>
              <w:bottom w:val="single" w:sz="4" w:space="0" w:color="auto"/>
              <w:right w:val="single" w:sz="4" w:space="0" w:color="auto"/>
            </w:tcBorders>
            <w:shd w:val="clear" w:color="auto" w:fill="auto"/>
            <w:noWrap/>
            <w:vAlign w:val="bottom"/>
            <w:hideMark/>
          </w:tcPr>
          <w:p w14:paraId="2BB8114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w:t>
            </w:r>
          </w:p>
        </w:tc>
        <w:tc>
          <w:tcPr>
            <w:tcW w:w="909" w:type="dxa"/>
            <w:tcBorders>
              <w:top w:val="nil"/>
              <w:left w:val="nil"/>
              <w:bottom w:val="single" w:sz="4" w:space="0" w:color="auto"/>
              <w:right w:val="single" w:sz="4" w:space="0" w:color="auto"/>
            </w:tcBorders>
            <w:shd w:val="clear" w:color="auto" w:fill="auto"/>
            <w:noWrap/>
            <w:vAlign w:val="bottom"/>
            <w:hideMark/>
          </w:tcPr>
          <w:p w14:paraId="4F7C74A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26</w:t>
            </w:r>
          </w:p>
        </w:tc>
        <w:tc>
          <w:tcPr>
            <w:tcW w:w="909" w:type="dxa"/>
            <w:tcBorders>
              <w:top w:val="nil"/>
              <w:left w:val="nil"/>
              <w:bottom w:val="single" w:sz="4" w:space="0" w:color="auto"/>
              <w:right w:val="single" w:sz="4" w:space="0" w:color="auto"/>
            </w:tcBorders>
            <w:shd w:val="clear" w:color="auto" w:fill="auto"/>
            <w:noWrap/>
            <w:vAlign w:val="bottom"/>
            <w:hideMark/>
          </w:tcPr>
          <w:p w14:paraId="74937D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75512C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818C37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c>
          <w:tcPr>
            <w:tcW w:w="3634" w:type="dxa"/>
            <w:tcBorders>
              <w:top w:val="nil"/>
              <w:left w:val="nil"/>
              <w:bottom w:val="single" w:sz="4" w:space="0" w:color="auto"/>
              <w:right w:val="single" w:sz="4" w:space="0" w:color="auto"/>
            </w:tcBorders>
            <w:shd w:val="clear" w:color="auto" w:fill="auto"/>
            <w:noWrap/>
            <w:vAlign w:val="bottom"/>
            <w:hideMark/>
          </w:tcPr>
          <w:p w14:paraId="6910C5A3"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Washington University in St Louis</w:t>
            </w:r>
          </w:p>
        </w:tc>
        <w:tc>
          <w:tcPr>
            <w:tcW w:w="909" w:type="dxa"/>
            <w:tcBorders>
              <w:top w:val="nil"/>
              <w:left w:val="nil"/>
              <w:bottom w:val="single" w:sz="4" w:space="0" w:color="auto"/>
              <w:right w:val="single" w:sz="4" w:space="0" w:color="auto"/>
            </w:tcBorders>
            <w:shd w:val="clear" w:color="auto" w:fill="auto"/>
            <w:noWrap/>
            <w:vAlign w:val="bottom"/>
            <w:hideMark/>
          </w:tcPr>
          <w:p w14:paraId="437AEAA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376</w:t>
            </w:r>
          </w:p>
        </w:tc>
        <w:tc>
          <w:tcPr>
            <w:tcW w:w="909" w:type="dxa"/>
            <w:tcBorders>
              <w:top w:val="nil"/>
              <w:left w:val="nil"/>
              <w:bottom w:val="single" w:sz="4" w:space="0" w:color="auto"/>
              <w:right w:val="single" w:sz="4" w:space="0" w:color="auto"/>
            </w:tcBorders>
            <w:shd w:val="clear" w:color="auto" w:fill="auto"/>
            <w:noWrap/>
            <w:vAlign w:val="bottom"/>
            <w:hideMark/>
          </w:tcPr>
          <w:p w14:paraId="5D8842A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c>
          <w:tcPr>
            <w:tcW w:w="909" w:type="dxa"/>
            <w:tcBorders>
              <w:top w:val="nil"/>
              <w:left w:val="nil"/>
              <w:bottom w:val="single" w:sz="4" w:space="0" w:color="auto"/>
              <w:right w:val="single" w:sz="4" w:space="0" w:color="auto"/>
            </w:tcBorders>
            <w:shd w:val="clear" w:color="auto" w:fill="auto"/>
            <w:noWrap/>
            <w:vAlign w:val="bottom"/>
            <w:hideMark/>
          </w:tcPr>
          <w:p w14:paraId="4F731AC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27</w:t>
            </w:r>
          </w:p>
        </w:tc>
        <w:tc>
          <w:tcPr>
            <w:tcW w:w="909" w:type="dxa"/>
            <w:tcBorders>
              <w:top w:val="nil"/>
              <w:left w:val="nil"/>
              <w:bottom w:val="single" w:sz="4" w:space="0" w:color="auto"/>
              <w:right w:val="single" w:sz="4" w:space="0" w:color="auto"/>
            </w:tcBorders>
            <w:shd w:val="clear" w:color="auto" w:fill="auto"/>
            <w:noWrap/>
            <w:vAlign w:val="bottom"/>
            <w:hideMark/>
          </w:tcPr>
          <w:p w14:paraId="0DD616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91CF7A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w:t>
            </w:r>
          </w:p>
        </w:tc>
      </w:tr>
      <w:tr w:rsidR="00622247" w:rsidRPr="00E9332A" w14:paraId="7C9FAC9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5BDA7E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3634" w:type="dxa"/>
            <w:tcBorders>
              <w:top w:val="nil"/>
              <w:left w:val="nil"/>
              <w:bottom w:val="single" w:sz="4" w:space="0" w:color="auto"/>
              <w:right w:val="single" w:sz="4" w:space="0" w:color="auto"/>
            </w:tcBorders>
            <w:shd w:val="clear" w:color="auto" w:fill="auto"/>
            <w:noWrap/>
            <w:vAlign w:val="bottom"/>
            <w:hideMark/>
          </w:tcPr>
          <w:p w14:paraId="47DFBD7C"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North Carolina at Chapel Hill</w:t>
            </w:r>
          </w:p>
        </w:tc>
        <w:tc>
          <w:tcPr>
            <w:tcW w:w="909" w:type="dxa"/>
            <w:tcBorders>
              <w:top w:val="nil"/>
              <w:left w:val="nil"/>
              <w:bottom w:val="single" w:sz="4" w:space="0" w:color="auto"/>
              <w:right w:val="single" w:sz="4" w:space="0" w:color="auto"/>
            </w:tcBorders>
            <w:shd w:val="clear" w:color="auto" w:fill="auto"/>
            <w:noWrap/>
            <w:vAlign w:val="bottom"/>
            <w:hideMark/>
          </w:tcPr>
          <w:p w14:paraId="6D75131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376</w:t>
            </w:r>
          </w:p>
        </w:tc>
        <w:tc>
          <w:tcPr>
            <w:tcW w:w="909" w:type="dxa"/>
            <w:tcBorders>
              <w:top w:val="nil"/>
              <w:left w:val="nil"/>
              <w:bottom w:val="single" w:sz="4" w:space="0" w:color="auto"/>
              <w:right w:val="single" w:sz="4" w:space="0" w:color="auto"/>
            </w:tcBorders>
            <w:shd w:val="clear" w:color="auto" w:fill="auto"/>
            <w:noWrap/>
            <w:vAlign w:val="bottom"/>
            <w:hideMark/>
          </w:tcPr>
          <w:p w14:paraId="3F6A396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69</w:t>
            </w:r>
          </w:p>
        </w:tc>
        <w:tc>
          <w:tcPr>
            <w:tcW w:w="909" w:type="dxa"/>
            <w:tcBorders>
              <w:top w:val="nil"/>
              <w:left w:val="nil"/>
              <w:bottom w:val="single" w:sz="4" w:space="0" w:color="auto"/>
              <w:right w:val="single" w:sz="4" w:space="0" w:color="auto"/>
            </w:tcBorders>
            <w:shd w:val="clear" w:color="auto" w:fill="auto"/>
            <w:noWrap/>
            <w:vAlign w:val="bottom"/>
            <w:hideMark/>
          </w:tcPr>
          <w:p w14:paraId="69296C4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29</w:t>
            </w:r>
          </w:p>
        </w:tc>
        <w:tc>
          <w:tcPr>
            <w:tcW w:w="909" w:type="dxa"/>
            <w:tcBorders>
              <w:top w:val="nil"/>
              <w:left w:val="nil"/>
              <w:bottom w:val="single" w:sz="4" w:space="0" w:color="auto"/>
              <w:right w:val="single" w:sz="4" w:space="0" w:color="auto"/>
            </w:tcBorders>
            <w:shd w:val="clear" w:color="auto" w:fill="auto"/>
            <w:noWrap/>
            <w:vAlign w:val="bottom"/>
            <w:hideMark/>
          </w:tcPr>
          <w:p w14:paraId="752ABD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3C0203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28</w:t>
            </w:r>
          </w:p>
        </w:tc>
      </w:tr>
      <w:tr w:rsidR="00622247" w:rsidRPr="00E9332A" w14:paraId="6F723B2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4AE52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55</w:t>
            </w:r>
          </w:p>
        </w:tc>
        <w:tc>
          <w:tcPr>
            <w:tcW w:w="3634" w:type="dxa"/>
            <w:tcBorders>
              <w:top w:val="nil"/>
              <w:left w:val="nil"/>
              <w:bottom w:val="single" w:sz="4" w:space="0" w:color="auto"/>
              <w:right w:val="single" w:sz="4" w:space="0" w:color="auto"/>
            </w:tcBorders>
            <w:shd w:val="clear" w:color="auto" w:fill="auto"/>
            <w:noWrap/>
            <w:vAlign w:val="bottom"/>
            <w:hideMark/>
          </w:tcPr>
          <w:p w14:paraId="7E91E4A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Carnegie</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Mellon</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DFDAFA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379</w:t>
            </w:r>
          </w:p>
        </w:tc>
        <w:tc>
          <w:tcPr>
            <w:tcW w:w="909" w:type="dxa"/>
            <w:tcBorders>
              <w:top w:val="nil"/>
              <w:left w:val="nil"/>
              <w:bottom w:val="single" w:sz="4" w:space="0" w:color="auto"/>
              <w:right w:val="single" w:sz="4" w:space="0" w:color="auto"/>
            </w:tcBorders>
            <w:shd w:val="clear" w:color="auto" w:fill="auto"/>
            <w:noWrap/>
            <w:vAlign w:val="bottom"/>
            <w:hideMark/>
          </w:tcPr>
          <w:p w14:paraId="4847D9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28</w:t>
            </w:r>
          </w:p>
        </w:tc>
        <w:tc>
          <w:tcPr>
            <w:tcW w:w="909" w:type="dxa"/>
            <w:tcBorders>
              <w:top w:val="nil"/>
              <w:left w:val="nil"/>
              <w:bottom w:val="single" w:sz="4" w:space="0" w:color="auto"/>
              <w:right w:val="single" w:sz="4" w:space="0" w:color="auto"/>
            </w:tcBorders>
            <w:shd w:val="clear" w:color="auto" w:fill="auto"/>
            <w:noWrap/>
            <w:vAlign w:val="bottom"/>
            <w:hideMark/>
          </w:tcPr>
          <w:p w14:paraId="076E1D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679C8B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c>
          <w:tcPr>
            <w:tcW w:w="909" w:type="dxa"/>
            <w:tcBorders>
              <w:top w:val="nil"/>
              <w:left w:val="nil"/>
              <w:bottom w:val="single" w:sz="4" w:space="0" w:color="auto"/>
              <w:right w:val="single" w:sz="4" w:space="0" w:color="auto"/>
            </w:tcBorders>
            <w:shd w:val="clear" w:color="auto" w:fill="auto"/>
            <w:noWrap/>
            <w:vAlign w:val="bottom"/>
            <w:hideMark/>
          </w:tcPr>
          <w:p w14:paraId="2916EC4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w:t>
            </w:r>
          </w:p>
        </w:tc>
      </w:tr>
      <w:tr w:rsidR="00622247" w:rsidRPr="00E9332A" w14:paraId="2B45CA3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C5504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w:t>
            </w:r>
          </w:p>
        </w:tc>
        <w:tc>
          <w:tcPr>
            <w:tcW w:w="3634" w:type="dxa"/>
            <w:tcBorders>
              <w:top w:val="nil"/>
              <w:left w:val="nil"/>
              <w:bottom w:val="single" w:sz="4" w:space="0" w:color="auto"/>
              <w:right w:val="single" w:sz="4" w:space="0" w:color="auto"/>
            </w:tcBorders>
            <w:shd w:val="clear" w:color="auto" w:fill="auto"/>
            <w:noWrap/>
            <w:vAlign w:val="bottom"/>
            <w:hideMark/>
          </w:tcPr>
          <w:p w14:paraId="34A2B28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Technical University of </w:t>
            </w:r>
            <w:proofErr w:type="spellStart"/>
            <w:r w:rsidRPr="00622247">
              <w:rPr>
                <w:rFonts w:eastAsia="Times New Roman" w:cs="Arial"/>
                <w:color w:val="000000"/>
                <w:sz w:val="18"/>
                <w:szCs w:val="18"/>
                <w:lang w:eastAsia="pl-PL"/>
              </w:rPr>
              <w:t>Munich</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0A7BAE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385</w:t>
            </w:r>
          </w:p>
        </w:tc>
        <w:tc>
          <w:tcPr>
            <w:tcW w:w="909" w:type="dxa"/>
            <w:tcBorders>
              <w:top w:val="nil"/>
              <w:left w:val="nil"/>
              <w:bottom w:val="single" w:sz="4" w:space="0" w:color="auto"/>
              <w:right w:val="single" w:sz="4" w:space="0" w:color="auto"/>
            </w:tcBorders>
            <w:shd w:val="clear" w:color="auto" w:fill="auto"/>
            <w:noWrap/>
            <w:vAlign w:val="bottom"/>
            <w:hideMark/>
          </w:tcPr>
          <w:p w14:paraId="1DBA5CA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30</w:t>
            </w:r>
          </w:p>
        </w:tc>
        <w:tc>
          <w:tcPr>
            <w:tcW w:w="909" w:type="dxa"/>
            <w:tcBorders>
              <w:top w:val="nil"/>
              <w:left w:val="nil"/>
              <w:bottom w:val="single" w:sz="4" w:space="0" w:color="auto"/>
              <w:right w:val="single" w:sz="4" w:space="0" w:color="auto"/>
            </w:tcBorders>
            <w:shd w:val="clear" w:color="auto" w:fill="auto"/>
            <w:noWrap/>
            <w:vAlign w:val="bottom"/>
            <w:hideMark/>
          </w:tcPr>
          <w:p w14:paraId="11805A1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w:t>
            </w:r>
          </w:p>
        </w:tc>
        <w:tc>
          <w:tcPr>
            <w:tcW w:w="909" w:type="dxa"/>
            <w:tcBorders>
              <w:top w:val="nil"/>
              <w:left w:val="nil"/>
              <w:bottom w:val="single" w:sz="4" w:space="0" w:color="auto"/>
              <w:right w:val="single" w:sz="4" w:space="0" w:color="auto"/>
            </w:tcBorders>
            <w:shd w:val="clear" w:color="auto" w:fill="auto"/>
            <w:noWrap/>
            <w:vAlign w:val="bottom"/>
            <w:hideMark/>
          </w:tcPr>
          <w:p w14:paraId="040DEB4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w:t>
            </w:r>
          </w:p>
        </w:tc>
        <w:tc>
          <w:tcPr>
            <w:tcW w:w="909" w:type="dxa"/>
            <w:tcBorders>
              <w:top w:val="nil"/>
              <w:left w:val="nil"/>
              <w:bottom w:val="single" w:sz="4" w:space="0" w:color="auto"/>
              <w:right w:val="single" w:sz="4" w:space="0" w:color="auto"/>
            </w:tcBorders>
            <w:shd w:val="clear" w:color="auto" w:fill="auto"/>
            <w:noWrap/>
            <w:vAlign w:val="bottom"/>
            <w:hideMark/>
          </w:tcPr>
          <w:p w14:paraId="25077C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08DD79F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F6A842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c>
          <w:tcPr>
            <w:tcW w:w="3634" w:type="dxa"/>
            <w:tcBorders>
              <w:top w:val="nil"/>
              <w:left w:val="nil"/>
              <w:bottom w:val="single" w:sz="4" w:space="0" w:color="auto"/>
              <w:right w:val="single" w:sz="4" w:space="0" w:color="auto"/>
            </w:tcBorders>
            <w:shd w:val="clear" w:color="auto" w:fill="auto"/>
            <w:noWrap/>
            <w:vAlign w:val="bottom"/>
            <w:hideMark/>
          </w:tcPr>
          <w:p w14:paraId="245BC70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Kyoto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FEEED4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395</w:t>
            </w:r>
          </w:p>
        </w:tc>
        <w:tc>
          <w:tcPr>
            <w:tcW w:w="909" w:type="dxa"/>
            <w:tcBorders>
              <w:top w:val="nil"/>
              <w:left w:val="nil"/>
              <w:bottom w:val="single" w:sz="4" w:space="0" w:color="auto"/>
              <w:right w:val="single" w:sz="4" w:space="0" w:color="auto"/>
            </w:tcBorders>
            <w:shd w:val="clear" w:color="auto" w:fill="auto"/>
            <w:noWrap/>
            <w:vAlign w:val="bottom"/>
            <w:hideMark/>
          </w:tcPr>
          <w:p w14:paraId="3C1163D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w:t>
            </w:r>
          </w:p>
        </w:tc>
        <w:tc>
          <w:tcPr>
            <w:tcW w:w="909" w:type="dxa"/>
            <w:tcBorders>
              <w:top w:val="nil"/>
              <w:left w:val="nil"/>
              <w:bottom w:val="single" w:sz="4" w:space="0" w:color="auto"/>
              <w:right w:val="single" w:sz="4" w:space="0" w:color="auto"/>
            </w:tcBorders>
            <w:shd w:val="clear" w:color="auto" w:fill="auto"/>
            <w:noWrap/>
            <w:vAlign w:val="bottom"/>
            <w:hideMark/>
          </w:tcPr>
          <w:p w14:paraId="022FAE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c>
          <w:tcPr>
            <w:tcW w:w="909" w:type="dxa"/>
            <w:tcBorders>
              <w:top w:val="nil"/>
              <w:left w:val="nil"/>
              <w:bottom w:val="single" w:sz="4" w:space="0" w:color="auto"/>
              <w:right w:val="single" w:sz="4" w:space="0" w:color="auto"/>
            </w:tcBorders>
            <w:shd w:val="clear" w:color="auto" w:fill="auto"/>
            <w:noWrap/>
            <w:vAlign w:val="bottom"/>
            <w:hideMark/>
          </w:tcPr>
          <w:p w14:paraId="7A3DDA1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w:t>
            </w:r>
          </w:p>
        </w:tc>
        <w:tc>
          <w:tcPr>
            <w:tcW w:w="909" w:type="dxa"/>
            <w:tcBorders>
              <w:top w:val="nil"/>
              <w:left w:val="nil"/>
              <w:bottom w:val="single" w:sz="4" w:space="0" w:color="auto"/>
              <w:right w:val="single" w:sz="4" w:space="0" w:color="auto"/>
            </w:tcBorders>
            <w:shd w:val="clear" w:color="auto" w:fill="auto"/>
            <w:noWrap/>
            <w:vAlign w:val="bottom"/>
            <w:hideMark/>
          </w:tcPr>
          <w:p w14:paraId="31E3BD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CF48E3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39D7E1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58</w:t>
            </w:r>
          </w:p>
        </w:tc>
        <w:tc>
          <w:tcPr>
            <w:tcW w:w="3634" w:type="dxa"/>
            <w:tcBorders>
              <w:top w:val="nil"/>
              <w:left w:val="nil"/>
              <w:bottom w:val="single" w:sz="4" w:space="0" w:color="auto"/>
              <w:right w:val="single" w:sz="4" w:space="0" w:color="auto"/>
            </w:tcBorders>
            <w:shd w:val="clear" w:color="auto" w:fill="auto"/>
            <w:noWrap/>
            <w:vAlign w:val="bottom"/>
            <w:hideMark/>
          </w:tcPr>
          <w:p w14:paraId="3BFAB4AF"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 xml:space="preserve">École Polytechnique </w:t>
            </w:r>
            <w:proofErr w:type="spellStart"/>
            <w:r w:rsidRPr="00622247">
              <w:rPr>
                <w:rFonts w:eastAsia="Times New Roman" w:cs="Arial"/>
                <w:color w:val="000000"/>
                <w:sz w:val="18"/>
                <w:szCs w:val="18"/>
                <w:lang w:val="en-GB" w:eastAsia="pl-PL"/>
              </w:rPr>
              <w:t>Fédérale</w:t>
            </w:r>
            <w:proofErr w:type="spellEnd"/>
            <w:r w:rsidRPr="00622247">
              <w:rPr>
                <w:rFonts w:eastAsia="Times New Roman" w:cs="Arial"/>
                <w:color w:val="000000"/>
                <w:sz w:val="18"/>
                <w:szCs w:val="18"/>
                <w:lang w:val="en-GB" w:eastAsia="pl-PL"/>
              </w:rPr>
              <w:t xml:space="preserve"> de Lausanne</w:t>
            </w:r>
          </w:p>
        </w:tc>
        <w:tc>
          <w:tcPr>
            <w:tcW w:w="909" w:type="dxa"/>
            <w:tcBorders>
              <w:top w:val="nil"/>
              <w:left w:val="nil"/>
              <w:bottom w:val="single" w:sz="4" w:space="0" w:color="auto"/>
              <w:right w:val="single" w:sz="4" w:space="0" w:color="auto"/>
            </w:tcBorders>
            <w:shd w:val="clear" w:color="auto" w:fill="auto"/>
            <w:noWrap/>
            <w:vAlign w:val="bottom"/>
            <w:hideMark/>
          </w:tcPr>
          <w:p w14:paraId="1BF27B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397</w:t>
            </w:r>
          </w:p>
        </w:tc>
        <w:tc>
          <w:tcPr>
            <w:tcW w:w="909" w:type="dxa"/>
            <w:tcBorders>
              <w:top w:val="nil"/>
              <w:left w:val="nil"/>
              <w:bottom w:val="single" w:sz="4" w:space="0" w:color="auto"/>
              <w:right w:val="single" w:sz="4" w:space="0" w:color="auto"/>
            </w:tcBorders>
            <w:shd w:val="clear" w:color="auto" w:fill="auto"/>
            <w:noWrap/>
            <w:vAlign w:val="bottom"/>
            <w:hideMark/>
          </w:tcPr>
          <w:p w14:paraId="406E889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c>
          <w:tcPr>
            <w:tcW w:w="909" w:type="dxa"/>
            <w:tcBorders>
              <w:top w:val="nil"/>
              <w:left w:val="nil"/>
              <w:bottom w:val="single" w:sz="4" w:space="0" w:color="auto"/>
              <w:right w:val="single" w:sz="4" w:space="0" w:color="auto"/>
            </w:tcBorders>
            <w:shd w:val="clear" w:color="auto" w:fill="auto"/>
            <w:noWrap/>
            <w:vAlign w:val="bottom"/>
            <w:hideMark/>
          </w:tcPr>
          <w:p w14:paraId="6B7AA9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BC65B0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c>
          <w:tcPr>
            <w:tcW w:w="909" w:type="dxa"/>
            <w:tcBorders>
              <w:top w:val="nil"/>
              <w:left w:val="nil"/>
              <w:bottom w:val="single" w:sz="4" w:space="0" w:color="auto"/>
              <w:right w:val="single" w:sz="4" w:space="0" w:color="auto"/>
            </w:tcBorders>
            <w:shd w:val="clear" w:color="auto" w:fill="auto"/>
            <w:noWrap/>
            <w:vAlign w:val="bottom"/>
            <w:hideMark/>
          </w:tcPr>
          <w:p w14:paraId="639E5A2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r>
      <w:tr w:rsidR="00622247" w:rsidRPr="00E9332A" w14:paraId="639AB4B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D01835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w:t>
            </w:r>
          </w:p>
        </w:tc>
        <w:tc>
          <w:tcPr>
            <w:tcW w:w="3634" w:type="dxa"/>
            <w:tcBorders>
              <w:top w:val="nil"/>
              <w:left w:val="nil"/>
              <w:bottom w:val="single" w:sz="4" w:space="0" w:color="auto"/>
              <w:right w:val="single" w:sz="4" w:space="0" w:color="auto"/>
            </w:tcBorders>
            <w:shd w:val="clear" w:color="auto" w:fill="auto"/>
            <w:noWrap/>
            <w:vAlign w:val="bottom"/>
            <w:hideMark/>
          </w:tcPr>
          <w:p w14:paraId="1E19726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Southern California</w:t>
            </w:r>
          </w:p>
        </w:tc>
        <w:tc>
          <w:tcPr>
            <w:tcW w:w="909" w:type="dxa"/>
            <w:tcBorders>
              <w:top w:val="nil"/>
              <w:left w:val="nil"/>
              <w:bottom w:val="single" w:sz="4" w:space="0" w:color="auto"/>
              <w:right w:val="single" w:sz="4" w:space="0" w:color="auto"/>
            </w:tcBorders>
            <w:shd w:val="clear" w:color="auto" w:fill="auto"/>
            <w:noWrap/>
            <w:vAlign w:val="bottom"/>
            <w:hideMark/>
          </w:tcPr>
          <w:p w14:paraId="5145ED2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399</w:t>
            </w:r>
          </w:p>
        </w:tc>
        <w:tc>
          <w:tcPr>
            <w:tcW w:w="909" w:type="dxa"/>
            <w:tcBorders>
              <w:top w:val="nil"/>
              <w:left w:val="nil"/>
              <w:bottom w:val="single" w:sz="4" w:space="0" w:color="auto"/>
              <w:right w:val="single" w:sz="4" w:space="0" w:color="auto"/>
            </w:tcBorders>
            <w:shd w:val="clear" w:color="auto" w:fill="auto"/>
            <w:noWrap/>
            <w:vAlign w:val="bottom"/>
            <w:hideMark/>
          </w:tcPr>
          <w:p w14:paraId="02A792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w:t>
            </w:r>
          </w:p>
        </w:tc>
        <w:tc>
          <w:tcPr>
            <w:tcW w:w="909" w:type="dxa"/>
            <w:tcBorders>
              <w:top w:val="nil"/>
              <w:left w:val="nil"/>
              <w:bottom w:val="single" w:sz="4" w:space="0" w:color="auto"/>
              <w:right w:val="single" w:sz="4" w:space="0" w:color="auto"/>
            </w:tcBorders>
            <w:shd w:val="clear" w:color="auto" w:fill="auto"/>
            <w:noWrap/>
            <w:vAlign w:val="bottom"/>
            <w:hideMark/>
          </w:tcPr>
          <w:p w14:paraId="71AF5EC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c>
          <w:tcPr>
            <w:tcW w:w="909" w:type="dxa"/>
            <w:tcBorders>
              <w:top w:val="nil"/>
              <w:left w:val="nil"/>
              <w:bottom w:val="single" w:sz="4" w:space="0" w:color="auto"/>
              <w:right w:val="single" w:sz="4" w:space="0" w:color="auto"/>
            </w:tcBorders>
            <w:shd w:val="clear" w:color="auto" w:fill="auto"/>
            <w:noWrap/>
            <w:vAlign w:val="bottom"/>
            <w:hideMark/>
          </w:tcPr>
          <w:p w14:paraId="6FD3F3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13BF10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31</w:t>
            </w:r>
          </w:p>
        </w:tc>
      </w:tr>
      <w:tr w:rsidR="00622247" w:rsidRPr="00E9332A" w14:paraId="3798786B"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113D7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c>
          <w:tcPr>
            <w:tcW w:w="3634" w:type="dxa"/>
            <w:tcBorders>
              <w:top w:val="nil"/>
              <w:left w:val="nil"/>
              <w:bottom w:val="single" w:sz="4" w:space="0" w:color="auto"/>
              <w:right w:val="single" w:sz="4" w:space="0" w:color="auto"/>
            </w:tcBorders>
            <w:shd w:val="clear" w:color="auto" w:fill="auto"/>
            <w:noWrap/>
            <w:vAlign w:val="bottom"/>
            <w:hideMark/>
          </w:tcPr>
          <w:p w14:paraId="313F2F7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Fudan</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00D3D5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402</w:t>
            </w:r>
          </w:p>
        </w:tc>
        <w:tc>
          <w:tcPr>
            <w:tcW w:w="909" w:type="dxa"/>
            <w:tcBorders>
              <w:top w:val="nil"/>
              <w:left w:val="nil"/>
              <w:bottom w:val="single" w:sz="4" w:space="0" w:color="auto"/>
              <w:right w:val="single" w:sz="4" w:space="0" w:color="auto"/>
            </w:tcBorders>
            <w:shd w:val="clear" w:color="auto" w:fill="auto"/>
            <w:noWrap/>
            <w:vAlign w:val="bottom"/>
            <w:hideMark/>
          </w:tcPr>
          <w:p w14:paraId="76F6897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51</w:t>
            </w:r>
          </w:p>
        </w:tc>
        <w:tc>
          <w:tcPr>
            <w:tcW w:w="909" w:type="dxa"/>
            <w:tcBorders>
              <w:top w:val="nil"/>
              <w:left w:val="nil"/>
              <w:bottom w:val="single" w:sz="4" w:space="0" w:color="auto"/>
              <w:right w:val="single" w:sz="4" w:space="0" w:color="auto"/>
            </w:tcBorders>
            <w:shd w:val="clear" w:color="auto" w:fill="auto"/>
            <w:noWrap/>
            <w:vAlign w:val="bottom"/>
            <w:hideMark/>
          </w:tcPr>
          <w:p w14:paraId="6B04A52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c>
          <w:tcPr>
            <w:tcW w:w="909" w:type="dxa"/>
            <w:tcBorders>
              <w:top w:val="nil"/>
              <w:left w:val="nil"/>
              <w:bottom w:val="single" w:sz="4" w:space="0" w:color="auto"/>
              <w:right w:val="single" w:sz="4" w:space="0" w:color="auto"/>
            </w:tcBorders>
            <w:shd w:val="clear" w:color="auto" w:fill="auto"/>
            <w:noWrap/>
            <w:vAlign w:val="bottom"/>
            <w:hideMark/>
          </w:tcPr>
          <w:p w14:paraId="2C4073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c>
          <w:tcPr>
            <w:tcW w:w="909" w:type="dxa"/>
            <w:tcBorders>
              <w:top w:val="nil"/>
              <w:left w:val="nil"/>
              <w:bottom w:val="single" w:sz="4" w:space="0" w:color="auto"/>
              <w:right w:val="single" w:sz="4" w:space="0" w:color="auto"/>
            </w:tcBorders>
            <w:shd w:val="clear" w:color="auto" w:fill="auto"/>
            <w:noWrap/>
            <w:vAlign w:val="bottom"/>
            <w:hideMark/>
          </w:tcPr>
          <w:p w14:paraId="3FA1A73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8CCD47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F5064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c>
          <w:tcPr>
            <w:tcW w:w="3634" w:type="dxa"/>
            <w:tcBorders>
              <w:top w:val="nil"/>
              <w:left w:val="nil"/>
              <w:bottom w:val="single" w:sz="4" w:space="0" w:color="auto"/>
              <w:right w:val="single" w:sz="4" w:space="0" w:color="auto"/>
            </w:tcBorders>
            <w:shd w:val="clear" w:color="auto" w:fill="auto"/>
            <w:noWrap/>
            <w:vAlign w:val="bottom"/>
            <w:hideMark/>
          </w:tcPr>
          <w:p w14:paraId="7A27D053"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Chinese University of Hong Kong</w:t>
            </w:r>
          </w:p>
        </w:tc>
        <w:tc>
          <w:tcPr>
            <w:tcW w:w="909" w:type="dxa"/>
            <w:tcBorders>
              <w:top w:val="nil"/>
              <w:left w:val="nil"/>
              <w:bottom w:val="single" w:sz="4" w:space="0" w:color="auto"/>
              <w:right w:val="single" w:sz="4" w:space="0" w:color="auto"/>
            </w:tcBorders>
            <w:shd w:val="clear" w:color="auto" w:fill="auto"/>
            <w:noWrap/>
            <w:vAlign w:val="bottom"/>
            <w:hideMark/>
          </w:tcPr>
          <w:p w14:paraId="6470005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414</w:t>
            </w:r>
          </w:p>
        </w:tc>
        <w:tc>
          <w:tcPr>
            <w:tcW w:w="909" w:type="dxa"/>
            <w:tcBorders>
              <w:top w:val="nil"/>
              <w:left w:val="nil"/>
              <w:bottom w:val="single" w:sz="4" w:space="0" w:color="auto"/>
              <w:right w:val="single" w:sz="4" w:space="0" w:color="auto"/>
            </w:tcBorders>
            <w:shd w:val="clear" w:color="auto" w:fill="auto"/>
            <w:noWrap/>
            <w:vAlign w:val="bottom"/>
            <w:hideMark/>
          </w:tcPr>
          <w:p w14:paraId="37CA74C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45</w:t>
            </w:r>
          </w:p>
        </w:tc>
        <w:tc>
          <w:tcPr>
            <w:tcW w:w="909" w:type="dxa"/>
            <w:tcBorders>
              <w:top w:val="nil"/>
              <w:left w:val="nil"/>
              <w:bottom w:val="single" w:sz="4" w:space="0" w:color="auto"/>
              <w:right w:val="single" w:sz="4" w:space="0" w:color="auto"/>
            </w:tcBorders>
            <w:shd w:val="clear" w:color="auto" w:fill="auto"/>
            <w:noWrap/>
            <w:vAlign w:val="bottom"/>
            <w:hideMark/>
          </w:tcPr>
          <w:p w14:paraId="6CEFE33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9EBBF4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w:t>
            </w:r>
          </w:p>
        </w:tc>
        <w:tc>
          <w:tcPr>
            <w:tcW w:w="909" w:type="dxa"/>
            <w:tcBorders>
              <w:top w:val="nil"/>
              <w:left w:val="nil"/>
              <w:bottom w:val="single" w:sz="4" w:space="0" w:color="auto"/>
              <w:right w:val="single" w:sz="4" w:space="0" w:color="auto"/>
            </w:tcBorders>
            <w:shd w:val="clear" w:color="auto" w:fill="auto"/>
            <w:noWrap/>
            <w:vAlign w:val="bottom"/>
            <w:hideMark/>
          </w:tcPr>
          <w:p w14:paraId="7415864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w:t>
            </w:r>
          </w:p>
        </w:tc>
      </w:tr>
      <w:tr w:rsidR="00622247" w:rsidRPr="00E9332A" w14:paraId="1A42AE9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500AD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c>
          <w:tcPr>
            <w:tcW w:w="3634" w:type="dxa"/>
            <w:tcBorders>
              <w:top w:val="nil"/>
              <w:left w:val="nil"/>
              <w:bottom w:val="single" w:sz="4" w:space="0" w:color="auto"/>
              <w:right w:val="single" w:sz="4" w:space="0" w:color="auto"/>
            </w:tcBorders>
            <w:shd w:val="clear" w:color="auto" w:fill="auto"/>
            <w:noWrap/>
            <w:vAlign w:val="bottom"/>
            <w:hideMark/>
          </w:tcPr>
          <w:p w14:paraId="661D5A4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Université</w:t>
            </w:r>
            <w:proofErr w:type="spellEnd"/>
            <w:r w:rsidRPr="00622247">
              <w:rPr>
                <w:rFonts w:eastAsia="Times New Roman" w:cs="Arial"/>
                <w:color w:val="000000"/>
                <w:sz w:val="18"/>
                <w:szCs w:val="18"/>
                <w:lang w:eastAsia="pl-PL"/>
              </w:rPr>
              <w:t xml:space="preserve"> Paris-</w:t>
            </w:r>
            <w:proofErr w:type="spellStart"/>
            <w:r w:rsidRPr="00622247">
              <w:rPr>
                <w:rFonts w:eastAsia="Times New Roman" w:cs="Arial"/>
                <w:color w:val="000000"/>
                <w:sz w:val="18"/>
                <w:szCs w:val="18"/>
                <w:lang w:eastAsia="pl-PL"/>
              </w:rPr>
              <w:t>Saclay</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0F1E29D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428</w:t>
            </w:r>
          </w:p>
        </w:tc>
        <w:tc>
          <w:tcPr>
            <w:tcW w:w="909" w:type="dxa"/>
            <w:tcBorders>
              <w:top w:val="nil"/>
              <w:left w:val="nil"/>
              <w:bottom w:val="single" w:sz="4" w:space="0" w:color="auto"/>
              <w:right w:val="single" w:sz="4" w:space="0" w:color="auto"/>
            </w:tcBorders>
            <w:shd w:val="clear" w:color="auto" w:fill="auto"/>
            <w:noWrap/>
            <w:vAlign w:val="bottom"/>
            <w:hideMark/>
          </w:tcPr>
          <w:p w14:paraId="13371B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93</w:t>
            </w:r>
          </w:p>
        </w:tc>
        <w:tc>
          <w:tcPr>
            <w:tcW w:w="909" w:type="dxa"/>
            <w:tcBorders>
              <w:top w:val="nil"/>
              <w:left w:val="nil"/>
              <w:bottom w:val="single" w:sz="4" w:space="0" w:color="auto"/>
              <w:right w:val="single" w:sz="4" w:space="0" w:color="auto"/>
            </w:tcBorders>
            <w:shd w:val="clear" w:color="auto" w:fill="auto"/>
            <w:noWrap/>
            <w:vAlign w:val="bottom"/>
            <w:hideMark/>
          </w:tcPr>
          <w:p w14:paraId="442EADF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w:t>
            </w:r>
          </w:p>
        </w:tc>
        <w:tc>
          <w:tcPr>
            <w:tcW w:w="909" w:type="dxa"/>
            <w:tcBorders>
              <w:top w:val="nil"/>
              <w:left w:val="nil"/>
              <w:bottom w:val="single" w:sz="4" w:space="0" w:color="auto"/>
              <w:right w:val="single" w:sz="4" w:space="0" w:color="auto"/>
            </w:tcBorders>
            <w:shd w:val="clear" w:color="auto" w:fill="auto"/>
            <w:noWrap/>
            <w:vAlign w:val="bottom"/>
            <w:hideMark/>
          </w:tcPr>
          <w:p w14:paraId="4DD5CE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69</w:t>
            </w:r>
          </w:p>
        </w:tc>
        <w:tc>
          <w:tcPr>
            <w:tcW w:w="909" w:type="dxa"/>
            <w:tcBorders>
              <w:top w:val="nil"/>
              <w:left w:val="nil"/>
              <w:bottom w:val="single" w:sz="4" w:space="0" w:color="auto"/>
              <w:right w:val="single" w:sz="4" w:space="0" w:color="auto"/>
            </w:tcBorders>
            <w:shd w:val="clear" w:color="auto" w:fill="auto"/>
            <w:noWrap/>
            <w:vAlign w:val="bottom"/>
            <w:hideMark/>
          </w:tcPr>
          <w:p w14:paraId="1E6B6D0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F62C8D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B3092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c>
          <w:tcPr>
            <w:tcW w:w="3634" w:type="dxa"/>
            <w:tcBorders>
              <w:top w:val="nil"/>
              <w:left w:val="nil"/>
              <w:bottom w:val="single" w:sz="4" w:space="0" w:color="auto"/>
              <w:right w:val="single" w:sz="4" w:space="0" w:color="auto"/>
            </w:tcBorders>
            <w:shd w:val="clear" w:color="auto" w:fill="auto"/>
            <w:noWrap/>
            <w:vAlign w:val="bottom"/>
            <w:hideMark/>
          </w:tcPr>
          <w:p w14:paraId="617C81E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Utrecht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091A8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435</w:t>
            </w:r>
          </w:p>
        </w:tc>
        <w:tc>
          <w:tcPr>
            <w:tcW w:w="909" w:type="dxa"/>
            <w:tcBorders>
              <w:top w:val="nil"/>
              <w:left w:val="nil"/>
              <w:bottom w:val="single" w:sz="4" w:space="0" w:color="auto"/>
              <w:right w:val="single" w:sz="4" w:space="0" w:color="auto"/>
            </w:tcBorders>
            <w:shd w:val="clear" w:color="auto" w:fill="auto"/>
            <w:noWrap/>
            <w:vAlign w:val="bottom"/>
            <w:hideMark/>
          </w:tcPr>
          <w:p w14:paraId="6EF0BE2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w:t>
            </w:r>
          </w:p>
        </w:tc>
        <w:tc>
          <w:tcPr>
            <w:tcW w:w="909" w:type="dxa"/>
            <w:tcBorders>
              <w:top w:val="nil"/>
              <w:left w:val="nil"/>
              <w:bottom w:val="single" w:sz="4" w:space="0" w:color="auto"/>
              <w:right w:val="single" w:sz="4" w:space="0" w:color="auto"/>
            </w:tcBorders>
            <w:shd w:val="clear" w:color="auto" w:fill="auto"/>
            <w:noWrap/>
            <w:vAlign w:val="bottom"/>
            <w:hideMark/>
          </w:tcPr>
          <w:p w14:paraId="24BC81C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909" w:type="dxa"/>
            <w:tcBorders>
              <w:top w:val="nil"/>
              <w:left w:val="nil"/>
              <w:bottom w:val="single" w:sz="4" w:space="0" w:color="auto"/>
              <w:right w:val="single" w:sz="4" w:space="0" w:color="auto"/>
            </w:tcBorders>
            <w:shd w:val="clear" w:color="auto" w:fill="auto"/>
            <w:noWrap/>
            <w:vAlign w:val="bottom"/>
            <w:hideMark/>
          </w:tcPr>
          <w:p w14:paraId="6ECC05A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402181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w:t>
            </w:r>
          </w:p>
        </w:tc>
      </w:tr>
      <w:tr w:rsidR="00622247" w:rsidRPr="00E9332A" w14:paraId="30FF284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BC02A4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c>
          <w:tcPr>
            <w:tcW w:w="3634" w:type="dxa"/>
            <w:tcBorders>
              <w:top w:val="nil"/>
              <w:left w:val="nil"/>
              <w:bottom w:val="single" w:sz="4" w:space="0" w:color="auto"/>
              <w:right w:val="single" w:sz="4" w:space="0" w:color="auto"/>
            </w:tcBorders>
            <w:shd w:val="clear" w:color="auto" w:fill="auto"/>
            <w:noWrap/>
            <w:vAlign w:val="bottom"/>
            <w:hideMark/>
          </w:tcPr>
          <w:p w14:paraId="662228E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Georgia </w:t>
            </w:r>
            <w:proofErr w:type="spellStart"/>
            <w:r w:rsidRPr="00622247">
              <w:rPr>
                <w:rFonts w:eastAsia="Times New Roman" w:cs="Arial"/>
                <w:color w:val="000000"/>
                <w:sz w:val="18"/>
                <w:szCs w:val="18"/>
                <w:lang w:eastAsia="pl-PL"/>
              </w:rPr>
              <w:t>Institute</w:t>
            </w:r>
            <w:proofErr w:type="spellEnd"/>
            <w:r w:rsidRPr="00622247">
              <w:rPr>
                <w:rFonts w:eastAsia="Times New Roman" w:cs="Arial"/>
                <w:color w:val="000000"/>
                <w:sz w:val="18"/>
                <w:szCs w:val="18"/>
                <w:lang w:eastAsia="pl-PL"/>
              </w:rPr>
              <w:t xml:space="preserve">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4786FFB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438</w:t>
            </w:r>
          </w:p>
        </w:tc>
        <w:tc>
          <w:tcPr>
            <w:tcW w:w="909" w:type="dxa"/>
            <w:tcBorders>
              <w:top w:val="nil"/>
              <w:left w:val="nil"/>
              <w:bottom w:val="single" w:sz="4" w:space="0" w:color="auto"/>
              <w:right w:val="single" w:sz="4" w:space="0" w:color="auto"/>
            </w:tcBorders>
            <w:shd w:val="clear" w:color="auto" w:fill="auto"/>
            <w:noWrap/>
            <w:vAlign w:val="bottom"/>
            <w:hideMark/>
          </w:tcPr>
          <w:p w14:paraId="210D61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w:t>
            </w:r>
          </w:p>
        </w:tc>
        <w:tc>
          <w:tcPr>
            <w:tcW w:w="909" w:type="dxa"/>
            <w:tcBorders>
              <w:top w:val="nil"/>
              <w:left w:val="nil"/>
              <w:bottom w:val="single" w:sz="4" w:space="0" w:color="auto"/>
              <w:right w:val="single" w:sz="4" w:space="0" w:color="auto"/>
            </w:tcBorders>
            <w:shd w:val="clear" w:color="auto" w:fill="auto"/>
            <w:noWrap/>
            <w:vAlign w:val="bottom"/>
            <w:hideMark/>
          </w:tcPr>
          <w:p w14:paraId="195131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AF0458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88</w:t>
            </w:r>
          </w:p>
        </w:tc>
        <w:tc>
          <w:tcPr>
            <w:tcW w:w="909" w:type="dxa"/>
            <w:tcBorders>
              <w:top w:val="nil"/>
              <w:left w:val="nil"/>
              <w:bottom w:val="single" w:sz="4" w:space="0" w:color="auto"/>
              <w:right w:val="single" w:sz="4" w:space="0" w:color="auto"/>
            </w:tcBorders>
            <w:shd w:val="clear" w:color="auto" w:fill="auto"/>
            <w:noWrap/>
            <w:vAlign w:val="bottom"/>
            <w:hideMark/>
          </w:tcPr>
          <w:p w14:paraId="4EA87E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r>
      <w:tr w:rsidR="00622247" w:rsidRPr="00E9332A" w14:paraId="6E33B88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7B9D26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w:t>
            </w:r>
          </w:p>
        </w:tc>
        <w:tc>
          <w:tcPr>
            <w:tcW w:w="3634" w:type="dxa"/>
            <w:tcBorders>
              <w:top w:val="nil"/>
              <w:left w:val="nil"/>
              <w:bottom w:val="single" w:sz="4" w:space="0" w:color="auto"/>
              <w:right w:val="single" w:sz="4" w:space="0" w:color="auto"/>
            </w:tcBorders>
            <w:shd w:val="clear" w:color="auto" w:fill="auto"/>
            <w:noWrap/>
            <w:vAlign w:val="bottom"/>
            <w:hideMark/>
          </w:tcPr>
          <w:p w14:paraId="3EC9E81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Amsterdam</w:t>
            </w:r>
          </w:p>
        </w:tc>
        <w:tc>
          <w:tcPr>
            <w:tcW w:w="909" w:type="dxa"/>
            <w:tcBorders>
              <w:top w:val="nil"/>
              <w:left w:val="nil"/>
              <w:bottom w:val="single" w:sz="4" w:space="0" w:color="auto"/>
              <w:right w:val="single" w:sz="4" w:space="0" w:color="auto"/>
            </w:tcBorders>
            <w:shd w:val="clear" w:color="auto" w:fill="auto"/>
            <w:noWrap/>
            <w:vAlign w:val="bottom"/>
            <w:hideMark/>
          </w:tcPr>
          <w:p w14:paraId="62D90A4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441</w:t>
            </w:r>
          </w:p>
        </w:tc>
        <w:tc>
          <w:tcPr>
            <w:tcW w:w="909" w:type="dxa"/>
            <w:tcBorders>
              <w:top w:val="nil"/>
              <w:left w:val="nil"/>
              <w:bottom w:val="single" w:sz="4" w:space="0" w:color="auto"/>
              <w:right w:val="single" w:sz="4" w:space="0" w:color="auto"/>
            </w:tcBorders>
            <w:shd w:val="clear" w:color="auto" w:fill="auto"/>
            <w:noWrap/>
            <w:vAlign w:val="bottom"/>
            <w:hideMark/>
          </w:tcPr>
          <w:p w14:paraId="3B6B21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c>
          <w:tcPr>
            <w:tcW w:w="909" w:type="dxa"/>
            <w:tcBorders>
              <w:top w:val="nil"/>
              <w:left w:val="nil"/>
              <w:bottom w:val="single" w:sz="4" w:space="0" w:color="auto"/>
              <w:right w:val="single" w:sz="4" w:space="0" w:color="auto"/>
            </w:tcBorders>
            <w:shd w:val="clear" w:color="auto" w:fill="auto"/>
            <w:noWrap/>
            <w:vAlign w:val="bottom"/>
            <w:hideMark/>
          </w:tcPr>
          <w:p w14:paraId="180151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59D6B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58</w:t>
            </w:r>
          </w:p>
        </w:tc>
        <w:tc>
          <w:tcPr>
            <w:tcW w:w="909" w:type="dxa"/>
            <w:tcBorders>
              <w:top w:val="nil"/>
              <w:left w:val="nil"/>
              <w:bottom w:val="single" w:sz="4" w:space="0" w:color="auto"/>
              <w:right w:val="single" w:sz="4" w:space="0" w:color="auto"/>
            </w:tcBorders>
            <w:shd w:val="clear" w:color="auto" w:fill="auto"/>
            <w:noWrap/>
            <w:vAlign w:val="bottom"/>
            <w:hideMark/>
          </w:tcPr>
          <w:p w14:paraId="03299B3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73</w:t>
            </w:r>
          </w:p>
        </w:tc>
      </w:tr>
      <w:tr w:rsidR="00622247" w:rsidRPr="00E9332A" w14:paraId="59A9E07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13B44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w:t>
            </w:r>
          </w:p>
        </w:tc>
        <w:tc>
          <w:tcPr>
            <w:tcW w:w="3634" w:type="dxa"/>
            <w:tcBorders>
              <w:top w:val="nil"/>
              <w:left w:val="nil"/>
              <w:bottom w:val="single" w:sz="4" w:space="0" w:color="auto"/>
              <w:right w:val="single" w:sz="4" w:space="0" w:color="auto"/>
            </w:tcBorders>
            <w:shd w:val="clear" w:color="auto" w:fill="auto"/>
            <w:noWrap/>
            <w:vAlign w:val="bottom"/>
            <w:hideMark/>
          </w:tcPr>
          <w:p w14:paraId="69CA4B2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Sorbonne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0B1EE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443</w:t>
            </w:r>
          </w:p>
        </w:tc>
        <w:tc>
          <w:tcPr>
            <w:tcW w:w="909" w:type="dxa"/>
            <w:tcBorders>
              <w:top w:val="nil"/>
              <w:left w:val="nil"/>
              <w:bottom w:val="single" w:sz="4" w:space="0" w:color="auto"/>
              <w:right w:val="single" w:sz="4" w:space="0" w:color="auto"/>
            </w:tcBorders>
            <w:shd w:val="clear" w:color="auto" w:fill="auto"/>
            <w:noWrap/>
            <w:vAlign w:val="bottom"/>
            <w:hideMark/>
          </w:tcPr>
          <w:p w14:paraId="150D503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909" w:type="dxa"/>
            <w:tcBorders>
              <w:top w:val="nil"/>
              <w:left w:val="nil"/>
              <w:bottom w:val="single" w:sz="4" w:space="0" w:color="auto"/>
              <w:right w:val="single" w:sz="4" w:space="0" w:color="auto"/>
            </w:tcBorders>
            <w:shd w:val="clear" w:color="auto" w:fill="auto"/>
            <w:noWrap/>
            <w:vAlign w:val="bottom"/>
            <w:hideMark/>
          </w:tcPr>
          <w:p w14:paraId="3AC9F37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w:t>
            </w:r>
          </w:p>
        </w:tc>
        <w:tc>
          <w:tcPr>
            <w:tcW w:w="909" w:type="dxa"/>
            <w:tcBorders>
              <w:top w:val="nil"/>
              <w:left w:val="nil"/>
              <w:bottom w:val="single" w:sz="4" w:space="0" w:color="auto"/>
              <w:right w:val="single" w:sz="4" w:space="0" w:color="auto"/>
            </w:tcBorders>
            <w:shd w:val="clear" w:color="auto" w:fill="auto"/>
            <w:noWrap/>
            <w:vAlign w:val="bottom"/>
            <w:hideMark/>
          </w:tcPr>
          <w:p w14:paraId="708EE92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w:t>
            </w:r>
          </w:p>
        </w:tc>
        <w:tc>
          <w:tcPr>
            <w:tcW w:w="909" w:type="dxa"/>
            <w:tcBorders>
              <w:top w:val="nil"/>
              <w:left w:val="nil"/>
              <w:bottom w:val="single" w:sz="4" w:space="0" w:color="auto"/>
              <w:right w:val="single" w:sz="4" w:space="0" w:color="auto"/>
            </w:tcBorders>
            <w:shd w:val="clear" w:color="auto" w:fill="auto"/>
            <w:noWrap/>
            <w:vAlign w:val="bottom"/>
            <w:hideMark/>
          </w:tcPr>
          <w:p w14:paraId="3592BEA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F85F9B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5152B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c>
          <w:tcPr>
            <w:tcW w:w="3634" w:type="dxa"/>
            <w:tcBorders>
              <w:top w:val="nil"/>
              <w:left w:val="nil"/>
              <w:bottom w:val="single" w:sz="4" w:space="0" w:color="auto"/>
              <w:right w:val="single" w:sz="4" w:space="0" w:color="auto"/>
            </w:tcBorders>
            <w:shd w:val="clear" w:color="auto" w:fill="auto"/>
            <w:noWrap/>
            <w:vAlign w:val="bottom"/>
            <w:hideMark/>
          </w:tcPr>
          <w:p w14:paraId="7831663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California </w:t>
            </w:r>
            <w:proofErr w:type="spellStart"/>
            <w:r w:rsidRPr="00622247">
              <w:rPr>
                <w:rFonts w:eastAsia="Times New Roman" w:cs="Arial"/>
                <w:color w:val="000000"/>
                <w:sz w:val="18"/>
                <w:szCs w:val="18"/>
                <w:lang w:eastAsia="pl-PL"/>
              </w:rPr>
              <w:t>Irvine</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1A2A70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444</w:t>
            </w:r>
          </w:p>
        </w:tc>
        <w:tc>
          <w:tcPr>
            <w:tcW w:w="909" w:type="dxa"/>
            <w:tcBorders>
              <w:top w:val="nil"/>
              <w:left w:val="nil"/>
              <w:bottom w:val="single" w:sz="4" w:space="0" w:color="auto"/>
              <w:right w:val="single" w:sz="4" w:space="0" w:color="auto"/>
            </w:tcBorders>
            <w:shd w:val="clear" w:color="auto" w:fill="auto"/>
            <w:noWrap/>
            <w:vAlign w:val="bottom"/>
            <w:hideMark/>
          </w:tcPr>
          <w:p w14:paraId="692D53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0AF4B33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c>
          <w:tcPr>
            <w:tcW w:w="909" w:type="dxa"/>
            <w:tcBorders>
              <w:top w:val="nil"/>
              <w:left w:val="nil"/>
              <w:bottom w:val="single" w:sz="4" w:space="0" w:color="auto"/>
              <w:right w:val="single" w:sz="4" w:space="0" w:color="auto"/>
            </w:tcBorders>
            <w:shd w:val="clear" w:color="auto" w:fill="auto"/>
            <w:noWrap/>
            <w:vAlign w:val="bottom"/>
            <w:hideMark/>
          </w:tcPr>
          <w:p w14:paraId="688D2E3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B329B8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38</w:t>
            </w:r>
          </w:p>
        </w:tc>
      </w:tr>
      <w:tr w:rsidR="00622247" w:rsidRPr="00E9332A" w14:paraId="271764F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1CAA41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w:t>
            </w:r>
          </w:p>
        </w:tc>
        <w:tc>
          <w:tcPr>
            <w:tcW w:w="3634" w:type="dxa"/>
            <w:tcBorders>
              <w:top w:val="nil"/>
              <w:left w:val="nil"/>
              <w:bottom w:val="single" w:sz="4" w:space="0" w:color="auto"/>
              <w:right w:val="single" w:sz="4" w:space="0" w:color="auto"/>
            </w:tcBorders>
            <w:shd w:val="clear" w:color="auto" w:fill="auto"/>
            <w:noWrap/>
            <w:vAlign w:val="bottom"/>
            <w:hideMark/>
          </w:tcPr>
          <w:p w14:paraId="160718A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Copenhagen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2949548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445</w:t>
            </w:r>
          </w:p>
        </w:tc>
        <w:tc>
          <w:tcPr>
            <w:tcW w:w="909" w:type="dxa"/>
            <w:tcBorders>
              <w:top w:val="nil"/>
              <w:left w:val="nil"/>
              <w:bottom w:val="single" w:sz="4" w:space="0" w:color="auto"/>
              <w:right w:val="single" w:sz="4" w:space="0" w:color="auto"/>
            </w:tcBorders>
            <w:shd w:val="clear" w:color="auto" w:fill="auto"/>
            <w:noWrap/>
            <w:vAlign w:val="bottom"/>
            <w:hideMark/>
          </w:tcPr>
          <w:p w14:paraId="7D3D5A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5BA1A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w:t>
            </w:r>
          </w:p>
        </w:tc>
        <w:tc>
          <w:tcPr>
            <w:tcW w:w="909" w:type="dxa"/>
            <w:tcBorders>
              <w:top w:val="nil"/>
              <w:left w:val="nil"/>
              <w:bottom w:val="single" w:sz="4" w:space="0" w:color="auto"/>
              <w:right w:val="single" w:sz="4" w:space="0" w:color="auto"/>
            </w:tcBorders>
            <w:shd w:val="clear" w:color="auto" w:fill="auto"/>
            <w:noWrap/>
            <w:vAlign w:val="bottom"/>
            <w:hideMark/>
          </w:tcPr>
          <w:p w14:paraId="3F889E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7730D2E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r>
      <w:tr w:rsidR="00622247" w:rsidRPr="00E9332A" w14:paraId="6A52530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78A615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69</w:t>
            </w:r>
          </w:p>
        </w:tc>
        <w:tc>
          <w:tcPr>
            <w:tcW w:w="3634" w:type="dxa"/>
            <w:tcBorders>
              <w:top w:val="nil"/>
              <w:left w:val="nil"/>
              <w:bottom w:val="single" w:sz="4" w:space="0" w:color="auto"/>
              <w:right w:val="single" w:sz="4" w:space="0" w:color="auto"/>
            </w:tcBorders>
            <w:shd w:val="clear" w:color="auto" w:fill="auto"/>
            <w:noWrap/>
            <w:vAlign w:val="bottom"/>
            <w:hideMark/>
          </w:tcPr>
          <w:p w14:paraId="22C4B36D"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California Santa Barbara</w:t>
            </w:r>
          </w:p>
        </w:tc>
        <w:tc>
          <w:tcPr>
            <w:tcW w:w="909" w:type="dxa"/>
            <w:tcBorders>
              <w:top w:val="nil"/>
              <w:left w:val="nil"/>
              <w:bottom w:val="single" w:sz="4" w:space="0" w:color="auto"/>
              <w:right w:val="single" w:sz="4" w:space="0" w:color="auto"/>
            </w:tcBorders>
            <w:shd w:val="clear" w:color="auto" w:fill="auto"/>
            <w:noWrap/>
            <w:vAlign w:val="bottom"/>
            <w:hideMark/>
          </w:tcPr>
          <w:p w14:paraId="6F24234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447</w:t>
            </w:r>
          </w:p>
        </w:tc>
        <w:tc>
          <w:tcPr>
            <w:tcW w:w="909" w:type="dxa"/>
            <w:tcBorders>
              <w:top w:val="nil"/>
              <w:left w:val="nil"/>
              <w:bottom w:val="single" w:sz="4" w:space="0" w:color="auto"/>
              <w:right w:val="single" w:sz="4" w:space="0" w:color="auto"/>
            </w:tcBorders>
            <w:shd w:val="clear" w:color="auto" w:fill="auto"/>
            <w:noWrap/>
            <w:vAlign w:val="bottom"/>
            <w:hideMark/>
          </w:tcPr>
          <w:p w14:paraId="586959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c>
          <w:tcPr>
            <w:tcW w:w="909" w:type="dxa"/>
            <w:tcBorders>
              <w:top w:val="nil"/>
              <w:left w:val="nil"/>
              <w:bottom w:val="single" w:sz="4" w:space="0" w:color="auto"/>
              <w:right w:val="single" w:sz="4" w:space="0" w:color="auto"/>
            </w:tcBorders>
            <w:shd w:val="clear" w:color="auto" w:fill="auto"/>
            <w:noWrap/>
            <w:vAlign w:val="bottom"/>
            <w:hideMark/>
          </w:tcPr>
          <w:p w14:paraId="5C9A16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c>
          <w:tcPr>
            <w:tcW w:w="909" w:type="dxa"/>
            <w:tcBorders>
              <w:top w:val="nil"/>
              <w:left w:val="nil"/>
              <w:bottom w:val="single" w:sz="4" w:space="0" w:color="auto"/>
              <w:right w:val="single" w:sz="4" w:space="0" w:color="auto"/>
            </w:tcBorders>
            <w:shd w:val="clear" w:color="auto" w:fill="auto"/>
            <w:noWrap/>
            <w:vAlign w:val="bottom"/>
            <w:hideMark/>
          </w:tcPr>
          <w:p w14:paraId="1E6F57A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08145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76</w:t>
            </w:r>
          </w:p>
        </w:tc>
      </w:tr>
      <w:tr w:rsidR="00622247" w:rsidRPr="00E9332A" w14:paraId="31CDD22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348E0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c>
          <w:tcPr>
            <w:tcW w:w="3634" w:type="dxa"/>
            <w:tcBorders>
              <w:top w:val="nil"/>
              <w:left w:val="nil"/>
              <w:bottom w:val="single" w:sz="4" w:space="0" w:color="auto"/>
              <w:right w:val="single" w:sz="4" w:space="0" w:color="auto"/>
            </w:tcBorders>
            <w:shd w:val="clear" w:color="auto" w:fill="auto"/>
            <w:noWrap/>
            <w:vAlign w:val="bottom"/>
            <w:hideMark/>
          </w:tcPr>
          <w:p w14:paraId="4DD4CE1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KU Leuven</w:t>
            </w:r>
          </w:p>
        </w:tc>
        <w:tc>
          <w:tcPr>
            <w:tcW w:w="909" w:type="dxa"/>
            <w:tcBorders>
              <w:top w:val="nil"/>
              <w:left w:val="nil"/>
              <w:bottom w:val="single" w:sz="4" w:space="0" w:color="auto"/>
              <w:right w:val="single" w:sz="4" w:space="0" w:color="auto"/>
            </w:tcBorders>
            <w:shd w:val="clear" w:color="auto" w:fill="auto"/>
            <w:noWrap/>
            <w:vAlign w:val="bottom"/>
            <w:hideMark/>
          </w:tcPr>
          <w:p w14:paraId="77F3351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463</w:t>
            </w:r>
          </w:p>
        </w:tc>
        <w:tc>
          <w:tcPr>
            <w:tcW w:w="909" w:type="dxa"/>
            <w:tcBorders>
              <w:top w:val="nil"/>
              <w:left w:val="nil"/>
              <w:bottom w:val="single" w:sz="4" w:space="0" w:color="auto"/>
              <w:right w:val="single" w:sz="4" w:space="0" w:color="auto"/>
            </w:tcBorders>
            <w:shd w:val="clear" w:color="auto" w:fill="auto"/>
            <w:noWrap/>
            <w:vAlign w:val="bottom"/>
            <w:hideMark/>
          </w:tcPr>
          <w:p w14:paraId="4848093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w:t>
            </w:r>
          </w:p>
        </w:tc>
        <w:tc>
          <w:tcPr>
            <w:tcW w:w="909" w:type="dxa"/>
            <w:tcBorders>
              <w:top w:val="nil"/>
              <w:left w:val="nil"/>
              <w:bottom w:val="single" w:sz="4" w:space="0" w:color="auto"/>
              <w:right w:val="single" w:sz="4" w:space="0" w:color="auto"/>
            </w:tcBorders>
            <w:shd w:val="clear" w:color="auto" w:fill="auto"/>
            <w:noWrap/>
            <w:vAlign w:val="bottom"/>
            <w:hideMark/>
          </w:tcPr>
          <w:p w14:paraId="0E978CB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66FEA96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76</w:t>
            </w:r>
          </w:p>
        </w:tc>
        <w:tc>
          <w:tcPr>
            <w:tcW w:w="909" w:type="dxa"/>
            <w:tcBorders>
              <w:top w:val="nil"/>
              <w:left w:val="nil"/>
              <w:bottom w:val="single" w:sz="4" w:space="0" w:color="auto"/>
              <w:right w:val="single" w:sz="4" w:space="0" w:color="auto"/>
            </w:tcBorders>
            <w:shd w:val="clear" w:color="auto" w:fill="auto"/>
            <w:noWrap/>
            <w:vAlign w:val="bottom"/>
            <w:hideMark/>
          </w:tcPr>
          <w:p w14:paraId="52B62C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AC7128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002D4C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3634" w:type="dxa"/>
            <w:tcBorders>
              <w:top w:val="nil"/>
              <w:left w:val="nil"/>
              <w:bottom w:val="single" w:sz="4" w:space="0" w:color="auto"/>
              <w:right w:val="single" w:sz="4" w:space="0" w:color="auto"/>
            </w:tcBorders>
            <w:shd w:val="clear" w:color="auto" w:fill="auto"/>
            <w:noWrap/>
            <w:vAlign w:val="bottom"/>
            <w:hideMark/>
          </w:tcPr>
          <w:p w14:paraId="47AA27F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Bristol</w:t>
            </w:r>
          </w:p>
        </w:tc>
        <w:tc>
          <w:tcPr>
            <w:tcW w:w="909" w:type="dxa"/>
            <w:tcBorders>
              <w:top w:val="nil"/>
              <w:left w:val="nil"/>
              <w:bottom w:val="single" w:sz="4" w:space="0" w:color="auto"/>
              <w:right w:val="single" w:sz="4" w:space="0" w:color="auto"/>
            </w:tcBorders>
            <w:shd w:val="clear" w:color="auto" w:fill="auto"/>
            <w:noWrap/>
            <w:vAlign w:val="bottom"/>
            <w:hideMark/>
          </w:tcPr>
          <w:p w14:paraId="65CB2B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468</w:t>
            </w:r>
          </w:p>
        </w:tc>
        <w:tc>
          <w:tcPr>
            <w:tcW w:w="909" w:type="dxa"/>
            <w:tcBorders>
              <w:top w:val="nil"/>
              <w:left w:val="nil"/>
              <w:bottom w:val="single" w:sz="4" w:space="0" w:color="auto"/>
              <w:right w:val="single" w:sz="4" w:space="0" w:color="auto"/>
            </w:tcBorders>
            <w:shd w:val="clear" w:color="auto" w:fill="auto"/>
            <w:noWrap/>
            <w:vAlign w:val="bottom"/>
            <w:hideMark/>
          </w:tcPr>
          <w:p w14:paraId="3E4658B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76</w:t>
            </w:r>
          </w:p>
        </w:tc>
        <w:tc>
          <w:tcPr>
            <w:tcW w:w="909" w:type="dxa"/>
            <w:tcBorders>
              <w:top w:val="nil"/>
              <w:left w:val="nil"/>
              <w:bottom w:val="single" w:sz="4" w:space="0" w:color="auto"/>
              <w:right w:val="single" w:sz="4" w:space="0" w:color="auto"/>
            </w:tcBorders>
            <w:shd w:val="clear" w:color="auto" w:fill="auto"/>
            <w:noWrap/>
            <w:vAlign w:val="bottom"/>
            <w:hideMark/>
          </w:tcPr>
          <w:p w14:paraId="2BC730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w:t>
            </w:r>
          </w:p>
        </w:tc>
        <w:tc>
          <w:tcPr>
            <w:tcW w:w="909" w:type="dxa"/>
            <w:tcBorders>
              <w:top w:val="nil"/>
              <w:left w:val="nil"/>
              <w:bottom w:val="single" w:sz="4" w:space="0" w:color="auto"/>
              <w:right w:val="single" w:sz="4" w:space="0" w:color="auto"/>
            </w:tcBorders>
            <w:shd w:val="clear" w:color="auto" w:fill="auto"/>
            <w:noWrap/>
            <w:vAlign w:val="bottom"/>
            <w:hideMark/>
          </w:tcPr>
          <w:p w14:paraId="139BFF7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c>
          <w:tcPr>
            <w:tcW w:w="909" w:type="dxa"/>
            <w:tcBorders>
              <w:top w:val="nil"/>
              <w:left w:val="nil"/>
              <w:bottom w:val="single" w:sz="4" w:space="0" w:color="auto"/>
              <w:right w:val="single" w:sz="4" w:space="0" w:color="auto"/>
            </w:tcBorders>
            <w:shd w:val="clear" w:color="auto" w:fill="auto"/>
            <w:noWrap/>
            <w:vAlign w:val="bottom"/>
            <w:hideMark/>
          </w:tcPr>
          <w:p w14:paraId="62A4E3E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5ECD99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21F363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72</w:t>
            </w:r>
          </w:p>
        </w:tc>
        <w:tc>
          <w:tcPr>
            <w:tcW w:w="3634" w:type="dxa"/>
            <w:tcBorders>
              <w:top w:val="nil"/>
              <w:left w:val="nil"/>
              <w:bottom w:val="single" w:sz="4" w:space="0" w:color="auto"/>
              <w:right w:val="single" w:sz="4" w:space="0" w:color="auto"/>
            </w:tcBorders>
            <w:shd w:val="clear" w:color="auto" w:fill="auto"/>
            <w:noWrap/>
            <w:vAlign w:val="bottom"/>
            <w:hideMark/>
          </w:tcPr>
          <w:p w14:paraId="3270909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Vanderbilt University</w:t>
            </w:r>
          </w:p>
        </w:tc>
        <w:tc>
          <w:tcPr>
            <w:tcW w:w="909" w:type="dxa"/>
            <w:tcBorders>
              <w:top w:val="nil"/>
              <w:left w:val="nil"/>
              <w:bottom w:val="single" w:sz="4" w:space="0" w:color="auto"/>
              <w:right w:val="single" w:sz="4" w:space="0" w:color="auto"/>
            </w:tcBorders>
            <w:shd w:val="clear" w:color="auto" w:fill="auto"/>
            <w:noWrap/>
            <w:vAlign w:val="bottom"/>
            <w:hideMark/>
          </w:tcPr>
          <w:p w14:paraId="2368916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470</w:t>
            </w:r>
          </w:p>
        </w:tc>
        <w:tc>
          <w:tcPr>
            <w:tcW w:w="909" w:type="dxa"/>
            <w:tcBorders>
              <w:top w:val="nil"/>
              <w:left w:val="nil"/>
              <w:bottom w:val="single" w:sz="4" w:space="0" w:color="auto"/>
              <w:right w:val="single" w:sz="4" w:space="0" w:color="auto"/>
            </w:tcBorders>
            <w:shd w:val="clear" w:color="auto" w:fill="auto"/>
            <w:noWrap/>
            <w:vAlign w:val="bottom"/>
            <w:hideMark/>
          </w:tcPr>
          <w:p w14:paraId="7D9F095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98</w:t>
            </w:r>
          </w:p>
        </w:tc>
        <w:tc>
          <w:tcPr>
            <w:tcW w:w="909" w:type="dxa"/>
            <w:tcBorders>
              <w:top w:val="nil"/>
              <w:left w:val="nil"/>
              <w:bottom w:val="single" w:sz="4" w:space="0" w:color="auto"/>
              <w:right w:val="single" w:sz="4" w:space="0" w:color="auto"/>
            </w:tcBorders>
            <w:shd w:val="clear" w:color="auto" w:fill="auto"/>
            <w:noWrap/>
            <w:vAlign w:val="bottom"/>
            <w:hideMark/>
          </w:tcPr>
          <w:p w14:paraId="593712A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c>
          <w:tcPr>
            <w:tcW w:w="909" w:type="dxa"/>
            <w:tcBorders>
              <w:top w:val="nil"/>
              <w:left w:val="nil"/>
              <w:bottom w:val="single" w:sz="4" w:space="0" w:color="auto"/>
              <w:right w:val="single" w:sz="4" w:space="0" w:color="auto"/>
            </w:tcBorders>
            <w:shd w:val="clear" w:color="auto" w:fill="auto"/>
            <w:noWrap/>
            <w:vAlign w:val="bottom"/>
            <w:hideMark/>
          </w:tcPr>
          <w:p w14:paraId="30D41AE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4185E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58</w:t>
            </w:r>
          </w:p>
        </w:tc>
      </w:tr>
      <w:tr w:rsidR="00622247" w:rsidRPr="00E9332A" w14:paraId="361820D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A635D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73</w:t>
            </w:r>
          </w:p>
        </w:tc>
        <w:tc>
          <w:tcPr>
            <w:tcW w:w="3634" w:type="dxa"/>
            <w:tcBorders>
              <w:top w:val="nil"/>
              <w:left w:val="nil"/>
              <w:bottom w:val="single" w:sz="4" w:space="0" w:color="auto"/>
              <w:right w:val="single" w:sz="4" w:space="0" w:color="auto"/>
            </w:tcBorders>
            <w:shd w:val="clear" w:color="auto" w:fill="auto"/>
            <w:noWrap/>
            <w:vAlign w:val="bottom"/>
            <w:hideMark/>
          </w:tcPr>
          <w:p w14:paraId="4104F37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Delft University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75FC41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475</w:t>
            </w:r>
          </w:p>
        </w:tc>
        <w:tc>
          <w:tcPr>
            <w:tcW w:w="909" w:type="dxa"/>
            <w:tcBorders>
              <w:top w:val="nil"/>
              <w:left w:val="nil"/>
              <w:bottom w:val="single" w:sz="4" w:space="0" w:color="auto"/>
              <w:right w:val="single" w:sz="4" w:space="0" w:color="auto"/>
            </w:tcBorders>
            <w:shd w:val="clear" w:color="auto" w:fill="auto"/>
            <w:noWrap/>
            <w:vAlign w:val="bottom"/>
            <w:hideMark/>
          </w:tcPr>
          <w:p w14:paraId="695AFA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c>
          <w:tcPr>
            <w:tcW w:w="909" w:type="dxa"/>
            <w:tcBorders>
              <w:top w:val="nil"/>
              <w:left w:val="nil"/>
              <w:bottom w:val="single" w:sz="4" w:space="0" w:color="auto"/>
              <w:right w:val="single" w:sz="4" w:space="0" w:color="auto"/>
            </w:tcBorders>
            <w:shd w:val="clear" w:color="auto" w:fill="auto"/>
            <w:noWrap/>
            <w:vAlign w:val="bottom"/>
            <w:hideMark/>
          </w:tcPr>
          <w:p w14:paraId="624A1D2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04C60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w:t>
            </w:r>
          </w:p>
        </w:tc>
        <w:tc>
          <w:tcPr>
            <w:tcW w:w="909" w:type="dxa"/>
            <w:tcBorders>
              <w:top w:val="nil"/>
              <w:left w:val="nil"/>
              <w:bottom w:val="single" w:sz="4" w:space="0" w:color="auto"/>
              <w:right w:val="single" w:sz="4" w:space="0" w:color="auto"/>
            </w:tcBorders>
            <w:shd w:val="clear" w:color="auto" w:fill="auto"/>
            <w:noWrap/>
            <w:vAlign w:val="bottom"/>
            <w:hideMark/>
          </w:tcPr>
          <w:p w14:paraId="1D11272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94</w:t>
            </w:r>
          </w:p>
        </w:tc>
      </w:tr>
      <w:tr w:rsidR="00622247" w:rsidRPr="00E9332A" w14:paraId="49A0D1B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6AFD25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c>
          <w:tcPr>
            <w:tcW w:w="3634" w:type="dxa"/>
            <w:tcBorders>
              <w:top w:val="nil"/>
              <w:left w:val="nil"/>
              <w:bottom w:val="single" w:sz="4" w:space="0" w:color="auto"/>
              <w:right w:val="single" w:sz="4" w:space="0" w:color="auto"/>
            </w:tcBorders>
            <w:shd w:val="clear" w:color="auto" w:fill="auto"/>
            <w:noWrap/>
            <w:vAlign w:val="bottom"/>
            <w:hideMark/>
          </w:tcPr>
          <w:p w14:paraId="3225E47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Groningen</w:t>
            </w:r>
          </w:p>
        </w:tc>
        <w:tc>
          <w:tcPr>
            <w:tcW w:w="909" w:type="dxa"/>
            <w:tcBorders>
              <w:top w:val="nil"/>
              <w:left w:val="nil"/>
              <w:bottom w:val="single" w:sz="4" w:space="0" w:color="auto"/>
              <w:right w:val="single" w:sz="4" w:space="0" w:color="auto"/>
            </w:tcBorders>
            <w:shd w:val="clear" w:color="auto" w:fill="auto"/>
            <w:noWrap/>
            <w:vAlign w:val="bottom"/>
            <w:hideMark/>
          </w:tcPr>
          <w:p w14:paraId="72BBA4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475</w:t>
            </w:r>
          </w:p>
        </w:tc>
        <w:tc>
          <w:tcPr>
            <w:tcW w:w="909" w:type="dxa"/>
            <w:tcBorders>
              <w:top w:val="nil"/>
              <w:left w:val="nil"/>
              <w:bottom w:val="single" w:sz="4" w:space="0" w:color="auto"/>
              <w:right w:val="single" w:sz="4" w:space="0" w:color="auto"/>
            </w:tcBorders>
            <w:shd w:val="clear" w:color="auto" w:fill="auto"/>
            <w:noWrap/>
            <w:vAlign w:val="bottom"/>
            <w:hideMark/>
          </w:tcPr>
          <w:p w14:paraId="2394E84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75</w:t>
            </w:r>
          </w:p>
        </w:tc>
        <w:tc>
          <w:tcPr>
            <w:tcW w:w="909" w:type="dxa"/>
            <w:tcBorders>
              <w:top w:val="nil"/>
              <w:left w:val="nil"/>
              <w:bottom w:val="single" w:sz="4" w:space="0" w:color="auto"/>
              <w:right w:val="single" w:sz="4" w:space="0" w:color="auto"/>
            </w:tcBorders>
            <w:shd w:val="clear" w:color="auto" w:fill="auto"/>
            <w:noWrap/>
            <w:vAlign w:val="bottom"/>
            <w:hideMark/>
          </w:tcPr>
          <w:p w14:paraId="229F8E3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w:t>
            </w:r>
          </w:p>
        </w:tc>
        <w:tc>
          <w:tcPr>
            <w:tcW w:w="909" w:type="dxa"/>
            <w:tcBorders>
              <w:top w:val="nil"/>
              <w:left w:val="nil"/>
              <w:bottom w:val="single" w:sz="4" w:space="0" w:color="auto"/>
              <w:right w:val="single" w:sz="4" w:space="0" w:color="auto"/>
            </w:tcBorders>
            <w:shd w:val="clear" w:color="auto" w:fill="auto"/>
            <w:noWrap/>
            <w:vAlign w:val="bottom"/>
            <w:hideMark/>
          </w:tcPr>
          <w:p w14:paraId="5E1E89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4833B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w:t>
            </w:r>
          </w:p>
        </w:tc>
      </w:tr>
      <w:tr w:rsidR="00622247" w:rsidRPr="00E9332A" w14:paraId="6CB0125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9A48E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75</w:t>
            </w:r>
          </w:p>
        </w:tc>
        <w:tc>
          <w:tcPr>
            <w:tcW w:w="3634" w:type="dxa"/>
            <w:tcBorders>
              <w:top w:val="nil"/>
              <w:left w:val="nil"/>
              <w:bottom w:val="single" w:sz="4" w:space="0" w:color="auto"/>
              <w:right w:val="single" w:sz="4" w:space="0" w:color="auto"/>
            </w:tcBorders>
            <w:shd w:val="clear" w:color="auto" w:fill="auto"/>
            <w:noWrap/>
            <w:vAlign w:val="bottom"/>
            <w:hideMark/>
          </w:tcPr>
          <w:p w14:paraId="6EEB7D36"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City University of Hong Kong</w:t>
            </w:r>
          </w:p>
        </w:tc>
        <w:tc>
          <w:tcPr>
            <w:tcW w:w="909" w:type="dxa"/>
            <w:tcBorders>
              <w:top w:val="nil"/>
              <w:left w:val="nil"/>
              <w:bottom w:val="single" w:sz="4" w:space="0" w:color="auto"/>
              <w:right w:val="single" w:sz="4" w:space="0" w:color="auto"/>
            </w:tcBorders>
            <w:shd w:val="clear" w:color="auto" w:fill="auto"/>
            <w:noWrap/>
            <w:vAlign w:val="bottom"/>
            <w:hideMark/>
          </w:tcPr>
          <w:p w14:paraId="5B2F82C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492</w:t>
            </w:r>
          </w:p>
        </w:tc>
        <w:tc>
          <w:tcPr>
            <w:tcW w:w="909" w:type="dxa"/>
            <w:tcBorders>
              <w:top w:val="nil"/>
              <w:left w:val="nil"/>
              <w:bottom w:val="single" w:sz="4" w:space="0" w:color="auto"/>
              <w:right w:val="single" w:sz="4" w:space="0" w:color="auto"/>
            </w:tcBorders>
            <w:shd w:val="clear" w:color="auto" w:fill="auto"/>
            <w:noWrap/>
            <w:vAlign w:val="bottom"/>
            <w:hideMark/>
          </w:tcPr>
          <w:p w14:paraId="48B886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909" w:type="dxa"/>
            <w:tcBorders>
              <w:top w:val="nil"/>
              <w:left w:val="nil"/>
              <w:bottom w:val="single" w:sz="4" w:space="0" w:color="auto"/>
              <w:right w:val="single" w:sz="4" w:space="0" w:color="auto"/>
            </w:tcBorders>
            <w:shd w:val="clear" w:color="auto" w:fill="auto"/>
            <w:noWrap/>
            <w:vAlign w:val="bottom"/>
            <w:hideMark/>
          </w:tcPr>
          <w:p w14:paraId="6A135CC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3DB5E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c>
          <w:tcPr>
            <w:tcW w:w="909" w:type="dxa"/>
            <w:tcBorders>
              <w:top w:val="nil"/>
              <w:left w:val="nil"/>
              <w:bottom w:val="single" w:sz="4" w:space="0" w:color="auto"/>
              <w:right w:val="single" w:sz="4" w:space="0" w:color="auto"/>
            </w:tcBorders>
            <w:shd w:val="clear" w:color="auto" w:fill="auto"/>
            <w:noWrap/>
            <w:vAlign w:val="bottom"/>
            <w:hideMark/>
          </w:tcPr>
          <w:p w14:paraId="11D327F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89</w:t>
            </w:r>
          </w:p>
        </w:tc>
      </w:tr>
      <w:tr w:rsidR="00622247" w:rsidRPr="00E9332A" w14:paraId="18F0AC9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BD03A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76</w:t>
            </w:r>
          </w:p>
        </w:tc>
        <w:tc>
          <w:tcPr>
            <w:tcW w:w="3634" w:type="dxa"/>
            <w:tcBorders>
              <w:top w:val="nil"/>
              <w:left w:val="nil"/>
              <w:bottom w:val="single" w:sz="4" w:space="0" w:color="auto"/>
              <w:right w:val="single" w:sz="4" w:space="0" w:color="auto"/>
            </w:tcBorders>
            <w:shd w:val="clear" w:color="auto" w:fill="auto"/>
            <w:noWrap/>
            <w:vAlign w:val="bottom"/>
            <w:hideMark/>
          </w:tcPr>
          <w:p w14:paraId="2342DCCA"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California San Francisco</w:t>
            </w:r>
          </w:p>
        </w:tc>
        <w:tc>
          <w:tcPr>
            <w:tcW w:w="909" w:type="dxa"/>
            <w:tcBorders>
              <w:top w:val="nil"/>
              <w:left w:val="nil"/>
              <w:bottom w:val="single" w:sz="4" w:space="0" w:color="auto"/>
              <w:right w:val="single" w:sz="4" w:space="0" w:color="auto"/>
            </w:tcBorders>
            <w:shd w:val="clear" w:color="auto" w:fill="auto"/>
            <w:noWrap/>
            <w:vAlign w:val="bottom"/>
            <w:hideMark/>
          </w:tcPr>
          <w:p w14:paraId="571CFC2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558</w:t>
            </w:r>
          </w:p>
        </w:tc>
        <w:tc>
          <w:tcPr>
            <w:tcW w:w="909" w:type="dxa"/>
            <w:tcBorders>
              <w:top w:val="nil"/>
              <w:left w:val="nil"/>
              <w:bottom w:val="single" w:sz="4" w:space="0" w:color="auto"/>
              <w:right w:val="single" w:sz="4" w:space="0" w:color="auto"/>
            </w:tcBorders>
            <w:shd w:val="clear" w:color="auto" w:fill="auto"/>
            <w:noWrap/>
            <w:vAlign w:val="bottom"/>
            <w:hideMark/>
          </w:tcPr>
          <w:p w14:paraId="0E02956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4294D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19</w:t>
            </w:r>
          </w:p>
        </w:tc>
        <w:tc>
          <w:tcPr>
            <w:tcW w:w="909" w:type="dxa"/>
            <w:tcBorders>
              <w:top w:val="nil"/>
              <w:left w:val="nil"/>
              <w:bottom w:val="single" w:sz="4" w:space="0" w:color="auto"/>
              <w:right w:val="single" w:sz="4" w:space="0" w:color="auto"/>
            </w:tcBorders>
            <w:shd w:val="clear" w:color="auto" w:fill="auto"/>
            <w:noWrap/>
            <w:vAlign w:val="bottom"/>
            <w:hideMark/>
          </w:tcPr>
          <w:p w14:paraId="0F9302F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5E54E1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39</w:t>
            </w:r>
          </w:p>
        </w:tc>
      </w:tr>
      <w:tr w:rsidR="00622247" w:rsidRPr="00E9332A" w14:paraId="7AB7789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41991C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lastRenderedPageBreak/>
              <w:t>77</w:t>
            </w:r>
          </w:p>
        </w:tc>
        <w:tc>
          <w:tcPr>
            <w:tcW w:w="3634" w:type="dxa"/>
            <w:tcBorders>
              <w:top w:val="nil"/>
              <w:left w:val="nil"/>
              <w:bottom w:val="single" w:sz="4" w:space="0" w:color="auto"/>
              <w:right w:val="single" w:sz="4" w:space="0" w:color="auto"/>
            </w:tcBorders>
            <w:shd w:val="clear" w:color="auto" w:fill="auto"/>
            <w:noWrap/>
            <w:vAlign w:val="bottom"/>
            <w:hideMark/>
          </w:tcPr>
          <w:p w14:paraId="43F9EA8A"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Minnesota, Twin Cities</w:t>
            </w:r>
          </w:p>
        </w:tc>
        <w:tc>
          <w:tcPr>
            <w:tcW w:w="909" w:type="dxa"/>
            <w:tcBorders>
              <w:top w:val="nil"/>
              <w:left w:val="nil"/>
              <w:bottom w:val="single" w:sz="4" w:space="0" w:color="auto"/>
              <w:right w:val="single" w:sz="4" w:space="0" w:color="auto"/>
            </w:tcBorders>
            <w:shd w:val="clear" w:color="auto" w:fill="auto"/>
            <w:noWrap/>
            <w:vAlign w:val="bottom"/>
            <w:hideMark/>
          </w:tcPr>
          <w:p w14:paraId="65A77DE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562</w:t>
            </w:r>
          </w:p>
        </w:tc>
        <w:tc>
          <w:tcPr>
            <w:tcW w:w="909" w:type="dxa"/>
            <w:tcBorders>
              <w:top w:val="nil"/>
              <w:left w:val="nil"/>
              <w:bottom w:val="single" w:sz="4" w:space="0" w:color="auto"/>
              <w:right w:val="single" w:sz="4" w:space="0" w:color="auto"/>
            </w:tcBorders>
            <w:shd w:val="clear" w:color="auto" w:fill="auto"/>
            <w:noWrap/>
            <w:vAlign w:val="bottom"/>
            <w:hideMark/>
          </w:tcPr>
          <w:p w14:paraId="65961B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ABB1DF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077A04D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F17AF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18</w:t>
            </w:r>
          </w:p>
        </w:tc>
      </w:tr>
      <w:tr w:rsidR="00622247" w:rsidRPr="00E9332A" w14:paraId="64A3EFA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B99F8C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w:t>
            </w:r>
          </w:p>
        </w:tc>
        <w:tc>
          <w:tcPr>
            <w:tcW w:w="3634" w:type="dxa"/>
            <w:tcBorders>
              <w:top w:val="nil"/>
              <w:left w:val="nil"/>
              <w:bottom w:val="single" w:sz="4" w:space="0" w:color="auto"/>
              <w:right w:val="single" w:sz="4" w:space="0" w:color="auto"/>
            </w:tcBorders>
            <w:shd w:val="clear" w:color="auto" w:fill="auto"/>
            <w:noWrap/>
            <w:vAlign w:val="bottom"/>
            <w:hideMark/>
          </w:tcPr>
          <w:p w14:paraId="0CE9752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Karolinska</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Institute</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340666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590</w:t>
            </w:r>
          </w:p>
        </w:tc>
        <w:tc>
          <w:tcPr>
            <w:tcW w:w="909" w:type="dxa"/>
            <w:tcBorders>
              <w:top w:val="nil"/>
              <w:left w:val="nil"/>
              <w:bottom w:val="single" w:sz="4" w:space="0" w:color="auto"/>
              <w:right w:val="single" w:sz="4" w:space="0" w:color="auto"/>
            </w:tcBorders>
            <w:shd w:val="clear" w:color="auto" w:fill="auto"/>
            <w:noWrap/>
            <w:vAlign w:val="bottom"/>
            <w:hideMark/>
          </w:tcPr>
          <w:p w14:paraId="08A58CA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49</w:t>
            </w:r>
          </w:p>
        </w:tc>
        <w:tc>
          <w:tcPr>
            <w:tcW w:w="909" w:type="dxa"/>
            <w:tcBorders>
              <w:top w:val="nil"/>
              <w:left w:val="nil"/>
              <w:bottom w:val="single" w:sz="4" w:space="0" w:color="auto"/>
              <w:right w:val="single" w:sz="4" w:space="0" w:color="auto"/>
            </w:tcBorders>
            <w:shd w:val="clear" w:color="auto" w:fill="auto"/>
            <w:noWrap/>
            <w:vAlign w:val="bottom"/>
            <w:hideMark/>
          </w:tcPr>
          <w:p w14:paraId="5212D47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41</w:t>
            </w:r>
          </w:p>
        </w:tc>
        <w:tc>
          <w:tcPr>
            <w:tcW w:w="909" w:type="dxa"/>
            <w:tcBorders>
              <w:top w:val="nil"/>
              <w:left w:val="nil"/>
              <w:bottom w:val="single" w:sz="4" w:space="0" w:color="auto"/>
              <w:right w:val="single" w:sz="4" w:space="0" w:color="auto"/>
            </w:tcBorders>
            <w:shd w:val="clear" w:color="auto" w:fill="auto"/>
            <w:noWrap/>
            <w:vAlign w:val="bottom"/>
            <w:hideMark/>
          </w:tcPr>
          <w:p w14:paraId="376CB5B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084E07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08F1B68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02E8D6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c>
          <w:tcPr>
            <w:tcW w:w="3634" w:type="dxa"/>
            <w:tcBorders>
              <w:top w:val="nil"/>
              <w:left w:val="nil"/>
              <w:bottom w:val="single" w:sz="4" w:space="0" w:color="auto"/>
              <w:right w:val="single" w:sz="4" w:space="0" w:color="auto"/>
            </w:tcBorders>
            <w:shd w:val="clear" w:color="auto" w:fill="auto"/>
            <w:noWrap/>
            <w:vAlign w:val="bottom"/>
            <w:hideMark/>
          </w:tcPr>
          <w:p w14:paraId="14F35BD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LMU </w:t>
            </w:r>
            <w:proofErr w:type="spellStart"/>
            <w:r w:rsidRPr="00622247">
              <w:rPr>
                <w:rFonts w:eastAsia="Times New Roman" w:cs="Arial"/>
                <w:color w:val="000000"/>
                <w:sz w:val="18"/>
                <w:szCs w:val="18"/>
                <w:lang w:eastAsia="pl-PL"/>
              </w:rPr>
              <w:t>Munich</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71651F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592</w:t>
            </w:r>
          </w:p>
        </w:tc>
        <w:tc>
          <w:tcPr>
            <w:tcW w:w="909" w:type="dxa"/>
            <w:tcBorders>
              <w:top w:val="nil"/>
              <w:left w:val="nil"/>
              <w:bottom w:val="single" w:sz="4" w:space="0" w:color="auto"/>
              <w:right w:val="single" w:sz="4" w:space="0" w:color="auto"/>
            </w:tcBorders>
            <w:shd w:val="clear" w:color="auto" w:fill="auto"/>
            <w:noWrap/>
            <w:vAlign w:val="bottom"/>
            <w:hideMark/>
          </w:tcPr>
          <w:p w14:paraId="0E54692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33</w:t>
            </w:r>
          </w:p>
        </w:tc>
        <w:tc>
          <w:tcPr>
            <w:tcW w:w="909" w:type="dxa"/>
            <w:tcBorders>
              <w:top w:val="nil"/>
              <w:left w:val="nil"/>
              <w:bottom w:val="single" w:sz="4" w:space="0" w:color="auto"/>
              <w:right w:val="single" w:sz="4" w:space="0" w:color="auto"/>
            </w:tcBorders>
            <w:shd w:val="clear" w:color="auto" w:fill="auto"/>
            <w:noWrap/>
            <w:vAlign w:val="bottom"/>
            <w:hideMark/>
          </w:tcPr>
          <w:p w14:paraId="5752CE1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EB928C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w:t>
            </w:r>
          </w:p>
        </w:tc>
        <w:tc>
          <w:tcPr>
            <w:tcW w:w="909" w:type="dxa"/>
            <w:tcBorders>
              <w:top w:val="nil"/>
              <w:left w:val="nil"/>
              <w:bottom w:val="single" w:sz="4" w:space="0" w:color="auto"/>
              <w:right w:val="single" w:sz="4" w:space="0" w:color="auto"/>
            </w:tcBorders>
            <w:shd w:val="clear" w:color="auto" w:fill="auto"/>
            <w:noWrap/>
            <w:vAlign w:val="bottom"/>
            <w:hideMark/>
          </w:tcPr>
          <w:p w14:paraId="405E9E7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AD0D82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BF388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c>
          <w:tcPr>
            <w:tcW w:w="3634" w:type="dxa"/>
            <w:tcBorders>
              <w:top w:val="nil"/>
              <w:left w:val="nil"/>
              <w:bottom w:val="single" w:sz="4" w:space="0" w:color="auto"/>
              <w:right w:val="single" w:sz="4" w:space="0" w:color="auto"/>
            </w:tcBorders>
            <w:shd w:val="clear" w:color="auto" w:fill="auto"/>
            <w:noWrap/>
            <w:vAlign w:val="bottom"/>
            <w:hideMark/>
          </w:tcPr>
          <w:p w14:paraId="08C55FFE"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London School of Economics and Political Science</w:t>
            </w:r>
          </w:p>
        </w:tc>
        <w:tc>
          <w:tcPr>
            <w:tcW w:w="909" w:type="dxa"/>
            <w:tcBorders>
              <w:top w:val="nil"/>
              <w:left w:val="nil"/>
              <w:bottom w:val="single" w:sz="4" w:space="0" w:color="auto"/>
              <w:right w:val="single" w:sz="4" w:space="0" w:color="auto"/>
            </w:tcBorders>
            <w:shd w:val="clear" w:color="auto" w:fill="auto"/>
            <w:noWrap/>
            <w:vAlign w:val="bottom"/>
            <w:hideMark/>
          </w:tcPr>
          <w:p w14:paraId="1700551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593</w:t>
            </w:r>
          </w:p>
        </w:tc>
        <w:tc>
          <w:tcPr>
            <w:tcW w:w="909" w:type="dxa"/>
            <w:tcBorders>
              <w:top w:val="nil"/>
              <w:left w:val="nil"/>
              <w:bottom w:val="single" w:sz="4" w:space="0" w:color="auto"/>
              <w:right w:val="single" w:sz="4" w:space="0" w:color="auto"/>
            </w:tcBorders>
            <w:shd w:val="clear" w:color="auto" w:fill="auto"/>
            <w:noWrap/>
            <w:vAlign w:val="bottom"/>
            <w:hideMark/>
          </w:tcPr>
          <w:p w14:paraId="02CC0CB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w:t>
            </w:r>
          </w:p>
        </w:tc>
        <w:tc>
          <w:tcPr>
            <w:tcW w:w="909" w:type="dxa"/>
            <w:tcBorders>
              <w:top w:val="nil"/>
              <w:left w:val="nil"/>
              <w:bottom w:val="single" w:sz="4" w:space="0" w:color="auto"/>
              <w:right w:val="single" w:sz="4" w:space="0" w:color="auto"/>
            </w:tcBorders>
            <w:shd w:val="clear" w:color="auto" w:fill="auto"/>
            <w:noWrap/>
            <w:vAlign w:val="bottom"/>
            <w:hideMark/>
          </w:tcPr>
          <w:p w14:paraId="6910DAB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6A4741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w:t>
            </w:r>
          </w:p>
        </w:tc>
        <w:tc>
          <w:tcPr>
            <w:tcW w:w="909" w:type="dxa"/>
            <w:tcBorders>
              <w:top w:val="nil"/>
              <w:left w:val="nil"/>
              <w:bottom w:val="single" w:sz="4" w:space="0" w:color="auto"/>
              <w:right w:val="single" w:sz="4" w:space="0" w:color="auto"/>
            </w:tcBorders>
            <w:shd w:val="clear" w:color="auto" w:fill="auto"/>
            <w:noWrap/>
            <w:vAlign w:val="bottom"/>
            <w:hideMark/>
          </w:tcPr>
          <w:p w14:paraId="2E0617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4A1790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9024A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w:t>
            </w:r>
          </w:p>
        </w:tc>
        <w:tc>
          <w:tcPr>
            <w:tcW w:w="3634" w:type="dxa"/>
            <w:tcBorders>
              <w:top w:val="nil"/>
              <w:left w:val="nil"/>
              <w:bottom w:val="single" w:sz="4" w:space="0" w:color="auto"/>
              <w:right w:val="single" w:sz="4" w:space="0" w:color="auto"/>
            </w:tcBorders>
            <w:shd w:val="clear" w:color="auto" w:fill="auto"/>
            <w:noWrap/>
            <w:vAlign w:val="bottom"/>
            <w:hideMark/>
          </w:tcPr>
          <w:p w14:paraId="68016DB7"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The Hong Kong University of Science and Technology</w:t>
            </w:r>
          </w:p>
        </w:tc>
        <w:tc>
          <w:tcPr>
            <w:tcW w:w="909" w:type="dxa"/>
            <w:tcBorders>
              <w:top w:val="nil"/>
              <w:left w:val="nil"/>
              <w:bottom w:val="single" w:sz="4" w:space="0" w:color="auto"/>
              <w:right w:val="single" w:sz="4" w:space="0" w:color="auto"/>
            </w:tcBorders>
            <w:shd w:val="clear" w:color="auto" w:fill="auto"/>
            <w:noWrap/>
            <w:vAlign w:val="bottom"/>
            <w:hideMark/>
          </w:tcPr>
          <w:p w14:paraId="19DAFCF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598</w:t>
            </w:r>
          </w:p>
        </w:tc>
        <w:tc>
          <w:tcPr>
            <w:tcW w:w="909" w:type="dxa"/>
            <w:tcBorders>
              <w:top w:val="nil"/>
              <w:left w:val="nil"/>
              <w:bottom w:val="single" w:sz="4" w:space="0" w:color="auto"/>
              <w:right w:val="single" w:sz="4" w:space="0" w:color="auto"/>
            </w:tcBorders>
            <w:shd w:val="clear" w:color="auto" w:fill="auto"/>
            <w:noWrap/>
            <w:vAlign w:val="bottom"/>
            <w:hideMark/>
          </w:tcPr>
          <w:p w14:paraId="01286B4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58</w:t>
            </w:r>
          </w:p>
        </w:tc>
        <w:tc>
          <w:tcPr>
            <w:tcW w:w="909" w:type="dxa"/>
            <w:tcBorders>
              <w:top w:val="nil"/>
              <w:left w:val="nil"/>
              <w:bottom w:val="single" w:sz="4" w:space="0" w:color="auto"/>
              <w:right w:val="single" w:sz="4" w:space="0" w:color="auto"/>
            </w:tcBorders>
            <w:shd w:val="clear" w:color="auto" w:fill="auto"/>
            <w:noWrap/>
            <w:vAlign w:val="bottom"/>
            <w:hideMark/>
          </w:tcPr>
          <w:p w14:paraId="06A73AF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88DB87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40</w:t>
            </w:r>
          </w:p>
        </w:tc>
        <w:tc>
          <w:tcPr>
            <w:tcW w:w="909" w:type="dxa"/>
            <w:tcBorders>
              <w:top w:val="nil"/>
              <w:left w:val="nil"/>
              <w:bottom w:val="single" w:sz="4" w:space="0" w:color="auto"/>
              <w:right w:val="single" w:sz="4" w:space="0" w:color="auto"/>
            </w:tcBorders>
            <w:shd w:val="clear" w:color="auto" w:fill="auto"/>
            <w:noWrap/>
            <w:vAlign w:val="bottom"/>
            <w:hideMark/>
          </w:tcPr>
          <w:p w14:paraId="4FEBD0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72FFE3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1ADB1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3634" w:type="dxa"/>
            <w:tcBorders>
              <w:top w:val="nil"/>
              <w:left w:val="nil"/>
              <w:bottom w:val="single" w:sz="4" w:space="0" w:color="auto"/>
              <w:right w:val="single" w:sz="4" w:space="0" w:color="auto"/>
            </w:tcBorders>
            <w:shd w:val="clear" w:color="auto" w:fill="auto"/>
            <w:noWrap/>
            <w:vAlign w:val="bottom"/>
            <w:hideMark/>
          </w:tcPr>
          <w:p w14:paraId="5F919DE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California Davis</w:t>
            </w:r>
          </w:p>
        </w:tc>
        <w:tc>
          <w:tcPr>
            <w:tcW w:w="909" w:type="dxa"/>
            <w:tcBorders>
              <w:top w:val="nil"/>
              <w:left w:val="nil"/>
              <w:bottom w:val="single" w:sz="4" w:space="0" w:color="auto"/>
              <w:right w:val="single" w:sz="4" w:space="0" w:color="auto"/>
            </w:tcBorders>
            <w:shd w:val="clear" w:color="auto" w:fill="auto"/>
            <w:noWrap/>
            <w:vAlign w:val="bottom"/>
            <w:hideMark/>
          </w:tcPr>
          <w:p w14:paraId="7062CDA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600</w:t>
            </w:r>
          </w:p>
        </w:tc>
        <w:tc>
          <w:tcPr>
            <w:tcW w:w="909" w:type="dxa"/>
            <w:tcBorders>
              <w:top w:val="nil"/>
              <w:left w:val="nil"/>
              <w:bottom w:val="single" w:sz="4" w:space="0" w:color="auto"/>
              <w:right w:val="single" w:sz="4" w:space="0" w:color="auto"/>
            </w:tcBorders>
            <w:shd w:val="clear" w:color="auto" w:fill="auto"/>
            <w:noWrap/>
            <w:vAlign w:val="bottom"/>
            <w:hideMark/>
          </w:tcPr>
          <w:p w14:paraId="197959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c>
          <w:tcPr>
            <w:tcW w:w="909" w:type="dxa"/>
            <w:tcBorders>
              <w:top w:val="nil"/>
              <w:left w:val="nil"/>
              <w:bottom w:val="single" w:sz="4" w:space="0" w:color="auto"/>
              <w:right w:val="single" w:sz="4" w:space="0" w:color="auto"/>
            </w:tcBorders>
            <w:shd w:val="clear" w:color="auto" w:fill="auto"/>
            <w:noWrap/>
            <w:vAlign w:val="bottom"/>
            <w:hideMark/>
          </w:tcPr>
          <w:p w14:paraId="5F6148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2278AC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203CF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37</w:t>
            </w:r>
          </w:p>
        </w:tc>
      </w:tr>
      <w:tr w:rsidR="00622247" w:rsidRPr="00E9332A" w14:paraId="5FFA314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7384A0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3634" w:type="dxa"/>
            <w:tcBorders>
              <w:top w:val="nil"/>
              <w:left w:val="nil"/>
              <w:bottom w:val="single" w:sz="4" w:space="0" w:color="auto"/>
              <w:right w:val="single" w:sz="4" w:space="0" w:color="auto"/>
            </w:tcBorders>
            <w:shd w:val="clear" w:color="auto" w:fill="auto"/>
            <w:noWrap/>
            <w:vAlign w:val="bottom"/>
            <w:hideMark/>
          </w:tcPr>
          <w:p w14:paraId="757D351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Universität</w:t>
            </w:r>
            <w:proofErr w:type="spellEnd"/>
            <w:r w:rsidRPr="00622247">
              <w:rPr>
                <w:rFonts w:eastAsia="Times New Roman" w:cs="Arial"/>
                <w:color w:val="000000"/>
                <w:sz w:val="18"/>
                <w:szCs w:val="18"/>
                <w:lang w:eastAsia="pl-PL"/>
              </w:rPr>
              <w:t xml:space="preserve"> Heidelberg</w:t>
            </w:r>
          </w:p>
        </w:tc>
        <w:tc>
          <w:tcPr>
            <w:tcW w:w="909" w:type="dxa"/>
            <w:tcBorders>
              <w:top w:val="nil"/>
              <w:left w:val="nil"/>
              <w:bottom w:val="single" w:sz="4" w:space="0" w:color="auto"/>
              <w:right w:val="single" w:sz="4" w:space="0" w:color="auto"/>
            </w:tcBorders>
            <w:shd w:val="clear" w:color="auto" w:fill="auto"/>
            <w:noWrap/>
            <w:vAlign w:val="bottom"/>
            <w:hideMark/>
          </w:tcPr>
          <w:p w14:paraId="5F6B0D9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608</w:t>
            </w:r>
          </w:p>
        </w:tc>
        <w:tc>
          <w:tcPr>
            <w:tcW w:w="909" w:type="dxa"/>
            <w:tcBorders>
              <w:top w:val="nil"/>
              <w:left w:val="nil"/>
              <w:bottom w:val="single" w:sz="4" w:space="0" w:color="auto"/>
              <w:right w:val="single" w:sz="4" w:space="0" w:color="auto"/>
            </w:tcBorders>
            <w:shd w:val="clear" w:color="auto" w:fill="auto"/>
            <w:noWrap/>
            <w:vAlign w:val="bottom"/>
            <w:hideMark/>
          </w:tcPr>
          <w:p w14:paraId="28F66B3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w:t>
            </w:r>
          </w:p>
        </w:tc>
        <w:tc>
          <w:tcPr>
            <w:tcW w:w="909" w:type="dxa"/>
            <w:tcBorders>
              <w:top w:val="nil"/>
              <w:left w:val="nil"/>
              <w:bottom w:val="single" w:sz="4" w:space="0" w:color="auto"/>
              <w:right w:val="single" w:sz="4" w:space="0" w:color="auto"/>
            </w:tcBorders>
            <w:shd w:val="clear" w:color="auto" w:fill="auto"/>
            <w:noWrap/>
            <w:vAlign w:val="bottom"/>
            <w:hideMark/>
          </w:tcPr>
          <w:p w14:paraId="107D2B9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CFE730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w:t>
            </w:r>
          </w:p>
        </w:tc>
        <w:tc>
          <w:tcPr>
            <w:tcW w:w="909" w:type="dxa"/>
            <w:tcBorders>
              <w:top w:val="nil"/>
              <w:left w:val="nil"/>
              <w:bottom w:val="single" w:sz="4" w:space="0" w:color="auto"/>
              <w:right w:val="single" w:sz="4" w:space="0" w:color="auto"/>
            </w:tcBorders>
            <w:shd w:val="clear" w:color="auto" w:fill="auto"/>
            <w:noWrap/>
            <w:vAlign w:val="bottom"/>
            <w:hideMark/>
          </w:tcPr>
          <w:p w14:paraId="388EF92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0A063A2B"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C423DC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w:t>
            </w:r>
          </w:p>
        </w:tc>
        <w:tc>
          <w:tcPr>
            <w:tcW w:w="3634" w:type="dxa"/>
            <w:tcBorders>
              <w:top w:val="nil"/>
              <w:left w:val="nil"/>
              <w:bottom w:val="single" w:sz="4" w:space="0" w:color="auto"/>
              <w:right w:val="single" w:sz="4" w:space="0" w:color="auto"/>
            </w:tcBorders>
            <w:shd w:val="clear" w:color="auto" w:fill="auto"/>
            <w:noWrap/>
            <w:vAlign w:val="bottom"/>
            <w:hideMark/>
          </w:tcPr>
          <w:p w14:paraId="3448B6D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Pennsylvania</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49BFF4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612</w:t>
            </w:r>
          </w:p>
        </w:tc>
        <w:tc>
          <w:tcPr>
            <w:tcW w:w="909" w:type="dxa"/>
            <w:tcBorders>
              <w:top w:val="nil"/>
              <w:left w:val="nil"/>
              <w:bottom w:val="single" w:sz="4" w:space="0" w:color="auto"/>
              <w:right w:val="single" w:sz="4" w:space="0" w:color="auto"/>
            </w:tcBorders>
            <w:shd w:val="clear" w:color="auto" w:fill="auto"/>
            <w:noWrap/>
            <w:vAlign w:val="bottom"/>
            <w:hideMark/>
          </w:tcPr>
          <w:p w14:paraId="4F9CE2B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0B363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CF71C6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93</w:t>
            </w:r>
          </w:p>
        </w:tc>
        <w:tc>
          <w:tcPr>
            <w:tcW w:w="909" w:type="dxa"/>
            <w:tcBorders>
              <w:top w:val="nil"/>
              <w:left w:val="nil"/>
              <w:bottom w:val="single" w:sz="4" w:space="0" w:color="auto"/>
              <w:right w:val="single" w:sz="4" w:space="0" w:color="auto"/>
            </w:tcBorders>
            <w:shd w:val="clear" w:color="auto" w:fill="auto"/>
            <w:noWrap/>
            <w:vAlign w:val="bottom"/>
            <w:hideMark/>
          </w:tcPr>
          <w:p w14:paraId="7F08A7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19</w:t>
            </w:r>
          </w:p>
        </w:tc>
      </w:tr>
      <w:tr w:rsidR="00622247" w:rsidRPr="00E9332A" w14:paraId="2AC525D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BF2425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w:t>
            </w:r>
          </w:p>
        </w:tc>
        <w:tc>
          <w:tcPr>
            <w:tcW w:w="3634" w:type="dxa"/>
            <w:tcBorders>
              <w:top w:val="nil"/>
              <w:left w:val="nil"/>
              <w:bottom w:val="single" w:sz="4" w:space="0" w:color="auto"/>
              <w:right w:val="single" w:sz="4" w:space="0" w:color="auto"/>
            </w:tcBorders>
            <w:shd w:val="clear" w:color="auto" w:fill="auto"/>
            <w:noWrap/>
            <w:vAlign w:val="bottom"/>
            <w:hideMark/>
          </w:tcPr>
          <w:p w14:paraId="07E7B85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Boston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F9850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627</w:t>
            </w:r>
          </w:p>
        </w:tc>
        <w:tc>
          <w:tcPr>
            <w:tcW w:w="909" w:type="dxa"/>
            <w:tcBorders>
              <w:top w:val="nil"/>
              <w:left w:val="nil"/>
              <w:bottom w:val="single" w:sz="4" w:space="0" w:color="auto"/>
              <w:right w:val="single" w:sz="4" w:space="0" w:color="auto"/>
            </w:tcBorders>
            <w:shd w:val="clear" w:color="auto" w:fill="auto"/>
            <w:noWrap/>
            <w:vAlign w:val="bottom"/>
            <w:hideMark/>
          </w:tcPr>
          <w:p w14:paraId="7145D5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909" w:type="dxa"/>
            <w:tcBorders>
              <w:top w:val="nil"/>
              <w:left w:val="nil"/>
              <w:bottom w:val="single" w:sz="4" w:space="0" w:color="auto"/>
              <w:right w:val="single" w:sz="4" w:space="0" w:color="auto"/>
            </w:tcBorders>
            <w:shd w:val="clear" w:color="auto" w:fill="auto"/>
            <w:noWrap/>
            <w:vAlign w:val="bottom"/>
            <w:hideMark/>
          </w:tcPr>
          <w:p w14:paraId="1F1C8A7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4F8873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D6730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56</w:t>
            </w:r>
          </w:p>
        </w:tc>
      </w:tr>
      <w:tr w:rsidR="00622247" w:rsidRPr="00E9332A" w14:paraId="0520151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84879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86</w:t>
            </w:r>
          </w:p>
        </w:tc>
        <w:tc>
          <w:tcPr>
            <w:tcW w:w="3634" w:type="dxa"/>
            <w:tcBorders>
              <w:top w:val="nil"/>
              <w:left w:val="nil"/>
              <w:bottom w:val="single" w:sz="4" w:space="0" w:color="auto"/>
              <w:right w:val="single" w:sz="4" w:space="0" w:color="auto"/>
            </w:tcBorders>
            <w:shd w:val="clear" w:color="auto" w:fill="auto"/>
            <w:noWrap/>
            <w:vAlign w:val="bottom"/>
            <w:hideMark/>
          </w:tcPr>
          <w:p w14:paraId="3F5A9A6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Pittsburgh</w:t>
            </w:r>
          </w:p>
        </w:tc>
        <w:tc>
          <w:tcPr>
            <w:tcW w:w="909" w:type="dxa"/>
            <w:tcBorders>
              <w:top w:val="nil"/>
              <w:left w:val="nil"/>
              <w:bottom w:val="single" w:sz="4" w:space="0" w:color="auto"/>
              <w:right w:val="single" w:sz="4" w:space="0" w:color="auto"/>
            </w:tcBorders>
            <w:shd w:val="clear" w:color="auto" w:fill="auto"/>
            <w:noWrap/>
            <w:vAlign w:val="bottom"/>
            <w:hideMark/>
          </w:tcPr>
          <w:p w14:paraId="11E372D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628</w:t>
            </w:r>
          </w:p>
        </w:tc>
        <w:tc>
          <w:tcPr>
            <w:tcW w:w="909" w:type="dxa"/>
            <w:tcBorders>
              <w:top w:val="nil"/>
              <w:left w:val="nil"/>
              <w:bottom w:val="single" w:sz="4" w:space="0" w:color="auto"/>
              <w:right w:val="single" w:sz="4" w:space="0" w:color="auto"/>
            </w:tcBorders>
            <w:shd w:val="clear" w:color="auto" w:fill="auto"/>
            <w:noWrap/>
            <w:vAlign w:val="bottom"/>
            <w:hideMark/>
          </w:tcPr>
          <w:p w14:paraId="5DB84AE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21EB31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6EC89EF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1884D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46</w:t>
            </w:r>
          </w:p>
        </w:tc>
      </w:tr>
      <w:tr w:rsidR="00622247" w:rsidRPr="00E9332A" w14:paraId="7CE3488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AD5EC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87</w:t>
            </w:r>
          </w:p>
        </w:tc>
        <w:tc>
          <w:tcPr>
            <w:tcW w:w="3634" w:type="dxa"/>
            <w:tcBorders>
              <w:top w:val="nil"/>
              <w:left w:val="nil"/>
              <w:bottom w:val="single" w:sz="4" w:space="0" w:color="auto"/>
              <w:right w:val="single" w:sz="4" w:space="0" w:color="auto"/>
            </w:tcBorders>
            <w:shd w:val="clear" w:color="auto" w:fill="auto"/>
            <w:noWrap/>
            <w:vAlign w:val="bottom"/>
            <w:hideMark/>
          </w:tcPr>
          <w:p w14:paraId="3BD40A8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Purdue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0A4528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628</w:t>
            </w:r>
          </w:p>
        </w:tc>
        <w:tc>
          <w:tcPr>
            <w:tcW w:w="909" w:type="dxa"/>
            <w:tcBorders>
              <w:top w:val="nil"/>
              <w:left w:val="nil"/>
              <w:bottom w:val="single" w:sz="4" w:space="0" w:color="auto"/>
              <w:right w:val="single" w:sz="4" w:space="0" w:color="auto"/>
            </w:tcBorders>
            <w:shd w:val="clear" w:color="auto" w:fill="auto"/>
            <w:noWrap/>
            <w:vAlign w:val="bottom"/>
            <w:hideMark/>
          </w:tcPr>
          <w:p w14:paraId="4AFFDAF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47F22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2C63DE8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E5C102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45</w:t>
            </w:r>
          </w:p>
        </w:tc>
      </w:tr>
      <w:tr w:rsidR="00622247" w:rsidRPr="00E9332A" w14:paraId="022CBCE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66175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88</w:t>
            </w:r>
          </w:p>
        </w:tc>
        <w:tc>
          <w:tcPr>
            <w:tcW w:w="3634" w:type="dxa"/>
            <w:tcBorders>
              <w:top w:val="nil"/>
              <w:left w:val="nil"/>
              <w:bottom w:val="single" w:sz="4" w:space="0" w:color="auto"/>
              <w:right w:val="single" w:sz="4" w:space="0" w:color="auto"/>
            </w:tcBorders>
            <w:shd w:val="clear" w:color="auto" w:fill="auto"/>
            <w:noWrap/>
            <w:vAlign w:val="bottom"/>
            <w:hideMark/>
          </w:tcPr>
          <w:p w14:paraId="53E5740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Florida</w:t>
            </w:r>
          </w:p>
        </w:tc>
        <w:tc>
          <w:tcPr>
            <w:tcW w:w="909" w:type="dxa"/>
            <w:tcBorders>
              <w:top w:val="nil"/>
              <w:left w:val="nil"/>
              <w:bottom w:val="single" w:sz="4" w:space="0" w:color="auto"/>
              <w:right w:val="single" w:sz="4" w:space="0" w:color="auto"/>
            </w:tcBorders>
            <w:shd w:val="clear" w:color="auto" w:fill="auto"/>
            <w:noWrap/>
            <w:vAlign w:val="bottom"/>
            <w:hideMark/>
          </w:tcPr>
          <w:p w14:paraId="24A2450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628</w:t>
            </w:r>
          </w:p>
        </w:tc>
        <w:tc>
          <w:tcPr>
            <w:tcW w:w="909" w:type="dxa"/>
            <w:tcBorders>
              <w:top w:val="nil"/>
              <w:left w:val="nil"/>
              <w:bottom w:val="single" w:sz="4" w:space="0" w:color="auto"/>
              <w:right w:val="single" w:sz="4" w:space="0" w:color="auto"/>
            </w:tcBorders>
            <w:shd w:val="clear" w:color="auto" w:fill="auto"/>
            <w:noWrap/>
            <w:vAlign w:val="bottom"/>
            <w:hideMark/>
          </w:tcPr>
          <w:p w14:paraId="003E24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B00E8B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94</w:t>
            </w:r>
          </w:p>
        </w:tc>
        <w:tc>
          <w:tcPr>
            <w:tcW w:w="909" w:type="dxa"/>
            <w:tcBorders>
              <w:top w:val="nil"/>
              <w:left w:val="nil"/>
              <w:bottom w:val="single" w:sz="4" w:space="0" w:color="auto"/>
              <w:right w:val="single" w:sz="4" w:space="0" w:color="auto"/>
            </w:tcBorders>
            <w:shd w:val="clear" w:color="auto" w:fill="auto"/>
            <w:noWrap/>
            <w:vAlign w:val="bottom"/>
            <w:hideMark/>
          </w:tcPr>
          <w:p w14:paraId="1CEC82E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867D39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34</w:t>
            </w:r>
          </w:p>
        </w:tc>
      </w:tr>
      <w:tr w:rsidR="00622247" w:rsidRPr="00E9332A" w14:paraId="6002D01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958494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89</w:t>
            </w:r>
          </w:p>
        </w:tc>
        <w:tc>
          <w:tcPr>
            <w:tcW w:w="3634" w:type="dxa"/>
            <w:tcBorders>
              <w:top w:val="nil"/>
              <w:left w:val="nil"/>
              <w:bottom w:val="single" w:sz="4" w:space="0" w:color="auto"/>
              <w:right w:val="single" w:sz="4" w:space="0" w:color="auto"/>
            </w:tcBorders>
            <w:shd w:val="clear" w:color="auto" w:fill="auto"/>
            <w:noWrap/>
            <w:vAlign w:val="bottom"/>
            <w:hideMark/>
          </w:tcPr>
          <w:p w14:paraId="1B0014B2"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KAIST - Korea Advanced Institute of Science &amp; Technology</w:t>
            </w:r>
          </w:p>
        </w:tc>
        <w:tc>
          <w:tcPr>
            <w:tcW w:w="909" w:type="dxa"/>
            <w:tcBorders>
              <w:top w:val="nil"/>
              <w:left w:val="nil"/>
              <w:bottom w:val="single" w:sz="4" w:space="0" w:color="auto"/>
              <w:right w:val="single" w:sz="4" w:space="0" w:color="auto"/>
            </w:tcBorders>
            <w:shd w:val="clear" w:color="auto" w:fill="auto"/>
            <w:noWrap/>
            <w:vAlign w:val="bottom"/>
            <w:hideMark/>
          </w:tcPr>
          <w:p w14:paraId="6D26AA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633</w:t>
            </w:r>
          </w:p>
        </w:tc>
        <w:tc>
          <w:tcPr>
            <w:tcW w:w="909" w:type="dxa"/>
            <w:tcBorders>
              <w:top w:val="nil"/>
              <w:left w:val="nil"/>
              <w:bottom w:val="single" w:sz="4" w:space="0" w:color="auto"/>
              <w:right w:val="single" w:sz="4" w:space="0" w:color="auto"/>
            </w:tcBorders>
            <w:shd w:val="clear" w:color="auto" w:fill="auto"/>
            <w:noWrap/>
            <w:vAlign w:val="bottom"/>
            <w:hideMark/>
          </w:tcPr>
          <w:p w14:paraId="7F62040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c>
          <w:tcPr>
            <w:tcW w:w="909" w:type="dxa"/>
            <w:tcBorders>
              <w:top w:val="nil"/>
              <w:left w:val="nil"/>
              <w:bottom w:val="single" w:sz="4" w:space="0" w:color="auto"/>
              <w:right w:val="single" w:sz="4" w:space="0" w:color="auto"/>
            </w:tcBorders>
            <w:shd w:val="clear" w:color="auto" w:fill="auto"/>
            <w:noWrap/>
            <w:vAlign w:val="bottom"/>
            <w:hideMark/>
          </w:tcPr>
          <w:p w14:paraId="6E41E4D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0F5445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42</w:t>
            </w:r>
          </w:p>
        </w:tc>
        <w:tc>
          <w:tcPr>
            <w:tcW w:w="909" w:type="dxa"/>
            <w:tcBorders>
              <w:top w:val="nil"/>
              <w:left w:val="nil"/>
              <w:bottom w:val="single" w:sz="4" w:space="0" w:color="auto"/>
              <w:right w:val="single" w:sz="4" w:space="0" w:color="auto"/>
            </w:tcBorders>
            <w:shd w:val="clear" w:color="auto" w:fill="auto"/>
            <w:noWrap/>
            <w:vAlign w:val="bottom"/>
            <w:hideMark/>
          </w:tcPr>
          <w:p w14:paraId="0C4C23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9FD171B"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6F4D2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3634" w:type="dxa"/>
            <w:tcBorders>
              <w:top w:val="nil"/>
              <w:left w:val="nil"/>
              <w:bottom w:val="single" w:sz="4" w:space="0" w:color="auto"/>
              <w:right w:val="single" w:sz="4" w:space="0" w:color="auto"/>
            </w:tcBorders>
            <w:shd w:val="clear" w:color="auto" w:fill="auto"/>
            <w:noWrap/>
            <w:vAlign w:val="bottom"/>
            <w:hideMark/>
          </w:tcPr>
          <w:p w14:paraId="593F264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Institut</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Polytechnique</w:t>
            </w:r>
            <w:proofErr w:type="spellEnd"/>
            <w:r w:rsidRPr="00622247">
              <w:rPr>
                <w:rFonts w:eastAsia="Times New Roman" w:cs="Arial"/>
                <w:color w:val="000000"/>
                <w:sz w:val="18"/>
                <w:szCs w:val="18"/>
                <w:lang w:eastAsia="pl-PL"/>
              </w:rPr>
              <w:t xml:space="preserve"> de Paris</w:t>
            </w:r>
          </w:p>
        </w:tc>
        <w:tc>
          <w:tcPr>
            <w:tcW w:w="909" w:type="dxa"/>
            <w:tcBorders>
              <w:top w:val="nil"/>
              <w:left w:val="nil"/>
              <w:bottom w:val="single" w:sz="4" w:space="0" w:color="auto"/>
              <w:right w:val="single" w:sz="4" w:space="0" w:color="auto"/>
            </w:tcBorders>
            <w:shd w:val="clear" w:color="auto" w:fill="auto"/>
            <w:noWrap/>
            <w:vAlign w:val="bottom"/>
            <w:hideMark/>
          </w:tcPr>
          <w:p w14:paraId="66AD03B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643</w:t>
            </w:r>
          </w:p>
        </w:tc>
        <w:tc>
          <w:tcPr>
            <w:tcW w:w="909" w:type="dxa"/>
            <w:tcBorders>
              <w:top w:val="nil"/>
              <w:left w:val="nil"/>
              <w:bottom w:val="single" w:sz="4" w:space="0" w:color="auto"/>
              <w:right w:val="single" w:sz="4" w:space="0" w:color="auto"/>
            </w:tcBorders>
            <w:shd w:val="clear" w:color="auto" w:fill="auto"/>
            <w:noWrap/>
            <w:vAlign w:val="bottom"/>
            <w:hideMark/>
          </w:tcPr>
          <w:p w14:paraId="1674F9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209ED66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89507F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48</w:t>
            </w:r>
          </w:p>
        </w:tc>
        <w:tc>
          <w:tcPr>
            <w:tcW w:w="909" w:type="dxa"/>
            <w:tcBorders>
              <w:top w:val="nil"/>
              <w:left w:val="nil"/>
              <w:bottom w:val="single" w:sz="4" w:space="0" w:color="auto"/>
              <w:right w:val="single" w:sz="4" w:space="0" w:color="auto"/>
            </w:tcBorders>
            <w:shd w:val="clear" w:color="auto" w:fill="auto"/>
            <w:noWrap/>
            <w:vAlign w:val="bottom"/>
            <w:hideMark/>
          </w:tcPr>
          <w:p w14:paraId="585F45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E9DF1D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D6C469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c>
          <w:tcPr>
            <w:tcW w:w="3634" w:type="dxa"/>
            <w:tcBorders>
              <w:top w:val="nil"/>
              <w:left w:val="nil"/>
              <w:bottom w:val="single" w:sz="4" w:space="0" w:color="auto"/>
              <w:right w:val="single" w:sz="4" w:space="0" w:color="auto"/>
            </w:tcBorders>
            <w:shd w:val="clear" w:color="auto" w:fill="auto"/>
            <w:noWrap/>
            <w:vAlign w:val="bottom"/>
            <w:hideMark/>
          </w:tcPr>
          <w:p w14:paraId="1DDC07C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Hong Kong </w:t>
            </w:r>
            <w:proofErr w:type="spellStart"/>
            <w:r w:rsidRPr="00622247">
              <w:rPr>
                <w:rFonts w:eastAsia="Times New Roman" w:cs="Arial"/>
                <w:color w:val="000000"/>
                <w:sz w:val="18"/>
                <w:szCs w:val="18"/>
                <w:lang w:eastAsia="pl-PL"/>
              </w:rPr>
              <w:t>Polytechnic</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D228A9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644</w:t>
            </w:r>
          </w:p>
        </w:tc>
        <w:tc>
          <w:tcPr>
            <w:tcW w:w="909" w:type="dxa"/>
            <w:tcBorders>
              <w:top w:val="nil"/>
              <w:left w:val="nil"/>
              <w:bottom w:val="single" w:sz="4" w:space="0" w:color="auto"/>
              <w:right w:val="single" w:sz="4" w:space="0" w:color="auto"/>
            </w:tcBorders>
            <w:shd w:val="clear" w:color="auto" w:fill="auto"/>
            <w:noWrap/>
            <w:vAlign w:val="bottom"/>
            <w:hideMark/>
          </w:tcPr>
          <w:p w14:paraId="512AEE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c>
          <w:tcPr>
            <w:tcW w:w="909" w:type="dxa"/>
            <w:tcBorders>
              <w:top w:val="nil"/>
              <w:left w:val="nil"/>
              <w:bottom w:val="single" w:sz="4" w:space="0" w:color="auto"/>
              <w:right w:val="single" w:sz="4" w:space="0" w:color="auto"/>
            </w:tcBorders>
            <w:shd w:val="clear" w:color="auto" w:fill="auto"/>
            <w:noWrap/>
            <w:vAlign w:val="bottom"/>
            <w:hideMark/>
          </w:tcPr>
          <w:p w14:paraId="771A565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8705C4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w:t>
            </w:r>
          </w:p>
        </w:tc>
        <w:tc>
          <w:tcPr>
            <w:tcW w:w="909" w:type="dxa"/>
            <w:tcBorders>
              <w:top w:val="nil"/>
              <w:left w:val="nil"/>
              <w:bottom w:val="single" w:sz="4" w:space="0" w:color="auto"/>
              <w:right w:val="single" w:sz="4" w:space="0" w:color="auto"/>
            </w:tcBorders>
            <w:shd w:val="clear" w:color="auto" w:fill="auto"/>
            <w:noWrap/>
            <w:vAlign w:val="bottom"/>
            <w:hideMark/>
          </w:tcPr>
          <w:p w14:paraId="199184B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86AB90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C52D0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92</w:t>
            </w:r>
          </w:p>
        </w:tc>
        <w:tc>
          <w:tcPr>
            <w:tcW w:w="3634" w:type="dxa"/>
            <w:tcBorders>
              <w:top w:val="nil"/>
              <w:left w:val="nil"/>
              <w:bottom w:val="single" w:sz="4" w:space="0" w:color="auto"/>
              <w:right w:val="single" w:sz="4" w:space="0" w:color="auto"/>
            </w:tcBorders>
            <w:shd w:val="clear" w:color="auto" w:fill="auto"/>
            <w:noWrap/>
            <w:vAlign w:val="bottom"/>
            <w:hideMark/>
          </w:tcPr>
          <w:p w14:paraId="601EDF9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Yonsei</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B738FA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651</w:t>
            </w:r>
          </w:p>
        </w:tc>
        <w:tc>
          <w:tcPr>
            <w:tcW w:w="909" w:type="dxa"/>
            <w:tcBorders>
              <w:top w:val="nil"/>
              <w:left w:val="nil"/>
              <w:bottom w:val="single" w:sz="4" w:space="0" w:color="auto"/>
              <w:right w:val="single" w:sz="4" w:space="0" w:color="auto"/>
            </w:tcBorders>
            <w:shd w:val="clear" w:color="auto" w:fill="auto"/>
            <w:noWrap/>
            <w:vAlign w:val="bottom"/>
            <w:hideMark/>
          </w:tcPr>
          <w:p w14:paraId="3B5AA23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w:t>
            </w:r>
          </w:p>
        </w:tc>
        <w:tc>
          <w:tcPr>
            <w:tcW w:w="909" w:type="dxa"/>
            <w:tcBorders>
              <w:top w:val="nil"/>
              <w:left w:val="nil"/>
              <w:bottom w:val="single" w:sz="4" w:space="0" w:color="auto"/>
              <w:right w:val="single" w:sz="4" w:space="0" w:color="auto"/>
            </w:tcBorders>
            <w:shd w:val="clear" w:color="auto" w:fill="auto"/>
            <w:noWrap/>
            <w:vAlign w:val="bottom"/>
            <w:hideMark/>
          </w:tcPr>
          <w:p w14:paraId="1F0D88F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54D6BE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73</w:t>
            </w:r>
          </w:p>
        </w:tc>
        <w:tc>
          <w:tcPr>
            <w:tcW w:w="909" w:type="dxa"/>
            <w:tcBorders>
              <w:top w:val="nil"/>
              <w:left w:val="nil"/>
              <w:bottom w:val="single" w:sz="4" w:space="0" w:color="auto"/>
              <w:right w:val="single" w:sz="4" w:space="0" w:color="auto"/>
            </w:tcBorders>
            <w:shd w:val="clear" w:color="auto" w:fill="auto"/>
            <w:noWrap/>
            <w:vAlign w:val="bottom"/>
            <w:hideMark/>
          </w:tcPr>
          <w:p w14:paraId="6630C7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78319D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14943E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93</w:t>
            </w:r>
          </w:p>
        </w:tc>
        <w:tc>
          <w:tcPr>
            <w:tcW w:w="3634" w:type="dxa"/>
            <w:tcBorders>
              <w:top w:val="nil"/>
              <w:left w:val="nil"/>
              <w:bottom w:val="single" w:sz="4" w:space="0" w:color="auto"/>
              <w:right w:val="single" w:sz="4" w:space="0" w:color="auto"/>
            </w:tcBorders>
            <w:shd w:val="clear" w:color="auto" w:fill="auto"/>
            <w:noWrap/>
            <w:vAlign w:val="bottom"/>
            <w:hideMark/>
          </w:tcPr>
          <w:p w14:paraId="62BF6A4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Emory</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45E2DA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654</w:t>
            </w:r>
          </w:p>
        </w:tc>
        <w:tc>
          <w:tcPr>
            <w:tcW w:w="909" w:type="dxa"/>
            <w:tcBorders>
              <w:top w:val="nil"/>
              <w:left w:val="nil"/>
              <w:bottom w:val="single" w:sz="4" w:space="0" w:color="auto"/>
              <w:right w:val="single" w:sz="4" w:space="0" w:color="auto"/>
            </w:tcBorders>
            <w:shd w:val="clear" w:color="auto" w:fill="auto"/>
            <w:noWrap/>
            <w:vAlign w:val="bottom"/>
            <w:hideMark/>
          </w:tcPr>
          <w:p w14:paraId="0C0AD23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162F3A5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CDDAB1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EFA686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72</w:t>
            </w:r>
          </w:p>
        </w:tc>
      </w:tr>
      <w:tr w:rsidR="00622247" w:rsidRPr="00E9332A" w14:paraId="156660C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B834DA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94</w:t>
            </w:r>
          </w:p>
        </w:tc>
        <w:tc>
          <w:tcPr>
            <w:tcW w:w="3634" w:type="dxa"/>
            <w:tcBorders>
              <w:top w:val="nil"/>
              <w:left w:val="nil"/>
              <w:bottom w:val="single" w:sz="4" w:space="0" w:color="auto"/>
              <w:right w:val="single" w:sz="4" w:space="0" w:color="auto"/>
            </w:tcBorders>
            <w:shd w:val="clear" w:color="auto" w:fill="auto"/>
            <w:noWrap/>
            <w:vAlign w:val="bottom"/>
            <w:hideMark/>
          </w:tcPr>
          <w:p w14:paraId="774800B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Alberta</w:t>
            </w:r>
          </w:p>
        </w:tc>
        <w:tc>
          <w:tcPr>
            <w:tcW w:w="909" w:type="dxa"/>
            <w:tcBorders>
              <w:top w:val="nil"/>
              <w:left w:val="nil"/>
              <w:bottom w:val="single" w:sz="4" w:space="0" w:color="auto"/>
              <w:right w:val="single" w:sz="4" w:space="0" w:color="auto"/>
            </w:tcBorders>
            <w:shd w:val="clear" w:color="auto" w:fill="auto"/>
            <w:noWrap/>
            <w:vAlign w:val="bottom"/>
            <w:hideMark/>
          </w:tcPr>
          <w:p w14:paraId="2050A46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663</w:t>
            </w:r>
          </w:p>
        </w:tc>
        <w:tc>
          <w:tcPr>
            <w:tcW w:w="909" w:type="dxa"/>
            <w:tcBorders>
              <w:top w:val="nil"/>
              <w:left w:val="nil"/>
              <w:bottom w:val="single" w:sz="4" w:space="0" w:color="auto"/>
              <w:right w:val="single" w:sz="4" w:space="0" w:color="auto"/>
            </w:tcBorders>
            <w:shd w:val="clear" w:color="auto" w:fill="auto"/>
            <w:noWrap/>
            <w:vAlign w:val="bottom"/>
            <w:hideMark/>
          </w:tcPr>
          <w:p w14:paraId="50C0E7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36EB3C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92</w:t>
            </w:r>
          </w:p>
        </w:tc>
        <w:tc>
          <w:tcPr>
            <w:tcW w:w="909" w:type="dxa"/>
            <w:tcBorders>
              <w:top w:val="nil"/>
              <w:left w:val="nil"/>
              <w:bottom w:val="single" w:sz="4" w:space="0" w:color="auto"/>
              <w:right w:val="single" w:sz="4" w:space="0" w:color="auto"/>
            </w:tcBorders>
            <w:shd w:val="clear" w:color="auto" w:fill="auto"/>
            <w:noWrap/>
            <w:vAlign w:val="bottom"/>
            <w:hideMark/>
          </w:tcPr>
          <w:p w14:paraId="18F493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9D5AD4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r>
      <w:tr w:rsidR="00622247" w:rsidRPr="00E9332A" w14:paraId="74350F1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39B8B3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3634" w:type="dxa"/>
            <w:tcBorders>
              <w:top w:val="nil"/>
              <w:left w:val="nil"/>
              <w:bottom w:val="single" w:sz="4" w:space="0" w:color="auto"/>
              <w:right w:val="single" w:sz="4" w:space="0" w:color="auto"/>
            </w:tcBorders>
            <w:shd w:val="clear" w:color="auto" w:fill="auto"/>
            <w:noWrap/>
            <w:vAlign w:val="bottom"/>
            <w:hideMark/>
          </w:tcPr>
          <w:p w14:paraId="5139479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Glasgow</w:t>
            </w:r>
          </w:p>
        </w:tc>
        <w:tc>
          <w:tcPr>
            <w:tcW w:w="909" w:type="dxa"/>
            <w:tcBorders>
              <w:top w:val="nil"/>
              <w:left w:val="nil"/>
              <w:bottom w:val="single" w:sz="4" w:space="0" w:color="auto"/>
              <w:right w:val="single" w:sz="4" w:space="0" w:color="auto"/>
            </w:tcBorders>
            <w:shd w:val="clear" w:color="auto" w:fill="auto"/>
            <w:noWrap/>
            <w:vAlign w:val="bottom"/>
            <w:hideMark/>
          </w:tcPr>
          <w:p w14:paraId="1D7BB6E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663</w:t>
            </w:r>
          </w:p>
        </w:tc>
        <w:tc>
          <w:tcPr>
            <w:tcW w:w="909" w:type="dxa"/>
            <w:tcBorders>
              <w:top w:val="nil"/>
              <w:left w:val="nil"/>
              <w:bottom w:val="single" w:sz="4" w:space="0" w:color="auto"/>
              <w:right w:val="single" w:sz="4" w:space="0" w:color="auto"/>
            </w:tcBorders>
            <w:shd w:val="clear" w:color="auto" w:fill="auto"/>
            <w:noWrap/>
            <w:vAlign w:val="bottom"/>
            <w:hideMark/>
          </w:tcPr>
          <w:p w14:paraId="2E23C5D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c>
          <w:tcPr>
            <w:tcW w:w="909" w:type="dxa"/>
            <w:tcBorders>
              <w:top w:val="nil"/>
              <w:left w:val="nil"/>
              <w:bottom w:val="single" w:sz="4" w:space="0" w:color="auto"/>
              <w:right w:val="single" w:sz="4" w:space="0" w:color="auto"/>
            </w:tcBorders>
            <w:shd w:val="clear" w:color="auto" w:fill="auto"/>
            <w:noWrap/>
            <w:vAlign w:val="bottom"/>
            <w:hideMark/>
          </w:tcPr>
          <w:p w14:paraId="2D694C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B96859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w:t>
            </w:r>
          </w:p>
        </w:tc>
        <w:tc>
          <w:tcPr>
            <w:tcW w:w="909" w:type="dxa"/>
            <w:tcBorders>
              <w:top w:val="nil"/>
              <w:left w:val="nil"/>
              <w:bottom w:val="single" w:sz="4" w:space="0" w:color="auto"/>
              <w:right w:val="single" w:sz="4" w:space="0" w:color="auto"/>
            </w:tcBorders>
            <w:shd w:val="clear" w:color="auto" w:fill="auto"/>
            <w:noWrap/>
            <w:vAlign w:val="bottom"/>
            <w:hideMark/>
          </w:tcPr>
          <w:p w14:paraId="189055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4067E7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91D03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c>
          <w:tcPr>
            <w:tcW w:w="3634" w:type="dxa"/>
            <w:tcBorders>
              <w:top w:val="nil"/>
              <w:left w:val="nil"/>
              <w:bottom w:val="single" w:sz="4" w:space="0" w:color="auto"/>
              <w:right w:val="single" w:sz="4" w:space="0" w:color="auto"/>
            </w:tcBorders>
            <w:shd w:val="clear" w:color="auto" w:fill="auto"/>
            <w:noWrap/>
            <w:vAlign w:val="bottom"/>
            <w:hideMark/>
          </w:tcPr>
          <w:p w14:paraId="1EEE5BA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Oslo</w:t>
            </w:r>
          </w:p>
        </w:tc>
        <w:tc>
          <w:tcPr>
            <w:tcW w:w="909" w:type="dxa"/>
            <w:tcBorders>
              <w:top w:val="nil"/>
              <w:left w:val="nil"/>
              <w:bottom w:val="single" w:sz="4" w:space="0" w:color="auto"/>
              <w:right w:val="single" w:sz="4" w:space="0" w:color="auto"/>
            </w:tcBorders>
            <w:shd w:val="clear" w:color="auto" w:fill="auto"/>
            <w:noWrap/>
            <w:vAlign w:val="bottom"/>
            <w:hideMark/>
          </w:tcPr>
          <w:p w14:paraId="393EBE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664</w:t>
            </w:r>
          </w:p>
        </w:tc>
        <w:tc>
          <w:tcPr>
            <w:tcW w:w="909" w:type="dxa"/>
            <w:tcBorders>
              <w:top w:val="nil"/>
              <w:left w:val="nil"/>
              <w:bottom w:val="single" w:sz="4" w:space="0" w:color="auto"/>
              <w:right w:val="single" w:sz="4" w:space="0" w:color="auto"/>
            </w:tcBorders>
            <w:shd w:val="clear" w:color="auto" w:fill="auto"/>
            <w:noWrap/>
            <w:vAlign w:val="bottom"/>
            <w:hideMark/>
          </w:tcPr>
          <w:p w14:paraId="372214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17379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c>
          <w:tcPr>
            <w:tcW w:w="909" w:type="dxa"/>
            <w:tcBorders>
              <w:top w:val="nil"/>
              <w:left w:val="nil"/>
              <w:bottom w:val="single" w:sz="4" w:space="0" w:color="auto"/>
              <w:right w:val="single" w:sz="4" w:space="0" w:color="auto"/>
            </w:tcBorders>
            <w:shd w:val="clear" w:color="auto" w:fill="auto"/>
            <w:noWrap/>
            <w:vAlign w:val="bottom"/>
            <w:hideMark/>
          </w:tcPr>
          <w:p w14:paraId="3602E4B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80DC9E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97</w:t>
            </w:r>
          </w:p>
        </w:tc>
      </w:tr>
      <w:tr w:rsidR="00622247" w:rsidRPr="00E9332A" w14:paraId="1E3D8F9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82DE7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97</w:t>
            </w:r>
          </w:p>
        </w:tc>
        <w:tc>
          <w:tcPr>
            <w:tcW w:w="3634" w:type="dxa"/>
            <w:tcBorders>
              <w:top w:val="nil"/>
              <w:left w:val="nil"/>
              <w:bottom w:val="single" w:sz="4" w:space="0" w:color="auto"/>
              <w:right w:val="single" w:sz="4" w:space="0" w:color="auto"/>
            </w:tcBorders>
            <w:shd w:val="clear" w:color="auto" w:fill="auto"/>
            <w:noWrap/>
            <w:vAlign w:val="bottom"/>
            <w:hideMark/>
          </w:tcPr>
          <w:p w14:paraId="1406DA4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Bonn</w:t>
            </w:r>
          </w:p>
        </w:tc>
        <w:tc>
          <w:tcPr>
            <w:tcW w:w="909" w:type="dxa"/>
            <w:tcBorders>
              <w:top w:val="nil"/>
              <w:left w:val="nil"/>
              <w:bottom w:val="single" w:sz="4" w:space="0" w:color="auto"/>
              <w:right w:val="single" w:sz="4" w:space="0" w:color="auto"/>
            </w:tcBorders>
            <w:shd w:val="clear" w:color="auto" w:fill="auto"/>
            <w:noWrap/>
            <w:vAlign w:val="bottom"/>
            <w:hideMark/>
          </w:tcPr>
          <w:p w14:paraId="65F0EB4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665</w:t>
            </w:r>
          </w:p>
        </w:tc>
        <w:tc>
          <w:tcPr>
            <w:tcW w:w="909" w:type="dxa"/>
            <w:tcBorders>
              <w:top w:val="nil"/>
              <w:left w:val="nil"/>
              <w:bottom w:val="single" w:sz="4" w:space="0" w:color="auto"/>
              <w:right w:val="single" w:sz="4" w:space="0" w:color="auto"/>
            </w:tcBorders>
            <w:shd w:val="clear" w:color="auto" w:fill="auto"/>
            <w:noWrap/>
            <w:vAlign w:val="bottom"/>
            <w:hideMark/>
          </w:tcPr>
          <w:p w14:paraId="667EC4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89</w:t>
            </w:r>
          </w:p>
        </w:tc>
        <w:tc>
          <w:tcPr>
            <w:tcW w:w="909" w:type="dxa"/>
            <w:tcBorders>
              <w:top w:val="nil"/>
              <w:left w:val="nil"/>
              <w:bottom w:val="single" w:sz="4" w:space="0" w:color="auto"/>
              <w:right w:val="single" w:sz="4" w:space="0" w:color="auto"/>
            </w:tcBorders>
            <w:shd w:val="clear" w:color="auto" w:fill="auto"/>
            <w:noWrap/>
            <w:vAlign w:val="bottom"/>
            <w:hideMark/>
          </w:tcPr>
          <w:p w14:paraId="28484E0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76</w:t>
            </w:r>
          </w:p>
        </w:tc>
        <w:tc>
          <w:tcPr>
            <w:tcW w:w="909" w:type="dxa"/>
            <w:tcBorders>
              <w:top w:val="nil"/>
              <w:left w:val="nil"/>
              <w:bottom w:val="single" w:sz="4" w:space="0" w:color="auto"/>
              <w:right w:val="single" w:sz="4" w:space="0" w:color="auto"/>
            </w:tcBorders>
            <w:shd w:val="clear" w:color="auto" w:fill="auto"/>
            <w:noWrap/>
            <w:vAlign w:val="bottom"/>
            <w:hideMark/>
          </w:tcPr>
          <w:p w14:paraId="78E69B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1DB89A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3AACB9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ABA29E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98</w:t>
            </w:r>
          </w:p>
        </w:tc>
        <w:tc>
          <w:tcPr>
            <w:tcW w:w="3634" w:type="dxa"/>
            <w:tcBorders>
              <w:top w:val="nil"/>
              <w:left w:val="nil"/>
              <w:bottom w:val="single" w:sz="4" w:space="0" w:color="auto"/>
              <w:right w:val="single" w:sz="4" w:space="0" w:color="auto"/>
            </w:tcBorders>
            <w:shd w:val="clear" w:color="auto" w:fill="auto"/>
            <w:noWrap/>
            <w:vAlign w:val="bottom"/>
            <w:hideMark/>
          </w:tcPr>
          <w:p w14:paraId="12E5AC6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Erasmus University Rotterdam</w:t>
            </w:r>
          </w:p>
        </w:tc>
        <w:tc>
          <w:tcPr>
            <w:tcW w:w="909" w:type="dxa"/>
            <w:tcBorders>
              <w:top w:val="nil"/>
              <w:left w:val="nil"/>
              <w:bottom w:val="single" w:sz="4" w:space="0" w:color="auto"/>
              <w:right w:val="single" w:sz="4" w:space="0" w:color="auto"/>
            </w:tcBorders>
            <w:shd w:val="clear" w:color="auto" w:fill="auto"/>
            <w:noWrap/>
            <w:vAlign w:val="bottom"/>
            <w:hideMark/>
          </w:tcPr>
          <w:p w14:paraId="1012C09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667</w:t>
            </w:r>
          </w:p>
        </w:tc>
        <w:tc>
          <w:tcPr>
            <w:tcW w:w="909" w:type="dxa"/>
            <w:tcBorders>
              <w:top w:val="nil"/>
              <w:left w:val="nil"/>
              <w:bottom w:val="single" w:sz="4" w:space="0" w:color="auto"/>
              <w:right w:val="single" w:sz="4" w:space="0" w:color="auto"/>
            </w:tcBorders>
            <w:shd w:val="clear" w:color="auto" w:fill="auto"/>
            <w:noWrap/>
            <w:vAlign w:val="bottom"/>
            <w:hideMark/>
          </w:tcPr>
          <w:p w14:paraId="3A72E89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w:t>
            </w:r>
          </w:p>
        </w:tc>
        <w:tc>
          <w:tcPr>
            <w:tcW w:w="909" w:type="dxa"/>
            <w:tcBorders>
              <w:top w:val="nil"/>
              <w:left w:val="nil"/>
              <w:bottom w:val="single" w:sz="4" w:space="0" w:color="auto"/>
              <w:right w:val="single" w:sz="4" w:space="0" w:color="auto"/>
            </w:tcBorders>
            <w:shd w:val="clear" w:color="auto" w:fill="auto"/>
            <w:noWrap/>
            <w:vAlign w:val="bottom"/>
            <w:hideMark/>
          </w:tcPr>
          <w:p w14:paraId="65511E1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87</w:t>
            </w:r>
          </w:p>
        </w:tc>
        <w:tc>
          <w:tcPr>
            <w:tcW w:w="909" w:type="dxa"/>
            <w:tcBorders>
              <w:top w:val="nil"/>
              <w:left w:val="nil"/>
              <w:bottom w:val="single" w:sz="4" w:space="0" w:color="auto"/>
              <w:right w:val="single" w:sz="4" w:space="0" w:color="auto"/>
            </w:tcBorders>
            <w:shd w:val="clear" w:color="auto" w:fill="auto"/>
            <w:noWrap/>
            <w:vAlign w:val="bottom"/>
            <w:hideMark/>
          </w:tcPr>
          <w:p w14:paraId="73FBB47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A4712D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BD7EF0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A51925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3634" w:type="dxa"/>
            <w:tcBorders>
              <w:top w:val="nil"/>
              <w:left w:val="nil"/>
              <w:bottom w:val="single" w:sz="4" w:space="0" w:color="auto"/>
              <w:right w:val="single" w:sz="4" w:space="0" w:color="auto"/>
            </w:tcBorders>
            <w:shd w:val="clear" w:color="auto" w:fill="auto"/>
            <w:noWrap/>
            <w:vAlign w:val="bottom"/>
            <w:hideMark/>
          </w:tcPr>
          <w:p w14:paraId="6667BA5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Leeds</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346498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674</w:t>
            </w:r>
          </w:p>
        </w:tc>
        <w:tc>
          <w:tcPr>
            <w:tcW w:w="909" w:type="dxa"/>
            <w:tcBorders>
              <w:top w:val="nil"/>
              <w:left w:val="nil"/>
              <w:bottom w:val="single" w:sz="4" w:space="0" w:color="auto"/>
              <w:right w:val="single" w:sz="4" w:space="0" w:color="auto"/>
            </w:tcBorders>
            <w:shd w:val="clear" w:color="auto" w:fill="auto"/>
            <w:noWrap/>
            <w:vAlign w:val="bottom"/>
            <w:hideMark/>
          </w:tcPr>
          <w:p w14:paraId="12330B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B5E448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A7845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86</w:t>
            </w:r>
          </w:p>
        </w:tc>
        <w:tc>
          <w:tcPr>
            <w:tcW w:w="909" w:type="dxa"/>
            <w:tcBorders>
              <w:top w:val="nil"/>
              <w:left w:val="nil"/>
              <w:bottom w:val="single" w:sz="4" w:space="0" w:color="auto"/>
              <w:right w:val="single" w:sz="4" w:space="0" w:color="auto"/>
            </w:tcBorders>
            <w:shd w:val="clear" w:color="auto" w:fill="auto"/>
            <w:noWrap/>
            <w:vAlign w:val="bottom"/>
            <w:hideMark/>
          </w:tcPr>
          <w:p w14:paraId="730041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88</w:t>
            </w:r>
          </w:p>
        </w:tc>
      </w:tr>
      <w:tr w:rsidR="00622247" w:rsidRPr="00E9332A" w14:paraId="5B0BFCE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5FA284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100</w:t>
            </w:r>
          </w:p>
        </w:tc>
        <w:tc>
          <w:tcPr>
            <w:tcW w:w="3634" w:type="dxa"/>
            <w:tcBorders>
              <w:top w:val="nil"/>
              <w:left w:val="nil"/>
              <w:bottom w:val="single" w:sz="4" w:space="0" w:color="auto"/>
              <w:right w:val="single" w:sz="4" w:space="0" w:color="auto"/>
            </w:tcBorders>
            <w:shd w:val="clear" w:color="auto" w:fill="auto"/>
            <w:noWrap/>
            <w:vAlign w:val="bottom"/>
            <w:hideMark/>
          </w:tcPr>
          <w:p w14:paraId="78E7F6F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McMaster</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5F982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675</w:t>
            </w:r>
          </w:p>
        </w:tc>
        <w:tc>
          <w:tcPr>
            <w:tcW w:w="909" w:type="dxa"/>
            <w:tcBorders>
              <w:top w:val="nil"/>
              <w:left w:val="nil"/>
              <w:bottom w:val="single" w:sz="4" w:space="0" w:color="auto"/>
              <w:right w:val="single" w:sz="4" w:space="0" w:color="auto"/>
            </w:tcBorders>
            <w:shd w:val="clear" w:color="auto" w:fill="auto"/>
            <w:noWrap/>
            <w:vAlign w:val="bottom"/>
            <w:hideMark/>
          </w:tcPr>
          <w:p w14:paraId="001E80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w:t>
            </w:r>
          </w:p>
        </w:tc>
        <w:tc>
          <w:tcPr>
            <w:tcW w:w="909" w:type="dxa"/>
            <w:tcBorders>
              <w:top w:val="nil"/>
              <w:left w:val="nil"/>
              <w:bottom w:val="single" w:sz="4" w:space="0" w:color="auto"/>
              <w:right w:val="single" w:sz="4" w:space="0" w:color="auto"/>
            </w:tcBorders>
            <w:shd w:val="clear" w:color="auto" w:fill="auto"/>
            <w:noWrap/>
            <w:vAlign w:val="bottom"/>
            <w:hideMark/>
          </w:tcPr>
          <w:p w14:paraId="2D3A3F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909" w:type="dxa"/>
            <w:tcBorders>
              <w:top w:val="nil"/>
              <w:left w:val="nil"/>
              <w:bottom w:val="single" w:sz="4" w:space="0" w:color="auto"/>
              <w:right w:val="single" w:sz="4" w:space="0" w:color="auto"/>
            </w:tcBorders>
            <w:shd w:val="clear" w:color="auto" w:fill="auto"/>
            <w:noWrap/>
            <w:vAlign w:val="bottom"/>
            <w:hideMark/>
          </w:tcPr>
          <w:p w14:paraId="2EAFE5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CFC03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ABAAEE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5F204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101</w:t>
            </w:r>
          </w:p>
        </w:tc>
        <w:tc>
          <w:tcPr>
            <w:tcW w:w="3634" w:type="dxa"/>
            <w:tcBorders>
              <w:top w:val="nil"/>
              <w:left w:val="nil"/>
              <w:bottom w:val="single" w:sz="4" w:space="0" w:color="auto"/>
              <w:right w:val="single" w:sz="4" w:space="0" w:color="auto"/>
            </w:tcBorders>
            <w:shd w:val="clear" w:color="auto" w:fill="auto"/>
            <w:noWrap/>
            <w:vAlign w:val="bottom"/>
            <w:hideMark/>
          </w:tcPr>
          <w:p w14:paraId="60B4F91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Helsinki</w:t>
            </w:r>
          </w:p>
        </w:tc>
        <w:tc>
          <w:tcPr>
            <w:tcW w:w="909" w:type="dxa"/>
            <w:tcBorders>
              <w:top w:val="nil"/>
              <w:left w:val="nil"/>
              <w:bottom w:val="single" w:sz="4" w:space="0" w:color="auto"/>
              <w:right w:val="single" w:sz="4" w:space="0" w:color="auto"/>
            </w:tcBorders>
            <w:shd w:val="clear" w:color="auto" w:fill="auto"/>
            <w:noWrap/>
            <w:vAlign w:val="bottom"/>
            <w:hideMark/>
          </w:tcPr>
          <w:p w14:paraId="19C4589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685</w:t>
            </w:r>
          </w:p>
        </w:tc>
        <w:tc>
          <w:tcPr>
            <w:tcW w:w="909" w:type="dxa"/>
            <w:tcBorders>
              <w:top w:val="nil"/>
              <w:left w:val="nil"/>
              <w:bottom w:val="single" w:sz="4" w:space="0" w:color="auto"/>
              <w:right w:val="single" w:sz="4" w:space="0" w:color="auto"/>
            </w:tcBorders>
            <w:shd w:val="clear" w:color="auto" w:fill="auto"/>
            <w:noWrap/>
            <w:vAlign w:val="bottom"/>
            <w:hideMark/>
          </w:tcPr>
          <w:p w14:paraId="1C87A1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A46B7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92</w:t>
            </w:r>
          </w:p>
        </w:tc>
        <w:tc>
          <w:tcPr>
            <w:tcW w:w="909" w:type="dxa"/>
            <w:tcBorders>
              <w:top w:val="nil"/>
              <w:left w:val="nil"/>
              <w:bottom w:val="single" w:sz="4" w:space="0" w:color="auto"/>
              <w:right w:val="single" w:sz="4" w:space="0" w:color="auto"/>
            </w:tcBorders>
            <w:shd w:val="clear" w:color="auto" w:fill="auto"/>
            <w:noWrap/>
            <w:vAlign w:val="bottom"/>
            <w:hideMark/>
          </w:tcPr>
          <w:p w14:paraId="2604B68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DDAB76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93</w:t>
            </w:r>
          </w:p>
        </w:tc>
      </w:tr>
      <w:tr w:rsidR="00622247" w:rsidRPr="00E9332A" w14:paraId="433EE4E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6D4AE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102</w:t>
            </w:r>
          </w:p>
        </w:tc>
        <w:tc>
          <w:tcPr>
            <w:tcW w:w="3634" w:type="dxa"/>
            <w:tcBorders>
              <w:top w:val="nil"/>
              <w:left w:val="nil"/>
              <w:bottom w:val="single" w:sz="4" w:space="0" w:color="auto"/>
              <w:right w:val="single" w:sz="4" w:space="0" w:color="auto"/>
            </w:tcBorders>
            <w:shd w:val="clear" w:color="auto" w:fill="auto"/>
            <w:noWrap/>
            <w:vAlign w:val="bottom"/>
            <w:hideMark/>
          </w:tcPr>
          <w:p w14:paraId="78377BD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Adelaide</w:t>
            </w:r>
          </w:p>
        </w:tc>
        <w:tc>
          <w:tcPr>
            <w:tcW w:w="909" w:type="dxa"/>
            <w:tcBorders>
              <w:top w:val="nil"/>
              <w:left w:val="nil"/>
              <w:bottom w:val="single" w:sz="4" w:space="0" w:color="auto"/>
              <w:right w:val="single" w:sz="4" w:space="0" w:color="auto"/>
            </w:tcBorders>
            <w:shd w:val="clear" w:color="auto" w:fill="auto"/>
            <w:noWrap/>
            <w:vAlign w:val="bottom"/>
            <w:hideMark/>
          </w:tcPr>
          <w:p w14:paraId="0397571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687</w:t>
            </w:r>
          </w:p>
        </w:tc>
        <w:tc>
          <w:tcPr>
            <w:tcW w:w="909" w:type="dxa"/>
            <w:tcBorders>
              <w:top w:val="nil"/>
              <w:left w:val="nil"/>
              <w:bottom w:val="single" w:sz="4" w:space="0" w:color="auto"/>
              <w:right w:val="single" w:sz="4" w:space="0" w:color="auto"/>
            </w:tcBorders>
            <w:shd w:val="clear" w:color="auto" w:fill="auto"/>
            <w:noWrap/>
            <w:vAlign w:val="bottom"/>
            <w:hideMark/>
          </w:tcPr>
          <w:p w14:paraId="5FF552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88</w:t>
            </w:r>
          </w:p>
        </w:tc>
        <w:tc>
          <w:tcPr>
            <w:tcW w:w="909" w:type="dxa"/>
            <w:tcBorders>
              <w:top w:val="nil"/>
              <w:left w:val="nil"/>
              <w:bottom w:val="single" w:sz="4" w:space="0" w:color="auto"/>
              <w:right w:val="single" w:sz="4" w:space="0" w:color="auto"/>
            </w:tcBorders>
            <w:shd w:val="clear" w:color="auto" w:fill="auto"/>
            <w:noWrap/>
            <w:vAlign w:val="bottom"/>
            <w:hideMark/>
          </w:tcPr>
          <w:p w14:paraId="616A81A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DFC509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3AB71F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r>
      <w:tr w:rsidR="00622247" w:rsidRPr="00E9332A" w14:paraId="0EBEC42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EE0F85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103</w:t>
            </w:r>
          </w:p>
        </w:tc>
        <w:tc>
          <w:tcPr>
            <w:tcW w:w="3634" w:type="dxa"/>
            <w:tcBorders>
              <w:top w:val="nil"/>
              <w:left w:val="nil"/>
              <w:bottom w:val="single" w:sz="4" w:space="0" w:color="auto"/>
              <w:right w:val="single" w:sz="4" w:space="0" w:color="auto"/>
            </w:tcBorders>
            <w:shd w:val="clear" w:color="auto" w:fill="auto"/>
            <w:noWrap/>
            <w:vAlign w:val="bottom"/>
            <w:hideMark/>
          </w:tcPr>
          <w:p w14:paraId="77A3194F"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The University of Western Australia</w:t>
            </w:r>
          </w:p>
        </w:tc>
        <w:tc>
          <w:tcPr>
            <w:tcW w:w="909" w:type="dxa"/>
            <w:tcBorders>
              <w:top w:val="nil"/>
              <w:left w:val="nil"/>
              <w:bottom w:val="single" w:sz="4" w:space="0" w:color="auto"/>
              <w:right w:val="single" w:sz="4" w:space="0" w:color="auto"/>
            </w:tcBorders>
            <w:shd w:val="clear" w:color="auto" w:fill="auto"/>
            <w:noWrap/>
            <w:vAlign w:val="bottom"/>
            <w:hideMark/>
          </w:tcPr>
          <w:p w14:paraId="470EDC6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689</w:t>
            </w:r>
          </w:p>
        </w:tc>
        <w:tc>
          <w:tcPr>
            <w:tcW w:w="909" w:type="dxa"/>
            <w:tcBorders>
              <w:top w:val="nil"/>
              <w:left w:val="nil"/>
              <w:bottom w:val="single" w:sz="4" w:space="0" w:color="auto"/>
              <w:right w:val="single" w:sz="4" w:space="0" w:color="auto"/>
            </w:tcBorders>
            <w:shd w:val="clear" w:color="auto" w:fill="auto"/>
            <w:noWrap/>
            <w:vAlign w:val="bottom"/>
            <w:hideMark/>
          </w:tcPr>
          <w:p w14:paraId="2029C95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E1EB0E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909" w:type="dxa"/>
            <w:tcBorders>
              <w:top w:val="nil"/>
              <w:left w:val="nil"/>
              <w:bottom w:val="single" w:sz="4" w:space="0" w:color="auto"/>
              <w:right w:val="single" w:sz="4" w:space="0" w:color="auto"/>
            </w:tcBorders>
            <w:shd w:val="clear" w:color="auto" w:fill="auto"/>
            <w:noWrap/>
            <w:vAlign w:val="bottom"/>
            <w:hideMark/>
          </w:tcPr>
          <w:p w14:paraId="7A74752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909" w:type="dxa"/>
            <w:tcBorders>
              <w:top w:val="nil"/>
              <w:left w:val="nil"/>
              <w:bottom w:val="single" w:sz="4" w:space="0" w:color="auto"/>
              <w:right w:val="single" w:sz="4" w:space="0" w:color="auto"/>
            </w:tcBorders>
            <w:shd w:val="clear" w:color="auto" w:fill="auto"/>
            <w:noWrap/>
            <w:vAlign w:val="bottom"/>
            <w:hideMark/>
          </w:tcPr>
          <w:p w14:paraId="60BEB1F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77D766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778AB9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104</w:t>
            </w:r>
          </w:p>
        </w:tc>
        <w:tc>
          <w:tcPr>
            <w:tcW w:w="3634" w:type="dxa"/>
            <w:tcBorders>
              <w:top w:val="nil"/>
              <w:left w:val="nil"/>
              <w:bottom w:val="single" w:sz="4" w:space="0" w:color="auto"/>
              <w:right w:val="single" w:sz="4" w:space="0" w:color="auto"/>
            </w:tcBorders>
            <w:shd w:val="clear" w:color="auto" w:fill="auto"/>
            <w:noWrap/>
            <w:vAlign w:val="bottom"/>
            <w:hideMark/>
          </w:tcPr>
          <w:p w14:paraId="7B5BB75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Ohio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896602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786</w:t>
            </w:r>
          </w:p>
        </w:tc>
        <w:tc>
          <w:tcPr>
            <w:tcW w:w="909" w:type="dxa"/>
            <w:tcBorders>
              <w:top w:val="nil"/>
              <w:left w:val="nil"/>
              <w:bottom w:val="single" w:sz="4" w:space="0" w:color="auto"/>
              <w:right w:val="single" w:sz="4" w:space="0" w:color="auto"/>
            </w:tcBorders>
            <w:shd w:val="clear" w:color="auto" w:fill="auto"/>
            <w:noWrap/>
            <w:vAlign w:val="bottom"/>
            <w:hideMark/>
          </w:tcPr>
          <w:p w14:paraId="0BF270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ED21C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D8D60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3CC16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36</w:t>
            </w:r>
          </w:p>
        </w:tc>
      </w:tr>
      <w:tr w:rsidR="00622247" w:rsidRPr="00E9332A" w14:paraId="2482964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33424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105</w:t>
            </w:r>
          </w:p>
        </w:tc>
        <w:tc>
          <w:tcPr>
            <w:tcW w:w="3634" w:type="dxa"/>
            <w:tcBorders>
              <w:top w:val="nil"/>
              <w:left w:val="nil"/>
              <w:bottom w:val="single" w:sz="4" w:space="0" w:color="auto"/>
              <w:right w:val="single" w:sz="4" w:space="0" w:color="auto"/>
            </w:tcBorders>
            <w:shd w:val="clear" w:color="auto" w:fill="auto"/>
            <w:noWrap/>
            <w:vAlign w:val="bottom"/>
            <w:hideMark/>
          </w:tcPr>
          <w:p w14:paraId="725FE5D2"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Maryland College Park</w:t>
            </w:r>
          </w:p>
        </w:tc>
        <w:tc>
          <w:tcPr>
            <w:tcW w:w="909" w:type="dxa"/>
            <w:tcBorders>
              <w:top w:val="nil"/>
              <w:left w:val="nil"/>
              <w:bottom w:val="single" w:sz="4" w:space="0" w:color="auto"/>
              <w:right w:val="single" w:sz="4" w:space="0" w:color="auto"/>
            </w:tcBorders>
            <w:shd w:val="clear" w:color="auto" w:fill="auto"/>
            <w:noWrap/>
            <w:vAlign w:val="bottom"/>
            <w:hideMark/>
          </w:tcPr>
          <w:p w14:paraId="64008E1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793</w:t>
            </w:r>
          </w:p>
        </w:tc>
        <w:tc>
          <w:tcPr>
            <w:tcW w:w="909" w:type="dxa"/>
            <w:tcBorders>
              <w:top w:val="nil"/>
              <w:left w:val="nil"/>
              <w:bottom w:val="single" w:sz="4" w:space="0" w:color="auto"/>
              <w:right w:val="single" w:sz="4" w:space="0" w:color="auto"/>
            </w:tcBorders>
            <w:shd w:val="clear" w:color="auto" w:fill="auto"/>
            <w:noWrap/>
            <w:vAlign w:val="bottom"/>
            <w:hideMark/>
          </w:tcPr>
          <w:p w14:paraId="045707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9D522B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0A0BAB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128C7B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43</w:t>
            </w:r>
          </w:p>
        </w:tc>
      </w:tr>
      <w:tr w:rsidR="00622247" w:rsidRPr="00E9332A" w14:paraId="4A3A97A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0CB7FE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106</w:t>
            </w:r>
          </w:p>
        </w:tc>
        <w:tc>
          <w:tcPr>
            <w:tcW w:w="3634" w:type="dxa"/>
            <w:tcBorders>
              <w:top w:val="nil"/>
              <w:left w:val="nil"/>
              <w:bottom w:val="single" w:sz="4" w:space="0" w:color="auto"/>
              <w:right w:val="single" w:sz="4" w:space="0" w:color="auto"/>
            </w:tcBorders>
            <w:shd w:val="clear" w:color="auto" w:fill="auto"/>
            <w:noWrap/>
            <w:vAlign w:val="bottom"/>
            <w:hideMark/>
          </w:tcPr>
          <w:p w14:paraId="59F77D0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Rockefeller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684CF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794</w:t>
            </w:r>
          </w:p>
        </w:tc>
        <w:tc>
          <w:tcPr>
            <w:tcW w:w="909" w:type="dxa"/>
            <w:tcBorders>
              <w:top w:val="nil"/>
              <w:left w:val="nil"/>
              <w:bottom w:val="single" w:sz="4" w:space="0" w:color="auto"/>
              <w:right w:val="single" w:sz="4" w:space="0" w:color="auto"/>
            </w:tcBorders>
            <w:shd w:val="clear" w:color="auto" w:fill="auto"/>
            <w:noWrap/>
            <w:vAlign w:val="bottom"/>
            <w:hideMark/>
          </w:tcPr>
          <w:p w14:paraId="301C770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F0DF5B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44</w:t>
            </w:r>
          </w:p>
        </w:tc>
        <w:tc>
          <w:tcPr>
            <w:tcW w:w="909" w:type="dxa"/>
            <w:tcBorders>
              <w:top w:val="nil"/>
              <w:left w:val="nil"/>
              <w:bottom w:val="single" w:sz="4" w:space="0" w:color="auto"/>
              <w:right w:val="single" w:sz="4" w:space="0" w:color="auto"/>
            </w:tcBorders>
            <w:shd w:val="clear" w:color="auto" w:fill="auto"/>
            <w:noWrap/>
            <w:vAlign w:val="bottom"/>
            <w:hideMark/>
          </w:tcPr>
          <w:p w14:paraId="6599637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888FC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65E18F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4D8B11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107</w:t>
            </w:r>
          </w:p>
        </w:tc>
        <w:tc>
          <w:tcPr>
            <w:tcW w:w="3634" w:type="dxa"/>
            <w:tcBorders>
              <w:top w:val="nil"/>
              <w:left w:val="nil"/>
              <w:bottom w:val="single" w:sz="4" w:space="0" w:color="auto"/>
              <w:right w:val="single" w:sz="4" w:space="0" w:color="auto"/>
            </w:tcBorders>
            <w:shd w:val="clear" w:color="auto" w:fill="auto"/>
            <w:noWrap/>
            <w:vAlign w:val="bottom"/>
            <w:hideMark/>
          </w:tcPr>
          <w:p w14:paraId="480EADE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Michigan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63141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798</w:t>
            </w:r>
          </w:p>
        </w:tc>
        <w:tc>
          <w:tcPr>
            <w:tcW w:w="909" w:type="dxa"/>
            <w:tcBorders>
              <w:top w:val="nil"/>
              <w:left w:val="nil"/>
              <w:bottom w:val="single" w:sz="4" w:space="0" w:color="auto"/>
              <w:right w:val="single" w:sz="4" w:space="0" w:color="auto"/>
            </w:tcBorders>
            <w:shd w:val="clear" w:color="auto" w:fill="auto"/>
            <w:noWrap/>
            <w:vAlign w:val="bottom"/>
            <w:hideMark/>
          </w:tcPr>
          <w:p w14:paraId="5A9CE8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0A1C19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88D90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9E30C5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48</w:t>
            </w:r>
          </w:p>
        </w:tc>
      </w:tr>
      <w:tr w:rsidR="00622247" w:rsidRPr="00E9332A" w14:paraId="74EC919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2F072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108</w:t>
            </w:r>
          </w:p>
        </w:tc>
        <w:tc>
          <w:tcPr>
            <w:tcW w:w="3634" w:type="dxa"/>
            <w:tcBorders>
              <w:top w:val="nil"/>
              <w:left w:val="nil"/>
              <w:bottom w:val="single" w:sz="4" w:space="0" w:color="auto"/>
              <w:right w:val="single" w:sz="4" w:space="0" w:color="auto"/>
            </w:tcBorders>
            <w:shd w:val="clear" w:color="auto" w:fill="auto"/>
            <w:noWrap/>
            <w:vAlign w:val="bottom"/>
            <w:hideMark/>
          </w:tcPr>
          <w:p w14:paraId="6D6B4FF9"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Maryland, College Park</w:t>
            </w:r>
          </w:p>
        </w:tc>
        <w:tc>
          <w:tcPr>
            <w:tcW w:w="909" w:type="dxa"/>
            <w:tcBorders>
              <w:top w:val="nil"/>
              <w:left w:val="nil"/>
              <w:bottom w:val="single" w:sz="4" w:space="0" w:color="auto"/>
              <w:right w:val="single" w:sz="4" w:space="0" w:color="auto"/>
            </w:tcBorders>
            <w:shd w:val="clear" w:color="auto" w:fill="auto"/>
            <w:noWrap/>
            <w:vAlign w:val="bottom"/>
            <w:hideMark/>
          </w:tcPr>
          <w:p w14:paraId="48E8057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800</w:t>
            </w:r>
          </w:p>
        </w:tc>
        <w:tc>
          <w:tcPr>
            <w:tcW w:w="909" w:type="dxa"/>
            <w:tcBorders>
              <w:top w:val="nil"/>
              <w:left w:val="nil"/>
              <w:bottom w:val="single" w:sz="4" w:space="0" w:color="auto"/>
              <w:right w:val="single" w:sz="4" w:space="0" w:color="auto"/>
            </w:tcBorders>
            <w:shd w:val="clear" w:color="auto" w:fill="auto"/>
            <w:noWrap/>
            <w:vAlign w:val="bottom"/>
            <w:hideMark/>
          </w:tcPr>
          <w:p w14:paraId="0826390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D66FED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50</w:t>
            </w:r>
          </w:p>
        </w:tc>
        <w:tc>
          <w:tcPr>
            <w:tcW w:w="909" w:type="dxa"/>
            <w:tcBorders>
              <w:top w:val="nil"/>
              <w:left w:val="nil"/>
              <w:bottom w:val="single" w:sz="4" w:space="0" w:color="auto"/>
              <w:right w:val="single" w:sz="4" w:space="0" w:color="auto"/>
            </w:tcBorders>
            <w:shd w:val="clear" w:color="auto" w:fill="auto"/>
            <w:noWrap/>
            <w:vAlign w:val="bottom"/>
            <w:hideMark/>
          </w:tcPr>
          <w:p w14:paraId="334A44A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338CBB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FF332D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99FA5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109</w:t>
            </w:r>
          </w:p>
        </w:tc>
        <w:tc>
          <w:tcPr>
            <w:tcW w:w="3634" w:type="dxa"/>
            <w:tcBorders>
              <w:top w:val="nil"/>
              <w:left w:val="nil"/>
              <w:bottom w:val="single" w:sz="4" w:space="0" w:color="auto"/>
              <w:right w:val="single" w:sz="4" w:space="0" w:color="auto"/>
            </w:tcBorders>
            <w:shd w:val="clear" w:color="auto" w:fill="auto"/>
            <w:noWrap/>
            <w:vAlign w:val="bottom"/>
            <w:hideMark/>
          </w:tcPr>
          <w:p w14:paraId="582697BA"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Rutgers The State University of New Jersey</w:t>
            </w:r>
          </w:p>
        </w:tc>
        <w:tc>
          <w:tcPr>
            <w:tcW w:w="909" w:type="dxa"/>
            <w:tcBorders>
              <w:top w:val="nil"/>
              <w:left w:val="nil"/>
              <w:bottom w:val="single" w:sz="4" w:space="0" w:color="auto"/>
              <w:right w:val="single" w:sz="4" w:space="0" w:color="auto"/>
            </w:tcBorders>
            <w:shd w:val="clear" w:color="auto" w:fill="auto"/>
            <w:noWrap/>
            <w:vAlign w:val="bottom"/>
            <w:hideMark/>
          </w:tcPr>
          <w:p w14:paraId="5B97A18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801</w:t>
            </w:r>
          </w:p>
        </w:tc>
        <w:tc>
          <w:tcPr>
            <w:tcW w:w="909" w:type="dxa"/>
            <w:tcBorders>
              <w:top w:val="nil"/>
              <w:left w:val="nil"/>
              <w:bottom w:val="single" w:sz="4" w:space="0" w:color="auto"/>
              <w:right w:val="single" w:sz="4" w:space="0" w:color="auto"/>
            </w:tcBorders>
            <w:shd w:val="clear" w:color="auto" w:fill="auto"/>
            <w:noWrap/>
            <w:vAlign w:val="bottom"/>
            <w:hideMark/>
          </w:tcPr>
          <w:p w14:paraId="631C5B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1E2FB2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BCAFD2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55DF10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51</w:t>
            </w:r>
          </w:p>
        </w:tc>
      </w:tr>
      <w:tr w:rsidR="00622247" w:rsidRPr="00E9332A" w14:paraId="6C9A647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FF231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110</w:t>
            </w:r>
          </w:p>
        </w:tc>
        <w:tc>
          <w:tcPr>
            <w:tcW w:w="3634" w:type="dxa"/>
            <w:tcBorders>
              <w:top w:val="nil"/>
              <w:left w:val="nil"/>
              <w:bottom w:val="single" w:sz="4" w:space="0" w:color="auto"/>
              <w:right w:val="single" w:sz="4" w:space="0" w:color="auto"/>
            </w:tcBorders>
            <w:shd w:val="clear" w:color="auto" w:fill="auto"/>
            <w:noWrap/>
            <w:vAlign w:val="bottom"/>
            <w:hideMark/>
          </w:tcPr>
          <w:p w14:paraId="7962F68F"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University of Colorado at Boulder</w:t>
            </w:r>
          </w:p>
        </w:tc>
        <w:tc>
          <w:tcPr>
            <w:tcW w:w="909" w:type="dxa"/>
            <w:tcBorders>
              <w:top w:val="nil"/>
              <w:left w:val="nil"/>
              <w:bottom w:val="single" w:sz="4" w:space="0" w:color="auto"/>
              <w:right w:val="single" w:sz="4" w:space="0" w:color="auto"/>
            </w:tcBorders>
            <w:shd w:val="clear" w:color="auto" w:fill="auto"/>
            <w:noWrap/>
            <w:vAlign w:val="bottom"/>
            <w:hideMark/>
          </w:tcPr>
          <w:p w14:paraId="6499C9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801</w:t>
            </w:r>
          </w:p>
        </w:tc>
        <w:tc>
          <w:tcPr>
            <w:tcW w:w="909" w:type="dxa"/>
            <w:tcBorders>
              <w:top w:val="nil"/>
              <w:left w:val="nil"/>
              <w:bottom w:val="single" w:sz="4" w:space="0" w:color="auto"/>
              <w:right w:val="single" w:sz="4" w:space="0" w:color="auto"/>
            </w:tcBorders>
            <w:shd w:val="clear" w:color="auto" w:fill="auto"/>
            <w:noWrap/>
            <w:vAlign w:val="bottom"/>
            <w:hideMark/>
          </w:tcPr>
          <w:p w14:paraId="7AC3EB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9266CB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51</w:t>
            </w:r>
          </w:p>
        </w:tc>
        <w:tc>
          <w:tcPr>
            <w:tcW w:w="909" w:type="dxa"/>
            <w:tcBorders>
              <w:top w:val="nil"/>
              <w:left w:val="nil"/>
              <w:bottom w:val="single" w:sz="4" w:space="0" w:color="auto"/>
              <w:right w:val="single" w:sz="4" w:space="0" w:color="auto"/>
            </w:tcBorders>
            <w:shd w:val="clear" w:color="auto" w:fill="auto"/>
            <w:noWrap/>
            <w:vAlign w:val="bottom"/>
            <w:hideMark/>
          </w:tcPr>
          <w:p w14:paraId="6225AB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A438D8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35526D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A0D07F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111</w:t>
            </w:r>
          </w:p>
        </w:tc>
        <w:tc>
          <w:tcPr>
            <w:tcW w:w="3634" w:type="dxa"/>
            <w:tcBorders>
              <w:top w:val="nil"/>
              <w:left w:val="nil"/>
              <w:bottom w:val="single" w:sz="4" w:space="0" w:color="auto"/>
              <w:right w:val="single" w:sz="4" w:space="0" w:color="auto"/>
            </w:tcBorders>
            <w:shd w:val="clear" w:color="auto" w:fill="auto"/>
            <w:noWrap/>
            <w:vAlign w:val="bottom"/>
            <w:hideMark/>
          </w:tcPr>
          <w:p w14:paraId="60F672CE"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 xml:space="preserve">The University of Texas Southwestern Medical </w:t>
            </w:r>
            <w:proofErr w:type="spellStart"/>
            <w:r w:rsidRPr="00622247">
              <w:rPr>
                <w:rFonts w:eastAsia="Times New Roman" w:cs="Arial"/>
                <w:color w:val="000000"/>
                <w:sz w:val="18"/>
                <w:szCs w:val="18"/>
                <w:lang w:val="en-GB" w:eastAsia="pl-PL"/>
              </w:rPr>
              <w:t>Center</w:t>
            </w:r>
            <w:proofErr w:type="spellEnd"/>
            <w:r w:rsidRPr="00622247">
              <w:rPr>
                <w:rFonts w:eastAsia="Times New Roman" w:cs="Arial"/>
                <w:color w:val="000000"/>
                <w:sz w:val="18"/>
                <w:szCs w:val="18"/>
                <w:lang w:val="en-GB" w:eastAsia="pl-PL"/>
              </w:rPr>
              <w:t xml:space="preserve"> at Dallas</w:t>
            </w:r>
          </w:p>
        </w:tc>
        <w:tc>
          <w:tcPr>
            <w:tcW w:w="909" w:type="dxa"/>
            <w:tcBorders>
              <w:top w:val="nil"/>
              <w:left w:val="nil"/>
              <w:bottom w:val="single" w:sz="4" w:space="0" w:color="auto"/>
              <w:right w:val="single" w:sz="4" w:space="0" w:color="auto"/>
            </w:tcBorders>
            <w:shd w:val="clear" w:color="auto" w:fill="auto"/>
            <w:noWrap/>
            <w:vAlign w:val="bottom"/>
            <w:hideMark/>
          </w:tcPr>
          <w:p w14:paraId="699F22F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802</w:t>
            </w:r>
          </w:p>
        </w:tc>
        <w:tc>
          <w:tcPr>
            <w:tcW w:w="909" w:type="dxa"/>
            <w:tcBorders>
              <w:top w:val="nil"/>
              <w:left w:val="nil"/>
              <w:bottom w:val="single" w:sz="4" w:space="0" w:color="auto"/>
              <w:right w:val="single" w:sz="4" w:space="0" w:color="auto"/>
            </w:tcBorders>
            <w:shd w:val="clear" w:color="auto" w:fill="auto"/>
            <w:noWrap/>
            <w:vAlign w:val="bottom"/>
            <w:hideMark/>
          </w:tcPr>
          <w:p w14:paraId="190D98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98D274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52</w:t>
            </w:r>
          </w:p>
        </w:tc>
        <w:tc>
          <w:tcPr>
            <w:tcW w:w="909" w:type="dxa"/>
            <w:tcBorders>
              <w:top w:val="nil"/>
              <w:left w:val="nil"/>
              <w:bottom w:val="single" w:sz="4" w:space="0" w:color="auto"/>
              <w:right w:val="single" w:sz="4" w:space="0" w:color="auto"/>
            </w:tcBorders>
            <w:shd w:val="clear" w:color="auto" w:fill="auto"/>
            <w:noWrap/>
            <w:vAlign w:val="bottom"/>
            <w:hideMark/>
          </w:tcPr>
          <w:p w14:paraId="772851C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0D6966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1772AF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4C0DBA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112</w:t>
            </w:r>
          </w:p>
        </w:tc>
        <w:tc>
          <w:tcPr>
            <w:tcW w:w="3634" w:type="dxa"/>
            <w:tcBorders>
              <w:top w:val="nil"/>
              <w:left w:val="nil"/>
              <w:bottom w:val="single" w:sz="4" w:space="0" w:color="auto"/>
              <w:right w:val="single" w:sz="4" w:space="0" w:color="auto"/>
            </w:tcBorders>
            <w:shd w:val="clear" w:color="auto" w:fill="auto"/>
            <w:noWrap/>
            <w:vAlign w:val="bottom"/>
            <w:hideMark/>
          </w:tcPr>
          <w:p w14:paraId="45B6862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Texas A&amp;M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646729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803</w:t>
            </w:r>
          </w:p>
        </w:tc>
        <w:tc>
          <w:tcPr>
            <w:tcW w:w="909" w:type="dxa"/>
            <w:tcBorders>
              <w:top w:val="nil"/>
              <w:left w:val="nil"/>
              <w:bottom w:val="single" w:sz="4" w:space="0" w:color="auto"/>
              <w:right w:val="single" w:sz="4" w:space="0" w:color="auto"/>
            </w:tcBorders>
            <w:shd w:val="clear" w:color="auto" w:fill="auto"/>
            <w:noWrap/>
            <w:vAlign w:val="bottom"/>
            <w:hideMark/>
          </w:tcPr>
          <w:p w14:paraId="57A8046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3BE61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9B7E2C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E83CDB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53</w:t>
            </w:r>
          </w:p>
        </w:tc>
      </w:tr>
      <w:tr w:rsidR="00622247" w:rsidRPr="00E9332A" w14:paraId="46CACF2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3B7FE8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113</w:t>
            </w:r>
          </w:p>
        </w:tc>
        <w:tc>
          <w:tcPr>
            <w:tcW w:w="3634" w:type="dxa"/>
            <w:tcBorders>
              <w:top w:val="nil"/>
              <w:left w:val="nil"/>
              <w:bottom w:val="single" w:sz="4" w:space="0" w:color="auto"/>
              <w:right w:val="single" w:sz="4" w:space="0" w:color="auto"/>
            </w:tcBorders>
            <w:shd w:val="clear" w:color="auto" w:fill="auto"/>
            <w:noWrap/>
            <w:vAlign w:val="bottom"/>
            <w:hideMark/>
          </w:tcPr>
          <w:p w14:paraId="34AC4EBF"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Arizona</w:t>
            </w:r>
          </w:p>
        </w:tc>
        <w:tc>
          <w:tcPr>
            <w:tcW w:w="909" w:type="dxa"/>
            <w:tcBorders>
              <w:top w:val="nil"/>
              <w:left w:val="nil"/>
              <w:bottom w:val="single" w:sz="4" w:space="0" w:color="auto"/>
              <w:right w:val="single" w:sz="4" w:space="0" w:color="auto"/>
            </w:tcBorders>
            <w:shd w:val="clear" w:color="auto" w:fill="auto"/>
            <w:noWrap/>
            <w:vAlign w:val="bottom"/>
            <w:hideMark/>
          </w:tcPr>
          <w:p w14:paraId="5155B6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804</w:t>
            </w:r>
          </w:p>
        </w:tc>
        <w:tc>
          <w:tcPr>
            <w:tcW w:w="909" w:type="dxa"/>
            <w:tcBorders>
              <w:top w:val="nil"/>
              <w:left w:val="nil"/>
              <w:bottom w:val="single" w:sz="4" w:space="0" w:color="auto"/>
              <w:right w:val="single" w:sz="4" w:space="0" w:color="auto"/>
            </w:tcBorders>
            <w:shd w:val="clear" w:color="auto" w:fill="auto"/>
            <w:noWrap/>
            <w:vAlign w:val="bottom"/>
            <w:hideMark/>
          </w:tcPr>
          <w:p w14:paraId="604FC00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E86D1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513256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A8FB9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54</w:t>
            </w:r>
          </w:p>
        </w:tc>
      </w:tr>
      <w:tr w:rsidR="00622247" w:rsidRPr="00E9332A" w14:paraId="2681D81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D7A5C4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114</w:t>
            </w:r>
          </w:p>
        </w:tc>
        <w:tc>
          <w:tcPr>
            <w:tcW w:w="3634" w:type="dxa"/>
            <w:tcBorders>
              <w:top w:val="nil"/>
              <w:left w:val="nil"/>
              <w:bottom w:val="single" w:sz="4" w:space="0" w:color="auto"/>
              <w:right w:val="single" w:sz="4" w:space="0" w:color="auto"/>
            </w:tcBorders>
            <w:shd w:val="clear" w:color="auto" w:fill="auto"/>
            <w:noWrap/>
            <w:vAlign w:val="bottom"/>
            <w:hideMark/>
          </w:tcPr>
          <w:p w14:paraId="0A33818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Arizona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4FC578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805</w:t>
            </w:r>
          </w:p>
        </w:tc>
        <w:tc>
          <w:tcPr>
            <w:tcW w:w="909" w:type="dxa"/>
            <w:tcBorders>
              <w:top w:val="nil"/>
              <w:left w:val="nil"/>
              <w:bottom w:val="single" w:sz="4" w:space="0" w:color="auto"/>
              <w:right w:val="single" w:sz="4" w:space="0" w:color="auto"/>
            </w:tcBorders>
            <w:shd w:val="clear" w:color="auto" w:fill="auto"/>
            <w:noWrap/>
            <w:vAlign w:val="bottom"/>
            <w:hideMark/>
          </w:tcPr>
          <w:p w14:paraId="0FB6C73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2043AB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74CE3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BAF7E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55</w:t>
            </w:r>
          </w:p>
        </w:tc>
      </w:tr>
      <w:tr w:rsidR="00622247" w:rsidRPr="00E9332A" w14:paraId="17B2D4D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E4C8B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lastRenderedPageBreak/>
              <w:t>115</w:t>
            </w:r>
          </w:p>
        </w:tc>
        <w:tc>
          <w:tcPr>
            <w:tcW w:w="3634" w:type="dxa"/>
            <w:tcBorders>
              <w:top w:val="nil"/>
              <w:left w:val="nil"/>
              <w:bottom w:val="single" w:sz="4" w:space="0" w:color="auto"/>
              <w:right w:val="single" w:sz="4" w:space="0" w:color="auto"/>
            </w:tcBorders>
            <w:shd w:val="clear" w:color="auto" w:fill="auto"/>
            <w:noWrap/>
            <w:vAlign w:val="bottom"/>
            <w:hideMark/>
          </w:tcPr>
          <w:p w14:paraId="39966B92"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Tokyo Institute of Technology (Tokyo Tech)</w:t>
            </w:r>
          </w:p>
        </w:tc>
        <w:tc>
          <w:tcPr>
            <w:tcW w:w="909" w:type="dxa"/>
            <w:tcBorders>
              <w:top w:val="nil"/>
              <w:left w:val="nil"/>
              <w:bottom w:val="single" w:sz="4" w:space="0" w:color="auto"/>
              <w:right w:val="single" w:sz="4" w:space="0" w:color="auto"/>
            </w:tcBorders>
            <w:shd w:val="clear" w:color="auto" w:fill="auto"/>
            <w:noWrap/>
            <w:vAlign w:val="bottom"/>
            <w:hideMark/>
          </w:tcPr>
          <w:p w14:paraId="5AA99B1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805</w:t>
            </w:r>
          </w:p>
        </w:tc>
        <w:tc>
          <w:tcPr>
            <w:tcW w:w="909" w:type="dxa"/>
            <w:tcBorders>
              <w:top w:val="nil"/>
              <w:left w:val="nil"/>
              <w:bottom w:val="single" w:sz="4" w:space="0" w:color="auto"/>
              <w:right w:val="single" w:sz="4" w:space="0" w:color="auto"/>
            </w:tcBorders>
            <w:shd w:val="clear" w:color="auto" w:fill="auto"/>
            <w:noWrap/>
            <w:vAlign w:val="bottom"/>
            <w:hideMark/>
          </w:tcPr>
          <w:p w14:paraId="37AF1C5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3DF19C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0ED083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55</w:t>
            </w:r>
          </w:p>
        </w:tc>
        <w:tc>
          <w:tcPr>
            <w:tcW w:w="909" w:type="dxa"/>
            <w:tcBorders>
              <w:top w:val="nil"/>
              <w:left w:val="nil"/>
              <w:bottom w:val="single" w:sz="4" w:space="0" w:color="auto"/>
              <w:right w:val="single" w:sz="4" w:space="0" w:color="auto"/>
            </w:tcBorders>
            <w:shd w:val="clear" w:color="auto" w:fill="auto"/>
            <w:noWrap/>
            <w:vAlign w:val="bottom"/>
            <w:hideMark/>
          </w:tcPr>
          <w:p w14:paraId="1061EC4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80D32E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29AE1B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116</w:t>
            </w:r>
          </w:p>
        </w:tc>
        <w:tc>
          <w:tcPr>
            <w:tcW w:w="3634" w:type="dxa"/>
            <w:tcBorders>
              <w:top w:val="nil"/>
              <w:left w:val="nil"/>
              <w:bottom w:val="single" w:sz="4" w:space="0" w:color="auto"/>
              <w:right w:val="single" w:sz="4" w:space="0" w:color="auto"/>
            </w:tcBorders>
            <w:shd w:val="clear" w:color="auto" w:fill="auto"/>
            <w:noWrap/>
            <w:vAlign w:val="bottom"/>
            <w:hideMark/>
          </w:tcPr>
          <w:p w14:paraId="4AD10AA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Munich</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091BFB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807</w:t>
            </w:r>
          </w:p>
        </w:tc>
        <w:tc>
          <w:tcPr>
            <w:tcW w:w="909" w:type="dxa"/>
            <w:tcBorders>
              <w:top w:val="nil"/>
              <w:left w:val="nil"/>
              <w:bottom w:val="single" w:sz="4" w:space="0" w:color="auto"/>
              <w:right w:val="single" w:sz="4" w:space="0" w:color="auto"/>
            </w:tcBorders>
            <w:shd w:val="clear" w:color="auto" w:fill="auto"/>
            <w:noWrap/>
            <w:vAlign w:val="bottom"/>
            <w:hideMark/>
          </w:tcPr>
          <w:p w14:paraId="0273D72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1118B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57</w:t>
            </w:r>
          </w:p>
        </w:tc>
        <w:tc>
          <w:tcPr>
            <w:tcW w:w="909" w:type="dxa"/>
            <w:tcBorders>
              <w:top w:val="nil"/>
              <w:left w:val="nil"/>
              <w:bottom w:val="single" w:sz="4" w:space="0" w:color="auto"/>
              <w:right w:val="single" w:sz="4" w:space="0" w:color="auto"/>
            </w:tcBorders>
            <w:shd w:val="clear" w:color="auto" w:fill="auto"/>
            <w:noWrap/>
            <w:vAlign w:val="bottom"/>
            <w:hideMark/>
          </w:tcPr>
          <w:p w14:paraId="0916C8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A27E87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4864C0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D66D1C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117</w:t>
            </w:r>
          </w:p>
        </w:tc>
        <w:tc>
          <w:tcPr>
            <w:tcW w:w="3634" w:type="dxa"/>
            <w:tcBorders>
              <w:top w:val="nil"/>
              <w:left w:val="nil"/>
              <w:bottom w:val="single" w:sz="4" w:space="0" w:color="auto"/>
              <w:right w:val="single" w:sz="4" w:space="0" w:color="auto"/>
            </w:tcBorders>
            <w:shd w:val="clear" w:color="auto" w:fill="auto"/>
            <w:noWrap/>
            <w:vAlign w:val="bottom"/>
            <w:hideMark/>
          </w:tcPr>
          <w:p w14:paraId="5C8AEE4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Wageningen</w:t>
            </w:r>
            <w:proofErr w:type="spellEnd"/>
            <w:r w:rsidRPr="00622247">
              <w:rPr>
                <w:rFonts w:eastAsia="Times New Roman" w:cs="Arial"/>
                <w:color w:val="000000"/>
                <w:sz w:val="18"/>
                <w:szCs w:val="18"/>
                <w:lang w:eastAsia="pl-PL"/>
              </w:rPr>
              <w:t xml:space="preserve"> University &amp; </w:t>
            </w:r>
            <w:proofErr w:type="spellStart"/>
            <w:r w:rsidRPr="00622247">
              <w:rPr>
                <w:rFonts w:eastAsia="Times New Roman" w:cs="Arial"/>
                <w:color w:val="000000"/>
                <w:sz w:val="18"/>
                <w:szCs w:val="18"/>
                <w:lang w:eastAsia="pl-PL"/>
              </w:rPr>
              <w:t>Research</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8E2EC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809</w:t>
            </w:r>
          </w:p>
        </w:tc>
        <w:tc>
          <w:tcPr>
            <w:tcW w:w="909" w:type="dxa"/>
            <w:tcBorders>
              <w:top w:val="nil"/>
              <w:left w:val="nil"/>
              <w:bottom w:val="single" w:sz="4" w:space="0" w:color="auto"/>
              <w:right w:val="single" w:sz="4" w:space="0" w:color="auto"/>
            </w:tcBorders>
            <w:shd w:val="clear" w:color="auto" w:fill="auto"/>
            <w:noWrap/>
            <w:vAlign w:val="bottom"/>
            <w:hideMark/>
          </w:tcPr>
          <w:p w14:paraId="1488C65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59</w:t>
            </w:r>
          </w:p>
        </w:tc>
        <w:tc>
          <w:tcPr>
            <w:tcW w:w="909" w:type="dxa"/>
            <w:tcBorders>
              <w:top w:val="nil"/>
              <w:left w:val="nil"/>
              <w:bottom w:val="single" w:sz="4" w:space="0" w:color="auto"/>
              <w:right w:val="single" w:sz="4" w:space="0" w:color="auto"/>
            </w:tcBorders>
            <w:shd w:val="clear" w:color="auto" w:fill="auto"/>
            <w:noWrap/>
            <w:vAlign w:val="bottom"/>
            <w:hideMark/>
          </w:tcPr>
          <w:p w14:paraId="5E2EAF9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013B4A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F05973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506808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F1F93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118</w:t>
            </w:r>
          </w:p>
        </w:tc>
        <w:tc>
          <w:tcPr>
            <w:tcW w:w="3634" w:type="dxa"/>
            <w:tcBorders>
              <w:top w:val="nil"/>
              <w:left w:val="nil"/>
              <w:bottom w:val="single" w:sz="4" w:space="0" w:color="auto"/>
              <w:right w:val="single" w:sz="4" w:space="0" w:color="auto"/>
            </w:tcBorders>
            <w:shd w:val="clear" w:color="auto" w:fill="auto"/>
            <w:noWrap/>
            <w:vAlign w:val="bottom"/>
            <w:hideMark/>
          </w:tcPr>
          <w:p w14:paraId="09777D2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Geneva</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4808A65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812</w:t>
            </w:r>
          </w:p>
        </w:tc>
        <w:tc>
          <w:tcPr>
            <w:tcW w:w="909" w:type="dxa"/>
            <w:tcBorders>
              <w:top w:val="nil"/>
              <w:left w:val="nil"/>
              <w:bottom w:val="single" w:sz="4" w:space="0" w:color="auto"/>
              <w:right w:val="single" w:sz="4" w:space="0" w:color="auto"/>
            </w:tcBorders>
            <w:shd w:val="clear" w:color="auto" w:fill="auto"/>
            <w:noWrap/>
            <w:vAlign w:val="bottom"/>
            <w:hideMark/>
          </w:tcPr>
          <w:p w14:paraId="0EE256C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C2733A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62</w:t>
            </w:r>
          </w:p>
        </w:tc>
        <w:tc>
          <w:tcPr>
            <w:tcW w:w="909" w:type="dxa"/>
            <w:tcBorders>
              <w:top w:val="nil"/>
              <w:left w:val="nil"/>
              <w:bottom w:val="single" w:sz="4" w:space="0" w:color="auto"/>
              <w:right w:val="single" w:sz="4" w:space="0" w:color="auto"/>
            </w:tcBorders>
            <w:shd w:val="clear" w:color="auto" w:fill="auto"/>
            <w:noWrap/>
            <w:vAlign w:val="bottom"/>
            <w:hideMark/>
          </w:tcPr>
          <w:p w14:paraId="26F686E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AA347C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124D8B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57D9AF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119</w:t>
            </w:r>
          </w:p>
        </w:tc>
        <w:tc>
          <w:tcPr>
            <w:tcW w:w="3634" w:type="dxa"/>
            <w:tcBorders>
              <w:top w:val="nil"/>
              <w:left w:val="nil"/>
              <w:bottom w:val="single" w:sz="4" w:space="0" w:color="auto"/>
              <w:right w:val="single" w:sz="4" w:space="0" w:color="auto"/>
            </w:tcBorders>
            <w:shd w:val="clear" w:color="auto" w:fill="auto"/>
            <w:noWrap/>
            <w:vAlign w:val="bottom"/>
            <w:hideMark/>
          </w:tcPr>
          <w:p w14:paraId="5EAE494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Utah</w:t>
            </w:r>
          </w:p>
        </w:tc>
        <w:tc>
          <w:tcPr>
            <w:tcW w:w="909" w:type="dxa"/>
            <w:tcBorders>
              <w:top w:val="nil"/>
              <w:left w:val="nil"/>
              <w:bottom w:val="single" w:sz="4" w:space="0" w:color="auto"/>
              <w:right w:val="single" w:sz="4" w:space="0" w:color="auto"/>
            </w:tcBorders>
            <w:shd w:val="clear" w:color="auto" w:fill="auto"/>
            <w:noWrap/>
            <w:vAlign w:val="bottom"/>
            <w:hideMark/>
          </w:tcPr>
          <w:p w14:paraId="5F3ECD7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813</w:t>
            </w:r>
          </w:p>
        </w:tc>
        <w:tc>
          <w:tcPr>
            <w:tcW w:w="909" w:type="dxa"/>
            <w:tcBorders>
              <w:top w:val="nil"/>
              <w:left w:val="nil"/>
              <w:bottom w:val="single" w:sz="4" w:space="0" w:color="auto"/>
              <w:right w:val="single" w:sz="4" w:space="0" w:color="auto"/>
            </w:tcBorders>
            <w:shd w:val="clear" w:color="auto" w:fill="auto"/>
            <w:noWrap/>
            <w:vAlign w:val="bottom"/>
            <w:hideMark/>
          </w:tcPr>
          <w:p w14:paraId="075D147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8E5EE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7EBED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108FE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63</w:t>
            </w:r>
          </w:p>
        </w:tc>
      </w:tr>
      <w:tr w:rsidR="00622247" w:rsidRPr="00E9332A" w14:paraId="01B10EE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D9ACC2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120</w:t>
            </w:r>
          </w:p>
        </w:tc>
        <w:tc>
          <w:tcPr>
            <w:tcW w:w="3634" w:type="dxa"/>
            <w:tcBorders>
              <w:top w:val="nil"/>
              <w:left w:val="nil"/>
              <w:bottom w:val="single" w:sz="4" w:space="0" w:color="auto"/>
              <w:right w:val="single" w:sz="4" w:space="0" w:color="auto"/>
            </w:tcBorders>
            <w:shd w:val="clear" w:color="auto" w:fill="auto"/>
            <w:noWrap/>
            <w:vAlign w:val="bottom"/>
            <w:hideMark/>
          </w:tcPr>
          <w:p w14:paraId="4697E98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The University of Warwick</w:t>
            </w:r>
          </w:p>
        </w:tc>
        <w:tc>
          <w:tcPr>
            <w:tcW w:w="909" w:type="dxa"/>
            <w:tcBorders>
              <w:top w:val="nil"/>
              <w:left w:val="nil"/>
              <w:bottom w:val="single" w:sz="4" w:space="0" w:color="auto"/>
              <w:right w:val="single" w:sz="4" w:space="0" w:color="auto"/>
            </w:tcBorders>
            <w:shd w:val="clear" w:color="auto" w:fill="auto"/>
            <w:noWrap/>
            <w:vAlign w:val="bottom"/>
            <w:hideMark/>
          </w:tcPr>
          <w:p w14:paraId="4CE70B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814</w:t>
            </w:r>
          </w:p>
        </w:tc>
        <w:tc>
          <w:tcPr>
            <w:tcW w:w="909" w:type="dxa"/>
            <w:tcBorders>
              <w:top w:val="nil"/>
              <w:left w:val="nil"/>
              <w:bottom w:val="single" w:sz="4" w:space="0" w:color="auto"/>
              <w:right w:val="single" w:sz="4" w:space="0" w:color="auto"/>
            </w:tcBorders>
            <w:shd w:val="clear" w:color="auto" w:fill="auto"/>
            <w:noWrap/>
            <w:vAlign w:val="bottom"/>
            <w:hideMark/>
          </w:tcPr>
          <w:p w14:paraId="569EF8B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BB850E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904B8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c>
          <w:tcPr>
            <w:tcW w:w="909" w:type="dxa"/>
            <w:tcBorders>
              <w:top w:val="nil"/>
              <w:left w:val="nil"/>
              <w:bottom w:val="single" w:sz="4" w:space="0" w:color="auto"/>
              <w:right w:val="single" w:sz="4" w:space="0" w:color="auto"/>
            </w:tcBorders>
            <w:shd w:val="clear" w:color="auto" w:fill="auto"/>
            <w:noWrap/>
            <w:vAlign w:val="bottom"/>
            <w:hideMark/>
          </w:tcPr>
          <w:p w14:paraId="252B1A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CF92C4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095B69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121</w:t>
            </w:r>
          </w:p>
        </w:tc>
        <w:tc>
          <w:tcPr>
            <w:tcW w:w="3634" w:type="dxa"/>
            <w:tcBorders>
              <w:top w:val="nil"/>
              <w:left w:val="nil"/>
              <w:bottom w:val="single" w:sz="4" w:space="0" w:color="auto"/>
              <w:right w:val="single" w:sz="4" w:space="0" w:color="auto"/>
            </w:tcBorders>
            <w:shd w:val="clear" w:color="auto" w:fill="auto"/>
            <w:noWrap/>
            <w:vAlign w:val="bottom"/>
            <w:hideMark/>
          </w:tcPr>
          <w:p w14:paraId="0A8AB6A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Virginia</w:t>
            </w:r>
          </w:p>
        </w:tc>
        <w:tc>
          <w:tcPr>
            <w:tcW w:w="909" w:type="dxa"/>
            <w:tcBorders>
              <w:top w:val="nil"/>
              <w:left w:val="nil"/>
              <w:bottom w:val="single" w:sz="4" w:space="0" w:color="auto"/>
              <w:right w:val="single" w:sz="4" w:space="0" w:color="auto"/>
            </w:tcBorders>
            <w:shd w:val="clear" w:color="auto" w:fill="auto"/>
            <w:noWrap/>
            <w:vAlign w:val="bottom"/>
            <w:hideMark/>
          </w:tcPr>
          <w:p w14:paraId="068E999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814</w:t>
            </w:r>
          </w:p>
        </w:tc>
        <w:tc>
          <w:tcPr>
            <w:tcW w:w="909" w:type="dxa"/>
            <w:tcBorders>
              <w:top w:val="nil"/>
              <w:left w:val="nil"/>
              <w:bottom w:val="single" w:sz="4" w:space="0" w:color="auto"/>
              <w:right w:val="single" w:sz="4" w:space="0" w:color="auto"/>
            </w:tcBorders>
            <w:shd w:val="clear" w:color="auto" w:fill="auto"/>
            <w:noWrap/>
            <w:vAlign w:val="bottom"/>
            <w:hideMark/>
          </w:tcPr>
          <w:p w14:paraId="27A78D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1F41F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D766B4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2FE330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64</w:t>
            </w:r>
          </w:p>
        </w:tc>
      </w:tr>
      <w:tr w:rsidR="00622247" w:rsidRPr="00E9332A" w14:paraId="6F58E09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E2550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122</w:t>
            </w:r>
          </w:p>
        </w:tc>
        <w:tc>
          <w:tcPr>
            <w:tcW w:w="3634" w:type="dxa"/>
            <w:tcBorders>
              <w:top w:val="nil"/>
              <w:left w:val="nil"/>
              <w:bottom w:val="single" w:sz="4" w:space="0" w:color="auto"/>
              <w:right w:val="single" w:sz="4" w:space="0" w:color="auto"/>
            </w:tcBorders>
            <w:shd w:val="clear" w:color="auto" w:fill="auto"/>
            <w:noWrap/>
            <w:vAlign w:val="bottom"/>
            <w:hideMark/>
          </w:tcPr>
          <w:p w14:paraId="189A9A1A"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Universidad de Buenos Aires (UBA)</w:t>
            </w:r>
          </w:p>
        </w:tc>
        <w:tc>
          <w:tcPr>
            <w:tcW w:w="909" w:type="dxa"/>
            <w:tcBorders>
              <w:top w:val="nil"/>
              <w:left w:val="nil"/>
              <w:bottom w:val="single" w:sz="4" w:space="0" w:color="auto"/>
              <w:right w:val="single" w:sz="4" w:space="0" w:color="auto"/>
            </w:tcBorders>
            <w:shd w:val="clear" w:color="auto" w:fill="auto"/>
            <w:noWrap/>
            <w:vAlign w:val="bottom"/>
            <w:hideMark/>
          </w:tcPr>
          <w:p w14:paraId="7E169D0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817</w:t>
            </w:r>
          </w:p>
        </w:tc>
        <w:tc>
          <w:tcPr>
            <w:tcW w:w="909" w:type="dxa"/>
            <w:tcBorders>
              <w:top w:val="nil"/>
              <w:left w:val="nil"/>
              <w:bottom w:val="single" w:sz="4" w:space="0" w:color="auto"/>
              <w:right w:val="single" w:sz="4" w:space="0" w:color="auto"/>
            </w:tcBorders>
            <w:shd w:val="clear" w:color="auto" w:fill="auto"/>
            <w:noWrap/>
            <w:vAlign w:val="bottom"/>
            <w:hideMark/>
          </w:tcPr>
          <w:p w14:paraId="4493F2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ABBF5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7CE234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67</w:t>
            </w:r>
          </w:p>
        </w:tc>
        <w:tc>
          <w:tcPr>
            <w:tcW w:w="909" w:type="dxa"/>
            <w:tcBorders>
              <w:top w:val="nil"/>
              <w:left w:val="nil"/>
              <w:bottom w:val="single" w:sz="4" w:space="0" w:color="auto"/>
              <w:right w:val="single" w:sz="4" w:space="0" w:color="auto"/>
            </w:tcBorders>
            <w:shd w:val="clear" w:color="auto" w:fill="auto"/>
            <w:noWrap/>
            <w:vAlign w:val="bottom"/>
            <w:hideMark/>
          </w:tcPr>
          <w:p w14:paraId="5A2C44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FF37E9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FACD2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123</w:t>
            </w:r>
          </w:p>
        </w:tc>
        <w:tc>
          <w:tcPr>
            <w:tcW w:w="3634" w:type="dxa"/>
            <w:tcBorders>
              <w:top w:val="nil"/>
              <w:left w:val="nil"/>
              <w:bottom w:val="single" w:sz="4" w:space="0" w:color="auto"/>
              <w:right w:val="single" w:sz="4" w:space="0" w:color="auto"/>
            </w:tcBorders>
            <w:shd w:val="clear" w:color="auto" w:fill="auto"/>
            <w:noWrap/>
            <w:vAlign w:val="bottom"/>
            <w:hideMark/>
          </w:tcPr>
          <w:p w14:paraId="64127EA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Osaka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4910C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818</w:t>
            </w:r>
          </w:p>
        </w:tc>
        <w:tc>
          <w:tcPr>
            <w:tcW w:w="909" w:type="dxa"/>
            <w:tcBorders>
              <w:top w:val="nil"/>
              <w:left w:val="nil"/>
              <w:bottom w:val="single" w:sz="4" w:space="0" w:color="auto"/>
              <w:right w:val="single" w:sz="4" w:space="0" w:color="auto"/>
            </w:tcBorders>
            <w:shd w:val="clear" w:color="auto" w:fill="auto"/>
            <w:noWrap/>
            <w:vAlign w:val="bottom"/>
            <w:hideMark/>
          </w:tcPr>
          <w:p w14:paraId="3B9A84A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1E03DA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2A93B7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68</w:t>
            </w:r>
          </w:p>
        </w:tc>
        <w:tc>
          <w:tcPr>
            <w:tcW w:w="909" w:type="dxa"/>
            <w:tcBorders>
              <w:top w:val="nil"/>
              <w:left w:val="nil"/>
              <w:bottom w:val="single" w:sz="4" w:space="0" w:color="auto"/>
              <w:right w:val="single" w:sz="4" w:space="0" w:color="auto"/>
            </w:tcBorders>
            <w:shd w:val="clear" w:color="auto" w:fill="auto"/>
            <w:noWrap/>
            <w:vAlign w:val="bottom"/>
            <w:hideMark/>
          </w:tcPr>
          <w:p w14:paraId="315AB58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3E297D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B4D848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124</w:t>
            </w:r>
          </w:p>
        </w:tc>
        <w:tc>
          <w:tcPr>
            <w:tcW w:w="3634" w:type="dxa"/>
            <w:tcBorders>
              <w:top w:val="nil"/>
              <w:left w:val="nil"/>
              <w:bottom w:val="single" w:sz="4" w:space="0" w:color="auto"/>
              <w:right w:val="single" w:sz="4" w:space="0" w:color="auto"/>
            </w:tcBorders>
            <w:shd w:val="clear" w:color="auto" w:fill="auto"/>
            <w:noWrap/>
            <w:vAlign w:val="bottom"/>
            <w:hideMark/>
          </w:tcPr>
          <w:p w14:paraId="27E24F7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Aarhus</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00F5D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819</w:t>
            </w:r>
          </w:p>
        </w:tc>
        <w:tc>
          <w:tcPr>
            <w:tcW w:w="909" w:type="dxa"/>
            <w:tcBorders>
              <w:top w:val="nil"/>
              <w:left w:val="nil"/>
              <w:bottom w:val="single" w:sz="4" w:space="0" w:color="auto"/>
              <w:right w:val="single" w:sz="4" w:space="0" w:color="auto"/>
            </w:tcBorders>
            <w:shd w:val="clear" w:color="auto" w:fill="auto"/>
            <w:noWrap/>
            <w:vAlign w:val="bottom"/>
            <w:hideMark/>
          </w:tcPr>
          <w:p w14:paraId="5894055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19D170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69</w:t>
            </w:r>
          </w:p>
        </w:tc>
        <w:tc>
          <w:tcPr>
            <w:tcW w:w="909" w:type="dxa"/>
            <w:tcBorders>
              <w:top w:val="nil"/>
              <w:left w:val="nil"/>
              <w:bottom w:val="single" w:sz="4" w:space="0" w:color="auto"/>
              <w:right w:val="single" w:sz="4" w:space="0" w:color="auto"/>
            </w:tcBorders>
            <w:shd w:val="clear" w:color="auto" w:fill="auto"/>
            <w:noWrap/>
            <w:vAlign w:val="bottom"/>
            <w:hideMark/>
          </w:tcPr>
          <w:p w14:paraId="4288FA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C0A58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13D9E40"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6E6F3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125</w:t>
            </w:r>
          </w:p>
        </w:tc>
        <w:tc>
          <w:tcPr>
            <w:tcW w:w="3634" w:type="dxa"/>
            <w:tcBorders>
              <w:top w:val="nil"/>
              <w:left w:val="nil"/>
              <w:bottom w:val="single" w:sz="4" w:space="0" w:color="auto"/>
              <w:right w:val="single" w:sz="4" w:space="0" w:color="auto"/>
            </w:tcBorders>
            <w:shd w:val="clear" w:color="auto" w:fill="auto"/>
            <w:noWrap/>
            <w:vAlign w:val="bottom"/>
            <w:hideMark/>
          </w:tcPr>
          <w:p w14:paraId="5518A01C"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proofErr w:type="spellStart"/>
            <w:r w:rsidRPr="00622247">
              <w:rPr>
                <w:rFonts w:eastAsia="Times New Roman" w:cs="Arial"/>
                <w:color w:val="000000"/>
                <w:sz w:val="18"/>
                <w:szCs w:val="18"/>
                <w:lang w:val="en-GB" w:eastAsia="pl-PL"/>
              </w:rPr>
              <w:t>Universidade</w:t>
            </w:r>
            <w:proofErr w:type="spellEnd"/>
            <w:r w:rsidRPr="00622247">
              <w:rPr>
                <w:rFonts w:eastAsia="Times New Roman" w:cs="Arial"/>
                <w:color w:val="000000"/>
                <w:sz w:val="18"/>
                <w:szCs w:val="18"/>
                <w:lang w:val="en-GB" w:eastAsia="pl-PL"/>
              </w:rPr>
              <w:t xml:space="preserve"> de São Paulo USP</w:t>
            </w:r>
          </w:p>
        </w:tc>
        <w:tc>
          <w:tcPr>
            <w:tcW w:w="909" w:type="dxa"/>
            <w:tcBorders>
              <w:top w:val="nil"/>
              <w:left w:val="nil"/>
              <w:bottom w:val="single" w:sz="4" w:space="0" w:color="auto"/>
              <w:right w:val="single" w:sz="4" w:space="0" w:color="auto"/>
            </w:tcBorders>
            <w:shd w:val="clear" w:color="auto" w:fill="auto"/>
            <w:noWrap/>
            <w:vAlign w:val="bottom"/>
            <w:hideMark/>
          </w:tcPr>
          <w:p w14:paraId="2CC342D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820</w:t>
            </w:r>
          </w:p>
        </w:tc>
        <w:tc>
          <w:tcPr>
            <w:tcW w:w="909" w:type="dxa"/>
            <w:tcBorders>
              <w:top w:val="nil"/>
              <w:left w:val="nil"/>
              <w:bottom w:val="single" w:sz="4" w:space="0" w:color="auto"/>
              <w:right w:val="single" w:sz="4" w:space="0" w:color="auto"/>
            </w:tcBorders>
            <w:shd w:val="clear" w:color="auto" w:fill="auto"/>
            <w:noWrap/>
            <w:vAlign w:val="bottom"/>
            <w:hideMark/>
          </w:tcPr>
          <w:p w14:paraId="59E8F95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9B17AE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8C3FD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1E109B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r>
      <w:tr w:rsidR="00622247" w:rsidRPr="00E9332A" w14:paraId="50997A9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3ECB3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126</w:t>
            </w:r>
          </w:p>
        </w:tc>
        <w:tc>
          <w:tcPr>
            <w:tcW w:w="3634" w:type="dxa"/>
            <w:tcBorders>
              <w:top w:val="nil"/>
              <w:left w:val="nil"/>
              <w:bottom w:val="single" w:sz="4" w:space="0" w:color="auto"/>
              <w:right w:val="single" w:sz="4" w:space="0" w:color="auto"/>
            </w:tcBorders>
            <w:shd w:val="clear" w:color="auto" w:fill="auto"/>
            <w:noWrap/>
            <w:vAlign w:val="bottom"/>
            <w:hideMark/>
          </w:tcPr>
          <w:p w14:paraId="2AB4BC3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Universiti</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Malaya</w:t>
            </w:r>
            <w:proofErr w:type="spellEnd"/>
            <w:r w:rsidRPr="00622247">
              <w:rPr>
                <w:rFonts w:eastAsia="Times New Roman" w:cs="Arial"/>
                <w:color w:val="000000"/>
                <w:sz w:val="18"/>
                <w:szCs w:val="18"/>
                <w:lang w:eastAsia="pl-PL"/>
              </w:rPr>
              <w:t xml:space="preserve"> (UM)</w:t>
            </w:r>
          </w:p>
        </w:tc>
        <w:tc>
          <w:tcPr>
            <w:tcW w:w="909" w:type="dxa"/>
            <w:tcBorders>
              <w:top w:val="nil"/>
              <w:left w:val="nil"/>
              <w:bottom w:val="single" w:sz="4" w:space="0" w:color="auto"/>
              <w:right w:val="single" w:sz="4" w:space="0" w:color="auto"/>
            </w:tcBorders>
            <w:shd w:val="clear" w:color="auto" w:fill="auto"/>
            <w:noWrap/>
            <w:vAlign w:val="bottom"/>
            <w:hideMark/>
          </w:tcPr>
          <w:p w14:paraId="72A4C2A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820</w:t>
            </w:r>
          </w:p>
        </w:tc>
        <w:tc>
          <w:tcPr>
            <w:tcW w:w="909" w:type="dxa"/>
            <w:tcBorders>
              <w:top w:val="nil"/>
              <w:left w:val="nil"/>
              <w:bottom w:val="single" w:sz="4" w:space="0" w:color="auto"/>
              <w:right w:val="single" w:sz="4" w:space="0" w:color="auto"/>
            </w:tcBorders>
            <w:shd w:val="clear" w:color="auto" w:fill="auto"/>
            <w:noWrap/>
            <w:vAlign w:val="bottom"/>
            <w:hideMark/>
          </w:tcPr>
          <w:p w14:paraId="35CC372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66C3C0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1473A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c>
          <w:tcPr>
            <w:tcW w:w="909" w:type="dxa"/>
            <w:tcBorders>
              <w:top w:val="nil"/>
              <w:left w:val="nil"/>
              <w:bottom w:val="single" w:sz="4" w:space="0" w:color="auto"/>
              <w:right w:val="single" w:sz="4" w:space="0" w:color="auto"/>
            </w:tcBorders>
            <w:shd w:val="clear" w:color="auto" w:fill="auto"/>
            <w:noWrap/>
            <w:vAlign w:val="bottom"/>
            <w:hideMark/>
          </w:tcPr>
          <w:p w14:paraId="14991A7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FCA2877"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B0186A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127</w:t>
            </w:r>
          </w:p>
        </w:tc>
        <w:tc>
          <w:tcPr>
            <w:tcW w:w="3634" w:type="dxa"/>
            <w:tcBorders>
              <w:top w:val="nil"/>
              <w:left w:val="nil"/>
              <w:bottom w:val="single" w:sz="4" w:space="0" w:color="auto"/>
              <w:right w:val="single" w:sz="4" w:space="0" w:color="auto"/>
            </w:tcBorders>
            <w:shd w:val="clear" w:color="auto" w:fill="auto"/>
            <w:noWrap/>
            <w:vAlign w:val="bottom"/>
            <w:hideMark/>
          </w:tcPr>
          <w:p w14:paraId="7498195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Heidelberg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A1153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820</w:t>
            </w:r>
          </w:p>
        </w:tc>
        <w:tc>
          <w:tcPr>
            <w:tcW w:w="909" w:type="dxa"/>
            <w:tcBorders>
              <w:top w:val="nil"/>
              <w:left w:val="nil"/>
              <w:bottom w:val="single" w:sz="4" w:space="0" w:color="auto"/>
              <w:right w:val="single" w:sz="4" w:space="0" w:color="auto"/>
            </w:tcBorders>
            <w:shd w:val="clear" w:color="auto" w:fill="auto"/>
            <w:noWrap/>
            <w:vAlign w:val="bottom"/>
            <w:hideMark/>
          </w:tcPr>
          <w:p w14:paraId="55B3E26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101FBB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70</w:t>
            </w:r>
          </w:p>
        </w:tc>
        <w:tc>
          <w:tcPr>
            <w:tcW w:w="909" w:type="dxa"/>
            <w:tcBorders>
              <w:top w:val="nil"/>
              <w:left w:val="nil"/>
              <w:bottom w:val="single" w:sz="4" w:space="0" w:color="auto"/>
              <w:right w:val="single" w:sz="4" w:space="0" w:color="auto"/>
            </w:tcBorders>
            <w:shd w:val="clear" w:color="auto" w:fill="auto"/>
            <w:noWrap/>
            <w:vAlign w:val="bottom"/>
            <w:hideMark/>
          </w:tcPr>
          <w:p w14:paraId="7423457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82CF54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D8B1D0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97F333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128</w:t>
            </w:r>
          </w:p>
        </w:tc>
        <w:tc>
          <w:tcPr>
            <w:tcW w:w="3634" w:type="dxa"/>
            <w:tcBorders>
              <w:top w:val="nil"/>
              <w:left w:val="nil"/>
              <w:bottom w:val="single" w:sz="4" w:space="0" w:color="auto"/>
              <w:right w:val="single" w:sz="4" w:space="0" w:color="auto"/>
            </w:tcBorders>
            <w:shd w:val="clear" w:color="auto" w:fill="auto"/>
            <w:noWrap/>
            <w:vAlign w:val="bottom"/>
            <w:hideMark/>
          </w:tcPr>
          <w:p w14:paraId="2FDDE5CF"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Pohang University of Science And Technology (POSTECH)</w:t>
            </w:r>
          </w:p>
        </w:tc>
        <w:tc>
          <w:tcPr>
            <w:tcW w:w="909" w:type="dxa"/>
            <w:tcBorders>
              <w:top w:val="nil"/>
              <w:left w:val="nil"/>
              <w:bottom w:val="single" w:sz="4" w:space="0" w:color="auto"/>
              <w:right w:val="single" w:sz="4" w:space="0" w:color="auto"/>
            </w:tcBorders>
            <w:shd w:val="clear" w:color="auto" w:fill="auto"/>
            <w:noWrap/>
            <w:vAlign w:val="bottom"/>
            <w:hideMark/>
          </w:tcPr>
          <w:p w14:paraId="6EC5FB9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821</w:t>
            </w:r>
          </w:p>
        </w:tc>
        <w:tc>
          <w:tcPr>
            <w:tcW w:w="909" w:type="dxa"/>
            <w:tcBorders>
              <w:top w:val="nil"/>
              <w:left w:val="nil"/>
              <w:bottom w:val="single" w:sz="4" w:space="0" w:color="auto"/>
              <w:right w:val="single" w:sz="4" w:space="0" w:color="auto"/>
            </w:tcBorders>
            <w:shd w:val="clear" w:color="auto" w:fill="auto"/>
            <w:noWrap/>
            <w:vAlign w:val="bottom"/>
            <w:hideMark/>
          </w:tcPr>
          <w:p w14:paraId="3C5164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98D9A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872B4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909" w:type="dxa"/>
            <w:tcBorders>
              <w:top w:val="nil"/>
              <w:left w:val="nil"/>
              <w:bottom w:val="single" w:sz="4" w:space="0" w:color="auto"/>
              <w:right w:val="single" w:sz="4" w:space="0" w:color="auto"/>
            </w:tcBorders>
            <w:shd w:val="clear" w:color="auto" w:fill="auto"/>
            <w:noWrap/>
            <w:vAlign w:val="bottom"/>
            <w:hideMark/>
          </w:tcPr>
          <w:p w14:paraId="137C2B0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0D5124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CE4A6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129</w:t>
            </w:r>
          </w:p>
        </w:tc>
        <w:tc>
          <w:tcPr>
            <w:tcW w:w="3634" w:type="dxa"/>
            <w:tcBorders>
              <w:top w:val="nil"/>
              <w:left w:val="nil"/>
              <w:bottom w:val="single" w:sz="4" w:space="0" w:color="auto"/>
              <w:right w:val="single" w:sz="4" w:space="0" w:color="auto"/>
            </w:tcBorders>
            <w:shd w:val="clear" w:color="auto" w:fill="auto"/>
            <w:noWrap/>
            <w:vAlign w:val="bottom"/>
            <w:hideMark/>
          </w:tcPr>
          <w:p w14:paraId="6AD16F20"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 xml:space="preserve">The University of Texas M. D. Anderson Cancer </w:t>
            </w:r>
            <w:proofErr w:type="spellStart"/>
            <w:r w:rsidRPr="00622247">
              <w:rPr>
                <w:rFonts w:eastAsia="Times New Roman" w:cs="Arial"/>
                <w:color w:val="000000"/>
                <w:sz w:val="18"/>
                <w:szCs w:val="18"/>
                <w:lang w:val="en-GB" w:eastAsia="pl-PL"/>
              </w:rPr>
              <w:t>Center</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FA0FC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821</w:t>
            </w:r>
          </w:p>
        </w:tc>
        <w:tc>
          <w:tcPr>
            <w:tcW w:w="909" w:type="dxa"/>
            <w:tcBorders>
              <w:top w:val="nil"/>
              <w:left w:val="nil"/>
              <w:bottom w:val="single" w:sz="4" w:space="0" w:color="auto"/>
              <w:right w:val="single" w:sz="4" w:space="0" w:color="auto"/>
            </w:tcBorders>
            <w:shd w:val="clear" w:color="auto" w:fill="auto"/>
            <w:noWrap/>
            <w:vAlign w:val="bottom"/>
            <w:hideMark/>
          </w:tcPr>
          <w:p w14:paraId="5DF2B8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3A7380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71</w:t>
            </w:r>
          </w:p>
        </w:tc>
        <w:tc>
          <w:tcPr>
            <w:tcW w:w="909" w:type="dxa"/>
            <w:tcBorders>
              <w:top w:val="nil"/>
              <w:left w:val="nil"/>
              <w:bottom w:val="single" w:sz="4" w:space="0" w:color="auto"/>
              <w:right w:val="single" w:sz="4" w:space="0" w:color="auto"/>
            </w:tcBorders>
            <w:shd w:val="clear" w:color="auto" w:fill="auto"/>
            <w:noWrap/>
            <w:vAlign w:val="bottom"/>
            <w:hideMark/>
          </w:tcPr>
          <w:p w14:paraId="011C616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8D224A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5E6F14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2A290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130</w:t>
            </w:r>
          </w:p>
        </w:tc>
        <w:tc>
          <w:tcPr>
            <w:tcW w:w="3634" w:type="dxa"/>
            <w:tcBorders>
              <w:top w:val="nil"/>
              <w:left w:val="nil"/>
              <w:bottom w:val="single" w:sz="4" w:space="0" w:color="auto"/>
              <w:right w:val="single" w:sz="4" w:space="0" w:color="auto"/>
            </w:tcBorders>
            <w:shd w:val="clear" w:color="auto" w:fill="auto"/>
            <w:noWrap/>
            <w:vAlign w:val="bottom"/>
            <w:hideMark/>
          </w:tcPr>
          <w:p w14:paraId="217483C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Charité</w:t>
            </w:r>
            <w:proofErr w:type="spellEnd"/>
            <w:r w:rsidRPr="00622247">
              <w:rPr>
                <w:rFonts w:eastAsia="Times New Roman" w:cs="Arial"/>
                <w:color w:val="000000"/>
                <w:sz w:val="18"/>
                <w:szCs w:val="18"/>
                <w:lang w:eastAsia="pl-PL"/>
              </w:rPr>
              <w:t xml:space="preserve"> - </w:t>
            </w:r>
            <w:proofErr w:type="spellStart"/>
            <w:r w:rsidRPr="00622247">
              <w:rPr>
                <w:rFonts w:eastAsia="Times New Roman" w:cs="Arial"/>
                <w:color w:val="000000"/>
                <w:sz w:val="18"/>
                <w:szCs w:val="18"/>
                <w:lang w:eastAsia="pl-PL"/>
              </w:rPr>
              <w:t>Universitätsmedizin</w:t>
            </w:r>
            <w:proofErr w:type="spellEnd"/>
            <w:r w:rsidRPr="00622247">
              <w:rPr>
                <w:rFonts w:eastAsia="Times New Roman" w:cs="Arial"/>
                <w:color w:val="000000"/>
                <w:sz w:val="18"/>
                <w:szCs w:val="18"/>
                <w:lang w:eastAsia="pl-PL"/>
              </w:rPr>
              <w:t xml:space="preserve"> Berlin</w:t>
            </w:r>
          </w:p>
        </w:tc>
        <w:tc>
          <w:tcPr>
            <w:tcW w:w="909" w:type="dxa"/>
            <w:tcBorders>
              <w:top w:val="nil"/>
              <w:left w:val="nil"/>
              <w:bottom w:val="single" w:sz="4" w:space="0" w:color="auto"/>
              <w:right w:val="single" w:sz="4" w:space="0" w:color="auto"/>
            </w:tcBorders>
            <w:shd w:val="clear" w:color="auto" w:fill="auto"/>
            <w:noWrap/>
            <w:vAlign w:val="bottom"/>
            <w:hideMark/>
          </w:tcPr>
          <w:p w14:paraId="0DEF3BE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823</w:t>
            </w:r>
          </w:p>
        </w:tc>
        <w:tc>
          <w:tcPr>
            <w:tcW w:w="909" w:type="dxa"/>
            <w:tcBorders>
              <w:top w:val="nil"/>
              <w:left w:val="nil"/>
              <w:bottom w:val="single" w:sz="4" w:space="0" w:color="auto"/>
              <w:right w:val="single" w:sz="4" w:space="0" w:color="auto"/>
            </w:tcBorders>
            <w:shd w:val="clear" w:color="auto" w:fill="auto"/>
            <w:noWrap/>
            <w:vAlign w:val="bottom"/>
            <w:hideMark/>
          </w:tcPr>
          <w:p w14:paraId="2DDA27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73</w:t>
            </w:r>
          </w:p>
        </w:tc>
        <w:tc>
          <w:tcPr>
            <w:tcW w:w="909" w:type="dxa"/>
            <w:tcBorders>
              <w:top w:val="nil"/>
              <w:left w:val="nil"/>
              <w:bottom w:val="single" w:sz="4" w:space="0" w:color="auto"/>
              <w:right w:val="single" w:sz="4" w:space="0" w:color="auto"/>
            </w:tcBorders>
            <w:shd w:val="clear" w:color="auto" w:fill="auto"/>
            <w:noWrap/>
            <w:vAlign w:val="bottom"/>
            <w:hideMark/>
          </w:tcPr>
          <w:p w14:paraId="252442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B1E82F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C925C2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C88C07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7C417B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131</w:t>
            </w:r>
          </w:p>
        </w:tc>
        <w:tc>
          <w:tcPr>
            <w:tcW w:w="3634" w:type="dxa"/>
            <w:tcBorders>
              <w:top w:val="nil"/>
              <w:left w:val="nil"/>
              <w:bottom w:val="single" w:sz="4" w:space="0" w:color="auto"/>
              <w:right w:val="single" w:sz="4" w:space="0" w:color="auto"/>
            </w:tcBorders>
            <w:shd w:val="clear" w:color="auto" w:fill="auto"/>
            <w:noWrap/>
            <w:vAlign w:val="bottom"/>
            <w:hideMark/>
          </w:tcPr>
          <w:p w14:paraId="78CE0A4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Korea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36C9D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824</w:t>
            </w:r>
          </w:p>
        </w:tc>
        <w:tc>
          <w:tcPr>
            <w:tcW w:w="909" w:type="dxa"/>
            <w:tcBorders>
              <w:top w:val="nil"/>
              <w:left w:val="nil"/>
              <w:bottom w:val="single" w:sz="4" w:space="0" w:color="auto"/>
              <w:right w:val="single" w:sz="4" w:space="0" w:color="auto"/>
            </w:tcBorders>
            <w:shd w:val="clear" w:color="auto" w:fill="auto"/>
            <w:noWrap/>
            <w:vAlign w:val="bottom"/>
            <w:hideMark/>
          </w:tcPr>
          <w:p w14:paraId="48D6DC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5E299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11ACC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c>
          <w:tcPr>
            <w:tcW w:w="909" w:type="dxa"/>
            <w:tcBorders>
              <w:top w:val="nil"/>
              <w:left w:val="nil"/>
              <w:bottom w:val="single" w:sz="4" w:space="0" w:color="auto"/>
              <w:right w:val="single" w:sz="4" w:space="0" w:color="auto"/>
            </w:tcBorders>
            <w:shd w:val="clear" w:color="auto" w:fill="auto"/>
            <w:noWrap/>
            <w:vAlign w:val="bottom"/>
            <w:hideMark/>
          </w:tcPr>
          <w:p w14:paraId="4C25430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C4AAE1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54CE1D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132</w:t>
            </w:r>
          </w:p>
        </w:tc>
        <w:tc>
          <w:tcPr>
            <w:tcW w:w="3634" w:type="dxa"/>
            <w:tcBorders>
              <w:top w:val="nil"/>
              <w:left w:val="nil"/>
              <w:bottom w:val="single" w:sz="4" w:space="0" w:color="auto"/>
              <w:right w:val="single" w:sz="4" w:space="0" w:color="auto"/>
            </w:tcBorders>
            <w:shd w:val="clear" w:color="auto" w:fill="auto"/>
            <w:noWrap/>
            <w:vAlign w:val="bottom"/>
            <w:hideMark/>
          </w:tcPr>
          <w:p w14:paraId="6181911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Ghent</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42A7BC8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824</w:t>
            </w:r>
          </w:p>
        </w:tc>
        <w:tc>
          <w:tcPr>
            <w:tcW w:w="909" w:type="dxa"/>
            <w:tcBorders>
              <w:top w:val="nil"/>
              <w:left w:val="nil"/>
              <w:bottom w:val="single" w:sz="4" w:space="0" w:color="auto"/>
              <w:right w:val="single" w:sz="4" w:space="0" w:color="auto"/>
            </w:tcBorders>
            <w:shd w:val="clear" w:color="auto" w:fill="auto"/>
            <w:noWrap/>
            <w:vAlign w:val="bottom"/>
            <w:hideMark/>
          </w:tcPr>
          <w:p w14:paraId="37F76D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A3413B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74</w:t>
            </w:r>
          </w:p>
        </w:tc>
        <w:tc>
          <w:tcPr>
            <w:tcW w:w="909" w:type="dxa"/>
            <w:tcBorders>
              <w:top w:val="nil"/>
              <w:left w:val="nil"/>
              <w:bottom w:val="single" w:sz="4" w:space="0" w:color="auto"/>
              <w:right w:val="single" w:sz="4" w:space="0" w:color="auto"/>
            </w:tcBorders>
            <w:shd w:val="clear" w:color="auto" w:fill="auto"/>
            <w:noWrap/>
            <w:vAlign w:val="bottom"/>
            <w:hideMark/>
          </w:tcPr>
          <w:p w14:paraId="2AE4655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7106DA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E15826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805010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133</w:t>
            </w:r>
          </w:p>
        </w:tc>
        <w:tc>
          <w:tcPr>
            <w:tcW w:w="3634" w:type="dxa"/>
            <w:tcBorders>
              <w:top w:val="nil"/>
              <w:left w:val="nil"/>
              <w:bottom w:val="single" w:sz="4" w:space="0" w:color="auto"/>
              <w:right w:val="single" w:sz="4" w:space="0" w:color="auto"/>
            </w:tcBorders>
            <w:shd w:val="clear" w:color="auto" w:fill="auto"/>
            <w:noWrap/>
            <w:vAlign w:val="bottom"/>
            <w:hideMark/>
          </w:tcPr>
          <w:p w14:paraId="4304E8D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Lomonosov</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Moscow</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2E6674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825</w:t>
            </w:r>
          </w:p>
        </w:tc>
        <w:tc>
          <w:tcPr>
            <w:tcW w:w="909" w:type="dxa"/>
            <w:tcBorders>
              <w:top w:val="nil"/>
              <w:left w:val="nil"/>
              <w:bottom w:val="single" w:sz="4" w:space="0" w:color="auto"/>
              <w:right w:val="single" w:sz="4" w:space="0" w:color="auto"/>
            </w:tcBorders>
            <w:shd w:val="clear" w:color="auto" w:fill="auto"/>
            <w:noWrap/>
            <w:vAlign w:val="bottom"/>
            <w:hideMark/>
          </w:tcPr>
          <w:p w14:paraId="2B9022E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397A79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C0479F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75</w:t>
            </w:r>
          </w:p>
        </w:tc>
        <w:tc>
          <w:tcPr>
            <w:tcW w:w="909" w:type="dxa"/>
            <w:tcBorders>
              <w:top w:val="nil"/>
              <w:left w:val="nil"/>
              <w:bottom w:val="single" w:sz="4" w:space="0" w:color="auto"/>
              <w:right w:val="single" w:sz="4" w:space="0" w:color="auto"/>
            </w:tcBorders>
            <w:shd w:val="clear" w:color="auto" w:fill="auto"/>
            <w:noWrap/>
            <w:vAlign w:val="bottom"/>
            <w:hideMark/>
          </w:tcPr>
          <w:p w14:paraId="52C797C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2C57F9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A37B7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134</w:t>
            </w:r>
          </w:p>
        </w:tc>
        <w:tc>
          <w:tcPr>
            <w:tcW w:w="3634" w:type="dxa"/>
            <w:tcBorders>
              <w:top w:val="nil"/>
              <w:left w:val="nil"/>
              <w:bottom w:val="single" w:sz="4" w:space="0" w:color="auto"/>
              <w:right w:val="single" w:sz="4" w:space="0" w:color="auto"/>
            </w:tcBorders>
            <w:shd w:val="clear" w:color="auto" w:fill="auto"/>
            <w:noWrap/>
            <w:vAlign w:val="bottom"/>
            <w:hideMark/>
          </w:tcPr>
          <w:p w14:paraId="36774D1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Leiden</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19D42DA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827</w:t>
            </w:r>
          </w:p>
        </w:tc>
        <w:tc>
          <w:tcPr>
            <w:tcW w:w="909" w:type="dxa"/>
            <w:tcBorders>
              <w:top w:val="nil"/>
              <w:left w:val="nil"/>
              <w:bottom w:val="single" w:sz="4" w:space="0" w:color="auto"/>
              <w:right w:val="single" w:sz="4" w:space="0" w:color="auto"/>
            </w:tcBorders>
            <w:shd w:val="clear" w:color="auto" w:fill="auto"/>
            <w:noWrap/>
            <w:vAlign w:val="bottom"/>
            <w:hideMark/>
          </w:tcPr>
          <w:p w14:paraId="7BE7A35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77</w:t>
            </w:r>
          </w:p>
        </w:tc>
        <w:tc>
          <w:tcPr>
            <w:tcW w:w="909" w:type="dxa"/>
            <w:tcBorders>
              <w:top w:val="nil"/>
              <w:left w:val="nil"/>
              <w:bottom w:val="single" w:sz="4" w:space="0" w:color="auto"/>
              <w:right w:val="single" w:sz="4" w:space="0" w:color="auto"/>
            </w:tcBorders>
            <w:shd w:val="clear" w:color="auto" w:fill="auto"/>
            <w:noWrap/>
            <w:vAlign w:val="bottom"/>
            <w:hideMark/>
          </w:tcPr>
          <w:p w14:paraId="0072851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467C13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B6BD48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712C76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DBD56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135</w:t>
            </w:r>
          </w:p>
        </w:tc>
        <w:tc>
          <w:tcPr>
            <w:tcW w:w="3634" w:type="dxa"/>
            <w:tcBorders>
              <w:top w:val="nil"/>
              <w:left w:val="nil"/>
              <w:bottom w:val="single" w:sz="4" w:space="0" w:color="auto"/>
              <w:right w:val="single" w:sz="4" w:space="0" w:color="auto"/>
            </w:tcBorders>
            <w:shd w:val="clear" w:color="auto" w:fill="auto"/>
            <w:noWrap/>
            <w:vAlign w:val="bottom"/>
            <w:hideMark/>
          </w:tcPr>
          <w:p w14:paraId="63AB086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National</w:t>
            </w:r>
            <w:proofErr w:type="spellEnd"/>
            <w:r w:rsidRPr="00622247">
              <w:rPr>
                <w:rFonts w:eastAsia="Times New Roman" w:cs="Arial"/>
                <w:color w:val="000000"/>
                <w:sz w:val="18"/>
                <w:szCs w:val="18"/>
                <w:lang w:eastAsia="pl-PL"/>
              </w:rPr>
              <w:t xml:space="preserve"> Taiwan University (NTU)</w:t>
            </w:r>
          </w:p>
        </w:tc>
        <w:tc>
          <w:tcPr>
            <w:tcW w:w="909" w:type="dxa"/>
            <w:tcBorders>
              <w:top w:val="nil"/>
              <w:left w:val="nil"/>
              <w:bottom w:val="single" w:sz="4" w:space="0" w:color="auto"/>
              <w:right w:val="single" w:sz="4" w:space="0" w:color="auto"/>
            </w:tcBorders>
            <w:shd w:val="clear" w:color="auto" w:fill="auto"/>
            <w:noWrap/>
            <w:vAlign w:val="bottom"/>
            <w:hideMark/>
          </w:tcPr>
          <w:p w14:paraId="336ECE0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827</w:t>
            </w:r>
          </w:p>
        </w:tc>
        <w:tc>
          <w:tcPr>
            <w:tcW w:w="909" w:type="dxa"/>
            <w:tcBorders>
              <w:top w:val="nil"/>
              <w:left w:val="nil"/>
              <w:bottom w:val="single" w:sz="4" w:space="0" w:color="auto"/>
              <w:right w:val="single" w:sz="4" w:space="0" w:color="auto"/>
            </w:tcBorders>
            <w:shd w:val="clear" w:color="auto" w:fill="auto"/>
            <w:noWrap/>
            <w:vAlign w:val="bottom"/>
            <w:hideMark/>
          </w:tcPr>
          <w:p w14:paraId="3CE1F4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35E46F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2D52A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77</w:t>
            </w:r>
          </w:p>
        </w:tc>
        <w:tc>
          <w:tcPr>
            <w:tcW w:w="909" w:type="dxa"/>
            <w:tcBorders>
              <w:top w:val="nil"/>
              <w:left w:val="nil"/>
              <w:bottom w:val="single" w:sz="4" w:space="0" w:color="auto"/>
              <w:right w:val="single" w:sz="4" w:space="0" w:color="auto"/>
            </w:tcBorders>
            <w:shd w:val="clear" w:color="auto" w:fill="auto"/>
            <w:noWrap/>
            <w:vAlign w:val="bottom"/>
            <w:hideMark/>
          </w:tcPr>
          <w:p w14:paraId="16BC0B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0ED8EA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677BA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136</w:t>
            </w:r>
          </w:p>
        </w:tc>
        <w:tc>
          <w:tcPr>
            <w:tcW w:w="3634" w:type="dxa"/>
            <w:tcBorders>
              <w:top w:val="nil"/>
              <w:left w:val="nil"/>
              <w:bottom w:val="single" w:sz="4" w:space="0" w:color="auto"/>
              <w:right w:val="single" w:sz="4" w:space="0" w:color="auto"/>
            </w:tcBorders>
            <w:shd w:val="clear" w:color="auto" w:fill="auto"/>
            <w:noWrap/>
            <w:vAlign w:val="bottom"/>
            <w:hideMark/>
          </w:tcPr>
          <w:p w14:paraId="2A46B0F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North</w:t>
            </w:r>
            <w:proofErr w:type="spellEnd"/>
            <w:r w:rsidRPr="00622247">
              <w:rPr>
                <w:rFonts w:eastAsia="Times New Roman" w:cs="Arial"/>
                <w:color w:val="000000"/>
                <w:sz w:val="18"/>
                <w:szCs w:val="18"/>
                <w:lang w:eastAsia="pl-PL"/>
              </w:rPr>
              <w:t xml:space="preserve"> Carolina </w:t>
            </w:r>
            <w:proofErr w:type="spellStart"/>
            <w:r w:rsidRPr="00622247">
              <w:rPr>
                <w:rFonts w:eastAsia="Times New Roman" w:cs="Arial"/>
                <w:color w:val="000000"/>
                <w:sz w:val="18"/>
                <w:szCs w:val="18"/>
                <w:lang w:eastAsia="pl-PL"/>
              </w:rPr>
              <w:t>State</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74FF4FF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827</w:t>
            </w:r>
          </w:p>
        </w:tc>
        <w:tc>
          <w:tcPr>
            <w:tcW w:w="909" w:type="dxa"/>
            <w:tcBorders>
              <w:top w:val="nil"/>
              <w:left w:val="nil"/>
              <w:bottom w:val="single" w:sz="4" w:space="0" w:color="auto"/>
              <w:right w:val="single" w:sz="4" w:space="0" w:color="auto"/>
            </w:tcBorders>
            <w:shd w:val="clear" w:color="auto" w:fill="auto"/>
            <w:noWrap/>
            <w:vAlign w:val="bottom"/>
            <w:hideMark/>
          </w:tcPr>
          <w:p w14:paraId="01AC847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2627DE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784FB5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3ABCD3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77</w:t>
            </w:r>
          </w:p>
        </w:tc>
      </w:tr>
      <w:tr w:rsidR="00622247" w:rsidRPr="00E9332A" w14:paraId="3176438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48763C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137</w:t>
            </w:r>
          </w:p>
        </w:tc>
        <w:tc>
          <w:tcPr>
            <w:tcW w:w="3634" w:type="dxa"/>
            <w:tcBorders>
              <w:top w:val="nil"/>
              <w:left w:val="nil"/>
              <w:bottom w:val="single" w:sz="4" w:space="0" w:color="auto"/>
              <w:right w:val="single" w:sz="4" w:space="0" w:color="auto"/>
            </w:tcBorders>
            <w:shd w:val="clear" w:color="auto" w:fill="auto"/>
            <w:noWrap/>
            <w:vAlign w:val="bottom"/>
            <w:hideMark/>
          </w:tcPr>
          <w:p w14:paraId="290CB153"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The Hebrew University of Jerusalem</w:t>
            </w:r>
          </w:p>
        </w:tc>
        <w:tc>
          <w:tcPr>
            <w:tcW w:w="909" w:type="dxa"/>
            <w:tcBorders>
              <w:top w:val="nil"/>
              <w:left w:val="nil"/>
              <w:bottom w:val="single" w:sz="4" w:space="0" w:color="auto"/>
              <w:right w:val="single" w:sz="4" w:space="0" w:color="auto"/>
            </w:tcBorders>
            <w:shd w:val="clear" w:color="auto" w:fill="auto"/>
            <w:noWrap/>
            <w:vAlign w:val="bottom"/>
            <w:hideMark/>
          </w:tcPr>
          <w:p w14:paraId="66FB8E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827</w:t>
            </w:r>
          </w:p>
        </w:tc>
        <w:tc>
          <w:tcPr>
            <w:tcW w:w="909" w:type="dxa"/>
            <w:tcBorders>
              <w:top w:val="nil"/>
              <w:left w:val="nil"/>
              <w:bottom w:val="single" w:sz="4" w:space="0" w:color="auto"/>
              <w:right w:val="single" w:sz="4" w:space="0" w:color="auto"/>
            </w:tcBorders>
            <w:shd w:val="clear" w:color="auto" w:fill="auto"/>
            <w:noWrap/>
            <w:vAlign w:val="bottom"/>
            <w:hideMark/>
          </w:tcPr>
          <w:p w14:paraId="5B9D4E4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CD1B67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77</w:t>
            </w:r>
          </w:p>
        </w:tc>
        <w:tc>
          <w:tcPr>
            <w:tcW w:w="909" w:type="dxa"/>
            <w:tcBorders>
              <w:top w:val="nil"/>
              <w:left w:val="nil"/>
              <w:bottom w:val="single" w:sz="4" w:space="0" w:color="auto"/>
              <w:right w:val="single" w:sz="4" w:space="0" w:color="auto"/>
            </w:tcBorders>
            <w:shd w:val="clear" w:color="auto" w:fill="auto"/>
            <w:noWrap/>
            <w:vAlign w:val="bottom"/>
            <w:hideMark/>
          </w:tcPr>
          <w:p w14:paraId="5450D80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C7D641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EA5932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109D5E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138</w:t>
            </w:r>
          </w:p>
        </w:tc>
        <w:tc>
          <w:tcPr>
            <w:tcW w:w="3634" w:type="dxa"/>
            <w:tcBorders>
              <w:top w:val="nil"/>
              <w:left w:val="nil"/>
              <w:bottom w:val="single" w:sz="4" w:space="0" w:color="auto"/>
              <w:right w:val="single" w:sz="4" w:space="0" w:color="auto"/>
            </w:tcBorders>
            <w:shd w:val="clear" w:color="auto" w:fill="auto"/>
            <w:noWrap/>
            <w:vAlign w:val="bottom"/>
            <w:hideMark/>
          </w:tcPr>
          <w:p w14:paraId="115FF7C8"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 xml:space="preserve">Catholic University of Leuven / </w:t>
            </w:r>
            <w:proofErr w:type="spellStart"/>
            <w:r w:rsidRPr="00622247">
              <w:rPr>
                <w:rFonts w:eastAsia="Times New Roman" w:cs="Arial"/>
                <w:color w:val="000000"/>
                <w:sz w:val="18"/>
                <w:szCs w:val="18"/>
                <w:lang w:val="en-GB" w:eastAsia="pl-PL"/>
              </w:rPr>
              <w:t>Katholieke</w:t>
            </w:r>
            <w:proofErr w:type="spellEnd"/>
            <w:r w:rsidRPr="00622247">
              <w:rPr>
                <w:rFonts w:eastAsia="Times New Roman" w:cs="Arial"/>
                <w:color w:val="000000"/>
                <w:sz w:val="18"/>
                <w:szCs w:val="18"/>
                <w:lang w:val="en-GB" w:eastAsia="pl-PL"/>
              </w:rPr>
              <w:t xml:space="preserve"> Universiteit Leuven</w:t>
            </w:r>
          </w:p>
        </w:tc>
        <w:tc>
          <w:tcPr>
            <w:tcW w:w="909" w:type="dxa"/>
            <w:tcBorders>
              <w:top w:val="nil"/>
              <w:left w:val="nil"/>
              <w:bottom w:val="single" w:sz="4" w:space="0" w:color="auto"/>
              <w:right w:val="single" w:sz="4" w:space="0" w:color="auto"/>
            </w:tcBorders>
            <w:shd w:val="clear" w:color="auto" w:fill="auto"/>
            <w:noWrap/>
            <w:vAlign w:val="bottom"/>
            <w:hideMark/>
          </w:tcPr>
          <w:p w14:paraId="29B166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828</w:t>
            </w:r>
          </w:p>
        </w:tc>
        <w:tc>
          <w:tcPr>
            <w:tcW w:w="909" w:type="dxa"/>
            <w:tcBorders>
              <w:top w:val="nil"/>
              <w:left w:val="nil"/>
              <w:bottom w:val="single" w:sz="4" w:space="0" w:color="auto"/>
              <w:right w:val="single" w:sz="4" w:space="0" w:color="auto"/>
            </w:tcBorders>
            <w:shd w:val="clear" w:color="auto" w:fill="auto"/>
            <w:noWrap/>
            <w:vAlign w:val="bottom"/>
            <w:hideMark/>
          </w:tcPr>
          <w:p w14:paraId="15BA35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3B3BB5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1269DD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1824BE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w:t>
            </w:r>
          </w:p>
        </w:tc>
      </w:tr>
      <w:tr w:rsidR="00622247" w:rsidRPr="00E9332A" w14:paraId="79F105C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10A797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139</w:t>
            </w:r>
          </w:p>
        </w:tc>
        <w:tc>
          <w:tcPr>
            <w:tcW w:w="3634" w:type="dxa"/>
            <w:tcBorders>
              <w:top w:val="nil"/>
              <w:left w:val="nil"/>
              <w:bottom w:val="single" w:sz="4" w:space="0" w:color="auto"/>
              <w:right w:val="single" w:sz="4" w:space="0" w:color="auto"/>
            </w:tcBorders>
            <w:shd w:val="clear" w:color="auto" w:fill="auto"/>
            <w:noWrap/>
            <w:vAlign w:val="bottom"/>
            <w:hideMark/>
          </w:tcPr>
          <w:p w14:paraId="79E37245"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Southampton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25A3B4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828</w:t>
            </w:r>
          </w:p>
        </w:tc>
        <w:tc>
          <w:tcPr>
            <w:tcW w:w="909" w:type="dxa"/>
            <w:tcBorders>
              <w:top w:val="nil"/>
              <w:left w:val="nil"/>
              <w:bottom w:val="single" w:sz="4" w:space="0" w:color="auto"/>
              <w:right w:val="single" w:sz="4" w:space="0" w:color="auto"/>
            </w:tcBorders>
            <w:shd w:val="clear" w:color="auto" w:fill="auto"/>
            <w:noWrap/>
            <w:vAlign w:val="bottom"/>
            <w:hideMark/>
          </w:tcPr>
          <w:p w14:paraId="1448FC4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F026DB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B378AA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w:t>
            </w:r>
          </w:p>
        </w:tc>
        <w:tc>
          <w:tcPr>
            <w:tcW w:w="909" w:type="dxa"/>
            <w:tcBorders>
              <w:top w:val="nil"/>
              <w:left w:val="nil"/>
              <w:bottom w:val="single" w:sz="4" w:space="0" w:color="auto"/>
              <w:right w:val="single" w:sz="4" w:space="0" w:color="auto"/>
            </w:tcBorders>
            <w:shd w:val="clear" w:color="auto" w:fill="auto"/>
            <w:noWrap/>
            <w:vAlign w:val="bottom"/>
            <w:hideMark/>
          </w:tcPr>
          <w:p w14:paraId="0CCEF09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707A90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E78A31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140</w:t>
            </w:r>
          </w:p>
        </w:tc>
        <w:tc>
          <w:tcPr>
            <w:tcW w:w="3634" w:type="dxa"/>
            <w:tcBorders>
              <w:top w:val="nil"/>
              <w:left w:val="nil"/>
              <w:bottom w:val="single" w:sz="4" w:space="0" w:color="auto"/>
              <w:right w:val="single" w:sz="4" w:space="0" w:color="auto"/>
            </w:tcBorders>
            <w:shd w:val="clear" w:color="auto" w:fill="auto"/>
            <w:noWrap/>
            <w:vAlign w:val="bottom"/>
            <w:hideMark/>
          </w:tcPr>
          <w:p w14:paraId="6514F7D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Université</w:t>
            </w:r>
            <w:proofErr w:type="spellEnd"/>
            <w:r w:rsidRPr="00622247">
              <w:rPr>
                <w:rFonts w:eastAsia="Times New Roman" w:cs="Arial"/>
                <w:color w:val="000000"/>
                <w:sz w:val="18"/>
                <w:szCs w:val="18"/>
                <w:lang w:eastAsia="pl-PL"/>
              </w:rPr>
              <w:t xml:space="preserve"> Paris </w:t>
            </w:r>
            <w:proofErr w:type="spellStart"/>
            <w:r w:rsidRPr="00622247">
              <w:rPr>
                <w:rFonts w:eastAsia="Times New Roman" w:cs="Arial"/>
                <w:color w:val="000000"/>
                <w:sz w:val="18"/>
                <w:szCs w:val="18"/>
                <w:lang w:eastAsia="pl-PL"/>
              </w:rPr>
              <w:t>Cité</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074576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828</w:t>
            </w:r>
          </w:p>
        </w:tc>
        <w:tc>
          <w:tcPr>
            <w:tcW w:w="909" w:type="dxa"/>
            <w:tcBorders>
              <w:top w:val="nil"/>
              <w:left w:val="nil"/>
              <w:bottom w:val="single" w:sz="4" w:space="0" w:color="auto"/>
              <w:right w:val="single" w:sz="4" w:space="0" w:color="auto"/>
            </w:tcBorders>
            <w:shd w:val="clear" w:color="auto" w:fill="auto"/>
            <w:noWrap/>
            <w:vAlign w:val="bottom"/>
            <w:hideMark/>
          </w:tcPr>
          <w:p w14:paraId="3A491C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1D722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78</w:t>
            </w:r>
          </w:p>
        </w:tc>
        <w:tc>
          <w:tcPr>
            <w:tcW w:w="909" w:type="dxa"/>
            <w:tcBorders>
              <w:top w:val="nil"/>
              <w:left w:val="nil"/>
              <w:bottom w:val="single" w:sz="4" w:space="0" w:color="auto"/>
              <w:right w:val="single" w:sz="4" w:space="0" w:color="auto"/>
            </w:tcBorders>
            <w:shd w:val="clear" w:color="auto" w:fill="auto"/>
            <w:noWrap/>
            <w:vAlign w:val="bottom"/>
            <w:hideMark/>
          </w:tcPr>
          <w:p w14:paraId="55539E0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3E36E3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84BEFD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BECD0E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141</w:t>
            </w:r>
          </w:p>
        </w:tc>
        <w:tc>
          <w:tcPr>
            <w:tcW w:w="3634" w:type="dxa"/>
            <w:tcBorders>
              <w:top w:val="nil"/>
              <w:left w:val="nil"/>
              <w:bottom w:val="single" w:sz="4" w:space="0" w:color="auto"/>
              <w:right w:val="single" w:sz="4" w:space="0" w:color="auto"/>
            </w:tcBorders>
            <w:shd w:val="clear" w:color="auto" w:fill="auto"/>
            <w:noWrap/>
            <w:vAlign w:val="bottom"/>
            <w:hideMark/>
          </w:tcPr>
          <w:p w14:paraId="171719D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Tohoku</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C462F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829</w:t>
            </w:r>
          </w:p>
        </w:tc>
        <w:tc>
          <w:tcPr>
            <w:tcW w:w="909" w:type="dxa"/>
            <w:tcBorders>
              <w:top w:val="nil"/>
              <w:left w:val="nil"/>
              <w:bottom w:val="single" w:sz="4" w:space="0" w:color="auto"/>
              <w:right w:val="single" w:sz="4" w:space="0" w:color="auto"/>
            </w:tcBorders>
            <w:shd w:val="clear" w:color="auto" w:fill="auto"/>
            <w:noWrap/>
            <w:vAlign w:val="bottom"/>
            <w:hideMark/>
          </w:tcPr>
          <w:p w14:paraId="5BAB8DD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F6D736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4F131C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c>
          <w:tcPr>
            <w:tcW w:w="909" w:type="dxa"/>
            <w:tcBorders>
              <w:top w:val="nil"/>
              <w:left w:val="nil"/>
              <w:bottom w:val="single" w:sz="4" w:space="0" w:color="auto"/>
              <w:right w:val="single" w:sz="4" w:space="0" w:color="auto"/>
            </w:tcBorders>
            <w:shd w:val="clear" w:color="auto" w:fill="auto"/>
            <w:noWrap/>
            <w:vAlign w:val="bottom"/>
            <w:hideMark/>
          </w:tcPr>
          <w:p w14:paraId="340E6B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C106F8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43C27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142</w:t>
            </w:r>
          </w:p>
        </w:tc>
        <w:tc>
          <w:tcPr>
            <w:tcW w:w="3634" w:type="dxa"/>
            <w:tcBorders>
              <w:top w:val="nil"/>
              <w:left w:val="nil"/>
              <w:bottom w:val="single" w:sz="4" w:space="0" w:color="auto"/>
              <w:right w:val="single" w:sz="4" w:space="0" w:color="auto"/>
            </w:tcBorders>
            <w:shd w:val="clear" w:color="auto" w:fill="auto"/>
            <w:noWrap/>
            <w:vAlign w:val="bottom"/>
            <w:hideMark/>
          </w:tcPr>
          <w:p w14:paraId="12C5308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Sun Yat-sen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1E34D4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829</w:t>
            </w:r>
          </w:p>
        </w:tc>
        <w:tc>
          <w:tcPr>
            <w:tcW w:w="909" w:type="dxa"/>
            <w:tcBorders>
              <w:top w:val="nil"/>
              <w:left w:val="nil"/>
              <w:bottom w:val="single" w:sz="4" w:space="0" w:color="auto"/>
              <w:right w:val="single" w:sz="4" w:space="0" w:color="auto"/>
            </w:tcBorders>
            <w:shd w:val="clear" w:color="auto" w:fill="auto"/>
            <w:noWrap/>
            <w:vAlign w:val="bottom"/>
            <w:hideMark/>
          </w:tcPr>
          <w:p w14:paraId="7818C3B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919D17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79</w:t>
            </w:r>
          </w:p>
        </w:tc>
        <w:tc>
          <w:tcPr>
            <w:tcW w:w="909" w:type="dxa"/>
            <w:tcBorders>
              <w:top w:val="nil"/>
              <w:left w:val="nil"/>
              <w:bottom w:val="single" w:sz="4" w:space="0" w:color="auto"/>
              <w:right w:val="single" w:sz="4" w:space="0" w:color="auto"/>
            </w:tcBorders>
            <w:shd w:val="clear" w:color="auto" w:fill="auto"/>
            <w:noWrap/>
            <w:vAlign w:val="bottom"/>
            <w:hideMark/>
          </w:tcPr>
          <w:p w14:paraId="1E84EDA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C9D5D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0BCA7AF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D93FFF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143</w:t>
            </w:r>
          </w:p>
        </w:tc>
        <w:tc>
          <w:tcPr>
            <w:tcW w:w="3634" w:type="dxa"/>
            <w:tcBorders>
              <w:top w:val="nil"/>
              <w:left w:val="nil"/>
              <w:bottom w:val="single" w:sz="4" w:space="0" w:color="auto"/>
              <w:right w:val="single" w:sz="4" w:space="0" w:color="auto"/>
            </w:tcBorders>
            <w:shd w:val="clear" w:color="auto" w:fill="auto"/>
            <w:noWrap/>
            <w:vAlign w:val="bottom"/>
            <w:hideMark/>
          </w:tcPr>
          <w:p w14:paraId="41D0545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Iowa</w:t>
            </w:r>
          </w:p>
        </w:tc>
        <w:tc>
          <w:tcPr>
            <w:tcW w:w="909" w:type="dxa"/>
            <w:tcBorders>
              <w:top w:val="nil"/>
              <w:left w:val="nil"/>
              <w:bottom w:val="single" w:sz="4" w:space="0" w:color="auto"/>
              <w:right w:val="single" w:sz="4" w:space="0" w:color="auto"/>
            </w:tcBorders>
            <w:shd w:val="clear" w:color="auto" w:fill="auto"/>
            <w:noWrap/>
            <w:vAlign w:val="bottom"/>
            <w:hideMark/>
          </w:tcPr>
          <w:p w14:paraId="703F853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832</w:t>
            </w:r>
          </w:p>
        </w:tc>
        <w:tc>
          <w:tcPr>
            <w:tcW w:w="909" w:type="dxa"/>
            <w:tcBorders>
              <w:top w:val="nil"/>
              <w:left w:val="nil"/>
              <w:bottom w:val="single" w:sz="4" w:space="0" w:color="auto"/>
              <w:right w:val="single" w:sz="4" w:space="0" w:color="auto"/>
            </w:tcBorders>
            <w:shd w:val="clear" w:color="auto" w:fill="auto"/>
            <w:noWrap/>
            <w:vAlign w:val="bottom"/>
            <w:hideMark/>
          </w:tcPr>
          <w:p w14:paraId="4FE7388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4702B8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E435C8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94233C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82</w:t>
            </w:r>
          </w:p>
        </w:tc>
      </w:tr>
      <w:tr w:rsidR="00622247" w:rsidRPr="00E9332A" w14:paraId="5B25D24E"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1DB5B3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144</w:t>
            </w:r>
          </w:p>
        </w:tc>
        <w:tc>
          <w:tcPr>
            <w:tcW w:w="3634" w:type="dxa"/>
            <w:tcBorders>
              <w:top w:val="nil"/>
              <w:left w:val="nil"/>
              <w:bottom w:val="single" w:sz="4" w:space="0" w:color="auto"/>
              <w:right w:val="single" w:sz="4" w:space="0" w:color="auto"/>
            </w:tcBorders>
            <w:shd w:val="clear" w:color="auto" w:fill="auto"/>
            <w:noWrap/>
            <w:vAlign w:val="bottom"/>
            <w:hideMark/>
          </w:tcPr>
          <w:p w14:paraId="07477439"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Virginia Polytechnic Institute and State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B42725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833</w:t>
            </w:r>
          </w:p>
        </w:tc>
        <w:tc>
          <w:tcPr>
            <w:tcW w:w="909" w:type="dxa"/>
            <w:tcBorders>
              <w:top w:val="nil"/>
              <w:left w:val="nil"/>
              <w:bottom w:val="single" w:sz="4" w:space="0" w:color="auto"/>
              <w:right w:val="single" w:sz="4" w:space="0" w:color="auto"/>
            </w:tcBorders>
            <w:shd w:val="clear" w:color="auto" w:fill="auto"/>
            <w:noWrap/>
            <w:vAlign w:val="bottom"/>
            <w:hideMark/>
          </w:tcPr>
          <w:p w14:paraId="1F2A5AD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6EAAF2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44E8A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41D17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r>
      <w:tr w:rsidR="00622247" w:rsidRPr="00E9332A" w14:paraId="57F7195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501F0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145</w:t>
            </w:r>
          </w:p>
        </w:tc>
        <w:tc>
          <w:tcPr>
            <w:tcW w:w="3634" w:type="dxa"/>
            <w:tcBorders>
              <w:top w:val="nil"/>
              <w:left w:val="nil"/>
              <w:bottom w:val="single" w:sz="4" w:space="0" w:color="auto"/>
              <w:right w:val="single" w:sz="4" w:space="0" w:color="auto"/>
            </w:tcBorders>
            <w:shd w:val="clear" w:color="auto" w:fill="auto"/>
            <w:noWrap/>
            <w:vAlign w:val="bottom"/>
            <w:hideMark/>
          </w:tcPr>
          <w:p w14:paraId="4668A3A7"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Technion-Israel Institute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375B105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833</w:t>
            </w:r>
          </w:p>
        </w:tc>
        <w:tc>
          <w:tcPr>
            <w:tcW w:w="909" w:type="dxa"/>
            <w:tcBorders>
              <w:top w:val="nil"/>
              <w:left w:val="nil"/>
              <w:bottom w:val="single" w:sz="4" w:space="0" w:color="auto"/>
              <w:right w:val="single" w:sz="4" w:space="0" w:color="auto"/>
            </w:tcBorders>
            <w:shd w:val="clear" w:color="auto" w:fill="auto"/>
            <w:noWrap/>
            <w:vAlign w:val="bottom"/>
            <w:hideMark/>
          </w:tcPr>
          <w:p w14:paraId="3B8DB45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64B467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50DA2D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D170A6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92021B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D93E5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146</w:t>
            </w:r>
          </w:p>
        </w:tc>
        <w:tc>
          <w:tcPr>
            <w:tcW w:w="3634" w:type="dxa"/>
            <w:tcBorders>
              <w:top w:val="nil"/>
              <w:left w:val="nil"/>
              <w:bottom w:val="single" w:sz="4" w:space="0" w:color="auto"/>
              <w:right w:val="single" w:sz="4" w:space="0" w:color="auto"/>
            </w:tcBorders>
            <w:shd w:val="clear" w:color="auto" w:fill="auto"/>
            <w:noWrap/>
            <w:vAlign w:val="bottom"/>
            <w:hideMark/>
          </w:tcPr>
          <w:p w14:paraId="6DC9607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Basel</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18610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833</w:t>
            </w:r>
          </w:p>
        </w:tc>
        <w:tc>
          <w:tcPr>
            <w:tcW w:w="909" w:type="dxa"/>
            <w:tcBorders>
              <w:top w:val="nil"/>
              <w:left w:val="nil"/>
              <w:bottom w:val="single" w:sz="4" w:space="0" w:color="auto"/>
              <w:right w:val="single" w:sz="4" w:space="0" w:color="auto"/>
            </w:tcBorders>
            <w:shd w:val="clear" w:color="auto" w:fill="auto"/>
            <w:noWrap/>
            <w:vAlign w:val="bottom"/>
            <w:hideMark/>
          </w:tcPr>
          <w:p w14:paraId="6F37519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841D47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507FAA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CC5537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F7318D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0BB7F9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147</w:t>
            </w:r>
          </w:p>
        </w:tc>
        <w:tc>
          <w:tcPr>
            <w:tcW w:w="3634" w:type="dxa"/>
            <w:tcBorders>
              <w:top w:val="nil"/>
              <w:left w:val="nil"/>
              <w:bottom w:val="single" w:sz="4" w:space="0" w:color="auto"/>
              <w:right w:val="single" w:sz="4" w:space="0" w:color="auto"/>
            </w:tcBorders>
            <w:shd w:val="clear" w:color="auto" w:fill="auto"/>
            <w:noWrap/>
            <w:vAlign w:val="bottom"/>
            <w:hideMark/>
          </w:tcPr>
          <w:p w14:paraId="641AB09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Weizmann</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Institute</w:t>
            </w:r>
            <w:proofErr w:type="spellEnd"/>
            <w:r w:rsidRPr="00622247">
              <w:rPr>
                <w:rFonts w:eastAsia="Times New Roman" w:cs="Arial"/>
                <w:color w:val="000000"/>
                <w:sz w:val="18"/>
                <w:szCs w:val="18"/>
                <w:lang w:eastAsia="pl-PL"/>
              </w:rPr>
              <w:t xml:space="preserve"> of Science</w:t>
            </w:r>
          </w:p>
        </w:tc>
        <w:tc>
          <w:tcPr>
            <w:tcW w:w="909" w:type="dxa"/>
            <w:tcBorders>
              <w:top w:val="nil"/>
              <w:left w:val="nil"/>
              <w:bottom w:val="single" w:sz="4" w:space="0" w:color="auto"/>
              <w:right w:val="single" w:sz="4" w:space="0" w:color="auto"/>
            </w:tcBorders>
            <w:shd w:val="clear" w:color="auto" w:fill="auto"/>
            <w:noWrap/>
            <w:vAlign w:val="bottom"/>
            <w:hideMark/>
          </w:tcPr>
          <w:p w14:paraId="6EF4E6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833</w:t>
            </w:r>
          </w:p>
        </w:tc>
        <w:tc>
          <w:tcPr>
            <w:tcW w:w="909" w:type="dxa"/>
            <w:tcBorders>
              <w:top w:val="nil"/>
              <w:left w:val="nil"/>
              <w:bottom w:val="single" w:sz="4" w:space="0" w:color="auto"/>
              <w:right w:val="single" w:sz="4" w:space="0" w:color="auto"/>
            </w:tcBorders>
            <w:shd w:val="clear" w:color="auto" w:fill="auto"/>
            <w:noWrap/>
            <w:vAlign w:val="bottom"/>
            <w:hideMark/>
          </w:tcPr>
          <w:p w14:paraId="4447E3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500BD3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w:t>
            </w:r>
          </w:p>
        </w:tc>
        <w:tc>
          <w:tcPr>
            <w:tcW w:w="909" w:type="dxa"/>
            <w:tcBorders>
              <w:top w:val="nil"/>
              <w:left w:val="nil"/>
              <w:bottom w:val="single" w:sz="4" w:space="0" w:color="auto"/>
              <w:right w:val="single" w:sz="4" w:space="0" w:color="auto"/>
            </w:tcBorders>
            <w:shd w:val="clear" w:color="auto" w:fill="auto"/>
            <w:noWrap/>
            <w:vAlign w:val="bottom"/>
            <w:hideMark/>
          </w:tcPr>
          <w:p w14:paraId="5867BBF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EA2325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1DF1D9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D8DB28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148</w:t>
            </w:r>
          </w:p>
        </w:tc>
        <w:tc>
          <w:tcPr>
            <w:tcW w:w="3634" w:type="dxa"/>
            <w:tcBorders>
              <w:top w:val="nil"/>
              <w:left w:val="nil"/>
              <w:bottom w:val="single" w:sz="4" w:space="0" w:color="auto"/>
              <w:right w:val="single" w:sz="4" w:space="0" w:color="auto"/>
            </w:tcBorders>
            <w:shd w:val="clear" w:color="auto" w:fill="auto"/>
            <w:noWrap/>
            <w:vAlign w:val="bottom"/>
            <w:hideMark/>
          </w:tcPr>
          <w:p w14:paraId="10068929"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Waterloo</w:t>
            </w:r>
          </w:p>
        </w:tc>
        <w:tc>
          <w:tcPr>
            <w:tcW w:w="909" w:type="dxa"/>
            <w:tcBorders>
              <w:top w:val="nil"/>
              <w:left w:val="nil"/>
              <w:bottom w:val="single" w:sz="4" w:space="0" w:color="auto"/>
              <w:right w:val="single" w:sz="4" w:space="0" w:color="auto"/>
            </w:tcBorders>
            <w:shd w:val="clear" w:color="auto" w:fill="auto"/>
            <w:noWrap/>
            <w:vAlign w:val="bottom"/>
            <w:hideMark/>
          </w:tcPr>
          <w:p w14:paraId="65C8B2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835</w:t>
            </w:r>
          </w:p>
        </w:tc>
        <w:tc>
          <w:tcPr>
            <w:tcW w:w="909" w:type="dxa"/>
            <w:tcBorders>
              <w:top w:val="nil"/>
              <w:left w:val="nil"/>
              <w:bottom w:val="single" w:sz="4" w:space="0" w:color="auto"/>
              <w:right w:val="single" w:sz="4" w:space="0" w:color="auto"/>
            </w:tcBorders>
            <w:shd w:val="clear" w:color="auto" w:fill="auto"/>
            <w:noWrap/>
            <w:vAlign w:val="bottom"/>
            <w:hideMark/>
          </w:tcPr>
          <w:p w14:paraId="5F74B2B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AF8E4A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967DFA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0FB405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w:t>
            </w:r>
          </w:p>
        </w:tc>
      </w:tr>
      <w:tr w:rsidR="00622247" w:rsidRPr="00E9332A" w14:paraId="0DACCF5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77E421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149</w:t>
            </w:r>
          </w:p>
        </w:tc>
        <w:tc>
          <w:tcPr>
            <w:tcW w:w="3634" w:type="dxa"/>
            <w:tcBorders>
              <w:top w:val="nil"/>
              <w:left w:val="nil"/>
              <w:bottom w:val="single" w:sz="4" w:space="0" w:color="auto"/>
              <w:right w:val="single" w:sz="4" w:space="0" w:color="auto"/>
            </w:tcBorders>
            <w:shd w:val="clear" w:color="auto" w:fill="auto"/>
            <w:noWrap/>
            <w:vAlign w:val="bottom"/>
            <w:hideMark/>
          </w:tcPr>
          <w:p w14:paraId="31B9EEF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Humboldt University of Berlin</w:t>
            </w:r>
          </w:p>
        </w:tc>
        <w:tc>
          <w:tcPr>
            <w:tcW w:w="909" w:type="dxa"/>
            <w:tcBorders>
              <w:top w:val="nil"/>
              <w:left w:val="nil"/>
              <w:bottom w:val="single" w:sz="4" w:space="0" w:color="auto"/>
              <w:right w:val="single" w:sz="4" w:space="0" w:color="auto"/>
            </w:tcBorders>
            <w:shd w:val="clear" w:color="auto" w:fill="auto"/>
            <w:noWrap/>
            <w:vAlign w:val="bottom"/>
            <w:hideMark/>
          </w:tcPr>
          <w:p w14:paraId="4511D45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836</w:t>
            </w:r>
          </w:p>
        </w:tc>
        <w:tc>
          <w:tcPr>
            <w:tcW w:w="909" w:type="dxa"/>
            <w:tcBorders>
              <w:top w:val="nil"/>
              <w:left w:val="nil"/>
              <w:bottom w:val="single" w:sz="4" w:space="0" w:color="auto"/>
              <w:right w:val="single" w:sz="4" w:space="0" w:color="auto"/>
            </w:tcBorders>
            <w:shd w:val="clear" w:color="auto" w:fill="auto"/>
            <w:noWrap/>
            <w:vAlign w:val="bottom"/>
            <w:hideMark/>
          </w:tcPr>
          <w:p w14:paraId="580D1B6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86</w:t>
            </w:r>
          </w:p>
        </w:tc>
        <w:tc>
          <w:tcPr>
            <w:tcW w:w="909" w:type="dxa"/>
            <w:tcBorders>
              <w:top w:val="nil"/>
              <w:left w:val="nil"/>
              <w:bottom w:val="single" w:sz="4" w:space="0" w:color="auto"/>
              <w:right w:val="single" w:sz="4" w:space="0" w:color="auto"/>
            </w:tcBorders>
            <w:shd w:val="clear" w:color="auto" w:fill="auto"/>
            <w:noWrap/>
            <w:vAlign w:val="bottom"/>
            <w:hideMark/>
          </w:tcPr>
          <w:p w14:paraId="09E0FE8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7927A0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95F72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D526711"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9B1B0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150</w:t>
            </w:r>
          </w:p>
        </w:tc>
        <w:tc>
          <w:tcPr>
            <w:tcW w:w="3634" w:type="dxa"/>
            <w:tcBorders>
              <w:top w:val="nil"/>
              <w:left w:val="nil"/>
              <w:bottom w:val="single" w:sz="4" w:space="0" w:color="auto"/>
              <w:right w:val="single" w:sz="4" w:space="0" w:color="auto"/>
            </w:tcBorders>
            <w:shd w:val="clear" w:color="auto" w:fill="auto"/>
            <w:noWrap/>
            <w:vAlign w:val="bottom"/>
            <w:hideMark/>
          </w:tcPr>
          <w:p w14:paraId="0E683D33"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Technische</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Universität</w:t>
            </w:r>
            <w:proofErr w:type="spellEnd"/>
            <w:r w:rsidRPr="00622247">
              <w:rPr>
                <w:rFonts w:eastAsia="Times New Roman" w:cs="Arial"/>
                <w:color w:val="000000"/>
                <w:sz w:val="18"/>
                <w:szCs w:val="18"/>
                <w:lang w:eastAsia="pl-PL"/>
              </w:rPr>
              <w:t xml:space="preserve"> </w:t>
            </w:r>
            <w:proofErr w:type="spellStart"/>
            <w:r w:rsidRPr="00622247">
              <w:rPr>
                <w:rFonts w:eastAsia="Times New Roman" w:cs="Arial"/>
                <w:color w:val="000000"/>
                <w:sz w:val="18"/>
                <w:szCs w:val="18"/>
                <w:lang w:eastAsia="pl-PL"/>
              </w:rPr>
              <w:t>München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00091B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836</w:t>
            </w:r>
          </w:p>
        </w:tc>
        <w:tc>
          <w:tcPr>
            <w:tcW w:w="909" w:type="dxa"/>
            <w:tcBorders>
              <w:top w:val="nil"/>
              <w:left w:val="nil"/>
              <w:bottom w:val="single" w:sz="4" w:space="0" w:color="auto"/>
              <w:right w:val="single" w:sz="4" w:space="0" w:color="auto"/>
            </w:tcBorders>
            <w:shd w:val="clear" w:color="auto" w:fill="auto"/>
            <w:noWrap/>
            <w:vAlign w:val="bottom"/>
            <w:hideMark/>
          </w:tcPr>
          <w:p w14:paraId="40E2D8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98CD1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A4565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360A2C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86</w:t>
            </w:r>
          </w:p>
        </w:tc>
      </w:tr>
      <w:tr w:rsidR="00622247" w:rsidRPr="00E9332A" w14:paraId="1113CFC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D48D3C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151</w:t>
            </w:r>
          </w:p>
        </w:tc>
        <w:tc>
          <w:tcPr>
            <w:tcW w:w="3634" w:type="dxa"/>
            <w:tcBorders>
              <w:top w:val="nil"/>
              <w:left w:val="nil"/>
              <w:bottom w:val="single" w:sz="4" w:space="0" w:color="auto"/>
              <w:right w:val="single" w:sz="4" w:space="0" w:color="auto"/>
            </w:tcBorders>
            <w:shd w:val="clear" w:color="auto" w:fill="auto"/>
            <w:noWrap/>
            <w:vAlign w:val="bottom"/>
            <w:hideMark/>
          </w:tcPr>
          <w:p w14:paraId="1DF1B358"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Tübingen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C79EB0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836</w:t>
            </w:r>
          </w:p>
        </w:tc>
        <w:tc>
          <w:tcPr>
            <w:tcW w:w="909" w:type="dxa"/>
            <w:tcBorders>
              <w:top w:val="nil"/>
              <w:left w:val="nil"/>
              <w:bottom w:val="single" w:sz="4" w:space="0" w:color="auto"/>
              <w:right w:val="single" w:sz="4" w:space="0" w:color="auto"/>
            </w:tcBorders>
            <w:shd w:val="clear" w:color="auto" w:fill="auto"/>
            <w:noWrap/>
            <w:vAlign w:val="bottom"/>
            <w:hideMark/>
          </w:tcPr>
          <w:p w14:paraId="4C3AE80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86</w:t>
            </w:r>
          </w:p>
        </w:tc>
        <w:tc>
          <w:tcPr>
            <w:tcW w:w="909" w:type="dxa"/>
            <w:tcBorders>
              <w:top w:val="nil"/>
              <w:left w:val="nil"/>
              <w:bottom w:val="single" w:sz="4" w:space="0" w:color="auto"/>
              <w:right w:val="single" w:sz="4" w:space="0" w:color="auto"/>
            </w:tcBorders>
            <w:shd w:val="clear" w:color="auto" w:fill="auto"/>
            <w:noWrap/>
            <w:vAlign w:val="bottom"/>
            <w:hideMark/>
          </w:tcPr>
          <w:p w14:paraId="0AE5198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210617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9774EB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F13F31A"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0178E9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152</w:t>
            </w:r>
          </w:p>
        </w:tc>
        <w:tc>
          <w:tcPr>
            <w:tcW w:w="3634" w:type="dxa"/>
            <w:tcBorders>
              <w:top w:val="nil"/>
              <w:left w:val="nil"/>
              <w:bottom w:val="single" w:sz="4" w:space="0" w:color="auto"/>
              <w:right w:val="single" w:sz="4" w:space="0" w:color="auto"/>
            </w:tcBorders>
            <w:shd w:val="clear" w:color="auto" w:fill="auto"/>
            <w:noWrap/>
            <w:vAlign w:val="bottom"/>
            <w:hideMark/>
          </w:tcPr>
          <w:p w14:paraId="62C6FE2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The University of Auckland</w:t>
            </w:r>
          </w:p>
        </w:tc>
        <w:tc>
          <w:tcPr>
            <w:tcW w:w="909" w:type="dxa"/>
            <w:tcBorders>
              <w:top w:val="nil"/>
              <w:left w:val="nil"/>
              <w:bottom w:val="single" w:sz="4" w:space="0" w:color="auto"/>
              <w:right w:val="single" w:sz="4" w:space="0" w:color="auto"/>
            </w:tcBorders>
            <w:shd w:val="clear" w:color="auto" w:fill="auto"/>
            <w:noWrap/>
            <w:vAlign w:val="bottom"/>
            <w:hideMark/>
          </w:tcPr>
          <w:p w14:paraId="0710948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837</w:t>
            </w:r>
          </w:p>
        </w:tc>
        <w:tc>
          <w:tcPr>
            <w:tcW w:w="909" w:type="dxa"/>
            <w:tcBorders>
              <w:top w:val="nil"/>
              <w:left w:val="nil"/>
              <w:bottom w:val="single" w:sz="4" w:space="0" w:color="auto"/>
              <w:right w:val="single" w:sz="4" w:space="0" w:color="auto"/>
            </w:tcBorders>
            <w:shd w:val="clear" w:color="auto" w:fill="auto"/>
            <w:noWrap/>
            <w:vAlign w:val="bottom"/>
            <w:hideMark/>
          </w:tcPr>
          <w:p w14:paraId="221DE22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F7971A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109965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87</w:t>
            </w:r>
          </w:p>
        </w:tc>
        <w:tc>
          <w:tcPr>
            <w:tcW w:w="909" w:type="dxa"/>
            <w:tcBorders>
              <w:top w:val="nil"/>
              <w:left w:val="nil"/>
              <w:bottom w:val="single" w:sz="4" w:space="0" w:color="auto"/>
              <w:right w:val="single" w:sz="4" w:space="0" w:color="auto"/>
            </w:tcBorders>
            <w:shd w:val="clear" w:color="auto" w:fill="auto"/>
            <w:noWrap/>
            <w:vAlign w:val="bottom"/>
            <w:hideMark/>
          </w:tcPr>
          <w:p w14:paraId="07DA5C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312C104"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B62135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153</w:t>
            </w:r>
          </w:p>
        </w:tc>
        <w:tc>
          <w:tcPr>
            <w:tcW w:w="3634" w:type="dxa"/>
            <w:tcBorders>
              <w:top w:val="nil"/>
              <w:left w:val="nil"/>
              <w:bottom w:val="single" w:sz="4" w:space="0" w:color="auto"/>
              <w:right w:val="single" w:sz="4" w:space="0" w:color="auto"/>
            </w:tcBorders>
            <w:shd w:val="clear" w:color="auto" w:fill="auto"/>
            <w:noWrap/>
            <w:vAlign w:val="bottom"/>
            <w:hideMark/>
          </w:tcPr>
          <w:p w14:paraId="1C8C19B1"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KTH Royal Institute of Technology</w:t>
            </w:r>
          </w:p>
        </w:tc>
        <w:tc>
          <w:tcPr>
            <w:tcW w:w="909" w:type="dxa"/>
            <w:tcBorders>
              <w:top w:val="nil"/>
              <w:left w:val="nil"/>
              <w:bottom w:val="single" w:sz="4" w:space="0" w:color="auto"/>
              <w:right w:val="single" w:sz="4" w:space="0" w:color="auto"/>
            </w:tcBorders>
            <w:shd w:val="clear" w:color="auto" w:fill="auto"/>
            <w:noWrap/>
            <w:vAlign w:val="bottom"/>
            <w:hideMark/>
          </w:tcPr>
          <w:p w14:paraId="45C25A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839</w:t>
            </w:r>
          </w:p>
        </w:tc>
        <w:tc>
          <w:tcPr>
            <w:tcW w:w="909" w:type="dxa"/>
            <w:tcBorders>
              <w:top w:val="nil"/>
              <w:left w:val="nil"/>
              <w:bottom w:val="single" w:sz="4" w:space="0" w:color="auto"/>
              <w:right w:val="single" w:sz="4" w:space="0" w:color="auto"/>
            </w:tcBorders>
            <w:shd w:val="clear" w:color="auto" w:fill="auto"/>
            <w:noWrap/>
            <w:vAlign w:val="bottom"/>
            <w:hideMark/>
          </w:tcPr>
          <w:p w14:paraId="4C09E6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2D5318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7D8DC4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89</w:t>
            </w:r>
          </w:p>
        </w:tc>
        <w:tc>
          <w:tcPr>
            <w:tcW w:w="909" w:type="dxa"/>
            <w:tcBorders>
              <w:top w:val="nil"/>
              <w:left w:val="nil"/>
              <w:bottom w:val="single" w:sz="4" w:space="0" w:color="auto"/>
              <w:right w:val="single" w:sz="4" w:space="0" w:color="auto"/>
            </w:tcBorders>
            <w:shd w:val="clear" w:color="auto" w:fill="auto"/>
            <w:noWrap/>
            <w:vAlign w:val="bottom"/>
            <w:hideMark/>
          </w:tcPr>
          <w:p w14:paraId="1588904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163B61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183812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lastRenderedPageBreak/>
              <w:t>154</w:t>
            </w:r>
          </w:p>
        </w:tc>
        <w:tc>
          <w:tcPr>
            <w:tcW w:w="3634" w:type="dxa"/>
            <w:tcBorders>
              <w:top w:val="nil"/>
              <w:left w:val="nil"/>
              <w:bottom w:val="single" w:sz="4" w:space="0" w:color="auto"/>
              <w:right w:val="single" w:sz="4" w:space="0" w:color="auto"/>
            </w:tcBorders>
            <w:shd w:val="clear" w:color="auto" w:fill="auto"/>
            <w:noWrap/>
            <w:vAlign w:val="bottom"/>
            <w:hideMark/>
          </w:tcPr>
          <w:p w14:paraId="5CFEB90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Uppsala University</w:t>
            </w:r>
          </w:p>
        </w:tc>
        <w:tc>
          <w:tcPr>
            <w:tcW w:w="909" w:type="dxa"/>
            <w:tcBorders>
              <w:top w:val="nil"/>
              <w:left w:val="nil"/>
              <w:bottom w:val="single" w:sz="4" w:space="0" w:color="auto"/>
              <w:right w:val="single" w:sz="4" w:space="0" w:color="auto"/>
            </w:tcBorders>
            <w:shd w:val="clear" w:color="auto" w:fill="auto"/>
            <w:noWrap/>
            <w:vAlign w:val="bottom"/>
            <w:hideMark/>
          </w:tcPr>
          <w:p w14:paraId="330DA8D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839</w:t>
            </w:r>
          </w:p>
        </w:tc>
        <w:tc>
          <w:tcPr>
            <w:tcW w:w="909" w:type="dxa"/>
            <w:tcBorders>
              <w:top w:val="nil"/>
              <w:left w:val="nil"/>
              <w:bottom w:val="single" w:sz="4" w:space="0" w:color="auto"/>
              <w:right w:val="single" w:sz="4" w:space="0" w:color="auto"/>
            </w:tcBorders>
            <w:shd w:val="clear" w:color="auto" w:fill="auto"/>
            <w:noWrap/>
            <w:vAlign w:val="bottom"/>
            <w:hideMark/>
          </w:tcPr>
          <w:p w14:paraId="2E135C1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7C1586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89</w:t>
            </w:r>
          </w:p>
        </w:tc>
        <w:tc>
          <w:tcPr>
            <w:tcW w:w="909" w:type="dxa"/>
            <w:tcBorders>
              <w:top w:val="nil"/>
              <w:left w:val="nil"/>
              <w:bottom w:val="single" w:sz="4" w:space="0" w:color="auto"/>
              <w:right w:val="single" w:sz="4" w:space="0" w:color="auto"/>
            </w:tcBorders>
            <w:shd w:val="clear" w:color="auto" w:fill="auto"/>
            <w:noWrap/>
            <w:vAlign w:val="bottom"/>
            <w:hideMark/>
          </w:tcPr>
          <w:p w14:paraId="0F68D35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380705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1B1A8F8"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94D786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155</w:t>
            </w:r>
          </w:p>
        </w:tc>
        <w:tc>
          <w:tcPr>
            <w:tcW w:w="3634" w:type="dxa"/>
            <w:tcBorders>
              <w:top w:val="nil"/>
              <w:left w:val="nil"/>
              <w:bottom w:val="single" w:sz="4" w:space="0" w:color="auto"/>
              <w:right w:val="single" w:sz="4" w:space="0" w:color="auto"/>
            </w:tcBorders>
            <w:shd w:val="clear" w:color="auto" w:fill="auto"/>
            <w:noWrap/>
            <w:vAlign w:val="bottom"/>
            <w:hideMark/>
          </w:tcPr>
          <w:p w14:paraId="0C11F94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Stockholm</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28946F5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840</w:t>
            </w:r>
          </w:p>
        </w:tc>
        <w:tc>
          <w:tcPr>
            <w:tcW w:w="909" w:type="dxa"/>
            <w:tcBorders>
              <w:top w:val="nil"/>
              <w:left w:val="nil"/>
              <w:bottom w:val="single" w:sz="4" w:space="0" w:color="auto"/>
              <w:right w:val="single" w:sz="4" w:space="0" w:color="auto"/>
            </w:tcBorders>
            <w:shd w:val="clear" w:color="auto" w:fill="auto"/>
            <w:noWrap/>
            <w:vAlign w:val="bottom"/>
            <w:hideMark/>
          </w:tcPr>
          <w:p w14:paraId="6180E5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8E1F7A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90</w:t>
            </w:r>
          </w:p>
        </w:tc>
        <w:tc>
          <w:tcPr>
            <w:tcW w:w="909" w:type="dxa"/>
            <w:tcBorders>
              <w:top w:val="nil"/>
              <w:left w:val="nil"/>
              <w:bottom w:val="single" w:sz="4" w:space="0" w:color="auto"/>
              <w:right w:val="single" w:sz="4" w:space="0" w:color="auto"/>
            </w:tcBorders>
            <w:shd w:val="clear" w:color="auto" w:fill="auto"/>
            <w:noWrap/>
            <w:vAlign w:val="bottom"/>
            <w:hideMark/>
          </w:tcPr>
          <w:p w14:paraId="7FE5A58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80BA47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44A32B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7AC2B5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156</w:t>
            </w:r>
          </w:p>
        </w:tc>
        <w:tc>
          <w:tcPr>
            <w:tcW w:w="3634" w:type="dxa"/>
            <w:tcBorders>
              <w:top w:val="nil"/>
              <w:left w:val="nil"/>
              <w:bottom w:val="single" w:sz="4" w:space="0" w:color="auto"/>
              <w:right w:val="single" w:sz="4" w:space="0" w:color="auto"/>
            </w:tcBorders>
            <w:shd w:val="clear" w:color="auto" w:fill="auto"/>
            <w:noWrap/>
            <w:vAlign w:val="bottom"/>
            <w:hideMark/>
          </w:tcPr>
          <w:p w14:paraId="23070B50"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Free</w:t>
            </w:r>
            <w:proofErr w:type="spellEnd"/>
            <w:r w:rsidRPr="00622247">
              <w:rPr>
                <w:rFonts w:eastAsia="Times New Roman" w:cs="Arial"/>
                <w:color w:val="000000"/>
                <w:sz w:val="18"/>
                <w:szCs w:val="18"/>
                <w:lang w:eastAsia="pl-PL"/>
              </w:rPr>
              <w:t xml:space="preserve"> University of Berlin</w:t>
            </w:r>
          </w:p>
        </w:tc>
        <w:tc>
          <w:tcPr>
            <w:tcW w:w="909" w:type="dxa"/>
            <w:tcBorders>
              <w:top w:val="nil"/>
              <w:left w:val="nil"/>
              <w:bottom w:val="single" w:sz="4" w:space="0" w:color="auto"/>
              <w:right w:val="single" w:sz="4" w:space="0" w:color="auto"/>
            </w:tcBorders>
            <w:shd w:val="clear" w:color="auto" w:fill="auto"/>
            <w:noWrap/>
            <w:vAlign w:val="bottom"/>
            <w:hideMark/>
          </w:tcPr>
          <w:p w14:paraId="6049AEC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841</w:t>
            </w:r>
          </w:p>
        </w:tc>
        <w:tc>
          <w:tcPr>
            <w:tcW w:w="909" w:type="dxa"/>
            <w:tcBorders>
              <w:top w:val="nil"/>
              <w:left w:val="nil"/>
              <w:bottom w:val="single" w:sz="4" w:space="0" w:color="auto"/>
              <w:right w:val="single" w:sz="4" w:space="0" w:color="auto"/>
            </w:tcBorders>
            <w:shd w:val="clear" w:color="auto" w:fill="auto"/>
            <w:noWrap/>
            <w:vAlign w:val="bottom"/>
            <w:hideMark/>
          </w:tcPr>
          <w:p w14:paraId="05C3541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c>
          <w:tcPr>
            <w:tcW w:w="909" w:type="dxa"/>
            <w:tcBorders>
              <w:top w:val="nil"/>
              <w:left w:val="nil"/>
              <w:bottom w:val="single" w:sz="4" w:space="0" w:color="auto"/>
              <w:right w:val="single" w:sz="4" w:space="0" w:color="auto"/>
            </w:tcBorders>
            <w:shd w:val="clear" w:color="auto" w:fill="auto"/>
            <w:noWrap/>
            <w:vAlign w:val="bottom"/>
            <w:hideMark/>
          </w:tcPr>
          <w:p w14:paraId="317E1F5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E84574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614BA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909811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D87CB2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157</w:t>
            </w:r>
          </w:p>
        </w:tc>
        <w:tc>
          <w:tcPr>
            <w:tcW w:w="3634" w:type="dxa"/>
            <w:tcBorders>
              <w:top w:val="nil"/>
              <w:left w:val="nil"/>
              <w:bottom w:val="single" w:sz="4" w:space="0" w:color="auto"/>
              <w:right w:val="single" w:sz="4" w:space="0" w:color="auto"/>
            </w:tcBorders>
            <w:shd w:val="clear" w:color="auto" w:fill="auto"/>
            <w:noWrap/>
            <w:vAlign w:val="bottom"/>
            <w:hideMark/>
          </w:tcPr>
          <w:p w14:paraId="6D8A687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Birmingham</w:t>
            </w:r>
          </w:p>
        </w:tc>
        <w:tc>
          <w:tcPr>
            <w:tcW w:w="909" w:type="dxa"/>
            <w:tcBorders>
              <w:top w:val="nil"/>
              <w:left w:val="nil"/>
              <w:bottom w:val="single" w:sz="4" w:space="0" w:color="auto"/>
              <w:right w:val="single" w:sz="4" w:space="0" w:color="auto"/>
            </w:tcBorders>
            <w:shd w:val="clear" w:color="auto" w:fill="auto"/>
            <w:noWrap/>
            <w:vAlign w:val="bottom"/>
            <w:hideMark/>
          </w:tcPr>
          <w:p w14:paraId="71D7A0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841</w:t>
            </w:r>
          </w:p>
        </w:tc>
        <w:tc>
          <w:tcPr>
            <w:tcW w:w="909" w:type="dxa"/>
            <w:tcBorders>
              <w:top w:val="nil"/>
              <w:left w:val="nil"/>
              <w:bottom w:val="single" w:sz="4" w:space="0" w:color="auto"/>
              <w:right w:val="single" w:sz="4" w:space="0" w:color="auto"/>
            </w:tcBorders>
            <w:shd w:val="clear" w:color="auto" w:fill="auto"/>
            <w:noWrap/>
            <w:vAlign w:val="bottom"/>
            <w:hideMark/>
          </w:tcPr>
          <w:p w14:paraId="782AFE6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46DAE5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EC56CF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c>
          <w:tcPr>
            <w:tcW w:w="909" w:type="dxa"/>
            <w:tcBorders>
              <w:top w:val="nil"/>
              <w:left w:val="nil"/>
              <w:bottom w:val="single" w:sz="4" w:space="0" w:color="auto"/>
              <w:right w:val="single" w:sz="4" w:space="0" w:color="auto"/>
            </w:tcBorders>
            <w:shd w:val="clear" w:color="auto" w:fill="auto"/>
            <w:noWrap/>
            <w:vAlign w:val="bottom"/>
            <w:hideMark/>
          </w:tcPr>
          <w:p w14:paraId="16F1E5C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C8D683C"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CA9980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158</w:t>
            </w:r>
          </w:p>
        </w:tc>
        <w:tc>
          <w:tcPr>
            <w:tcW w:w="3634" w:type="dxa"/>
            <w:tcBorders>
              <w:top w:val="nil"/>
              <w:left w:val="nil"/>
              <w:bottom w:val="single" w:sz="4" w:space="0" w:color="auto"/>
              <w:right w:val="single" w:sz="4" w:space="0" w:color="auto"/>
            </w:tcBorders>
            <w:shd w:val="clear" w:color="auto" w:fill="auto"/>
            <w:noWrap/>
            <w:vAlign w:val="bottom"/>
            <w:hideMark/>
          </w:tcPr>
          <w:p w14:paraId="713B4F56"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Calgary</w:t>
            </w:r>
          </w:p>
        </w:tc>
        <w:tc>
          <w:tcPr>
            <w:tcW w:w="909" w:type="dxa"/>
            <w:tcBorders>
              <w:top w:val="nil"/>
              <w:left w:val="nil"/>
              <w:bottom w:val="single" w:sz="4" w:space="0" w:color="auto"/>
              <w:right w:val="single" w:sz="4" w:space="0" w:color="auto"/>
            </w:tcBorders>
            <w:shd w:val="clear" w:color="auto" w:fill="auto"/>
            <w:noWrap/>
            <w:vAlign w:val="bottom"/>
            <w:hideMark/>
          </w:tcPr>
          <w:p w14:paraId="0B5F98E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841</w:t>
            </w:r>
          </w:p>
        </w:tc>
        <w:tc>
          <w:tcPr>
            <w:tcW w:w="909" w:type="dxa"/>
            <w:tcBorders>
              <w:top w:val="nil"/>
              <w:left w:val="nil"/>
              <w:bottom w:val="single" w:sz="4" w:space="0" w:color="auto"/>
              <w:right w:val="single" w:sz="4" w:space="0" w:color="auto"/>
            </w:tcBorders>
            <w:shd w:val="clear" w:color="auto" w:fill="auto"/>
            <w:noWrap/>
            <w:vAlign w:val="bottom"/>
            <w:hideMark/>
          </w:tcPr>
          <w:p w14:paraId="6D7A40D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6157CC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16092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0E782A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91</w:t>
            </w:r>
          </w:p>
        </w:tc>
      </w:tr>
      <w:tr w:rsidR="00622247" w:rsidRPr="00E9332A" w14:paraId="48D161A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7E4CA7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159</w:t>
            </w:r>
          </w:p>
        </w:tc>
        <w:tc>
          <w:tcPr>
            <w:tcW w:w="3634" w:type="dxa"/>
            <w:tcBorders>
              <w:top w:val="nil"/>
              <w:left w:val="nil"/>
              <w:bottom w:val="single" w:sz="4" w:space="0" w:color="auto"/>
              <w:right w:val="single" w:sz="4" w:space="0" w:color="auto"/>
            </w:tcBorders>
            <w:shd w:val="clear" w:color="auto" w:fill="auto"/>
            <w:noWrap/>
            <w:vAlign w:val="bottom"/>
            <w:hideMark/>
          </w:tcPr>
          <w:p w14:paraId="7F3937FC"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Durham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125B42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842</w:t>
            </w:r>
          </w:p>
        </w:tc>
        <w:tc>
          <w:tcPr>
            <w:tcW w:w="909" w:type="dxa"/>
            <w:tcBorders>
              <w:top w:val="nil"/>
              <w:left w:val="nil"/>
              <w:bottom w:val="single" w:sz="4" w:space="0" w:color="auto"/>
              <w:right w:val="single" w:sz="4" w:space="0" w:color="auto"/>
            </w:tcBorders>
            <w:shd w:val="clear" w:color="auto" w:fill="auto"/>
            <w:noWrap/>
            <w:vAlign w:val="bottom"/>
            <w:hideMark/>
          </w:tcPr>
          <w:p w14:paraId="2E7E4FC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EC87EC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CB49C8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92</w:t>
            </w:r>
          </w:p>
        </w:tc>
        <w:tc>
          <w:tcPr>
            <w:tcW w:w="909" w:type="dxa"/>
            <w:tcBorders>
              <w:top w:val="nil"/>
              <w:left w:val="nil"/>
              <w:bottom w:val="single" w:sz="4" w:space="0" w:color="auto"/>
              <w:right w:val="single" w:sz="4" w:space="0" w:color="auto"/>
            </w:tcBorders>
            <w:shd w:val="clear" w:color="auto" w:fill="auto"/>
            <w:noWrap/>
            <w:vAlign w:val="bottom"/>
            <w:hideMark/>
          </w:tcPr>
          <w:p w14:paraId="27E64A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8B32A4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39D590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160</w:t>
            </w:r>
          </w:p>
        </w:tc>
        <w:tc>
          <w:tcPr>
            <w:tcW w:w="3634" w:type="dxa"/>
            <w:tcBorders>
              <w:top w:val="nil"/>
              <w:left w:val="nil"/>
              <w:bottom w:val="single" w:sz="4" w:space="0" w:color="auto"/>
              <w:right w:val="single" w:sz="4" w:space="0" w:color="auto"/>
            </w:tcBorders>
            <w:shd w:val="clear" w:color="auto" w:fill="auto"/>
            <w:noWrap/>
            <w:vAlign w:val="bottom"/>
            <w:hideMark/>
          </w:tcPr>
          <w:p w14:paraId="666D554E"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University of Bern</w:t>
            </w:r>
          </w:p>
        </w:tc>
        <w:tc>
          <w:tcPr>
            <w:tcW w:w="909" w:type="dxa"/>
            <w:tcBorders>
              <w:top w:val="nil"/>
              <w:left w:val="nil"/>
              <w:bottom w:val="single" w:sz="4" w:space="0" w:color="auto"/>
              <w:right w:val="single" w:sz="4" w:space="0" w:color="auto"/>
            </w:tcBorders>
            <w:shd w:val="clear" w:color="auto" w:fill="auto"/>
            <w:noWrap/>
            <w:vAlign w:val="bottom"/>
            <w:hideMark/>
          </w:tcPr>
          <w:p w14:paraId="0B6E838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844</w:t>
            </w:r>
          </w:p>
        </w:tc>
        <w:tc>
          <w:tcPr>
            <w:tcW w:w="909" w:type="dxa"/>
            <w:tcBorders>
              <w:top w:val="nil"/>
              <w:left w:val="nil"/>
              <w:bottom w:val="single" w:sz="4" w:space="0" w:color="auto"/>
              <w:right w:val="single" w:sz="4" w:space="0" w:color="auto"/>
            </w:tcBorders>
            <w:shd w:val="clear" w:color="auto" w:fill="auto"/>
            <w:noWrap/>
            <w:vAlign w:val="bottom"/>
            <w:hideMark/>
          </w:tcPr>
          <w:p w14:paraId="29B8A4F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94</w:t>
            </w:r>
          </w:p>
        </w:tc>
        <w:tc>
          <w:tcPr>
            <w:tcW w:w="909" w:type="dxa"/>
            <w:tcBorders>
              <w:top w:val="nil"/>
              <w:left w:val="nil"/>
              <w:bottom w:val="single" w:sz="4" w:space="0" w:color="auto"/>
              <w:right w:val="single" w:sz="4" w:space="0" w:color="auto"/>
            </w:tcBorders>
            <w:shd w:val="clear" w:color="auto" w:fill="auto"/>
            <w:noWrap/>
            <w:vAlign w:val="bottom"/>
            <w:hideMark/>
          </w:tcPr>
          <w:p w14:paraId="2B9E5A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5094D6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0EA545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AF9E4A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C6901D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161</w:t>
            </w:r>
          </w:p>
        </w:tc>
        <w:tc>
          <w:tcPr>
            <w:tcW w:w="3634" w:type="dxa"/>
            <w:tcBorders>
              <w:top w:val="nil"/>
              <w:left w:val="nil"/>
              <w:bottom w:val="single" w:sz="4" w:space="0" w:color="auto"/>
              <w:right w:val="single" w:sz="4" w:space="0" w:color="auto"/>
            </w:tcBorders>
            <w:shd w:val="clear" w:color="auto" w:fill="auto"/>
            <w:noWrap/>
            <w:vAlign w:val="bottom"/>
            <w:hideMark/>
          </w:tcPr>
          <w:p w14:paraId="73786E9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Lund University</w:t>
            </w:r>
          </w:p>
        </w:tc>
        <w:tc>
          <w:tcPr>
            <w:tcW w:w="909" w:type="dxa"/>
            <w:tcBorders>
              <w:top w:val="nil"/>
              <w:left w:val="nil"/>
              <w:bottom w:val="single" w:sz="4" w:space="0" w:color="auto"/>
              <w:right w:val="single" w:sz="4" w:space="0" w:color="auto"/>
            </w:tcBorders>
            <w:shd w:val="clear" w:color="auto" w:fill="auto"/>
            <w:noWrap/>
            <w:vAlign w:val="bottom"/>
            <w:hideMark/>
          </w:tcPr>
          <w:p w14:paraId="6E36AC3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845</w:t>
            </w:r>
          </w:p>
        </w:tc>
        <w:tc>
          <w:tcPr>
            <w:tcW w:w="909" w:type="dxa"/>
            <w:tcBorders>
              <w:top w:val="nil"/>
              <w:left w:val="nil"/>
              <w:bottom w:val="single" w:sz="4" w:space="0" w:color="auto"/>
              <w:right w:val="single" w:sz="4" w:space="0" w:color="auto"/>
            </w:tcBorders>
            <w:shd w:val="clear" w:color="auto" w:fill="auto"/>
            <w:noWrap/>
            <w:vAlign w:val="bottom"/>
            <w:hideMark/>
          </w:tcPr>
          <w:p w14:paraId="427A418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72FC54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EAF553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1763CE9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72F00265"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FC6AEE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162</w:t>
            </w:r>
          </w:p>
        </w:tc>
        <w:tc>
          <w:tcPr>
            <w:tcW w:w="3634" w:type="dxa"/>
            <w:tcBorders>
              <w:top w:val="nil"/>
              <w:left w:val="nil"/>
              <w:bottom w:val="single" w:sz="4" w:space="0" w:color="auto"/>
              <w:right w:val="single" w:sz="4" w:space="0" w:color="auto"/>
            </w:tcBorders>
            <w:shd w:val="clear" w:color="auto" w:fill="auto"/>
            <w:noWrap/>
            <w:vAlign w:val="bottom"/>
            <w:hideMark/>
          </w:tcPr>
          <w:p w14:paraId="543140C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Nanjing</w:t>
            </w:r>
            <w:proofErr w:type="spellEnd"/>
            <w:r w:rsidRPr="00622247">
              <w:rPr>
                <w:rFonts w:eastAsia="Times New Roman" w:cs="Arial"/>
                <w:color w:val="000000"/>
                <w:sz w:val="18"/>
                <w:szCs w:val="18"/>
                <w:lang w:eastAsia="pl-PL"/>
              </w:rPr>
              <w:t xml:space="preserv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008E7F6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845</w:t>
            </w:r>
          </w:p>
        </w:tc>
        <w:tc>
          <w:tcPr>
            <w:tcW w:w="909" w:type="dxa"/>
            <w:tcBorders>
              <w:top w:val="nil"/>
              <w:left w:val="nil"/>
              <w:bottom w:val="single" w:sz="4" w:space="0" w:color="auto"/>
              <w:right w:val="single" w:sz="4" w:space="0" w:color="auto"/>
            </w:tcBorders>
            <w:shd w:val="clear" w:color="auto" w:fill="auto"/>
            <w:noWrap/>
            <w:vAlign w:val="bottom"/>
            <w:hideMark/>
          </w:tcPr>
          <w:p w14:paraId="75BAC1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95</w:t>
            </w:r>
          </w:p>
        </w:tc>
        <w:tc>
          <w:tcPr>
            <w:tcW w:w="909" w:type="dxa"/>
            <w:tcBorders>
              <w:top w:val="nil"/>
              <w:left w:val="nil"/>
              <w:bottom w:val="single" w:sz="4" w:space="0" w:color="auto"/>
              <w:right w:val="single" w:sz="4" w:space="0" w:color="auto"/>
            </w:tcBorders>
            <w:shd w:val="clear" w:color="auto" w:fill="auto"/>
            <w:noWrap/>
            <w:vAlign w:val="bottom"/>
            <w:hideMark/>
          </w:tcPr>
          <w:p w14:paraId="18A4DE3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7EDDD9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B5ABC2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3EBC935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C98D6A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163</w:t>
            </w:r>
          </w:p>
        </w:tc>
        <w:tc>
          <w:tcPr>
            <w:tcW w:w="3634" w:type="dxa"/>
            <w:tcBorders>
              <w:top w:val="nil"/>
              <w:left w:val="nil"/>
              <w:bottom w:val="single" w:sz="4" w:space="0" w:color="auto"/>
              <w:right w:val="single" w:sz="4" w:space="0" w:color="auto"/>
            </w:tcBorders>
            <w:shd w:val="clear" w:color="auto" w:fill="auto"/>
            <w:noWrap/>
            <w:vAlign w:val="bottom"/>
            <w:hideMark/>
          </w:tcPr>
          <w:p w14:paraId="0E70799A"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The University of Sheffield</w:t>
            </w:r>
          </w:p>
        </w:tc>
        <w:tc>
          <w:tcPr>
            <w:tcW w:w="909" w:type="dxa"/>
            <w:tcBorders>
              <w:top w:val="nil"/>
              <w:left w:val="nil"/>
              <w:bottom w:val="single" w:sz="4" w:space="0" w:color="auto"/>
              <w:right w:val="single" w:sz="4" w:space="0" w:color="auto"/>
            </w:tcBorders>
            <w:shd w:val="clear" w:color="auto" w:fill="auto"/>
            <w:noWrap/>
            <w:vAlign w:val="bottom"/>
            <w:hideMark/>
          </w:tcPr>
          <w:p w14:paraId="0BF5B8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846</w:t>
            </w:r>
          </w:p>
        </w:tc>
        <w:tc>
          <w:tcPr>
            <w:tcW w:w="909" w:type="dxa"/>
            <w:tcBorders>
              <w:top w:val="nil"/>
              <w:left w:val="nil"/>
              <w:bottom w:val="single" w:sz="4" w:space="0" w:color="auto"/>
              <w:right w:val="single" w:sz="4" w:space="0" w:color="auto"/>
            </w:tcBorders>
            <w:shd w:val="clear" w:color="auto" w:fill="auto"/>
            <w:noWrap/>
            <w:vAlign w:val="bottom"/>
            <w:hideMark/>
          </w:tcPr>
          <w:p w14:paraId="6CC0531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9415EEC"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4BE3400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c>
          <w:tcPr>
            <w:tcW w:w="909" w:type="dxa"/>
            <w:tcBorders>
              <w:top w:val="nil"/>
              <w:left w:val="nil"/>
              <w:bottom w:val="single" w:sz="4" w:space="0" w:color="auto"/>
              <w:right w:val="single" w:sz="4" w:space="0" w:color="auto"/>
            </w:tcBorders>
            <w:shd w:val="clear" w:color="auto" w:fill="auto"/>
            <w:noWrap/>
            <w:vAlign w:val="bottom"/>
            <w:hideMark/>
          </w:tcPr>
          <w:p w14:paraId="681D150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1DF838B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6E77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164</w:t>
            </w:r>
          </w:p>
        </w:tc>
        <w:tc>
          <w:tcPr>
            <w:tcW w:w="3634" w:type="dxa"/>
            <w:tcBorders>
              <w:top w:val="nil"/>
              <w:left w:val="nil"/>
              <w:bottom w:val="single" w:sz="4" w:space="0" w:color="auto"/>
              <w:right w:val="single" w:sz="4" w:space="0" w:color="auto"/>
            </w:tcBorders>
            <w:shd w:val="clear" w:color="auto" w:fill="auto"/>
            <w:noWrap/>
            <w:vAlign w:val="bottom"/>
            <w:hideMark/>
          </w:tcPr>
          <w:p w14:paraId="1FEE6154"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Huazhong University of Science and Technology</w:t>
            </w:r>
          </w:p>
        </w:tc>
        <w:tc>
          <w:tcPr>
            <w:tcW w:w="909" w:type="dxa"/>
            <w:tcBorders>
              <w:top w:val="nil"/>
              <w:left w:val="nil"/>
              <w:bottom w:val="single" w:sz="4" w:space="0" w:color="auto"/>
              <w:right w:val="single" w:sz="4" w:space="0" w:color="auto"/>
            </w:tcBorders>
            <w:shd w:val="clear" w:color="auto" w:fill="auto"/>
            <w:noWrap/>
            <w:vAlign w:val="bottom"/>
            <w:hideMark/>
          </w:tcPr>
          <w:p w14:paraId="171890F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846</w:t>
            </w:r>
          </w:p>
        </w:tc>
        <w:tc>
          <w:tcPr>
            <w:tcW w:w="909" w:type="dxa"/>
            <w:tcBorders>
              <w:top w:val="nil"/>
              <w:left w:val="nil"/>
              <w:bottom w:val="single" w:sz="4" w:space="0" w:color="auto"/>
              <w:right w:val="single" w:sz="4" w:space="0" w:color="auto"/>
            </w:tcBorders>
            <w:shd w:val="clear" w:color="auto" w:fill="auto"/>
            <w:noWrap/>
            <w:vAlign w:val="bottom"/>
            <w:hideMark/>
          </w:tcPr>
          <w:p w14:paraId="247DDEB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BD713C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c>
          <w:tcPr>
            <w:tcW w:w="909" w:type="dxa"/>
            <w:tcBorders>
              <w:top w:val="nil"/>
              <w:left w:val="nil"/>
              <w:bottom w:val="single" w:sz="4" w:space="0" w:color="auto"/>
              <w:right w:val="single" w:sz="4" w:space="0" w:color="auto"/>
            </w:tcBorders>
            <w:shd w:val="clear" w:color="auto" w:fill="auto"/>
            <w:noWrap/>
            <w:vAlign w:val="bottom"/>
            <w:hideMark/>
          </w:tcPr>
          <w:p w14:paraId="551DF98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9FA9A2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61D4FFAF"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6A46BAB"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165</w:t>
            </w:r>
          </w:p>
        </w:tc>
        <w:tc>
          <w:tcPr>
            <w:tcW w:w="3634" w:type="dxa"/>
            <w:tcBorders>
              <w:top w:val="nil"/>
              <w:left w:val="nil"/>
              <w:bottom w:val="single" w:sz="4" w:space="0" w:color="auto"/>
              <w:right w:val="single" w:sz="4" w:space="0" w:color="auto"/>
            </w:tcBorders>
            <w:shd w:val="clear" w:color="auto" w:fill="auto"/>
            <w:noWrap/>
            <w:vAlign w:val="bottom"/>
            <w:hideMark/>
          </w:tcPr>
          <w:p w14:paraId="7CC358E2"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w:t>
            </w:r>
            <w:proofErr w:type="spellStart"/>
            <w:r w:rsidRPr="00622247">
              <w:rPr>
                <w:rFonts w:eastAsia="Times New Roman" w:cs="Arial"/>
                <w:color w:val="000000"/>
                <w:sz w:val="18"/>
                <w:szCs w:val="18"/>
                <w:lang w:eastAsia="pl-PL"/>
              </w:rPr>
              <w:t>St</w:t>
            </w:r>
            <w:proofErr w:type="spellEnd"/>
            <w:r w:rsidRPr="00622247">
              <w:rPr>
                <w:rFonts w:eastAsia="Times New Roman" w:cs="Arial"/>
                <w:color w:val="000000"/>
                <w:sz w:val="18"/>
                <w:szCs w:val="18"/>
                <w:lang w:eastAsia="pl-PL"/>
              </w:rPr>
              <w:t xml:space="preserve"> Andrews</w:t>
            </w:r>
          </w:p>
        </w:tc>
        <w:tc>
          <w:tcPr>
            <w:tcW w:w="909" w:type="dxa"/>
            <w:tcBorders>
              <w:top w:val="nil"/>
              <w:left w:val="nil"/>
              <w:bottom w:val="single" w:sz="4" w:space="0" w:color="auto"/>
              <w:right w:val="single" w:sz="4" w:space="0" w:color="auto"/>
            </w:tcBorders>
            <w:shd w:val="clear" w:color="auto" w:fill="auto"/>
            <w:noWrap/>
            <w:vAlign w:val="bottom"/>
            <w:hideMark/>
          </w:tcPr>
          <w:p w14:paraId="6D35C72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846</w:t>
            </w:r>
          </w:p>
        </w:tc>
        <w:tc>
          <w:tcPr>
            <w:tcW w:w="909" w:type="dxa"/>
            <w:tcBorders>
              <w:top w:val="nil"/>
              <w:left w:val="nil"/>
              <w:bottom w:val="single" w:sz="4" w:space="0" w:color="auto"/>
              <w:right w:val="single" w:sz="4" w:space="0" w:color="auto"/>
            </w:tcBorders>
            <w:shd w:val="clear" w:color="auto" w:fill="auto"/>
            <w:noWrap/>
            <w:vAlign w:val="bottom"/>
            <w:hideMark/>
          </w:tcPr>
          <w:p w14:paraId="43269A3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AF6B82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26035B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96</w:t>
            </w:r>
          </w:p>
        </w:tc>
        <w:tc>
          <w:tcPr>
            <w:tcW w:w="909" w:type="dxa"/>
            <w:tcBorders>
              <w:top w:val="nil"/>
              <w:left w:val="nil"/>
              <w:bottom w:val="single" w:sz="4" w:space="0" w:color="auto"/>
              <w:right w:val="single" w:sz="4" w:space="0" w:color="auto"/>
            </w:tcBorders>
            <w:shd w:val="clear" w:color="auto" w:fill="auto"/>
            <w:noWrap/>
            <w:vAlign w:val="bottom"/>
            <w:hideMark/>
          </w:tcPr>
          <w:p w14:paraId="69EA6FE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02EBF8E2"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361D0F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166</w:t>
            </w:r>
          </w:p>
        </w:tc>
        <w:tc>
          <w:tcPr>
            <w:tcW w:w="3634" w:type="dxa"/>
            <w:tcBorders>
              <w:top w:val="nil"/>
              <w:left w:val="nil"/>
              <w:bottom w:val="single" w:sz="4" w:space="0" w:color="auto"/>
              <w:right w:val="single" w:sz="4" w:space="0" w:color="auto"/>
            </w:tcBorders>
            <w:shd w:val="clear" w:color="auto" w:fill="auto"/>
            <w:noWrap/>
            <w:vAlign w:val="bottom"/>
            <w:hideMark/>
          </w:tcPr>
          <w:p w14:paraId="1A996467"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Indiana University </w:t>
            </w:r>
            <w:proofErr w:type="spellStart"/>
            <w:r w:rsidRPr="00622247">
              <w:rPr>
                <w:rFonts w:eastAsia="Times New Roman" w:cs="Arial"/>
                <w:color w:val="000000"/>
                <w:sz w:val="18"/>
                <w:szCs w:val="18"/>
                <w:lang w:eastAsia="pl-PL"/>
              </w:rPr>
              <w:t>Bloomington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09AD756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848</w:t>
            </w:r>
          </w:p>
        </w:tc>
        <w:tc>
          <w:tcPr>
            <w:tcW w:w="909" w:type="dxa"/>
            <w:tcBorders>
              <w:top w:val="nil"/>
              <w:left w:val="nil"/>
              <w:bottom w:val="single" w:sz="4" w:space="0" w:color="auto"/>
              <w:right w:val="single" w:sz="4" w:space="0" w:color="auto"/>
            </w:tcBorders>
            <w:shd w:val="clear" w:color="auto" w:fill="auto"/>
            <w:noWrap/>
            <w:vAlign w:val="bottom"/>
            <w:hideMark/>
          </w:tcPr>
          <w:p w14:paraId="5E7D837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028B1D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43C320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1457AF4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98</w:t>
            </w:r>
          </w:p>
        </w:tc>
      </w:tr>
      <w:tr w:rsidR="00622247" w:rsidRPr="00E9332A" w14:paraId="0DBA274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1B7B18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167</w:t>
            </w:r>
          </w:p>
        </w:tc>
        <w:tc>
          <w:tcPr>
            <w:tcW w:w="3634" w:type="dxa"/>
            <w:tcBorders>
              <w:top w:val="nil"/>
              <w:left w:val="nil"/>
              <w:bottom w:val="single" w:sz="4" w:space="0" w:color="auto"/>
              <w:right w:val="single" w:sz="4" w:space="0" w:color="auto"/>
            </w:tcBorders>
            <w:shd w:val="clear" w:color="auto" w:fill="auto"/>
            <w:noWrap/>
            <w:vAlign w:val="bottom"/>
            <w:hideMark/>
          </w:tcPr>
          <w:p w14:paraId="6F2216BB" w14:textId="77777777" w:rsidR="00622247" w:rsidRPr="00622247" w:rsidRDefault="00622247" w:rsidP="00622247">
            <w:pPr>
              <w:spacing w:before="0" w:line="240" w:lineRule="auto"/>
              <w:ind w:firstLine="0"/>
              <w:jc w:val="left"/>
              <w:rPr>
                <w:rFonts w:eastAsia="Times New Roman" w:cs="Arial"/>
                <w:color w:val="000000"/>
                <w:sz w:val="18"/>
                <w:szCs w:val="18"/>
                <w:lang w:val="en-GB" w:eastAsia="pl-PL"/>
              </w:rPr>
            </w:pPr>
            <w:r w:rsidRPr="00622247">
              <w:rPr>
                <w:rFonts w:eastAsia="Times New Roman" w:cs="Arial"/>
                <w:color w:val="000000"/>
                <w:sz w:val="18"/>
                <w:szCs w:val="18"/>
                <w:lang w:val="en-GB" w:eastAsia="pl-PL"/>
              </w:rPr>
              <w:t>Trinity College Dublin, The University of Dublin</w:t>
            </w:r>
          </w:p>
        </w:tc>
        <w:tc>
          <w:tcPr>
            <w:tcW w:w="909" w:type="dxa"/>
            <w:tcBorders>
              <w:top w:val="nil"/>
              <w:left w:val="nil"/>
              <w:bottom w:val="single" w:sz="4" w:space="0" w:color="auto"/>
              <w:right w:val="single" w:sz="4" w:space="0" w:color="auto"/>
            </w:tcBorders>
            <w:shd w:val="clear" w:color="auto" w:fill="auto"/>
            <w:noWrap/>
            <w:vAlign w:val="bottom"/>
            <w:hideMark/>
          </w:tcPr>
          <w:p w14:paraId="09CEE57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848</w:t>
            </w:r>
          </w:p>
        </w:tc>
        <w:tc>
          <w:tcPr>
            <w:tcW w:w="909" w:type="dxa"/>
            <w:tcBorders>
              <w:top w:val="nil"/>
              <w:left w:val="nil"/>
              <w:bottom w:val="single" w:sz="4" w:space="0" w:color="auto"/>
              <w:right w:val="single" w:sz="4" w:space="0" w:color="auto"/>
            </w:tcBorders>
            <w:shd w:val="clear" w:color="auto" w:fill="auto"/>
            <w:noWrap/>
            <w:vAlign w:val="bottom"/>
            <w:hideMark/>
          </w:tcPr>
          <w:p w14:paraId="6146D96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61035D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6ED592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98</w:t>
            </w:r>
          </w:p>
        </w:tc>
        <w:tc>
          <w:tcPr>
            <w:tcW w:w="909" w:type="dxa"/>
            <w:tcBorders>
              <w:top w:val="nil"/>
              <w:left w:val="nil"/>
              <w:bottom w:val="single" w:sz="4" w:space="0" w:color="auto"/>
              <w:right w:val="single" w:sz="4" w:space="0" w:color="auto"/>
            </w:tcBorders>
            <w:shd w:val="clear" w:color="auto" w:fill="auto"/>
            <w:noWrap/>
            <w:vAlign w:val="bottom"/>
            <w:hideMark/>
          </w:tcPr>
          <w:p w14:paraId="3A814ED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27F767D6"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981D032"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168</w:t>
            </w:r>
          </w:p>
        </w:tc>
        <w:tc>
          <w:tcPr>
            <w:tcW w:w="3634" w:type="dxa"/>
            <w:tcBorders>
              <w:top w:val="nil"/>
              <w:left w:val="nil"/>
              <w:bottom w:val="single" w:sz="4" w:space="0" w:color="auto"/>
              <w:right w:val="single" w:sz="4" w:space="0" w:color="auto"/>
            </w:tcBorders>
            <w:shd w:val="clear" w:color="auto" w:fill="auto"/>
            <w:noWrap/>
            <w:vAlign w:val="bottom"/>
            <w:hideMark/>
          </w:tcPr>
          <w:p w14:paraId="441CDC3D"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proofErr w:type="spellStart"/>
            <w:r w:rsidRPr="00622247">
              <w:rPr>
                <w:rFonts w:eastAsia="Times New Roman" w:cs="Arial"/>
                <w:color w:val="000000"/>
                <w:sz w:val="18"/>
                <w:szCs w:val="18"/>
                <w:lang w:eastAsia="pl-PL"/>
              </w:rPr>
              <w:t>Sungkyunkwan</w:t>
            </w:r>
            <w:proofErr w:type="spellEnd"/>
            <w:r w:rsidRPr="00622247">
              <w:rPr>
                <w:rFonts w:eastAsia="Times New Roman" w:cs="Arial"/>
                <w:color w:val="000000"/>
                <w:sz w:val="18"/>
                <w:szCs w:val="18"/>
                <w:lang w:eastAsia="pl-PL"/>
              </w:rPr>
              <w:t xml:space="preserve"> University (SKKU)</w:t>
            </w:r>
          </w:p>
        </w:tc>
        <w:tc>
          <w:tcPr>
            <w:tcW w:w="909" w:type="dxa"/>
            <w:tcBorders>
              <w:top w:val="nil"/>
              <w:left w:val="nil"/>
              <w:bottom w:val="single" w:sz="4" w:space="0" w:color="auto"/>
              <w:right w:val="single" w:sz="4" w:space="0" w:color="auto"/>
            </w:tcBorders>
            <w:shd w:val="clear" w:color="auto" w:fill="auto"/>
            <w:noWrap/>
            <w:vAlign w:val="bottom"/>
            <w:hideMark/>
          </w:tcPr>
          <w:p w14:paraId="2239F45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849</w:t>
            </w:r>
          </w:p>
        </w:tc>
        <w:tc>
          <w:tcPr>
            <w:tcW w:w="909" w:type="dxa"/>
            <w:tcBorders>
              <w:top w:val="nil"/>
              <w:left w:val="nil"/>
              <w:bottom w:val="single" w:sz="4" w:space="0" w:color="auto"/>
              <w:right w:val="single" w:sz="4" w:space="0" w:color="auto"/>
            </w:tcBorders>
            <w:shd w:val="clear" w:color="auto" w:fill="auto"/>
            <w:noWrap/>
            <w:vAlign w:val="bottom"/>
            <w:hideMark/>
          </w:tcPr>
          <w:p w14:paraId="245F81D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F045BC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65420994"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909" w:type="dxa"/>
            <w:tcBorders>
              <w:top w:val="nil"/>
              <w:left w:val="nil"/>
              <w:bottom w:val="single" w:sz="4" w:space="0" w:color="auto"/>
              <w:right w:val="single" w:sz="4" w:space="0" w:color="auto"/>
            </w:tcBorders>
            <w:shd w:val="clear" w:color="auto" w:fill="auto"/>
            <w:noWrap/>
            <w:vAlign w:val="bottom"/>
            <w:hideMark/>
          </w:tcPr>
          <w:p w14:paraId="317671C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E22F03D"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9574B5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169</w:t>
            </w:r>
          </w:p>
        </w:tc>
        <w:tc>
          <w:tcPr>
            <w:tcW w:w="3634" w:type="dxa"/>
            <w:tcBorders>
              <w:top w:val="nil"/>
              <w:left w:val="nil"/>
              <w:bottom w:val="single" w:sz="4" w:space="0" w:color="auto"/>
              <w:right w:val="single" w:sz="4" w:space="0" w:color="auto"/>
            </w:tcBorders>
            <w:shd w:val="clear" w:color="auto" w:fill="auto"/>
            <w:noWrap/>
            <w:vAlign w:val="bottom"/>
            <w:hideMark/>
          </w:tcPr>
          <w:p w14:paraId="04F23734"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RWTH Aachen University</w:t>
            </w:r>
          </w:p>
        </w:tc>
        <w:tc>
          <w:tcPr>
            <w:tcW w:w="909" w:type="dxa"/>
            <w:tcBorders>
              <w:top w:val="nil"/>
              <w:left w:val="nil"/>
              <w:bottom w:val="single" w:sz="4" w:space="0" w:color="auto"/>
              <w:right w:val="single" w:sz="4" w:space="0" w:color="auto"/>
            </w:tcBorders>
            <w:shd w:val="clear" w:color="auto" w:fill="auto"/>
            <w:noWrap/>
            <w:vAlign w:val="bottom"/>
            <w:hideMark/>
          </w:tcPr>
          <w:p w14:paraId="5B3C7D43"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849</w:t>
            </w:r>
          </w:p>
        </w:tc>
        <w:tc>
          <w:tcPr>
            <w:tcW w:w="909" w:type="dxa"/>
            <w:tcBorders>
              <w:top w:val="nil"/>
              <w:left w:val="nil"/>
              <w:bottom w:val="single" w:sz="4" w:space="0" w:color="auto"/>
              <w:right w:val="single" w:sz="4" w:space="0" w:color="auto"/>
            </w:tcBorders>
            <w:shd w:val="clear" w:color="auto" w:fill="auto"/>
            <w:noWrap/>
            <w:vAlign w:val="bottom"/>
            <w:hideMark/>
          </w:tcPr>
          <w:p w14:paraId="3A9E5619"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99</w:t>
            </w:r>
          </w:p>
        </w:tc>
        <w:tc>
          <w:tcPr>
            <w:tcW w:w="909" w:type="dxa"/>
            <w:tcBorders>
              <w:top w:val="nil"/>
              <w:left w:val="nil"/>
              <w:bottom w:val="single" w:sz="4" w:space="0" w:color="auto"/>
              <w:right w:val="single" w:sz="4" w:space="0" w:color="auto"/>
            </w:tcBorders>
            <w:shd w:val="clear" w:color="auto" w:fill="auto"/>
            <w:noWrap/>
            <w:vAlign w:val="bottom"/>
            <w:hideMark/>
          </w:tcPr>
          <w:p w14:paraId="6759BFF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92754FA"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4F3F5A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57A88719"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2D672A67"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170</w:t>
            </w:r>
          </w:p>
        </w:tc>
        <w:tc>
          <w:tcPr>
            <w:tcW w:w="3634" w:type="dxa"/>
            <w:tcBorders>
              <w:top w:val="nil"/>
              <w:left w:val="nil"/>
              <w:bottom w:val="single" w:sz="4" w:space="0" w:color="auto"/>
              <w:right w:val="single" w:sz="4" w:space="0" w:color="auto"/>
            </w:tcBorders>
            <w:shd w:val="clear" w:color="auto" w:fill="auto"/>
            <w:noWrap/>
            <w:vAlign w:val="bottom"/>
            <w:hideMark/>
          </w:tcPr>
          <w:p w14:paraId="69D28DE1"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Rice University</w:t>
            </w:r>
          </w:p>
        </w:tc>
        <w:tc>
          <w:tcPr>
            <w:tcW w:w="909" w:type="dxa"/>
            <w:tcBorders>
              <w:top w:val="nil"/>
              <w:left w:val="nil"/>
              <w:bottom w:val="single" w:sz="4" w:space="0" w:color="auto"/>
              <w:right w:val="single" w:sz="4" w:space="0" w:color="auto"/>
            </w:tcBorders>
            <w:shd w:val="clear" w:color="auto" w:fill="auto"/>
            <w:noWrap/>
            <w:vAlign w:val="bottom"/>
            <w:hideMark/>
          </w:tcPr>
          <w:p w14:paraId="4D99D01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850</w:t>
            </w:r>
          </w:p>
        </w:tc>
        <w:tc>
          <w:tcPr>
            <w:tcW w:w="909" w:type="dxa"/>
            <w:tcBorders>
              <w:top w:val="nil"/>
              <w:left w:val="nil"/>
              <w:bottom w:val="single" w:sz="4" w:space="0" w:color="auto"/>
              <w:right w:val="single" w:sz="4" w:space="0" w:color="auto"/>
            </w:tcBorders>
            <w:shd w:val="clear" w:color="auto" w:fill="auto"/>
            <w:noWrap/>
            <w:vAlign w:val="bottom"/>
            <w:hideMark/>
          </w:tcPr>
          <w:p w14:paraId="20D217DF"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6EA7AF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5C7CFF7E"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100</w:t>
            </w:r>
          </w:p>
        </w:tc>
        <w:tc>
          <w:tcPr>
            <w:tcW w:w="909" w:type="dxa"/>
            <w:tcBorders>
              <w:top w:val="nil"/>
              <w:left w:val="nil"/>
              <w:bottom w:val="single" w:sz="4" w:space="0" w:color="auto"/>
              <w:right w:val="single" w:sz="4" w:space="0" w:color="auto"/>
            </w:tcBorders>
            <w:shd w:val="clear" w:color="auto" w:fill="auto"/>
            <w:noWrap/>
            <w:vAlign w:val="bottom"/>
            <w:hideMark/>
          </w:tcPr>
          <w:p w14:paraId="42627ED5"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r>
      <w:tr w:rsidR="00622247" w:rsidRPr="00E9332A" w14:paraId="47D0B993" w14:textId="77777777" w:rsidTr="00D137C7">
        <w:trPr>
          <w:cantSplit/>
          <w:trHeight w:val="28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7539C2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171</w:t>
            </w:r>
          </w:p>
        </w:tc>
        <w:tc>
          <w:tcPr>
            <w:tcW w:w="3634" w:type="dxa"/>
            <w:tcBorders>
              <w:top w:val="nil"/>
              <w:left w:val="nil"/>
              <w:bottom w:val="single" w:sz="4" w:space="0" w:color="auto"/>
              <w:right w:val="single" w:sz="4" w:space="0" w:color="auto"/>
            </w:tcBorders>
            <w:shd w:val="clear" w:color="auto" w:fill="auto"/>
            <w:noWrap/>
            <w:vAlign w:val="bottom"/>
            <w:hideMark/>
          </w:tcPr>
          <w:p w14:paraId="5D9973DB" w14:textId="77777777" w:rsidR="00622247" w:rsidRPr="00622247" w:rsidRDefault="00622247" w:rsidP="00622247">
            <w:pPr>
              <w:spacing w:before="0" w:line="240" w:lineRule="auto"/>
              <w:ind w:firstLine="0"/>
              <w:jc w:val="left"/>
              <w:rPr>
                <w:rFonts w:eastAsia="Times New Roman" w:cs="Arial"/>
                <w:color w:val="000000"/>
                <w:sz w:val="18"/>
                <w:szCs w:val="18"/>
                <w:lang w:eastAsia="pl-PL"/>
              </w:rPr>
            </w:pPr>
            <w:r w:rsidRPr="00622247">
              <w:rPr>
                <w:rFonts w:eastAsia="Times New Roman" w:cs="Arial"/>
                <w:color w:val="000000"/>
                <w:sz w:val="18"/>
                <w:szCs w:val="18"/>
                <w:lang w:eastAsia="pl-PL"/>
              </w:rPr>
              <w:t xml:space="preserve">University of Massachusetts </w:t>
            </w:r>
            <w:proofErr w:type="spellStart"/>
            <w:r w:rsidRPr="00622247">
              <w:rPr>
                <w:rFonts w:eastAsia="Times New Roman" w:cs="Arial"/>
                <w:color w:val="000000"/>
                <w:sz w:val="18"/>
                <w:szCs w:val="18"/>
                <w:lang w:eastAsia="pl-PL"/>
              </w:rPr>
              <w:t>Amherst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2FE78B1"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850</w:t>
            </w:r>
          </w:p>
        </w:tc>
        <w:tc>
          <w:tcPr>
            <w:tcW w:w="909" w:type="dxa"/>
            <w:tcBorders>
              <w:top w:val="nil"/>
              <w:left w:val="nil"/>
              <w:bottom w:val="single" w:sz="4" w:space="0" w:color="auto"/>
              <w:right w:val="single" w:sz="4" w:space="0" w:color="auto"/>
            </w:tcBorders>
            <w:shd w:val="clear" w:color="auto" w:fill="auto"/>
            <w:noWrap/>
            <w:vAlign w:val="bottom"/>
            <w:hideMark/>
          </w:tcPr>
          <w:p w14:paraId="5768F9DD"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71466BC6"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35A178A0"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0</w:t>
            </w:r>
          </w:p>
        </w:tc>
        <w:tc>
          <w:tcPr>
            <w:tcW w:w="909" w:type="dxa"/>
            <w:tcBorders>
              <w:top w:val="nil"/>
              <w:left w:val="nil"/>
              <w:bottom w:val="single" w:sz="4" w:space="0" w:color="auto"/>
              <w:right w:val="single" w:sz="4" w:space="0" w:color="auto"/>
            </w:tcBorders>
            <w:shd w:val="clear" w:color="auto" w:fill="auto"/>
            <w:noWrap/>
            <w:vAlign w:val="bottom"/>
            <w:hideMark/>
          </w:tcPr>
          <w:p w14:paraId="0E9D68F8" w14:textId="77777777" w:rsidR="00622247" w:rsidRPr="00622247" w:rsidRDefault="00622247" w:rsidP="00622247">
            <w:pPr>
              <w:spacing w:before="0" w:line="240" w:lineRule="auto"/>
              <w:ind w:firstLine="0"/>
              <w:jc w:val="right"/>
              <w:rPr>
                <w:rFonts w:eastAsia="Times New Roman" w:cs="Arial"/>
                <w:color w:val="000000"/>
                <w:sz w:val="18"/>
                <w:szCs w:val="18"/>
                <w:lang w:eastAsia="pl-PL"/>
              </w:rPr>
            </w:pPr>
            <w:r w:rsidRPr="00622247">
              <w:rPr>
                <w:rFonts w:eastAsia="Times New Roman" w:cs="Arial"/>
                <w:color w:val="000000"/>
                <w:sz w:val="18"/>
                <w:szCs w:val="18"/>
                <w:lang w:eastAsia="pl-PL"/>
              </w:rPr>
              <w:t>100</w:t>
            </w:r>
          </w:p>
        </w:tc>
      </w:tr>
    </w:tbl>
    <w:p w14:paraId="6FA2260F" w14:textId="7CE8D97B" w:rsidR="00E9332A" w:rsidRPr="006E3958" w:rsidRDefault="009C6CF4" w:rsidP="007770AA">
      <w:pPr>
        <w:pStyle w:val="rdo"/>
      </w:pPr>
      <w:r w:rsidRPr="006E3958">
        <w:t>Źródło</w:t>
      </w:r>
      <w:r w:rsidR="00E9332A" w:rsidRPr="006E3958">
        <w:t xml:space="preserve">: opracowanie własne na podstawie wyników rankingów THE2023, ARWU2022, QS2023 i </w:t>
      </w:r>
      <w:proofErr w:type="spellStart"/>
      <w:r w:rsidR="00E9332A" w:rsidRPr="006E3958">
        <w:t>Webometrics</w:t>
      </w:r>
      <w:proofErr w:type="spellEnd"/>
      <w:r w:rsidR="00E9332A" w:rsidRPr="006E3958">
        <w:t xml:space="preserve"> 2023 H1 </w:t>
      </w:r>
      <w:r w:rsidR="00E9332A" w:rsidRPr="006E3958">
        <w:fldChar w:fldCharType="begin" w:fldLock="1"/>
      </w:r>
      <w:r w:rsidR="001A2624">
        <w:instrText>ADDIN CSL_CITATION {"citationItems":[{"id":"ITEM-1","itemData":{"URL":"https://www.timeshighereducation.com/world-university-rankings/2023/world-ranking","author":[{"dropping-particle":"","family":"Times Higher Education","given":"","non-dropping-particle":"","parse-names":false,"suffix":""}],"container-title":"THE WUR Ranking","id":"ITEM-1","issued":{"date-parts":[["2023"]]},"title":"THE World University Rankings 2023","type":"webpage"},"uris":["http://www.mendeley.com/documents/?uuid=ec1e4e87-4377-47e8-a0ba-d25ceb5e995c"]},{"id":"ITEM-2","itemData":{"URL":"https://www.topuniversities.com/university-rankings/world-university-rankings/2023","author":[{"dropping-particle":"","family":"QS Quacquarelli Symonds","given":"","non-dropping-particle":"","parse-names":false,"suffix":""}],"container-title":"QS WUR Ranking","id":"ITEM-2","issued":{"date-parts":[["2023"]]},"title":"QS World University Rankings 2023","type":"webpage"},"uris":["http://www.mendeley.com/documents/?uuid=7f087133-3dbc-4c9b-9a87-a4cc243dc755"]},{"id":"ITEM-3","itemData":{"URL":"http://www.shanghairanking.com/rankings/arwu/2022","author":[{"dropping-particle":"","family":"ARWU","given":"","non-dropping-particle":"","parse-names":false,"suffix":""}],"container-title":"Ranking Shanghai","id":"ITEM-3","issued":{"date-parts":[["2022"]]},"title":"ARWU World University Ranking 2022","type":"webpage"},"uris":["http://www.mendeley.com/documents/?uuid=ceeb7dbc-2b15-4d89-b386-92298c03cf9d"]},{"id":"ITEM-4","itemData":{"URL":"https://www.webometrics.info/en/world","author":[{"dropping-particle":"","family":"Cybermetrics Lab","given":"","non-dropping-particle":"","parse-names":false,"suffix":""}],"container-title":"Webometrics 2023 Jan Ranking","id":"ITEM-4","issued":{"date-parts":[["2023"]]},"title":"Ranking Web of Universities 2023","type":"webpage"},"uris":["http://www.mendeley.com/documents/?uuid=e4f67507-4d50-4f1d-9332-976d0928d21e"]}],"mendeley":{"formattedCitation":"(ARWU, 2022a; Cybermetrics Lab, 2023; QS Quacquarelli Symonds, 2023m; Times Higher Education, 2023)","plainTextFormattedCitation":"(ARWU, 2022a; Cybermetrics Lab, 2023; QS Quacquarelli Symonds, 2023m; Times Higher Education, 2023)","previouslyFormattedCitation":"(ARWU, 2022a; Cybermetrics Lab, 2023; QS Quacquarelli Symonds, 2023m; Times Higher Education, 2023)"},"properties":{"noteIndex":0},"schema":"https://github.com/citation-style-language/schema/raw/master/csl-citation.json"}</w:instrText>
      </w:r>
      <w:r w:rsidR="00E9332A" w:rsidRPr="006E3958">
        <w:fldChar w:fldCharType="separate"/>
      </w:r>
      <w:r w:rsidR="00921CC1" w:rsidRPr="00921CC1">
        <w:rPr>
          <w:noProof/>
        </w:rPr>
        <w:t>(ARWU, 2022a; Cybermetrics Lab, 2023; QS Quacquarelli Symonds, 2023m; Times Higher Education, 2023)</w:t>
      </w:r>
      <w:r w:rsidR="00E9332A" w:rsidRPr="006E3958">
        <w:fldChar w:fldCharType="end"/>
      </w:r>
    </w:p>
    <w:p w14:paraId="3B10DC67" w14:textId="77777777" w:rsidR="00BC6853" w:rsidRDefault="00BC6853">
      <w:pPr>
        <w:spacing w:before="0" w:line="240" w:lineRule="auto"/>
        <w:ind w:firstLine="0"/>
        <w:jc w:val="left"/>
        <w:rPr>
          <w:rFonts w:ascii="Times New Roman" w:hAnsi="Times New Roman"/>
          <w:b/>
          <w:bCs/>
          <w:color w:val="000000"/>
          <w:sz w:val="22"/>
        </w:rPr>
        <w:sectPr w:rsidR="00BC6853" w:rsidSect="00083014">
          <w:pgSz w:w="11906" w:h="16838"/>
          <w:pgMar w:top="1417" w:right="1417" w:bottom="1417" w:left="1417" w:header="708" w:footer="708" w:gutter="0"/>
          <w:cols w:space="708"/>
          <w:docGrid w:linePitch="360"/>
        </w:sectPr>
      </w:pPr>
    </w:p>
    <w:p w14:paraId="7E23C789" w14:textId="3C9DE047" w:rsidR="008B24F0" w:rsidRPr="00233788" w:rsidRDefault="008B24F0" w:rsidP="008B24F0">
      <w:pPr>
        <w:pStyle w:val="Nagwek1"/>
        <w:numPr>
          <w:ilvl w:val="0"/>
          <w:numId w:val="0"/>
        </w:numPr>
        <w:ind w:left="432"/>
      </w:pPr>
      <w:bookmarkStart w:id="158" w:name="_Toc157667033"/>
      <w:r w:rsidRPr="00233788">
        <w:lastRenderedPageBreak/>
        <w:t xml:space="preserve">Załącznik </w:t>
      </w:r>
      <w:r>
        <w:t>5</w:t>
      </w:r>
      <w:r w:rsidRPr="00233788">
        <w:t xml:space="preserve"> – </w:t>
      </w:r>
      <w:r>
        <w:t>Lista artykułów naukowych przyjętych do Analizy grup interesariuszy uczelni wyższych w badaniu SLR</w:t>
      </w:r>
      <w:bookmarkEnd w:id="158"/>
    </w:p>
    <w:tbl>
      <w:tblPr>
        <w:tblStyle w:val="Tabela-Siatka"/>
        <w:tblW w:w="5000" w:type="pct"/>
        <w:tblLook w:val="04A0" w:firstRow="1" w:lastRow="0" w:firstColumn="1" w:lastColumn="0" w:noHBand="0" w:noVBand="1"/>
      </w:tblPr>
      <w:tblGrid>
        <w:gridCol w:w="537"/>
        <w:gridCol w:w="1677"/>
        <w:gridCol w:w="3276"/>
        <w:gridCol w:w="3798"/>
      </w:tblGrid>
      <w:tr w:rsidR="00C4329A" w:rsidRPr="008C72E5" w14:paraId="538D4639" w14:textId="77777777" w:rsidTr="00C4329A">
        <w:trPr>
          <w:cantSplit/>
          <w:tblHeader/>
        </w:trPr>
        <w:tc>
          <w:tcPr>
            <w:tcW w:w="297" w:type="pct"/>
            <w:vAlign w:val="center"/>
          </w:tcPr>
          <w:p w14:paraId="42759AA7" w14:textId="48A6C914" w:rsidR="009F6AC8" w:rsidRPr="008C72E5" w:rsidRDefault="009F6AC8" w:rsidP="00B558B7">
            <w:pPr>
              <w:pStyle w:val="TekstTabeli"/>
            </w:pPr>
            <w:proofErr w:type="spellStart"/>
            <w:r w:rsidRPr="008C72E5">
              <w:t>L.p.</w:t>
            </w:r>
            <w:proofErr w:type="spellEnd"/>
          </w:p>
        </w:tc>
        <w:tc>
          <w:tcPr>
            <w:tcW w:w="880" w:type="pct"/>
            <w:vAlign w:val="center"/>
          </w:tcPr>
          <w:p w14:paraId="34BADD99" w14:textId="77777777" w:rsidR="009F6AC8" w:rsidRPr="008C72E5" w:rsidRDefault="009F6AC8" w:rsidP="00B558B7">
            <w:pPr>
              <w:pStyle w:val="TekstTabeli"/>
            </w:pPr>
            <w:proofErr w:type="spellStart"/>
            <w:r w:rsidRPr="008C72E5">
              <w:t>Autorzy</w:t>
            </w:r>
            <w:proofErr w:type="spellEnd"/>
          </w:p>
        </w:tc>
        <w:tc>
          <w:tcPr>
            <w:tcW w:w="1771" w:type="pct"/>
            <w:vAlign w:val="center"/>
          </w:tcPr>
          <w:p w14:paraId="7FD403C1" w14:textId="77777777" w:rsidR="009F6AC8" w:rsidRPr="008C72E5" w:rsidRDefault="009F6AC8" w:rsidP="00B558B7">
            <w:pPr>
              <w:pStyle w:val="TekstTabeli"/>
            </w:pPr>
            <w:proofErr w:type="spellStart"/>
            <w:r w:rsidRPr="008C72E5">
              <w:t>Tytuł</w:t>
            </w:r>
            <w:proofErr w:type="spellEnd"/>
          </w:p>
        </w:tc>
        <w:tc>
          <w:tcPr>
            <w:tcW w:w="2052" w:type="pct"/>
            <w:vAlign w:val="center"/>
          </w:tcPr>
          <w:p w14:paraId="03A106C4" w14:textId="77777777" w:rsidR="009F6AC8" w:rsidRPr="008C72E5" w:rsidRDefault="009F6AC8" w:rsidP="00B558B7">
            <w:pPr>
              <w:pStyle w:val="TekstTabeli"/>
            </w:pPr>
            <w:proofErr w:type="spellStart"/>
            <w:r w:rsidRPr="008C72E5">
              <w:t>Rok</w:t>
            </w:r>
            <w:proofErr w:type="spellEnd"/>
            <w:r w:rsidRPr="008C72E5">
              <w:t xml:space="preserve">, </w:t>
            </w:r>
            <w:proofErr w:type="spellStart"/>
            <w:r w:rsidRPr="008C72E5">
              <w:t>publikacja</w:t>
            </w:r>
            <w:proofErr w:type="spellEnd"/>
            <w:r w:rsidRPr="008C72E5">
              <w:t>, DOI</w:t>
            </w:r>
          </w:p>
        </w:tc>
      </w:tr>
      <w:tr w:rsidR="00C4329A" w:rsidRPr="004C10DC" w14:paraId="72BA5F0E" w14:textId="77777777" w:rsidTr="00C4329A">
        <w:trPr>
          <w:cantSplit/>
        </w:trPr>
        <w:tc>
          <w:tcPr>
            <w:tcW w:w="297" w:type="pct"/>
            <w:vAlign w:val="center"/>
          </w:tcPr>
          <w:p w14:paraId="6DCBDB4F" w14:textId="77777777" w:rsidR="009F6AC8" w:rsidRPr="008C72E5" w:rsidRDefault="009F6AC8" w:rsidP="00B558B7">
            <w:pPr>
              <w:pStyle w:val="TekstTabeli"/>
            </w:pPr>
            <w:r w:rsidRPr="008C72E5">
              <w:t>1</w:t>
            </w:r>
          </w:p>
        </w:tc>
        <w:tc>
          <w:tcPr>
            <w:tcW w:w="880" w:type="pct"/>
            <w:vAlign w:val="center"/>
          </w:tcPr>
          <w:p w14:paraId="40A96766" w14:textId="77777777" w:rsidR="009F6AC8" w:rsidRPr="008C72E5" w:rsidRDefault="009F6AC8" w:rsidP="00B558B7">
            <w:pPr>
              <w:pStyle w:val="TekstTabeli"/>
            </w:pPr>
            <w:proofErr w:type="spellStart"/>
            <w:r w:rsidRPr="008C72E5">
              <w:t>Nejati</w:t>
            </w:r>
            <w:proofErr w:type="spellEnd"/>
            <w:r w:rsidRPr="008C72E5">
              <w:t xml:space="preserve"> M., </w:t>
            </w:r>
            <w:proofErr w:type="spellStart"/>
            <w:r w:rsidRPr="008C72E5">
              <w:t>Nejati</w:t>
            </w:r>
            <w:proofErr w:type="spellEnd"/>
            <w:r w:rsidRPr="008C72E5">
              <w:t xml:space="preserve"> M.</w:t>
            </w:r>
          </w:p>
        </w:tc>
        <w:tc>
          <w:tcPr>
            <w:tcW w:w="1771" w:type="pct"/>
            <w:vAlign w:val="center"/>
          </w:tcPr>
          <w:p w14:paraId="3DF09E14" w14:textId="77777777" w:rsidR="009F6AC8" w:rsidRPr="008C72E5" w:rsidRDefault="009F6AC8" w:rsidP="00B558B7">
            <w:pPr>
              <w:pStyle w:val="TekstTabeli"/>
            </w:pPr>
            <w:r w:rsidRPr="008C72E5">
              <w:t>Assessment of sustainable university factors from the perspective of university students</w:t>
            </w:r>
          </w:p>
        </w:tc>
        <w:tc>
          <w:tcPr>
            <w:tcW w:w="2052" w:type="pct"/>
            <w:vAlign w:val="center"/>
          </w:tcPr>
          <w:p w14:paraId="52ED3FEE" w14:textId="77777777" w:rsidR="009F6AC8" w:rsidRPr="008C72E5" w:rsidRDefault="009F6AC8" w:rsidP="00B558B7">
            <w:pPr>
              <w:pStyle w:val="TekstTabeli"/>
            </w:pPr>
            <w:r w:rsidRPr="008C72E5">
              <w:t>(2013) Journal of Cleaner Production, 48, pp. 101 - 107, DOI: 10.1016/j.jclepro.2012.09.006</w:t>
            </w:r>
          </w:p>
        </w:tc>
      </w:tr>
      <w:tr w:rsidR="00C4329A" w:rsidRPr="004C10DC" w14:paraId="0D75CD7A" w14:textId="77777777" w:rsidTr="00C4329A">
        <w:trPr>
          <w:cantSplit/>
        </w:trPr>
        <w:tc>
          <w:tcPr>
            <w:tcW w:w="297" w:type="pct"/>
            <w:vAlign w:val="center"/>
          </w:tcPr>
          <w:p w14:paraId="72DD94DE" w14:textId="77777777" w:rsidR="009F6AC8" w:rsidRPr="008C72E5" w:rsidRDefault="009F6AC8" w:rsidP="00B558B7">
            <w:pPr>
              <w:pStyle w:val="TekstTabeli"/>
            </w:pPr>
            <w:r w:rsidRPr="008C72E5">
              <w:t>2</w:t>
            </w:r>
          </w:p>
        </w:tc>
        <w:tc>
          <w:tcPr>
            <w:tcW w:w="880" w:type="pct"/>
            <w:vAlign w:val="center"/>
          </w:tcPr>
          <w:p w14:paraId="39A5015C" w14:textId="77777777" w:rsidR="009F6AC8" w:rsidRPr="008C72E5" w:rsidRDefault="009F6AC8" w:rsidP="00B558B7">
            <w:pPr>
              <w:pStyle w:val="TekstTabeli"/>
            </w:pPr>
            <w:r w:rsidRPr="008C72E5">
              <w:t>Kabongo J.D., Okpara J.O.</w:t>
            </w:r>
          </w:p>
        </w:tc>
        <w:tc>
          <w:tcPr>
            <w:tcW w:w="1771" w:type="pct"/>
            <w:vAlign w:val="center"/>
          </w:tcPr>
          <w:p w14:paraId="0A31F1E1" w14:textId="77777777" w:rsidR="009F6AC8" w:rsidRPr="008C72E5" w:rsidRDefault="009F6AC8" w:rsidP="00B558B7">
            <w:pPr>
              <w:pStyle w:val="TekstTabeli"/>
            </w:pPr>
            <w:r w:rsidRPr="008C72E5">
              <w:t>Entrepreneurship education in sub-Saharan African universities</w:t>
            </w:r>
          </w:p>
        </w:tc>
        <w:tc>
          <w:tcPr>
            <w:tcW w:w="2052" w:type="pct"/>
            <w:vAlign w:val="center"/>
          </w:tcPr>
          <w:p w14:paraId="3918F4D8" w14:textId="77777777" w:rsidR="009F6AC8" w:rsidRPr="008C72E5" w:rsidRDefault="009F6AC8" w:rsidP="00B558B7">
            <w:pPr>
              <w:pStyle w:val="TekstTabeli"/>
            </w:pPr>
            <w:r w:rsidRPr="008C72E5">
              <w:t xml:space="preserve">(2010) International Journal of Entrepreneurial </w:t>
            </w:r>
            <w:proofErr w:type="spellStart"/>
            <w:r w:rsidRPr="008C72E5">
              <w:t>Behaviour</w:t>
            </w:r>
            <w:proofErr w:type="spellEnd"/>
            <w:r w:rsidRPr="008C72E5">
              <w:t xml:space="preserve"> and Research, 16 (4), pp. 296 - 308, DOI: 10.1108/13552551011054499</w:t>
            </w:r>
          </w:p>
        </w:tc>
      </w:tr>
      <w:tr w:rsidR="00C4329A" w:rsidRPr="004C10DC" w14:paraId="1D23988F" w14:textId="77777777" w:rsidTr="00C4329A">
        <w:trPr>
          <w:cantSplit/>
        </w:trPr>
        <w:tc>
          <w:tcPr>
            <w:tcW w:w="297" w:type="pct"/>
            <w:vAlign w:val="center"/>
          </w:tcPr>
          <w:p w14:paraId="7B586DF9" w14:textId="77777777" w:rsidR="009F6AC8" w:rsidRPr="008C72E5" w:rsidRDefault="009F6AC8" w:rsidP="00B558B7">
            <w:pPr>
              <w:pStyle w:val="TekstTabeli"/>
            </w:pPr>
            <w:r w:rsidRPr="008C72E5">
              <w:t>3</w:t>
            </w:r>
          </w:p>
        </w:tc>
        <w:tc>
          <w:tcPr>
            <w:tcW w:w="880" w:type="pct"/>
            <w:vAlign w:val="center"/>
          </w:tcPr>
          <w:p w14:paraId="0A7FF38E" w14:textId="77777777" w:rsidR="009F6AC8" w:rsidRPr="008C72E5" w:rsidRDefault="009F6AC8" w:rsidP="00B558B7">
            <w:pPr>
              <w:pStyle w:val="TekstTabeli"/>
            </w:pPr>
            <w:r w:rsidRPr="008C72E5">
              <w:t xml:space="preserve">Allan H.T., Smith P.A., </w:t>
            </w:r>
            <w:proofErr w:type="spellStart"/>
            <w:r w:rsidRPr="008C72E5">
              <w:t>Lorentzon</w:t>
            </w:r>
            <w:proofErr w:type="spellEnd"/>
            <w:r w:rsidRPr="008C72E5">
              <w:t xml:space="preserve"> M.</w:t>
            </w:r>
          </w:p>
        </w:tc>
        <w:tc>
          <w:tcPr>
            <w:tcW w:w="1771" w:type="pct"/>
            <w:vAlign w:val="center"/>
          </w:tcPr>
          <w:p w14:paraId="69AF3911" w14:textId="77777777" w:rsidR="009F6AC8" w:rsidRPr="008C72E5" w:rsidRDefault="009F6AC8" w:rsidP="00B558B7">
            <w:pPr>
              <w:pStyle w:val="TekstTabeli"/>
            </w:pPr>
            <w:r w:rsidRPr="008C72E5">
              <w:t>Leadership for learning: A literature study of leadership for learning in clinical practice</w:t>
            </w:r>
          </w:p>
        </w:tc>
        <w:tc>
          <w:tcPr>
            <w:tcW w:w="2052" w:type="pct"/>
            <w:vAlign w:val="center"/>
          </w:tcPr>
          <w:p w14:paraId="022D4102" w14:textId="77777777" w:rsidR="009F6AC8" w:rsidRPr="008C72E5" w:rsidRDefault="009F6AC8" w:rsidP="00B558B7">
            <w:pPr>
              <w:pStyle w:val="TekstTabeli"/>
            </w:pPr>
            <w:r w:rsidRPr="008C72E5">
              <w:t>(2008) Journal of Nursing Management, 16 (5), pp. 545 - 555, DOI: 10.1111/j.1365-2834.2007.00817.x</w:t>
            </w:r>
          </w:p>
        </w:tc>
      </w:tr>
      <w:tr w:rsidR="00C4329A" w:rsidRPr="004C10DC" w14:paraId="546B7C20" w14:textId="77777777" w:rsidTr="00C4329A">
        <w:trPr>
          <w:cantSplit/>
        </w:trPr>
        <w:tc>
          <w:tcPr>
            <w:tcW w:w="297" w:type="pct"/>
            <w:vAlign w:val="center"/>
          </w:tcPr>
          <w:p w14:paraId="79A06D94" w14:textId="77777777" w:rsidR="009F6AC8" w:rsidRPr="008C72E5" w:rsidRDefault="009F6AC8" w:rsidP="00B558B7">
            <w:pPr>
              <w:pStyle w:val="TekstTabeli"/>
            </w:pPr>
            <w:r w:rsidRPr="008C72E5">
              <w:t>4</w:t>
            </w:r>
          </w:p>
        </w:tc>
        <w:tc>
          <w:tcPr>
            <w:tcW w:w="880" w:type="pct"/>
            <w:vAlign w:val="center"/>
          </w:tcPr>
          <w:p w14:paraId="1A98D07D" w14:textId="77777777" w:rsidR="009F6AC8" w:rsidRPr="008C72E5" w:rsidRDefault="009F6AC8" w:rsidP="00B558B7">
            <w:pPr>
              <w:pStyle w:val="TekstTabeli"/>
            </w:pPr>
            <w:proofErr w:type="spellStart"/>
            <w:r w:rsidRPr="008C72E5">
              <w:t>Imbar</w:t>
            </w:r>
            <w:proofErr w:type="spellEnd"/>
            <w:r w:rsidRPr="008C72E5">
              <w:t xml:space="preserve"> R.V., </w:t>
            </w:r>
            <w:proofErr w:type="spellStart"/>
            <w:r w:rsidRPr="008C72E5">
              <w:t>Supangkat</w:t>
            </w:r>
            <w:proofErr w:type="spellEnd"/>
            <w:r w:rsidRPr="008C72E5">
              <w:t xml:space="preserve"> S.H., Langi A.Z.R.</w:t>
            </w:r>
          </w:p>
        </w:tc>
        <w:tc>
          <w:tcPr>
            <w:tcW w:w="1771" w:type="pct"/>
            <w:vAlign w:val="center"/>
          </w:tcPr>
          <w:p w14:paraId="7382F97D" w14:textId="77777777" w:rsidR="009F6AC8" w:rsidRPr="008C72E5" w:rsidRDefault="009F6AC8" w:rsidP="00B558B7">
            <w:pPr>
              <w:pStyle w:val="TekstTabeli"/>
            </w:pPr>
            <w:r w:rsidRPr="008C72E5">
              <w:t>Smart Campus Model: A Literature Review</w:t>
            </w:r>
          </w:p>
        </w:tc>
        <w:tc>
          <w:tcPr>
            <w:tcW w:w="2052" w:type="pct"/>
            <w:vAlign w:val="center"/>
          </w:tcPr>
          <w:p w14:paraId="02AA2574" w14:textId="77777777" w:rsidR="009F6AC8" w:rsidRPr="008C72E5" w:rsidRDefault="009F6AC8" w:rsidP="00B558B7">
            <w:pPr>
              <w:pStyle w:val="TekstTabeli"/>
            </w:pPr>
            <w:r w:rsidRPr="008C72E5">
              <w:t xml:space="preserve">(2020) 7th International Conference on ICT for Smart Society: </w:t>
            </w:r>
            <w:proofErr w:type="spellStart"/>
            <w:r w:rsidRPr="008C72E5">
              <w:t>AIoT</w:t>
            </w:r>
            <w:proofErr w:type="spellEnd"/>
            <w:r w:rsidRPr="008C72E5">
              <w:t xml:space="preserve"> for Smart Society, ICISS 2020 - Proceeding, art. no. 9307570, DOI: 10.1109/ICISS50791.2020.9307570</w:t>
            </w:r>
          </w:p>
        </w:tc>
      </w:tr>
      <w:tr w:rsidR="00C4329A" w:rsidRPr="004C10DC" w14:paraId="75BF349F" w14:textId="77777777" w:rsidTr="00C4329A">
        <w:trPr>
          <w:cantSplit/>
        </w:trPr>
        <w:tc>
          <w:tcPr>
            <w:tcW w:w="297" w:type="pct"/>
            <w:vAlign w:val="center"/>
          </w:tcPr>
          <w:p w14:paraId="3A85BF2E" w14:textId="77777777" w:rsidR="009F6AC8" w:rsidRPr="008C72E5" w:rsidRDefault="009F6AC8" w:rsidP="00B558B7">
            <w:pPr>
              <w:pStyle w:val="TekstTabeli"/>
            </w:pPr>
            <w:r w:rsidRPr="008C72E5">
              <w:t>5</w:t>
            </w:r>
          </w:p>
        </w:tc>
        <w:tc>
          <w:tcPr>
            <w:tcW w:w="880" w:type="pct"/>
            <w:vAlign w:val="center"/>
          </w:tcPr>
          <w:p w14:paraId="3804133D" w14:textId="6DD6D074" w:rsidR="009F6AC8" w:rsidRPr="008C72E5" w:rsidRDefault="009F6AC8" w:rsidP="00B558B7">
            <w:pPr>
              <w:pStyle w:val="TekstTabeli"/>
            </w:pPr>
            <w:r w:rsidRPr="008C72E5">
              <w:t xml:space="preserve">Meyer L.H., Davidson S., McKenzie L., </w:t>
            </w:r>
            <w:proofErr w:type="spellStart"/>
            <w:r w:rsidR="00D05480" w:rsidRPr="008C72E5">
              <w:t>i</w:t>
            </w:r>
            <w:proofErr w:type="spellEnd"/>
            <w:r w:rsidR="00D05480" w:rsidRPr="008C72E5">
              <w:t xml:space="preserve"> in.</w:t>
            </w:r>
          </w:p>
        </w:tc>
        <w:tc>
          <w:tcPr>
            <w:tcW w:w="1771" w:type="pct"/>
            <w:vAlign w:val="center"/>
          </w:tcPr>
          <w:p w14:paraId="0F62E899" w14:textId="77777777" w:rsidR="009F6AC8" w:rsidRPr="008C72E5" w:rsidRDefault="009F6AC8" w:rsidP="00B558B7">
            <w:pPr>
              <w:pStyle w:val="TekstTabeli"/>
            </w:pPr>
            <w:r w:rsidRPr="008C72E5">
              <w:t>An investigation of tertiary assessment policy and practice: Alignment and contradictions</w:t>
            </w:r>
          </w:p>
        </w:tc>
        <w:tc>
          <w:tcPr>
            <w:tcW w:w="2052" w:type="pct"/>
            <w:vAlign w:val="center"/>
          </w:tcPr>
          <w:p w14:paraId="6081FC76" w14:textId="77777777" w:rsidR="009F6AC8" w:rsidRPr="008C72E5" w:rsidRDefault="009F6AC8" w:rsidP="00B558B7">
            <w:pPr>
              <w:pStyle w:val="TekstTabeli"/>
            </w:pPr>
            <w:r w:rsidRPr="008C72E5">
              <w:t>(2010) Higher Education Quarterly, 64 (3), pp. 331 - 350, DOI: 10.1111/j.1468-2273.2010.00459.x</w:t>
            </w:r>
          </w:p>
        </w:tc>
      </w:tr>
      <w:tr w:rsidR="00C4329A" w:rsidRPr="004C10DC" w14:paraId="34A862CA" w14:textId="77777777" w:rsidTr="00C4329A">
        <w:trPr>
          <w:cantSplit/>
        </w:trPr>
        <w:tc>
          <w:tcPr>
            <w:tcW w:w="297" w:type="pct"/>
            <w:vAlign w:val="center"/>
          </w:tcPr>
          <w:p w14:paraId="4352BE55" w14:textId="77777777" w:rsidR="009F6AC8" w:rsidRPr="008C72E5" w:rsidRDefault="009F6AC8" w:rsidP="00B558B7">
            <w:pPr>
              <w:pStyle w:val="TekstTabeli"/>
            </w:pPr>
            <w:r w:rsidRPr="008C72E5">
              <w:t>6</w:t>
            </w:r>
          </w:p>
        </w:tc>
        <w:tc>
          <w:tcPr>
            <w:tcW w:w="880" w:type="pct"/>
            <w:vAlign w:val="center"/>
          </w:tcPr>
          <w:p w14:paraId="585CA569" w14:textId="139ADE1E" w:rsidR="009F6AC8" w:rsidRPr="008C72E5" w:rsidRDefault="009F6AC8" w:rsidP="00B558B7">
            <w:pPr>
              <w:pStyle w:val="TekstTabeli"/>
            </w:pPr>
            <w:r w:rsidRPr="008C72E5">
              <w:t xml:space="preserve">Ribeiro M.M., Hoover E., Burford G., </w:t>
            </w:r>
            <w:proofErr w:type="spellStart"/>
            <w:r w:rsidR="00D05480" w:rsidRPr="008C72E5">
              <w:t>i</w:t>
            </w:r>
            <w:proofErr w:type="spellEnd"/>
            <w:r w:rsidR="00D05480" w:rsidRPr="008C72E5">
              <w:t xml:space="preserve"> in.</w:t>
            </w:r>
          </w:p>
        </w:tc>
        <w:tc>
          <w:tcPr>
            <w:tcW w:w="1771" w:type="pct"/>
            <w:vAlign w:val="center"/>
          </w:tcPr>
          <w:p w14:paraId="75428183" w14:textId="77777777" w:rsidR="009F6AC8" w:rsidRPr="008C72E5" w:rsidRDefault="009F6AC8" w:rsidP="00B558B7">
            <w:pPr>
              <w:pStyle w:val="TekstTabeli"/>
            </w:pPr>
            <w:r w:rsidRPr="008C72E5">
              <w:t>Values as a bridge between sustainability and institutional assessment: A case study from BOKU University</w:t>
            </w:r>
          </w:p>
        </w:tc>
        <w:tc>
          <w:tcPr>
            <w:tcW w:w="2052" w:type="pct"/>
            <w:vAlign w:val="center"/>
          </w:tcPr>
          <w:p w14:paraId="136F6CAA" w14:textId="77777777" w:rsidR="009F6AC8" w:rsidRPr="008C72E5" w:rsidRDefault="009F6AC8" w:rsidP="00B558B7">
            <w:pPr>
              <w:pStyle w:val="TekstTabeli"/>
            </w:pPr>
            <w:r w:rsidRPr="008C72E5">
              <w:t>(2016) International Journal of Sustainability in Higher Education, 17 (1), pp. 40 - 53, DOI: 10.1108/IJSHE-12-2014-0170</w:t>
            </w:r>
          </w:p>
        </w:tc>
      </w:tr>
      <w:tr w:rsidR="00C4329A" w:rsidRPr="004C10DC" w14:paraId="3AFAF799" w14:textId="77777777" w:rsidTr="00C4329A">
        <w:trPr>
          <w:cantSplit/>
        </w:trPr>
        <w:tc>
          <w:tcPr>
            <w:tcW w:w="297" w:type="pct"/>
            <w:vAlign w:val="center"/>
          </w:tcPr>
          <w:p w14:paraId="3AE2BF97" w14:textId="77777777" w:rsidR="009F6AC8" w:rsidRPr="008C72E5" w:rsidRDefault="009F6AC8" w:rsidP="00B558B7">
            <w:pPr>
              <w:pStyle w:val="TekstTabeli"/>
            </w:pPr>
            <w:r w:rsidRPr="008C72E5">
              <w:t>7</w:t>
            </w:r>
          </w:p>
        </w:tc>
        <w:tc>
          <w:tcPr>
            <w:tcW w:w="880" w:type="pct"/>
            <w:vAlign w:val="center"/>
          </w:tcPr>
          <w:p w14:paraId="27DCE663" w14:textId="2E9A3FE0" w:rsidR="009F6AC8" w:rsidRPr="008C72E5" w:rsidRDefault="009F6AC8" w:rsidP="00B558B7">
            <w:pPr>
              <w:pStyle w:val="TekstTabeli"/>
            </w:pPr>
            <w:r w:rsidRPr="008C72E5">
              <w:t xml:space="preserve">Halpern D.F., </w:t>
            </w:r>
            <w:proofErr w:type="spellStart"/>
            <w:r w:rsidRPr="008C72E5">
              <w:t>Smothergill</w:t>
            </w:r>
            <w:proofErr w:type="spellEnd"/>
            <w:r w:rsidRPr="008C72E5">
              <w:t xml:space="preserve"> D.W., Allen M., </w:t>
            </w:r>
            <w:proofErr w:type="spellStart"/>
            <w:r w:rsidR="00D05480" w:rsidRPr="008C72E5">
              <w:t>i</w:t>
            </w:r>
            <w:proofErr w:type="spellEnd"/>
            <w:r w:rsidR="00D05480" w:rsidRPr="008C72E5">
              <w:t xml:space="preserve"> in.</w:t>
            </w:r>
          </w:p>
        </w:tc>
        <w:tc>
          <w:tcPr>
            <w:tcW w:w="1771" w:type="pct"/>
            <w:vAlign w:val="center"/>
          </w:tcPr>
          <w:p w14:paraId="607F3855" w14:textId="77777777" w:rsidR="009F6AC8" w:rsidRPr="008C72E5" w:rsidRDefault="009F6AC8" w:rsidP="00B558B7">
            <w:pPr>
              <w:pStyle w:val="TekstTabeli"/>
            </w:pPr>
            <w:r w:rsidRPr="008C72E5">
              <w:t>Scholarship in Psychology: A Paradigm for the Twenty-First Century</w:t>
            </w:r>
          </w:p>
        </w:tc>
        <w:tc>
          <w:tcPr>
            <w:tcW w:w="2052" w:type="pct"/>
            <w:vAlign w:val="center"/>
          </w:tcPr>
          <w:p w14:paraId="0BA102F4" w14:textId="77777777" w:rsidR="009F6AC8" w:rsidRPr="008C72E5" w:rsidRDefault="009F6AC8" w:rsidP="00B558B7">
            <w:pPr>
              <w:pStyle w:val="TekstTabeli"/>
            </w:pPr>
            <w:r w:rsidRPr="008C72E5">
              <w:t>(1998) American Psychologist, 53 (12), pp. 1292 - 1297, DOI: 10.1037/0003-066X.53.12.1292</w:t>
            </w:r>
          </w:p>
        </w:tc>
      </w:tr>
      <w:tr w:rsidR="00C4329A" w:rsidRPr="004C10DC" w14:paraId="05FA81EC" w14:textId="77777777" w:rsidTr="00C4329A">
        <w:trPr>
          <w:cantSplit/>
        </w:trPr>
        <w:tc>
          <w:tcPr>
            <w:tcW w:w="297" w:type="pct"/>
            <w:vAlign w:val="center"/>
          </w:tcPr>
          <w:p w14:paraId="48F981D2" w14:textId="77777777" w:rsidR="009F6AC8" w:rsidRPr="008C72E5" w:rsidRDefault="009F6AC8" w:rsidP="00B558B7">
            <w:pPr>
              <w:pStyle w:val="TekstTabeli"/>
            </w:pPr>
            <w:r w:rsidRPr="008C72E5">
              <w:t>8</w:t>
            </w:r>
          </w:p>
        </w:tc>
        <w:tc>
          <w:tcPr>
            <w:tcW w:w="880" w:type="pct"/>
            <w:vAlign w:val="center"/>
          </w:tcPr>
          <w:p w14:paraId="26F63BF1" w14:textId="58A9260F" w:rsidR="009F6AC8" w:rsidRPr="008C72E5" w:rsidRDefault="009F6AC8" w:rsidP="00B558B7">
            <w:pPr>
              <w:pStyle w:val="TekstTabeli"/>
            </w:pPr>
            <w:r w:rsidRPr="008C72E5">
              <w:t xml:space="preserve">Gafurov I.R., Safiullin M.R., </w:t>
            </w:r>
            <w:proofErr w:type="spellStart"/>
            <w:r w:rsidRPr="008C72E5">
              <w:t>Akhmetshin</w:t>
            </w:r>
            <w:proofErr w:type="spellEnd"/>
            <w:r w:rsidRPr="008C72E5">
              <w:t xml:space="preserve"> </w:t>
            </w:r>
            <w:proofErr w:type="spellStart"/>
            <w:r w:rsidR="00D05480" w:rsidRPr="008C72E5">
              <w:t>i</w:t>
            </w:r>
            <w:proofErr w:type="spellEnd"/>
            <w:r w:rsidR="00D05480" w:rsidRPr="008C72E5">
              <w:t xml:space="preserve"> in.</w:t>
            </w:r>
          </w:p>
        </w:tc>
        <w:tc>
          <w:tcPr>
            <w:tcW w:w="1771" w:type="pct"/>
            <w:vAlign w:val="center"/>
          </w:tcPr>
          <w:p w14:paraId="4F66608B" w14:textId="77777777" w:rsidR="009F6AC8" w:rsidRPr="008C72E5" w:rsidRDefault="009F6AC8" w:rsidP="00B558B7">
            <w:pPr>
              <w:pStyle w:val="TekstTabeli"/>
            </w:pPr>
            <w:r w:rsidRPr="008C72E5">
              <w:t>Change of the higher education paradigm in the context of digital transformation: From resource management to access control</w:t>
            </w:r>
          </w:p>
        </w:tc>
        <w:tc>
          <w:tcPr>
            <w:tcW w:w="2052" w:type="pct"/>
            <w:vAlign w:val="center"/>
          </w:tcPr>
          <w:p w14:paraId="2592A617" w14:textId="77777777" w:rsidR="009F6AC8" w:rsidRPr="008C72E5" w:rsidRDefault="009F6AC8" w:rsidP="00B558B7">
            <w:pPr>
              <w:pStyle w:val="TekstTabeli"/>
            </w:pPr>
            <w:r w:rsidRPr="008C72E5">
              <w:t>(2020) International Journal of Higher Education, 9 (3), pp. 71 - 85, DOI: 10.5430/ijhe.v9n3p71</w:t>
            </w:r>
          </w:p>
        </w:tc>
      </w:tr>
      <w:tr w:rsidR="00C4329A" w:rsidRPr="004C10DC" w14:paraId="3C720972" w14:textId="77777777" w:rsidTr="00C4329A">
        <w:trPr>
          <w:cantSplit/>
        </w:trPr>
        <w:tc>
          <w:tcPr>
            <w:tcW w:w="297" w:type="pct"/>
            <w:vAlign w:val="center"/>
          </w:tcPr>
          <w:p w14:paraId="7656EBBC" w14:textId="77777777" w:rsidR="009F6AC8" w:rsidRPr="008C72E5" w:rsidRDefault="009F6AC8" w:rsidP="00B558B7">
            <w:pPr>
              <w:pStyle w:val="TekstTabeli"/>
            </w:pPr>
            <w:r w:rsidRPr="008C72E5">
              <w:t>9</w:t>
            </w:r>
          </w:p>
        </w:tc>
        <w:tc>
          <w:tcPr>
            <w:tcW w:w="880" w:type="pct"/>
            <w:vAlign w:val="center"/>
          </w:tcPr>
          <w:p w14:paraId="7F9E838E" w14:textId="0BE06B0B" w:rsidR="009F6AC8" w:rsidRPr="008C72E5" w:rsidRDefault="009F6AC8" w:rsidP="00B558B7">
            <w:pPr>
              <w:pStyle w:val="TekstTabeli"/>
            </w:pPr>
            <w:r w:rsidRPr="008C72E5">
              <w:t xml:space="preserve">Genta C., Favaro S., </w:t>
            </w:r>
            <w:proofErr w:type="spellStart"/>
            <w:r w:rsidRPr="008C72E5">
              <w:t>Sonetti</w:t>
            </w:r>
            <w:proofErr w:type="spellEnd"/>
            <w:r w:rsidRPr="008C72E5">
              <w:t xml:space="preserve"> G., </w:t>
            </w:r>
            <w:proofErr w:type="spellStart"/>
            <w:r w:rsidR="00D05480" w:rsidRPr="008C72E5">
              <w:t>i</w:t>
            </w:r>
            <w:proofErr w:type="spellEnd"/>
            <w:r w:rsidR="00D05480" w:rsidRPr="008C72E5">
              <w:t xml:space="preserve"> in.</w:t>
            </w:r>
          </w:p>
        </w:tc>
        <w:tc>
          <w:tcPr>
            <w:tcW w:w="1771" w:type="pct"/>
            <w:vAlign w:val="center"/>
          </w:tcPr>
          <w:p w14:paraId="7F29CCF4" w14:textId="77777777" w:rsidR="009F6AC8" w:rsidRPr="008C72E5" w:rsidRDefault="009F6AC8" w:rsidP="00B558B7">
            <w:pPr>
              <w:pStyle w:val="TekstTabeli"/>
            </w:pPr>
            <w:r w:rsidRPr="008C72E5">
              <w:t>Envisioning green solutions for reducing the ecological footprint of a university campus</w:t>
            </w:r>
          </w:p>
        </w:tc>
        <w:tc>
          <w:tcPr>
            <w:tcW w:w="2052" w:type="pct"/>
            <w:vAlign w:val="center"/>
          </w:tcPr>
          <w:p w14:paraId="01A89BEA" w14:textId="77777777" w:rsidR="009F6AC8" w:rsidRPr="008C72E5" w:rsidRDefault="009F6AC8" w:rsidP="00B558B7">
            <w:pPr>
              <w:pStyle w:val="TekstTabeli"/>
            </w:pPr>
            <w:r w:rsidRPr="008C72E5">
              <w:t>(2019) International Journal of Sustainability in Higher Education, 20 (3), pp. 423 - 440, DOI: 10.1108/IJSHE-01-2019-0039</w:t>
            </w:r>
          </w:p>
        </w:tc>
      </w:tr>
      <w:tr w:rsidR="00C4329A" w:rsidRPr="004C10DC" w14:paraId="66A3F85C" w14:textId="77777777" w:rsidTr="00C4329A">
        <w:trPr>
          <w:cantSplit/>
        </w:trPr>
        <w:tc>
          <w:tcPr>
            <w:tcW w:w="297" w:type="pct"/>
            <w:vAlign w:val="center"/>
          </w:tcPr>
          <w:p w14:paraId="7DE11F0C" w14:textId="77777777" w:rsidR="009F6AC8" w:rsidRPr="008C72E5" w:rsidRDefault="009F6AC8" w:rsidP="00B558B7">
            <w:pPr>
              <w:pStyle w:val="TekstTabeli"/>
            </w:pPr>
            <w:r w:rsidRPr="008C72E5">
              <w:t>10</w:t>
            </w:r>
          </w:p>
        </w:tc>
        <w:tc>
          <w:tcPr>
            <w:tcW w:w="880" w:type="pct"/>
            <w:vAlign w:val="center"/>
          </w:tcPr>
          <w:p w14:paraId="40710359" w14:textId="77777777" w:rsidR="009F6AC8" w:rsidRPr="00D82766" w:rsidRDefault="009F6AC8" w:rsidP="00B558B7">
            <w:pPr>
              <w:pStyle w:val="TekstTabeli"/>
              <w:rPr>
                <w:lang w:val="pl-PL"/>
              </w:rPr>
            </w:pPr>
            <w:r w:rsidRPr="00D82766">
              <w:rPr>
                <w:lang w:val="pl-PL"/>
              </w:rPr>
              <w:t xml:space="preserve">Truta C., </w:t>
            </w:r>
            <w:proofErr w:type="spellStart"/>
            <w:r w:rsidRPr="00D82766">
              <w:rPr>
                <w:lang w:val="pl-PL"/>
              </w:rPr>
              <w:t>Parv</w:t>
            </w:r>
            <w:proofErr w:type="spellEnd"/>
            <w:r w:rsidRPr="00D82766">
              <w:rPr>
                <w:lang w:val="pl-PL"/>
              </w:rPr>
              <w:t xml:space="preserve"> L., </w:t>
            </w:r>
            <w:proofErr w:type="spellStart"/>
            <w:r w:rsidRPr="00D82766">
              <w:rPr>
                <w:lang w:val="pl-PL"/>
              </w:rPr>
              <w:t>Topala</w:t>
            </w:r>
            <w:proofErr w:type="spellEnd"/>
            <w:r w:rsidRPr="00D82766">
              <w:rPr>
                <w:lang w:val="pl-PL"/>
              </w:rPr>
              <w:t xml:space="preserve"> I.</w:t>
            </w:r>
          </w:p>
        </w:tc>
        <w:tc>
          <w:tcPr>
            <w:tcW w:w="1771" w:type="pct"/>
            <w:vAlign w:val="center"/>
          </w:tcPr>
          <w:p w14:paraId="4A9A4E10" w14:textId="77777777" w:rsidR="009F6AC8" w:rsidRPr="008C72E5" w:rsidRDefault="009F6AC8" w:rsidP="00B558B7">
            <w:pPr>
              <w:pStyle w:val="TekstTabeli"/>
            </w:pPr>
            <w:r w:rsidRPr="008C72E5">
              <w:t>Academic engagement and intention to drop out: Levers for sustainability in higher education</w:t>
            </w:r>
          </w:p>
        </w:tc>
        <w:tc>
          <w:tcPr>
            <w:tcW w:w="2052" w:type="pct"/>
            <w:vAlign w:val="center"/>
          </w:tcPr>
          <w:p w14:paraId="1CB1A8C3" w14:textId="77777777" w:rsidR="009F6AC8" w:rsidRPr="008C72E5" w:rsidRDefault="009F6AC8" w:rsidP="00B558B7">
            <w:pPr>
              <w:pStyle w:val="TekstTabeli"/>
            </w:pPr>
            <w:r w:rsidRPr="008C72E5">
              <w:t>(2018) Sustainability (Switzerland), 10 (12), art. no. 4637, DOI: 10.3390/su10124637</w:t>
            </w:r>
          </w:p>
        </w:tc>
      </w:tr>
      <w:tr w:rsidR="00C4329A" w:rsidRPr="004C10DC" w14:paraId="3030BCF1" w14:textId="77777777" w:rsidTr="00C4329A">
        <w:trPr>
          <w:cantSplit/>
        </w:trPr>
        <w:tc>
          <w:tcPr>
            <w:tcW w:w="297" w:type="pct"/>
            <w:vAlign w:val="center"/>
          </w:tcPr>
          <w:p w14:paraId="3B7BD21D" w14:textId="77777777" w:rsidR="009F6AC8" w:rsidRPr="008C72E5" w:rsidRDefault="009F6AC8" w:rsidP="00B558B7">
            <w:pPr>
              <w:pStyle w:val="TekstTabeli"/>
            </w:pPr>
            <w:r w:rsidRPr="008C72E5">
              <w:t>11</w:t>
            </w:r>
          </w:p>
        </w:tc>
        <w:tc>
          <w:tcPr>
            <w:tcW w:w="880" w:type="pct"/>
            <w:vAlign w:val="center"/>
          </w:tcPr>
          <w:p w14:paraId="18388392" w14:textId="77777777" w:rsidR="009F6AC8" w:rsidRPr="008C72E5" w:rsidRDefault="009F6AC8" w:rsidP="00B558B7">
            <w:pPr>
              <w:pStyle w:val="TekstTabeli"/>
            </w:pPr>
            <w:r w:rsidRPr="008C72E5">
              <w:t>Malcolm Z.T., Mendoza P.</w:t>
            </w:r>
          </w:p>
        </w:tc>
        <w:tc>
          <w:tcPr>
            <w:tcW w:w="1771" w:type="pct"/>
            <w:vAlign w:val="center"/>
          </w:tcPr>
          <w:p w14:paraId="4B1C3422" w14:textId="77777777" w:rsidR="009F6AC8" w:rsidRPr="008C72E5" w:rsidRDefault="009F6AC8" w:rsidP="00B558B7">
            <w:pPr>
              <w:pStyle w:val="TekstTabeli"/>
            </w:pPr>
            <w:proofErr w:type="spellStart"/>
            <w:r w:rsidRPr="008C72E5">
              <w:t>Afro-caribbean</w:t>
            </w:r>
            <w:proofErr w:type="spellEnd"/>
            <w:r w:rsidRPr="008C72E5">
              <w:t xml:space="preserve"> international students’ ethnic identity development: Fluidity, intersectionality, agency, and performativity</w:t>
            </w:r>
          </w:p>
        </w:tc>
        <w:tc>
          <w:tcPr>
            <w:tcW w:w="2052" w:type="pct"/>
            <w:vAlign w:val="center"/>
          </w:tcPr>
          <w:p w14:paraId="1408C9C1" w14:textId="77777777" w:rsidR="009F6AC8" w:rsidRPr="008C72E5" w:rsidRDefault="009F6AC8" w:rsidP="00B558B7">
            <w:pPr>
              <w:pStyle w:val="TekstTabeli"/>
            </w:pPr>
            <w:r w:rsidRPr="008C72E5">
              <w:t>(2014) Journal of College Student Development, 55 (6), pp. 595 - 614, DOI: 10.1353/csd.2014.0053</w:t>
            </w:r>
          </w:p>
        </w:tc>
      </w:tr>
      <w:tr w:rsidR="00C4329A" w:rsidRPr="004C10DC" w14:paraId="52B82964" w14:textId="77777777" w:rsidTr="00C4329A">
        <w:trPr>
          <w:cantSplit/>
        </w:trPr>
        <w:tc>
          <w:tcPr>
            <w:tcW w:w="297" w:type="pct"/>
            <w:vAlign w:val="center"/>
          </w:tcPr>
          <w:p w14:paraId="58CD3C7F" w14:textId="77777777" w:rsidR="009F6AC8" w:rsidRPr="008C72E5" w:rsidRDefault="009F6AC8" w:rsidP="00B558B7">
            <w:pPr>
              <w:pStyle w:val="TekstTabeli"/>
            </w:pPr>
            <w:r w:rsidRPr="008C72E5">
              <w:t>12</w:t>
            </w:r>
          </w:p>
        </w:tc>
        <w:tc>
          <w:tcPr>
            <w:tcW w:w="880" w:type="pct"/>
            <w:vAlign w:val="center"/>
          </w:tcPr>
          <w:p w14:paraId="5496B0E6" w14:textId="77777777" w:rsidR="009F6AC8" w:rsidRPr="008C72E5" w:rsidRDefault="009F6AC8" w:rsidP="00B558B7">
            <w:pPr>
              <w:pStyle w:val="TekstTabeli"/>
            </w:pPr>
            <w:r w:rsidRPr="008C72E5">
              <w:t>Pitt C.R., Bell A., Strickman R., Davis K.</w:t>
            </w:r>
          </w:p>
        </w:tc>
        <w:tc>
          <w:tcPr>
            <w:tcW w:w="1771" w:type="pct"/>
            <w:vAlign w:val="center"/>
          </w:tcPr>
          <w:p w14:paraId="340D3C73" w14:textId="77777777" w:rsidR="009F6AC8" w:rsidRPr="008C72E5" w:rsidRDefault="009F6AC8" w:rsidP="00B558B7">
            <w:pPr>
              <w:pStyle w:val="TekstTabeli"/>
            </w:pPr>
            <w:r w:rsidRPr="008C72E5">
              <w:t>Supporting learners’ STEM-oriented career pathways with digital badges</w:t>
            </w:r>
          </w:p>
        </w:tc>
        <w:tc>
          <w:tcPr>
            <w:tcW w:w="2052" w:type="pct"/>
            <w:vAlign w:val="center"/>
          </w:tcPr>
          <w:p w14:paraId="7AD4D9E5" w14:textId="77777777" w:rsidR="009F6AC8" w:rsidRPr="008C72E5" w:rsidRDefault="009F6AC8" w:rsidP="00B558B7">
            <w:pPr>
              <w:pStyle w:val="TekstTabeli"/>
            </w:pPr>
            <w:r w:rsidRPr="008C72E5">
              <w:t>(2019) Information and Learning Science, 120 (1-2), pp. 87 - 107, DOI: 10.1108/ILS-06-2018-0050</w:t>
            </w:r>
          </w:p>
        </w:tc>
      </w:tr>
      <w:tr w:rsidR="00C4329A" w:rsidRPr="008C72E5" w14:paraId="1ED7CBEB" w14:textId="77777777" w:rsidTr="00C4329A">
        <w:trPr>
          <w:cantSplit/>
        </w:trPr>
        <w:tc>
          <w:tcPr>
            <w:tcW w:w="297" w:type="pct"/>
            <w:vAlign w:val="center"/>
          </w:tcPr>
          <w:p w14:paraId="7E18BD43" w14:textId="77777777" w:rsidR="009F6AC8" w:rsidRPr="008C72E5" w:rsidRDefault="009F6AC8" w:rsidP="00B558B7">
            <w:pPr>
              <w:pStyle w:val="TekstTabeli"/>
            </w:pPr>
            <w:r w:rsidRPr="008C72E5">
              <w:t>13</w:t>
            </w:r>
          </w:p>
        </w:tc>
        <w:tc>
          <w:tcPr>
            <w:tcW w:w="880" w:type="pct"/>
            <w:vAlign w:val="center"/>
          </w:tcPr>
          <w:p w14:paraId="1621AEAD" w14:textId="77777777" w:rsidR="009F6AC8" w:rsidRPr="008C72E5" w:rsidRDefault="009F6AC8" w:rsidP="00B558B7">
            <w:pPr>
              <w:pStyle w:val="TekstTabeli"/>
            </w:pPr>
            <w:r w:rsidRPr="008C72E5">
              <w:t>Greenwood D.J.</w:t>
            </w:r>
          </w:p>
        </w:tc>
        <w:tc>
          <w:tcPr>
            <w:tcW w:w="1771" w:type="pct"/>
            <w:vAlign w:val="center"/>
          </w:tcPr>
          <w:p w14:paraId="2536D5BA" w14:textId="77777777" w:rsidR="009F6AC8" w:rsidRPr="008C72E5" w:rsidRDefault="009F6AC8" w:rsidP="00B558B7">
            <w:pPr>
              <w:pStyle w:val="TekstTabeli"/>
            </w:pPr>
            <w:r w:rsidRPr="008C72E5">
              <w:t>Teaching/learning action research requires fundamental reforms in public higher education</w:t>
            </w:r>
          </w:p>
        </w:tc>
        <w:tc>
          <w:tcPr>
            <w:tcW w:w="2052" w:type="pct"/>
            <w:vAlign w:val="center"/>
          </w:tcPr>
          <w:p w14:paraId="43B200DC" w14:textId="77777777" w:rsidR="009F6AC8" w:rsidRPr="008C72E5" w:rsidRDefault="009F6AC8" w:rsidP="00B558B7">
            <w:pPr>
              <w:pStyle w:val="TekstTabeli"/>
            </w:pPr>
            <w:r w:rsidRPr="008C72E5">
              <w:t>(2007) Action Research, 5 (3), pp. 249 - 264, DOI: 10.1177/1476750307081016</w:t>
            </w:r>
          </w:p>
        </w:tc>
      </w:tr>
      <w:tr w:rsidR="00C4329A" w:rsidRPr="004C10DC" w14:paraId="6F95F7D4" w14:textId="77777777" w:rsidTr="00C4329A">
        <w:trPr>
          <w:cantSplit/>
        </w:trPr>
        <w:tc>
          <w:tcPr>
            <w:tcW w:w="297" w:type="pct"/>
            <w:vAlign w:val="center"/>
          </w:tcPr>
          <w:p w14:paraId="57B6C199" w14:textId="77777777" w:rsidR="009F6AC8" w:rsidRPr="008C72E5" w:rsidRDefault="009F6AC8" w:rsidP="00B558B7">
            <w:pPr>
              <w:pStyle w:val="TekstTabeli"/>
            </w:pPr>
            <w:r w:rsidRPr="008C72E5">
              <w:t>14</w:t>
            </w:r>
          </w:p>
        </w:tc>
        <w:tc>
          <w:tcPr>
            <w:tcW w:w="880" w:type="pct"/>
            <w:vAlign w:val="center"/>
          </w:tcPr>
          <w:p w14:paraId="192DF283" w14:textId="77777777" w:rsidR="009F6AC8" w:rsidRPr="008C72E5" w:rsidRDefault="009F6AC8" w:rsidP="00B558B7">
            <w:pPr>
              <w:pStyle w:val="TekstTabeli"/>
            </w:pPr>
            <w:r w:rsidRPr="008C72E5">
              <w:t>Ramírez-</w:t>
            </w:r>
            <w:proofErr w:type="spellStart"/>
            <w:r w:rsidRPr="008C72E5">
              <w:t>Córcoles</w:t>
            </w:r>
            <w:proofErr w:type="spellEnd"/>
            <w:r w:rsidRPr="008C72E5">
              <w:t xml:space="preserve"> Y., </w:t>
            </w:r>
            <w:proofErr w:type="spellStart"/>
            <w:r w:rsidRPr="008C72E5">
              <w:t>Manzaneque</w:t>
            </w:r>
            <w:proofErr w:type="spellEnd"/>
            <w:r w:rsidRPr="008C72E5">
              <w:t>-Lizano M.</w:t>
            </w:r>
          </w:p>
        </w:tc>
        <w:tc>
          <w:tcPr>
            <w:tcW w:w="1771" w:type="pct"/>
            <w:vAlign w:val="center"/>
          </w:tcPr>
          <w:p w14:paraId="12BD3C99" w14:textId="77777777" w:rsidR="009F6AC8" w:rsidRPr="008C72E5" w:rsidRDefault="009F6AC8" w:rsidP="00B558B7">
            <w:pPr>
              <w:pStyle w:val="TekstTabeli"/>
            </w:pPr>
            <w:r w:rsidRPr="008C72E5">
              <w:t>The relevance of intellectual capital disclosure: Empirical evidence from Spanish universities</w:t>
            </w:r>
          </w:p>
        </w:tc>
        <w:tc>
          <w:tcPr>
            <w:tcW w:w="2052" w:type="pct"/>
            <w:vAlign w:val="center"/>
          </w:tcPr>
          <w:p w14:paraId="00CA651F" w14:textId="77777777" w:rsidR="009F6AC8" w:rsidRPr="008C72E5" w:rsidRDefault="009F6AC8" w:rsidP="00B558B7">
            <w:pPr>
              <w:pStyle w:val="TekstTabeli"/>
            </w:pPr>
            <w:r w:rsidRPr="008C72E5">
              <w:t>(2015) Knowledge Management Research and Practice, 13 (1), pp. 31 - 44, DOI: 10.1057/kmrp.2013.27</w:t>
            </w:r>
          </w:p>
        </w:tc>
      </w:tr>
      <w:tr w:rsidR="00C4329A" w:rsidRPr="004C10DC" w14:paraId="5D9BDDC4" w14:textId="77777777" w:rsidTr="00C4329A">
        <w:trPr>
          <w:cantSplit/>
        </w:trPr>
        <w:tc>
          <w:tcPr>
            <w:tcW w:w="297" w:type="pct"/>
            <w:vAlign w:val="center"/>
          </w:tcPr>
          <w:p w14:paraId="6751683D" w14:textId="77777777" w:rsidR="009F6AC8" w:rsidRPr="008C72E5" w:rsidRDefault="009F6AC8" w:rsidP="00B558B7">
            <w:pPr>
              <w:pStyle w:val="TekstTabeli"/>
            </w:pPr>
            <w:r w:rsidRPr="008C72E5">
              <w:t>15</w:t>
            </w:r>
          </w:p>
        </w:tc>
        <w:tc>
          <w:tcPr>
            <w:tcW w:w="880" w:type="pct"/>
            <w:vAlign w:val="center"/>
          </w:tcPr>
          <w:p w14:paraId="3918EB04" w14:textId="77777777" w:rsidR="009F6AC8" w:rsidRPr="008C72E5" w:rsidRDefault="009F6AC8" w:rsidP="00B558B7">
            <w:pPr>
              <w:pStyle w:val="TekstTabeli"/>
            </w:pPr>
            <w:r w:rsidRPr="008C72E5">
              <w:t xml:space="preserve">Avella J.T., </w:t>
            </w:r>
            <w:proofErr w:type="spellStart"/>
            <w:r w:rsidRPr="008C72E5">
              <w:t>Kebritchi</w:t>
            </w:r>
            <w:proofErr w:type="spellEnd"/>
            <w:r w:rsidRPr="008C72E5">
              <w:t xml:space="preserve"> M., Nunn S.G., Kanai T.</w:t>
            </w:r>
          </w:p>
        </w:tc>
        <w:tc>
          <w:tcPr>
            <w:tcW w:w="1771" w:type="pct"/>
            <w:vAlign w:val="center"/>
          </w:tcPr>
          <w:p w14:paraId="0BFCBFCA" w14:textId="77777777" w:rsidR="009F6AC8" w:rsidRPr="008C72E5" w:rsidRDefault="009F6AC8" w:rsidP="00B558B7">
            <w:pPr>
              <w:pStyle w:val="TekstTabeli"/>
            </w:pPr>
            <w:r w:rsidRPr="008C72E5">
              <w:t>Learning analytics methods, benefits, and challenges in higher education: A systematic literature review</w:t>
            </w:r>
          </w:p>
        </w:tc>
        <w:tc>
          <w:tcPr>
            <w:tcW w:w="2052" w:type="pct"/>
            <w:vAlign w:val="center"/>
          </w:tcPr>
          <w:p w14:paraId="7A5658DC" w14:textId="77777777" w:rsidR="009F6AC8" w:rsidRPr="008C72E5" w:rsidRDefault="009F6AC8" w:rsidP="00B558B7">
            <w:pPr>
              <w:pStyle w:val="TekstTabeli"/>
            </w:pPr>
            <w:r w:rsidRPr="008C72E5">
              <w:t>(2016) Journal of Asynchronous Learning Network, 20 (2), 0</w:t>
            </w:r>
          </w:p>
        </w:tc>
      </w:tr>
      <w:tr w:rsidR="00C4329A" w:rsidRPr="004C10DC" w14:paraId="2434694B" w14:textId="77777777" w:rsidTr="00C4329A">
        <w:trPr>
          <w:cantSplit/>
        </w:trPr>
        <w:tc>
          <w:tcPr>
            <w:tcW w:w="297" w:type="pct"/>
            <w:vAlign w:val="center"/>
          </w:tcPr>
          <w:p w14:paraId="3F978D22" w14:textId="77777777" w:rsidR="009F6AC8" w:rsidRPr="008C72E5" w:rsidRDefault="009F6AC8" w:rsidP="00B558B7">
            <w:pPr>
              <w:pStyle w:val="TekstTabeli"/>
            </w:pPr>
            <w:r w:rsidRPr="008C72E5">
              <w:lastRenderedPageBreak/>
              <w:t>16</w:t>
            </w:r>
          </w:p>
        </w:tc>
        <w:tc>
          <w:tcPr>
            <w:tcW w:w="880" w:type="pct"/>
            <w:vAlign w:val="center"/>
          </w:tcPr>
          <w:p w14:paraId="340E1E87" w14:textId="77777777" w:rsidR="009F6AC8" w:rsidRPr="008C72E5" w:rsidRDefault="009F6AC8" w:rsidP="00B558B7">
            <w:pPr>
              <w:pStyle w:val="TekstTabeli"/>
            </w:pPr>
            <w:proofErr w:type="spellStart"/>
            <w:r w:rsidRPr="008C72E5">
              <w:t>Centobelli</w:t>
            </w:r>
            <w:proofErr w:type="spellEnd"/>
            <w:r w:rsidRPr="008C72E5">
              <w:t xml:space="preserve"> P., </w:t>
            </w:r>
            <w:proofErr w:type="spellStart"/>
            <w:r w:rsidRPr="008C72E5">
              <w:t>Cerchione</w:t>
            </w:r>
            <w:proofErr w:type="spellEnd"/>
            <w:r w:rsidRPr="008C72E5">
              <w:t xml:space="preserve"> R., Esposito E., Shashi S.</w:t>
            </w:r>
          </w:p>
        </w:tc>
        <w:tc>
          <w:tcPr>
            <w:tcW w:w="1771" w:type="pct"/>
            <w:vAlign w:val="center"/>
          </w:tcPr>
          <w:p w14:paraId="1CB5FE55" w14:textId="77777777" w:rsidR="009F6AC8" w:rsidRPr="008C72E5" w:rsidRDefault="009F6AC8" w:rsidP="00B558B7">
            <w:pPr>
              <w:pStyle w:val="TekstTabeli"/>
            </w:pPr>
            <w:r w:rsidRPr="008C72E5">
              <w:t>The mediating role of knowledge exploration and exploitation for the development of an entrepreneurial university</w:t>
            </w:r>
          </w:p>
        </w:tc>
        <w:tc>
          <w:tcPr>
            <w:tcW w:w="2052" w:type="pct"/>
            <w:vAlign w:val="center"/>
          </w:tcPr>
          <w:p w14:paraId="0CEABBD4" w14:textId="77777777" w:rsidR="009F6AC8" w:rsidRPr="008C72E5" w:rsidRDefault="009F6AC8" w:rsidP="00B558B7">
            <w:pPr>
              <w:pStyle w:val="TekstTabeli"/>
            </w:pPr>
            <w:r w:rsidRPr="008C72E5">
              <w:t>(2019) Management Decision, 57 (12), pp. 3301 - 3320, DOI: 10.1108/MD-11-2018-1240</w:t>
            </w:r>
          </w:p>
        </w:tc>
      </w:tr>
      <w:tr w:rsidR="00C4329A" w:rsidRPr="004C10DC" w14:paraId="7D1A9268" w14:textId="77777777" w:rsidTr="00C4329A">
        <w:trPr>
          <w:cantSplit/>
        </w:trPr>
        <w:tc>
          <w:tcPr>
            <w:tcW w:w="297" w:type="pct"/>
            <w:vAlign w:val="center"/>
          </w:tcPr>
          <w:p w14:paraId="09B81B58" w14:textId="77777777" w:rsidR="009F6AC8" w:rsidRPr="008C72E5" w:rsidRDefault="009F6AC8" w:rsidP="00B558B7">
            <w:pPr>
              <w:pStyle w:val="TekstTabeli"/>
            </w:pPr>
            <w:r w:rsidRPr="008C72E5">
              <w:t>17</w:t>
            </w:r>
          </w:p>
        </w:tc>
        <w:tc>
          <w:tcPr>
            <w:tcW w:w="880" w:type="pct"/>
            <w:vAlign w:val="center"/>
          </w:tcPr>
          <w:p w14:paraId="76FDC22D" w14:textId="4A8C29DE" w:rsidR="009F6AC8" w:rsidRPr="008C72E5" w:rsidRDefault="009F6AC8" w:rsidP="00B558B7">
            <w:pPr>
              <w:pStyle w:val="TekstTabeli"/>
            </w:pPr>
            <w:r w:rsidRPr="008C72E5">
              <w:t xml:space="preserve">Gonzalez-Perez M.A., Cordova M., Hermans M., </w:t>
            </w:r>
            <w:proofErr w:type="spellStart"/>
            <w:r w:rsidR="00D05480" w:rsidRPr="008C72E5">
              <w:t>i</w:t>
            </w:r>
            <w:proofErr w:type="spellEnd"/>
            <w:r w:rsidR="00D05480" w:rsidRPr="008C72E5">
              <w:t xml:space="preserve"> in.</w:t>
            </w:r>
          </w:p>
        </w:tc>
        <w:tc>
          <w:tcPr>
            <w:tcW w:w="1771" w:type="pct"/>
            <w:vAlign w:val="center"/>
          </w:tcPr>
          <w:p w14:paraId="000F35EF" w14:textId="77777777" w:rsidR="009F6AC8" w:rsidRPr="008C72E5" w:rsidRDefault="009F6AC8" w:rsidP="00B558B7">
            <w:pPr>
              <w:pStyle w:val="TekstTabeli"/>
            </w:pPr>
            <w:r w:rsidRPr="008C72E5">
              <w:t>Crises conducting stakeholder salience: shifts in the evolution of private universities’ governance in Latin America</w:t>
            </w:r>
          </w:p>
        </w:tc>
        <w:tc>
          <w:tcPr>
            <w:tcW w:w="2052" w:type="pct"/>
            <w:vAlign w:val="center"/>
          </w:tcPr>
          <w:p w14:paraId="6294AF6B" w14:textId="77777777" w:rsidR="009F6AC8" w:rsidRPr="008C72E5" w:rsidRDefault="009F6AC8" w:rsidP="00B558B7">
            <w:pPr>
              <w:pStyle w:val="TekstTabeli"/>
            </w:pPr>
            <w:r w:rsidRPr="008C72E5">
              <w:t>(2021) Corporate Governance (Bingley), 21 (6), pp. 1194 - 1214, DOI: 10.1108/CG-09-2020-0397</w:t>
            </w:r>
          </w:p>
        </w:tc>
      </w:tr>
      <w:tr w:rsidR="00C4329A" w:rsidRPr="004C10DC" w14:paraId="4DED66C9" w14:textId="77777777" w:rsidTr="00C4329A">
        <w:trPr>
          <w:cantSplit/>
        </w:trPr>
        <w:tc>
          <w:tcPr>
            <w:tcW w:w="297" w:type="pct"/>
            <w:vAlign w:val="center"/>
          </w:tcPr>
          <w:p w14:paraId="7F6F94E4" w14:textId="77777777" w:rsidR="009F6AC8" w:rsidRPr="008C72E5" w:rsidRDefault="009F6AC8" w:rsidP="00B558B7">
            <w:pPr>
              <w:pStyle w:val="TekstTabeli"/>
            </w:pPr>
            <w:r w:rsidRPr="008C72E5">
              <w:t>18</w:t>
            </w:r>
          </w:p>
        </w:tc>
        <w:tc>
          <w:tcPr>
            <w:tcW w:w="880" w:type="pct"/>
            <w:vAlign w:val="center"/>
          </w:tcPr>
          <w:p w14:paraId="76AFEB6E" w14:textId="77777777" w:rsidR="009F6AC8" w:rsidRPr="008C72E5" w:rsidRDefault="009F6AC8" w:rsidP="00B558B7">
            <w:pPr>
              <w:pStyle w:val="TekstTabeli"/>
            </w:pPr>
            <w:r w:rsidRPr="008C72E5">
              <w:t xml:space="preserve">den </w:t>
            </w:r>
            <w:proofErr w:type="spellStart"/>
            <w:r w:rsidRPr="008C72E5">
              <w:t>Heijer</w:t>
            </w:r>
            <w:proofErr w:type="spellEnd"/>
            <w:r w:rsidRPr="008C72E5">
              <w:t xml:space="preserve"> A.C., Curvelo </w:t>
            </w:r>
            <w:proofErr w:type="spellStart"/>
            <w:r w:rsidRPr="008C72E5">
              <w:t>Magdaniel</w:t>
            </w:r>
            <w:proofErr w:type="spellEnd"/>
            <w:r w:rsidRPr="008C72E5">
              <w:t xml:space="preserve"> F.T.J.</w:t>
            </w:r>
          </w:p>
        </w:tc>
        <w:tc>
          <w:tcPr>
            <w:tcW w:w="1771" w:type="pct"/>
            <w:vAlign w:val="center"/>
          </w:tcPr>
          <w:p w14:paraId="55E7DDDC" w14:textId="77777777" w:rsidR="009F6AC8" w:rsidRPr="008C72E5" w:rsidRDefault="009F6AC8" w:rsidP="00B558B7">
            <w:pPr>
              <w:pStyle w:val="TekstTabeli"/>
            </w:pPr>
            <w:r w:rsidRPr="008C72E5">
              <w:t>Campus–City Relations: Past, Present, and Future</w:t>
            </w:r>
          </w:p>
        </w:tc>
        <w:tc>
          <w:tcPr>
            <w:tcW w:w="2052" w:type="pct"/>
            <w:vAlign w:val="center"/>
          </w:tcPr>
          <w:p w14:paraId="3B372759" w14:textId="77777777" w:rsidR="009F6AC8" w:rsidRPr="008C72E5" w:rsidRDefault="009F6AC8" w:rsidP="00B558B7">
            <w:pPr>
              <w:pStyle w:val="TekstTabeli"/>
            </w:pPr>
            <w:r w:rsidRPr="008C72E5">
              <w:t>(2018) Knowledge and Space, 12, pp. 439 - 459, DOI: 10.1007/978-3-319-75593-9_13</w:t>
            </w:r>
          </w:p>
        </w:tc>
      </w:tr>
      <w:tr w:rsidR="00C4329A" w:rsidRPr="004C10DC" w14:paraId="4AE02F63" w14:textId="77777777" w:rsidTr="00C4329A">
        <w:trPr>
          <w:cantSplit/>
        </w:trPr>
        <w:tc>
          <w:tcPr>
            <w:tcW w:w="297" w:type="pct"/>
            <w:vAlign w:val="center"/>
          </w:tcPr>
          <w:p w14:paraId="278D049D" w14:textId="77777777" w:rsidR="009F6AC8" w:rsidRPr="008C72E5" w:rsidRDefault="009F6AC8" w:rsidP="00B558B7">
            <w:pPr>
              <w:pStyle w:val="TekstTabeli"/>
            </w:pPr>
            <w:r w:rsidRPr="008C72E5">
              <w:t>19</w:t>
            </w:r>
          </w:p>
        </w:tc>
        <w:tc>
          <w:tcPr>
            <w:tcW w:w="880" w:type="pct"/>
            <w:vAlign w:val="center"/>
          </w:tcPr>
          <w:p w14:paraId="67F6BB79" w14:textId="77777777" w:rsidR="009F6AC8" w:rsidRPr="008C72E5" w:rsidRDefault="009F6AC8" w:rsidP="00B558B7">
            <w:pPr>
              <w:pStyle w:val="TekstTabeli"/>
            </w:pPr>
            <w:r w:rsidRPr="008C72E5">
              <w:t>Ahmad J.</w:t>
            </w:r>
          </w:p>
        </w:tc>
        <w:tc>
          <w:tcPr>
            <w:tcW w:w="1771" w:type="pct"/>
            <w:vAlign w:val="center"/>
          </w:tcPr>
          <w:p w14:paraId="7F82F2E2" w14:textId="77777777" w:rsidR="009F6AC8" w:rsidRPr="008C72E5" w:rsidRDefault="009F6AC8" w:rsidP="00B558B7">
            <w:pPr>
              <w:pStyle w:val="TekstTabeli"/>
            </w:pPr>
            <w:r w:rsidRPr="008C72E5">
              <w:t>Can a university act as a corporate social responsibility (CSR) driver? An analysis</w:t>
            </w:r>
          </w:p>
        </w:tc>
        <w:tc>
          <w:tcPr>
            <w:tcW w:w="2052" w:type="pct"/>
            <w:vAlign w:val="center"/>
          </w:tcPr>
          <w:p w14:paraId="5DACD7D0" w14:textId="77777777" w:rsidR="009F6AC8" w:rsidRPr="008C72E5" w:rsidRDefault="009F6AC8" w:rsidP="00B558B7">
            <w:pPr>
              <w:pStyle w:val="TekstTabeli"/>
            </w:pPr>
            <w:r w:rsidRPr="008C72E5">
              <w:t>(2012) Social Responsibility Journal, 8 (1), pp. 77 - 86, DOI: 10.1108/17471111211196584</w:t>
            </w:r>
          </w:p>
        </w:tc>
      </w:tr>
      <w:tr w:rsidR="00C4329A" w:rsidRPr="004C10DC" w14:paraId="038BDDA8" w14:textId="77777777" w:rsidTr="00C4329A">
        <w:trPr>
          <w:cantSplit/>
        </w:trPr>
        <w:tc>
          <w:tcPr>
            <w:tcW w:w="297" w:type="pct"/>
            <w:vAlign w:val="center"/>
          </w:tcPr>
          <w:p w14:paraId="1586C73A" w14:textId="77777777" w:rsidR="009F6AC8" w:rsidRPr="008C72E5" w:rsidRDefault="009F6AC8" w:rsidP="00B558B7">
            <w:pPr>
              <w:pStyle w:val="TekstTabeli"/>
            </w:pPr>
            <w:r w:rsidRPr="008C72E5">
              <w:t>20</w:t>
            </w:r>
          </w:p>
        </w:tc>
        <w:tc>
          <w:tcPr>
            <w:tcW w:w="880" w:type="pct"/>
            <w:vAlign w:val="center"/>
          </w:tcPr>
          <w:p w14:paraId="6E95C2E0" w14:textId="77777777" w:rsidR="009F6AC8" w:rsidRPr="008C72E5" w:rsidRDefault="009F6AC8" w:rsidP="00B558B7">
            <w:pPr>
              <w:pStyle w:val="TekstTabeli"/>
            </w:pPr>
            <w:r w:rsidRPr="008C72E5">
              <w:t>Gvaramadze I.</w:t>
            </w:r>
          </w:p>
        </w:tc>
        <w:tc>
          <w:tcPr>
            <w:tcW w:w="1771" w:type="pct"/>
            <w:vAlign w:val="center"/>
          </w:tcPr>
          <w:p w14:paraId="0261FE2B" w14:textId="77777777" w:rsidR="009F6AC8" w:rsidRPr="008C72E5" w:rsidRDefault="009F6AC8" w:rsidP="00B558B7">
            <w:pPr>
              <w:pStyle w:val="TekstTabeli"/>
            </w:pPr>
            <w:r w:rsidRPr="008C72E5">
              <w:t>From quality assurance to quality enhancement in the European higher education area</w:t>
            </w:r>
          </w:p>
        </w:tc>
        <w:tc>
          <w:tcPr>
            <w:tcW w:w="2052" w:type="pct"/>
            <w:vAlign w:val="center"/>
          </w:tcPr>
          <w:p w14:paraId="04607597" w14:textId="77777777" w:rsidR="009F6AC8" w:rsidRPr="008C72E5" w:rsidRDefault="009F6AC8" w:rsidP="00B558B7">
            <w:pPr>
              <w:pStyle w:val="TekstTabeli"/>
            </w:pPr>
            <w:r w:rsidRPr="008C72E5">
              <w:t>(2008) European Journal of Education, 43 (4), pp. 443 - 455, DOI: 10.1111/j.1465-3435.2008.00376.x</w:t>
            </w:r>
          </w:p>
        </w:tc>
      </w:tr>
      <w:tr w:rsidR="00C4329A" w:rsidRPr="004C10DC" w14:paraId="6F6EF2E9" w14:textId="77777777" w:rsidTr="00C4329A">
        <w:trPr>
          <w:cantSplit/>
        </w:trPr>
        <w:tc>
          <w:tcPr>
            <w:tcW w:w="297" w:type="pct"/>
            <w:vAlign w:val="center"/>
          </w:tcPr>
          <w:p w14:paraId="27C31831" w14:textId="77777777" w:rsidR="009F6AC8" w:rsidRPr="008C72E5" w:rsidRDefault="009F6AC8" w:rsidP="00B558B7">
            <w:pPr>
              <w:pStyle w:val="TekstTabeli"/>
            </w:pPr>
            <w:r w:rsidRPr="008C72E5">
              <w:t>21</w:t>
            </w:r>
          </w:p>
        </w:tc>
        <w:tc>
          <w:tcPr>
            <w:tcW w:w="880" w:type="pct"/>
            <w:vAlign w:val="center"/>
          </w:tcPr>
          <w:p w14:paraId="0283D3CB" w14:textId="77777777" w:rsidR="009F6AC8" w:rsidRPr="008C72E5" w:rsidRDefault="009F6AC8" w:rsidP="00B558B7">
            <w:pPr>
              <w:pStyle w:val="TekstTabeli"/>
            </w:pPr>
            <w:r w:rsidRPr="008C72E5">
              <w:t>Sun Q., Zhang L.J.</w:t>
            </w:r>
          </w:p>
        </w:tc>
        <w:tc>
          <w:tcPr>
            <w:tcW w:w="1771" w:type="pct"/>
            <w:vAlign w:val="center"/>
          </w:tcPr>
          <w:p w14:paraId="1660C3FA" w14:textId="77777777" w:rsidR="009F6AC8" w:rsidRPr="008C72E5" w:rsidRDefault="009F6AC8" w:rsidP="00B558B7">
            <w:pPr>
              <w:pStyle w:val="TekstTabeli"/>
            </w:pPr>
            <w:r w:rsidRPr="008C72E5">
              <w:t>A Sociocultural Perspective on English-as-a-Foreign-Language (EFL) Teachers’ Cognitions About Form-Focused Instruction</w:t>
            </w:r>
          </w:p>
        </w:tc>
        <w:tc>
          <w:tcPr>
            <w:tcW w:w="2052" w:type="pct"/>
            <w:vAlign w:val="center"/>
          </w:tcPr>
          <w:p w14:paraId="194B0E44" w14:textId="77777777" w:rsidR="009F6AC8" w:rsidRPr="008C72E5" w:rsidRDefault="009F6AC8" w:rsidP="00B558B7">
            <w:pPr>
              <w:pStyle w:val="TekstTabeli"/>
            </w:pPr>
            <w:r w:rsidRPr="008C72E5">
              <w:t>(2021) Frontiers in Psychology, 12, art. no. 593172, DOI: 10.3389/fpsyg.2021.593172</w:t>
            </w:r>
          </w:p>
        </w:tc>
      </w:tr>
      <w:tr w:rsidR="00C4329A" w:rsidRPr="004C10DC" w14:paraId="54A44FDE" w14:textId="77777777" w:rsidTr="00C4329A">
        <w:trPr>
          <w:cantSplit/>
        </w:trPr>
        <w:tc>
          <w:tcPr>
            <w:tcW w:w="297" w:type="pct"/>
            <w:vAlign w:val="center"/>
          </w:tcPr>
          <w:p w14:paraId="0E69B4EE" w14:textId="77777777" w:rsidR="009F6AC8" w:rsidRPr="008C72E5" w:rsidRDefault="009F6AC8" w:rsidP="00B558B7">
            <w:pPr>
              <w:pStyle w:val="TekstTabeli"/>
            </w:pPr>
            <w:r w:rsidRPr="008C72E5">
              <w:t>22</w:t>
            </w:r>
          </w:p>
        </w:tc>
        <w:tc>
          <w:tcPr>
            <w:tcW w:w="880" w:type="pct"/>
            <w:vAlign w:val="center"/>
          </w:tcPr>
          <w:p w14:paraId="084ED1AD" w14:textId="77777777" w:rsidR="009F6AC8" w:rsidRPr="008C72E5" w:rsidRDefault="009F6AC8" w:rsidP="00B558B7">
            <w:pPr>
              <w:pStyle w:val="TekstTabeli"/>
            </w:pPr>
            <w:r w:rsidRPr="008C72E5">
              <w:t>Holmes L.</w:t>
            </w:r>
          </w:p>
        </w:tc>
        <w:tc>
          <w:tcPr>
            <w:tcW w:w="1771" w:type="pct"/>
            <w:vAlign w:val="center"/>
          </w:tcPr>
          <w:p w14:paraId="52CE8AB3" w14:textId="77777777" w:rsidR="009F6AC8" w:rsidRPr="008C72E5" w:rsidRDefault="009F6AC8" w:rsidP="00B558B7">
            <w:pPr>
              <w:pStyle w:val="TekstTabeli"/>
            </w:pPr>
            <w:r w:rsidRPr="008C72E5">
              <w:t>Competing perspectives on graduate employability: Possession, position or process?</w:t>
            </w:r>
          </w:p>
        </w:tc>
        <w:tc>
          <w:tcPr>
            <w:tcW w:w="2052" w:type="pct"/>
            <w:vAlign w:val="center"/>
          </w:tcPr>
          <w:p w14:paraId="58ABDF59" w14:textId="77777777" w:rsidR="009F6AC8" w:rsidRPr="008C72E5" w:rsidRDefault="009F6AC8" w:rsidP="00B558B7">
            <w:pPr>
              <w:pStyle w:val="TekstTabeli"/>
            </w:pPr>
            <w:r w:rsidRPr="008C72E5">
              <w:t>(2013) Studies in Higher Education, 38 (4), pp. 538 - 554, DOI: 10.1080/03075079.2011.587140</w:t>
            </w:r>
          </w:p>
        </w:tc>
      </w:tr>
      <w:tr w:rsidR="00C4329A" w:rsidRPr="004C10DC" w14:paraId="13D9BE0F" w14:textId="77777777" w:rsidTr="00C4329A">
        <w:trPr>
          <w:cantSplit/>
        </w:trPr>
        <w:tc>
          <w:tcPr>
            <w:tcW w:w="297" w:type="pct"/>
            <w:vAlign w:val="center"/>
          </w:tcPr>
          <w:p w14:paraId="3E98DF20" w14:textId="77777777" w:rsidR="009F6AC8" w:rsidRPr="008C72E5" w:rsidRDefault="009F6AC8" w:rsidP="00B558B7">
            <w:pPr>
              <w:pStyle w:val="TekstTabeli"/>
            </w:pPr>
            <w:r w:rsidRPr="008C72E5">
              <w:t>23</w:t>
            </w:r>
          </w:p>
        </w:tc>
        <w:tc>
          <w:tcPr>
            <w:tcW w:w="880" w:type="pct"/>
            <w:vAlign w:val="center"/>
          </w:tcPr>
          <w:p w14:paraId="09B4A28C" w14:textId="77777777" w:rsidR="009F6AC8" w:rsidRPr="008C72E5" w:rsidRDefault="009F6AC8" w:rsidP="00B558B7">
            <w:pPr>
              <w:pStyle w:val="TekstTabeli"/>
            </w:pPr>
            <w:proofErr w:type="spellStart"/>
            <w:r w:rsidRPr="008C72E5">
              <w:t>Gozali</w:t>
            </w:r>
            <w:proofErr w:type="spellEnd"/>
            <w:r w:rsidRPr="008C72E5">
              <w:t xml:space="preserve"> A.A., Kurniawan B., Weng W., Fujimura S.</w:t>
            </w:r>
          </w:p>
        </w:tc>
        <w:tc>
          <w:tcPr>
            <w:tcW w:w="1771" w:type="pct"/>
            <w:vAlign w:val="center"/>
          </w:tcPr>
          <w:p w14:paraId="71CC991E" w14:textId="77777777" w:rsidR="009F6AC8" w:rsidRPr="008C72E5" w:rsidRDefault="009F6AC8" w:rsidP="00B558B7">
            <w:pPr>
              <w:pStyle w:val="TekstTabeli"/>
            </w:pPr>
            <w:r w:rsidRPr="008C72E5">
              <w:t>Solving university course timetabling problem using localized island model genetic algorithm with dual dynamic migration policy</w:t>
            </w:r>
          </w:p>
        </w:tc>
        <w:tc>
          <w:tcPr>
            <w:tcW w:w="2052" w:type="pct"/>
            <w:vAlign w:val="center"/>
          </w:tcPr>
          <w:p w14:paraId="511AFFF2" w14:textId="77777777" w:rsidR="009F6AC8" w:rsidRPr="008C72E5" w:rsidRDefault="009F6AC8" w:rsidP="00B558B7">
            <w:pPr>
              <w:pStyle w:val="TekstTabeli"/>
            </w:pPr>
            <w:r w:rsidRPr="008C72E5">
              <w:t>(2020) IEEJ Transactions on Electrical and Electronic Engineering, 15 (3), pp. 389 - 400, DOI: 10.1002/tee.23067</w:t>
            </w:r>
          </w:p>
        </w:tc>
      </w:tr>
      <w:tr w:rsidR="00C4329A" w:rsidRPr="004C10DC" w14:paraId="7D4DBB0C" w14:textId="77777777" w:rsidTr="00C4329A">
        <w:trPr>
          <w:cantSplit/>
        </w:trPr>
        <w:tc>
          <w:tcPr>
            <w:tcW w:w="297" w:type="pct"/>
            <w:vAlign w:val="center"/>
          </w:tcPr>
          <w:p w14:paraId="235D0271" w14:textId="77777777" w:rsidR="009F6AC8" w:rsidRPr="008C72E5" w:rsidRDefault="009F6AC8" w:rsidP="00B558B7">
            <w:pPr>
              <w:pStyle w:val="TekstTabeli"/>
            </w:pPr>
            <w:r w:rsidRPr="008C72E5">
              <w:t>24</w:t>
            </w:r>
          </w:p>
        </w:tc>
        <w:tc>
          <w:tcPr>
            <w:tcW w:w="880" w:type="pct"/>
            <w:vAlign w:val="center"/>
          </w:tcPr>
          <w:p w14:paraId="42337D58" w14:textId="77777777" w:rsidR="009F6AC8" w:rsidRPr="008C72E5" w:rsidRDefault="009F6AC8" w:rsidP="00B558B7">
            <w:pPr>
              <w:pStyle w:val="TekstTabeli"/>
            </w:pPr>
            <w:r w:rsidRPr="008C72E5">
              <w:t xml:space="preserve">Vargas V.R., </w:t>
            </w:r>
            <w:proofErr w:type="spellStart"/>
            <w:r w:rsidRPr="008C72E5">
              <w:t>Lawthom</w:t>
            </w:r>
            <w:proofErr w:type="spellEnd"/>
            <w:r w:rsidRPr="008C72E5">
              <w:t xml:space="preserve"> R., Prowse A., Randles S., </w:t>
            </w:r>
            <w:proofErr w:type="spellStart"/>
            <w:r w:rsidRPr="008C72E5">
              <w:t>Tzoulas</w:t>
            </w:r>
            <w:proofErr w:type="spellEnd"/>
            <w:r w:rsidRPr="008C72E5">
              <w:t xml:space="preserve"> K.</w:t>
            </w:r>
          </w:p>
        </w:tc>
        <w:tc>
          <w:tcPr>
            <w:tcW w:w="1771" w:type="pct"/>
            <w:vAlign w:val="center"/>
          </w:tcPr>
          <w:p w14:paraId="4C5C8012" w14:textId="77777777" w:rsidR="009F6AC8" w:rsidRPr="008C72E5" w:rsidRDefault="009F6AC8" w:rsidP="00B558B7">
            <w:pPr>
              <w:pStyle w:val="TekstTabeli"/>
            </w:pPr>
            <w:r w:rsidRPr="008C72E5">
              <w:t xml:space="preserve">Sustainable development stakeholder networks for </w:t>
            </w:r>
            <w:proofErr w:type="spellStart"/>
            <w:r w:rsidRPr="008C72E5">
              <w:t>organisational</w:t>
            </w:r>
            <w:proofErr w:type="spellEnd"/>
            <w:r w:rsidRPr="008C72E5">
              <w:t xml:space="preserve"> change in higher education institutions: A case study from the UK</w:t>
            </w:r>
          </w:p>
        </w:tc>
        <w:tc>
          <w:tcPr>
            <w:tcW w:w="2052" w:type="pct"/>
            <w:vAlign w:val="center"/>
          </w:tcPr>
          <w:p w14:paraId="13AA09FC" w14:textId="77777777" w:rsidR="009F6AC8" w:rsidRPr="008C72E5" w:rsidRDefault="009F6AC8" w:rsidP="00B558B7">
            <w:pPr>
              <w:pStyle w:val="TekstTabeli"/>
            </w:pPr>
            <w:r w:rsidRPr="008C72E5">
              <w:t>(2019) Journal of Cleaner Production, 208, pp. 470 - 478, DOI: 10.1016/j.jclepro.2018.10.078</w:t>
            </w:r>
          </w:p>
        </w:tc>
      </w:tr>
      <w:tr w:rsidR="00C4329A" w:rsidRPr="004C10DC" w14:paraId="1C9658FB" w14:textId="77777777" w:rsidTr="00C4329A">
        <w:trPr>
          <w:cantSplit/>
        </w:trPr>
        <w:tc>
          <w:tcPr>
            <w:tcW w:w="297" w:type="pct"/>
            <w:vAlign w:val="center"/>
          </w:tcPr>
          <w:p w14:paraId="2A0DA589" w14:textId="77777777" w:rsidR="009F6AC8" w:rsidRPr="008C72E5" w:rsidRDefault="009F6AC8" w:rsidP="00B558B7">
            <w:pPr>
              <w:pStyle w:val="TekstTabeli"/>
            </w:pPr>
            <w:r w:rsidRPr="008C72E5">
              <w:t>25</w:t>
            </w:r>
          </w:p>
        </w:tc>
        <w:tc>
          <w:tcPr>
            <w:tcW w:w="880" w:type="pct"/>
            <w:vAlign w:val="center"/>
          </w:tcPr>
          <w:p w14:paraId="68943B14" w14:textId="77777777" w:rsidR="009F6AC8" w:rsidRPr="008C72E5" w:rsidRDefault="009F6AC8" w:rsidP="00B558B7">
            <w:pPr>
              <w:pStyle w:val="TekstTabeli"/>
            </w:pPr>
            <w:r w:rsidRPr="008C72E5">
              <w:t>Chen K.K., Zhang J.J.</w:t>
            </w:r>
          </w:p>
        </w:tc>
        <w:tc>
          <w:tcPr>
            <w:tcW w:w="1771" w:type="pct"/>
            <w:vAlign w:val="center"/>
          </w:tcPr>
          <w:p w14:paraId="19AB64F4" w14:textId="77777777" w:rsidR="009F6AC8" w:rsidRPr="008C72E5" w:rsidRDefault="009F6AC8" w:rsidP="00B558B7">
            <w:pPr>
              <w:pStyle w:val="TekstTabeli"/>
            </w:pPr>
            <w:r w:rsidRPr="008C72E5">
              <w:t>Examining consumer attributes associated with collegiate athletic facility naming rights sponsorship: Development of a theoretical framework</w:t>
            </w:r>
          </w:p>
        </w:tc>
        <w:tc>
          <w:tcPr>
            <w:tcW w:w="2052" w:type="pct"/>
            <w:vAlign w:val="center"/>
          </w:tcPr>
          <w:p w14:paraId="5F4CB3B0" w14:textId="77777777" w:rsidR="009F6AC8" w:rsidRPr="008C72E5" w:rsidRDefault="009F6AC8" w:rsidP="00B558B7">
            <w:pPr>
              <w:pStyle w:val="TekstTabeli"/>
            </w:pPr>
            <w:r w:rsidRPr="008C72E5">
              <w:t>(2011) Sport Management Review, 14 (2), pp. 103 - 116, DOI: 10.1016/j.smr.2010.10.001</w:t>
            </w:r>
          </w:p>
        </w:tc>
      </w:tr>
      <w:tr w:rsidR="00C4329A" w:rsidRPr="004C10DC" w14:paraId="13507C05" w14:textId="77777777" w:rsidTr="00C4329A">
        <w:trPr>
          <w:cantSplit/>
        </w:trPr>
        <w:tc>
          <w:tcPr>
            <w:tcW w:w="297" w:type="pct"/>
            <w:vAlign w:val="center"/>
          </w:tcPr>
          <w:p w14:paraId="4EE05A31" w14:textId="77777777" w:rsidR="009F6AC8" w:rsidRPr="008C72E5" w:rsidRDefault="009F6AC8" w:rsidP="00B558B7">
            <w:pPr>
              <w:pStyle w:val="TekstTabeli"/>
            </w:pPr>
            <w:r w:rsidRPr="008C72E5">
              <w:t>26</w:t>
            </w:r>
          </w:p>
        </w:tc>
        <w:tc>
          <w:tcPr>
            <w:tcW w:w="880" w:type="pct"/>
            <w:vAlign w:val="center"/>
          </w:tcPr>
          <w:p w14:paraId="0FF0EECF" w14:textId="579A8018" w:rsidR="009F6AC8" w:rsidRPr="008C72E5" w:rsidRDefault="009F6AC8" w:rsidP="00B558B7">
            <w:pPr>
              <w:pStyle w:val="TekstTabeli"/>
            </w:pPr>
            <w:r w:rsidRPr="008C72E5">
              <w:t xml:space="preserve">Mayhew M.J., Simonoff J.S., Baumol W.J., </w:t>
            </w:r>
            <w:proofErr w:type="spellStart"/>
            <w:r w:rsidR="00D05480" w:rsidRPr="008C72E5">
              <w:t>i</w:t>
            </w:r>
            <w:proofErr w:type="spellEnd"/>
            <w:r w:rsidR="00D05480" w:rsidRPr="008C72E5">
              <w:t xml:space="preserve"> in.</w:t>
            </w:r>
          </w:p>
        </w:tc>
        <w:tc>
          <w:tcPr>
            <w:tcW w:w="1771" w:type="pct"/>
            <w:vAlign w:val="center"/>
          </w:tcPr>
          <w:p w14:paraId="290628FB" w14:textId="77777777" w:rsidR="009F6AC8" w:rsidRPr="008C72E5" w:rsidRDefault="009F6AC8" w:rsidP="00B558B7">
            <w:pPr>
              <w:pStyle w:val="TekstTabeli"/>
            </w:pPr>
            <w:r w:rsidRPr="008C72E5">
              <w:t>Exploring Innovative Entrepreneurship and Its Ties to Higher Educational Experiences</w:t>
            </w:r>
          </w:p>
        </w:tc>
        <w:tc>
          <w:tcPr>
            <w:tcW w:w="2052" w:type="pct"/>
            <w:vAlign w:val="center"/>
          </w:tcPr>
          <w:p w14:paraId="6C5EFE59" w14:textId="77777777" w:rsidR="009F6AC8" w:rsidRPr="008C72E5" w:rsidRDefault="009F6AC8" w:rsidP="00B558B7">
            <w:pPr>
              <w:pStyle w:val="TekstTabeli"/>
            </w:pPr>
            <w:r w:rsidRPr="008C72E5">
              <w:t>(2012) Research in Higher Education, 53 (8), pp. 831 - 859, DOI: 10.1007/s11162-012-9258-3</w:t>
            </w:r>
          </w:p>
        </w:tc>
      </w:tr>
      <w:tr w:rsidR="00C4329A" w:rsidRPr="004C10DC" w14:paraId="6952E5F5" w14:textId="77777777" w:rsidTr="00C4329A">
        <w:trPr>
          <w:cantSplit/>
        </w:trPr>
        <w:tc>
          <w:tcPr>
            <w:tcW w:w="297" w:type="pct"/>
            <w:vAlign w:val="center"/>
          </w:tcPr>
          <w:p w14:paraId="11B27DA6" w14:textId="77777777" w:rsidR="009F6AC8" w:rsidRPr="008C72E5" w:rsidRDefault="009F6AC8" w:rsidP="00B558B7">
            <w:pPr>
              <w:pStyle w:val="TekstTabeli"/>
            </w:pPr>
            <w:r w:rsidRPr="008C72E5">
              <w:t>27</w:t>
            </w:r>
          </w:p>
        </w:tc>
        <w:tc>
          <w:tcPr>
            <w:tcW w:w="880" w:type="pct"/>
            <w:vAlign w:val="center"/>
          </w:tcPr>
          <w:p w14:paraId="078AF4C4" w14:textId="77777777" w:rsidR="009F6AC8" w:rsidRPr="008C72E5" w:rsidRDefault="009F6AC8" w:rsidP="00B558B7">
            <w:pPr>
              <w:pStyle w:val="TekstTabeli"/>
            </w:pPr>
            <w:r w:rsidRPr="008C72E5">
              <w:t>Crowley B.</w:t>
            </w:r>
          </w:p>
        </w:tc>
        <w:tc>
          <w:tcPr>
            <w:tcW w:w="1771" w:type="pct"/>
            <w:vAlign w:val="center"/>
          </w:tcPr>
          <w:p w14:paraId="78DCC42A" w14:textId="77777777" w:rsidR="009F6AC8" w:rsidRPr="008C72E5" w:rsidRDefault="009F6AC8" w:rsidP="00B558B7">
            <w:pPr>
              <w:pStyle w:val="TekstTabeli"/>
            </w:pPr>
            <w:r w:rsidRPr="008C72E5">
              <w:t>Tacit knowledge, tacit ignorance, and the future of academic librarianship</w:t>
            </w:r>
          </w:p>
        </w:tc>
        <w:tc>
          <w:tcPr>
            <w:tcW w:w="2052" w:type="pct"/>
            <w:vAlign w:val="center"/>
          </w:tcPr>
          <w:p w14:paraId="485E6B9B" w14:textId="77777777" w:rsidR="009F6AC8" w:rsidRPr="008C72E5" w:rsidRDefault="009F6AC8" w:rsidP="00B558B7">
            <w:pPr>
              <w:pStyle w:val="TekstTabeli"/>
            </w:pPr>
            <w:r w:rsidRPr="008C72E5">
              <w:t>(2001) College and Research Libraries, 62 (6), pp. 565 - 584, DOI: 10.5860/crl.62.6.565</w:t>
            </w:r>
          </w:p>
        </w:tc>
      </w:tr>
      <w:tr w:rsidR="00C4329A" w:rsidRPr="004C10DC" w14:paraId="6D3CF7A6" w14:textId="77777777" w:rsidTr="00C4329A">
        <w:trPr>
          <w:cantSplit/>
        </w:trPr>
        <w:tc>
          <w:tcPr>
            <w:tcW w:w="297" w:type="pct"/>
            <w:vAlign w:val="center"/>
          </w:tcPr>
          <w:p w14:paraId="2C4CE13D" w14:textId="77777777" w:rsidR="009F6AC8" w:rsidRPr="008C72E5" w:rsidRDefault="009F6AC8" w:rsidP="00B558B7">
            <w:pPr>
              <w:pStyle w:val="TekstTabeli"/>
            </w:pPr>
            <w:r w:rsidRPr="008C72E5">
              <w:t>28</w:t>
            </w:r>
          </w:p>
        </w:tc>
        <w:tc>
          <w:tcPr>
            <w:tcW w:w="880" w:type="pct"/>
            <w:vAlign w:val="center"/>
          </w:tcPr>
          <w:p w14:paraId="1C69B6F5" w14:textId="77777777" w:rsidR="009F6AC8" w:rsidRPr="008C72E5" w:rsidRDefault="009F6AC8" w:rsidP="00B558B7">
            <w:pPr>
              <w:pStyle w:val="TekstTabeli"/>
            </w:pPr>
            <w:r w:rsidRPr="008C72E5">
              <w:t>Lemaitre M.J.</w:t>
            </w:r>
          </w:p>
        </w:tc>
        <w:tc>
          <w:tcPr>
            <w:tcW w:w="1771" w:type="pct"/>
            <w:vAlign w:val="center"/>
          </w:tcPr>
          <w:p w14:paraId="1E9C87A8" w14:textId="77777777" w:rsidR="009F6AC8" w:rsidRPr="008C72E5" w:rsidRDefault="009F6AC8" w:rsidP="00B558B7">
            <w:pPr>
              <w:pStyle w:val="TekstTabeli"/>
            </w:pPr>
            <w:r w:rsidRPr="008C72E5">
              <w:t>Development of external quality assurance schemes: An answer to the challenges of higher education evolution</w:t>
            </w:r>
          </w:p>
        </w:tc>
        <w:tc>
          <w:tcPr>
            <w:tcW w:w="2052" w:type="pct"/>
            <w:vAlign w:val="center"/>
          </w:tcPr>
          <w:p w14:paraId="760D09C6" w14:textId="77777777" w:rsidR="009F6AC8" w:rsidRPr="008C72E5" w:rsidRDefault="009F6AC8" w:rsidP="00B558B7">
            <w:pPr>
              <w:pStyle w:val="TekstTabeli"/>
            </w:pPr>
            <w:r w:rsidRPr="008C72E5">
              <w:t>(2004) Quality in Higher Education, 10 (2), pp. 89 - 99, DOI: 10.1080/1353832042000230581</w:t>
            </w:r>
          </w:p>
        </w:tc>
      </w:tr>
      <w:tr w:rsidR="00C4329A" w:rsidRPr="004C10DC" w14:paraId="7246E548" w14:textId="77777777" w:rsidTr="00C4329A">
        <w:trPr>
          <w:cantSplit/>
        </w:trPr>
        <w:tc>
          <w:tcPr>
            <w:tcW w:w="297" w:type="pct"/>
            <w:vAlign w:val="center"/>
          </w:tcPr>
          <w:p w14:paraId="56F58BEC" w14:textId="77777777" w:rsidR="009F6AC8" w:rsidRPr="008C72E5" w:rsidRDefault="009F6AC8" w:rsidP="00B558B7">
            <w:pPr>
              <w:pStyle w:val="TekstTabeli"/>
            </w:pPr>
            <w:r w:rsidRPr="008C72E5">
              <w:t>29</w:t>
            </w:r>
          </w:p>
        </w:tc>
        <w:tc>
          <w:tcPr>
            <w:tcW w:w="880" w:type="pct"/>
            <w:vAlign w:val="center"/>
          </w:tcPr>
          <w:p w14:paraId="2505B6E0" w14:textId="77777777" w:rsidR="009F6AC8" w:rsidRPr="008C72E5" w:rsidRDefault="009F6AC8" w:rsidP="00B558B7">
            <w:pPr>
              <w:pStyle w:val="TekstTabeli"/>
            </w:pPr>
            <w:r w:rsidRPr="008C72E5">
              <w:t>Wright T.</w:t>
            </w:r>
          </w:p>
        </w:tc>
        <w:tc>
          <w:tcPr>
            <w:tcW w:w="1771" w:type="pct"/>
            <w:vAlign w:val="center"/>
          </w:tcPr>
          <w:p w14:paraId="6745768E" w14:textId="77777777" w:rsidR="009F6AC8" w:rsidRPr="008C72E5" w:rsidRDefault="009F6AC8" w:rsidP="00B558B7">
            <w:pPr>
              <w:pStyle w:val="TekstTabeli"/>
            </w:pPr>
            <w:r w:rsidRPr="008C72E5">
              <w:t>University presidents' conceptualizations of sustainability in higher education</w:t>
            </w:r>
          </w:p>
        </w:tc>
        <w:tc>
          <w:tcPr>
            <w:tcW w:w="2052" w:type="pct"/>
            <w:vAlign w:val="center"/>
          </w:tcPr>
          <w:p w14:paraId="6EE214DA" w14:textId="77777777" w:rsidR="009F6AC8" w:rsidRPr="008C72E5" w:rsidRDefault="009F6AC8" w:rsidP="00B558B7">
            <w:pPr>
              <w:pStyle w:val="TekstTabeli"/>
            </w:pPr>
            <w:r w:rsidRPr="008C72E5">
              <w:t>(2010) International Journal of Sustainability in Higher Education, 11 (1), pp. 61 - 73, DOI: 10.1108/14676371011010057</w:t>
            </w:r>
          </w:p>
        </w:tc>
      </w:tr>
      <w:tr w:rsidR="00C4329A" w:rsidRPr="004C10DC" w14:paraId="33898645" w14:textId="77777777" w:rsidTr="00C4329A">
        <w:trPr>
          <w:cantSplit/>
        </w:trPr>
        <w:tc>
          <w:tcPr>
            <w:tcW w:w="297" w:type="pct"/>
            <w:vAlign w:val="center"/>
          </w:tcPr>
          <w:p w14:paraId="24D6DF30" w14:textId="77777777" w:rsidR="009F6AC8" w:rsidRPr="008C72E5" w:rsidRDefault="009F6AC8" w:rsidP="00B558B7">
            <w:pPr>
              <w:pStyle w:val="TekstTabeli"/>
            </w:pPr>
            <w:r w:rsidRPr="008C72E5">
              <w:t>30</w:t>
            </w:r>
          </w:p>
        </w:tc>
        <w:tc>
          <w:tcPr>
            <w:tcW w:w="880" w:type="pct"/>
            <w:vAlign w:val="center"/>
          </w:tcPr>
          <w:p w14:paraId="623CFACB" w14:textId="2D716EF7" w:rsidR="009F6AC8" w:rsidRPr="008C72E5" w:rsidRDefault="009F6AC8" w:rsidP="00B558B7">
            <w:pPr>
              <w:pStyle w:val="TekstTabeli"/>
            </w:pPr>
            <w:r w:rsidRPr="008C72E5">
              <w:t xml:space="preserve">Matthews L.R., Pockett R.B., Nisbet G., </w:t>
            </w:r>
            <w:proofErr w:type="spellStart"/>
            <w:r w:rsidR="00D05480" w:rsidRPr="008C72E5">
              <w:t>i</w:t>
            </w:r>
            <w:proofErr w:type="spellEnd"/>
            <w:r w:rsidR="00D05480" w:rsidRPr="008C72E5">
              <w:t xml:space="preserve"> in.</w:t>
            </w:r>
          </w:p>
        </w:tc>
        <w:tc>
          <w:tcPr>
            <w:tcW w:w="1771" w:type="pct"/>
            <w:vAlign w:val="center"/>
          </w:tcPr>
          <w:p w14:paraId="586E2D17" w14:textId="77777777" w:rsidR="009F6AC8" w:rsidRPr="008C72E5" w:rsidRDefault="009F6AC8" w:rsidP="00B558B7">
            <w:pPr>
              <w:pStyle w:val="TekstTabeli"/>
            </w:pPr>
            <w:r w:rsidRPr="008C72E5">
              <w:t>Building capacity in Australian interprofessional health education: Perspectives from key health and higher education stakeholders</w:t>
            </w:r>
          </w:p>
        </w:tc>
        <w:tc>
          <w:tcPr>
            <w:tcW w:w="2052" w:type="pct"/>
            <w:vAlign w:val="center"/>
          </w:tcPr>
          <w:p w14:paraId="15C4A20D" w14:textId="77777777" w:rsidR="009F6AC8" w:rsidRPr="008C72E5" w:rsidRDefault="009F6AC8" w:rsidP="00B558B7">
            <w:pPr>
              <w:pStyle w:val="TekstTabeli"/>
            </w:pPr>
            <w:r w:rsidRPr="008C72E5">
              <w:t>(2011) Australian Health Review, 35 (2), pp. 136 - 140, DOI: 10.1071/AH10886</w:t>
            </w:r>
          </w:p>
        </w:tc>
      </w:tr>
      <w:tr w:rsidR="00C4329A" w:rsidRPr="004C10DC" w14:paraId="0BD243A5" w14:textId="77777777" w:rsidTr="00C4329A">
        <w:trPr>
          <w:cantSplit/>
        </w:trPr>
        <w:tc>
          <w:tcPr>
            <w:tcW w:w="297" w:type="pct"/>
            <w:vAlign w:val="center"/>
          </w:tcPr>
          <w:p w14:paraId="3DF0CBB9" w14:textId="77777777" w:rsidR="009F6AC8" w:rsidRPr="008C72E5" w:rsidRDefault="009F6AC8" w:rsidP="00B558B7">
            <w:pPr>
              <w:pStyle w:val="TekstTabeli"/>
            </w:pPr>
            <w:r w:rsidRPr="008C72E5">
              <w:lastRenderedPageBreak/>
              <w:t>31</w:t>
            </w:r>
          </w:p>
        </w:tc>
        <w:tc>
          <w:tcPr>
            <w:tcW w:w="880" w:type="pct"/>
            <w:vAlign w:val="center"/>
          </w:tcPr>
          <w:p w14:paraId="59C45D0F" w14:textId="77777777" w:rsidR="009F6AC8" w:rsidRPr="008C72E5" w:rsidRDefault="009F6AC8" w:rsidP="00B558B7">
            <w:pPr>
              <w:pStyle w:val="TekstTabeli"/>
            </w:pPr>
            <w:r w:rsidRPr="008C72E5">
              <w:t xml:space="preserve">Arroyo-Vázquez M., van der </w:t>
            </w:r>
            <w:proofErr w:type="spellStart"/>
            <w:r w:rsidRPr="008C72E5">
              <w:t>Sijde</w:t>
            </w:r>
            <w:proofErr w:type="spellEnd"/>
            <w:r w:rsidRPr="008C72E5">
              <w:t xml:space="preserve"> P., Jiménez-Sáez F.</w:t>
            </w:r>
          </w:p>
        </w:tc>
        <w:tc>
          <w:tcPr>
            <w:tcW w:w="1771" w:type="pct"/>
            <w:vAlign w:val="center"/>
          </w:tcPr>
          <w:p w14:paraId="5D32F505" w14:textId="77777777" w:rsidR="009F6AC8" w:rsidRPr="008C72E5" w:rsidRDefault="009F6AC8" w:rsidP="00B558B7">
            <w:pPr>
              <w:pStyle w:val="TekstTabeli"/>
            </w:pPr>
            <w:r w:rsidRPr="008C72E5">
              <w:t>Innovative and creative entrepreneurship support services at universities</w:t>
            </w:r>
          </w:p>
        </w:tc>
        <w:tc>
          <w:tcPr>
            <w:tcW w:w="2052" w:type="pct"/>
            <w:vAlign w:val="center"/>
          </w:tcPr>
          <w:p w14:paraId="06EEA23A" w14:textId="77777777" w:rsidR="009F6AC8" w:rsidRPr="008C72E5" w:rsidRDefault="009F6AC8" w:rsidP="00B558B7">
            <w:pPr>
              <w:pStyle w:val="TekstTabeli"/>
            </w:pPr>
            <w:r w:rsidRPr="008C72E5">
              <w:t>(2010) Service Business, 4 (1), pp. 63 - 76, DOI: 10.1007/s11628-009-0084-4</w:t>
            </w:r>
          </w:p>
        </w:tc>
      </w:tr>
      <w:tr w:rsidR="00C4329A" w:rsidRPr="004C10DC" w14:paraId="7F407240" w14:textId="77777777" w:rsidTr="00C4329A">
        <w:trPr>
          <w:cantSplit/>
        </w:trPr>
        <w:tc>
          <w:tcPr>
            <w:tcW w:w="297" w:type="pct"/>
            <w:vAlign w:val="center"/>
          </w:tcPr>
          <w:p w14:paraId="1C79C9BD" w14:textId="77777777" w:rsidR="009F6AC8" w:rsidRPr="008C72E5" w:rsidRDefault="009F6AC8" w:rsidP="00B558B7">
            <w:pPr>
              <w:pStyle w:val="TekstTabeli"/>
            </w:pPr>
            <w:r w:rsidRPr="008C72E5">
              <w:t>32</w:t>
            </w:r>
          </w:p>
        </w:tc>
        <w:tc>
          <w:tcPr>
            <w:tcW w:w="880" w:type="pct"/>
            <w:vAlign w:val="center"/>
          </w:tcPr>
          <w:p w14:paraId="073D255D" w14:textId="77777777" w:rsidR="009F6AC8" w:rsidRPr="008C72E5" w:rsidRDefault="009F6AC8" w:rsidP="00B558B7">
            <w:pPr>
              <w:pStyle w:val="TekstTabeli"/>
            </w:pPr>
            <w:r w:rsidRPr="008C72E5">
              <w:t>Rudolph J., Tan S., Tan S.</w:t>
            </w:r>
          </w:p>
        </w:tc>
        <w:tc>
          <w:tcPr>
            <w:tcW w:w="1771" w:type="pct"/>
            <w:vAlign w:val="center"/>
          </w:tcPr>
          <w:p w14:paraId="4FCF221F" w14:textId="77777777" w:rsidR="009F6AC8" w:rsidRPr="008C72E5" w:rsidRDefault="009F6AC8" w:rsidP="00B558B7">
            <w:pPr>
              <w:pStyle w:val="TekstTabeli"/>
            </w:pPr>
            <w:r w:rsidRPr="008C72E5">
              <w:t>War of the chatbots: Bard, Bing Chat, ChatGPT, Ernie and beyond. The new AI gold rush and its impact on higher education</w:t>
            </w:r>
          </w:p>
        </w:tc>
        <w:tc>
          <w:tcPr>
            <w:tcW w:w="2052" w:type="pct"/>
            <w:vAlign w:val="center"/>
          </w:tcPr>
          <w:p w14:paraId="585CE816" w14:textId="77777777" w:rsidR="009F6AC8" w:rsidRPr="008C72E5" w:rsidRDefault="009F6AC8" w:rsidP="00B558B7">
            <w:pPr>
              <w:pStyle w:val="TekstTabeli"/>
            </w:pPr>
            <w:r w:rsidRPr="008C72E5">
              <w:t>(2023) Journal of Applied Learning and Teaching, 6 (1), pp. 364 - 389, DOI: 10.37074/jalt.2023.6.1.23</w:t>
            </w:r>
          </w:p>
        </w:tc>
      </w:tr>
      <w:tr w:rsidR="00C4329A" w:rsidRPr="004C10DC" w14:paraId="6B4DCAF4" w14:textId="77777777" w:rsidTr="00C4329A">
        <w:trPr>
          <w:cantSplit/>
        </w:trPr>
        <w:tc>
          <w:tcPr>
            <w:tcW w:w="297" w:type="pct"/>
            <w:vAlign w:val="center"/>
          </w:tcPr>
          <w:p w14:paraId="666BEE6B" w14:textId="77777777" w:rsidR="009F6AC8" w:rsidRPr="008C72E5" w:rsidRDefault="009F6AC8" w:rsidP="00B558B7">
            <w:pPr>
              <w:pStyle w:val="TekstTabeli"/>
            </w:pPr>
            <w:r w:rsidRPr="008C72E5">
              <w:t>33</w:t>
            </w:r>
          </w:p>
        </w:tc>
        <w:tc>
          <w:tcPr>
            <w:tcW w:w="880" w:type="pct"/>
            <w:vAlign w:val="center"/>
          </w:tcPr>
          <w:p w14:paraId="55A671BC" w14:textId="77777777" w:rsidR="009F6AC8" w:rsidRPr="008C72E5" w:rsidRDefault="009F6AC8" w:rsidP="00B558B7">
            <w:pPr>
              <w:pStyle w:val="TekstTabeli"/>
            </w:pPr>
            <w:proofErr w:type="spellStart"/>
            <w:r w:rsidRPr="008C72E5">
              <w:t>Frasquet</w:t>
            </w:r>
            <w:proofErr w:type="spellEnd"/>
            <w:r w:rsidRPr="008C72E5">
              <w:t xml:space="preserve"> M., Calderón H., Cervera A.</w:t>
            </w:r>
          </w:p>
        </w:tc>
        <w:tc>
          <w:tcPr>
            <w:tcW w:w="1771" w:type="pct"/>
            <w:vAlign w:val="center"/>
          </w:tcPr>
          <w:p w14:paraId="6D662497" w14:textId="77777777" w:rsidR="009F6AC8" w:rsidRPr="008C72E5" w:rsidRDefault="009F6AC8" w:rsidP="00B558B7">
            <w:pPr>
              <w:pStyle w:val="TekstTabeli"/>
            </w:pPr>
            <w:r w:rsidRPr="008C72E5">
              <w:t>University-industry collaboration from a relationship marketing perspective: An empirical analysis in a Spanish University</w:t>
            </w:r>
          </w:p>
        </w:tc>
        <w:tc>
          <w:tcPr>
            <w:tcW w:w="2052" w:type="pct"/>
            <w:vAlign w:val="center"/>
          </w:tcPr>
          <w:p w14:paraId="0296B942" w14:textId="77777777" w:rsidR="009F6AC8" w:rsidRPr="008C72E5" w:rsidRDefault="009F6AC8" w:rsidP="00B558B7">
            <w:pPr>
              <w:pStyle w:val="TekstTabeli"/>
            </w:pPr>
            <w:r w:rsidRPr="008C72E5">
              <w:t>(2012) Higher Education, 64 (1), pp. 85 - 98, DOI: 10.1007/s10734-011-9482-3</w:t>
            </w:r>
          </w:p>
        </w:tc>
      </w:tr>
      <w:tr w:rsidR="00C4329A" w:rsidRPr="004C10DC" w14:paraId="1132B0CC" w14:textId="77777777" w:rsidTr="00C4329A">
        <w:trPr>
          <w:cantSplit/>
        </w:trPr>
        <w:tc>
          <w:tcPr>
            <w:tcW w:w="297" w:type="pct"/>
            <w:vAlign w:val="center"/>
          </w:tcPr>
          <w:p w14:paraId="226FD267" w14:textId="77777777" w:rsidR="009F6AC8" w:rsidRPr="008C72E5" w:rsidRDefault="009F6AC8" w:rsidP="00B558B7">
            <w:pPr>
              <w:pStyle w:val="TekstTabeli"/>
            </w:pPr>
            <w:r w:rsidRPr="008C72E5">
              <w:t>34</w:t>
            </w:r>
          </w:p>
        </w:tc>
        <w:tc>
          <w:tcPr>
            <w:tcW w:w="880" w:type="pct"/>
            <w:vAlign w:val="center"/>
          </w:tcPr>
          <w:p w14:paraId="36E78938" w14:textId="77777777" w:rsidR="009F6AC8" w:rsidRPr="008C72E5" w:rsidRDefault="009F6AC8" w:rsidP="00B558B7">
            <w:pPr>
              <w:pStyle w:val="TekstTabeli"/>
            </w:pPr>
            <w:r w:rsidRPr="008C72E5">
              <w:t>Lawlis T.R., Anson J., Greenfield D.</w:t>
            </w:r>
          </w:p>
        </w:tc>
        <w:tc>
          <w:tcPr>
            <w:tcW w:w="1771" w:type="pct"/>
            <w:vAlign w:val="center"/>
          </w:tcPr>
          <w:p w14:paraId="6B87EDFA" w14:textId="77777777" w:rsidR="009F6AC8" w:rsidRPr="008C72E5" w:rsidRDefault="009F6AC8" w:rsidP="00B558B7">
            <w:pPr>
              <w:pStyle w:val="TekstTabeli"/>
            </w:pPr>
            <w:r w:rsidRPr="008C72E5">
              <w:t>Barriers and enablers that influence sustainable interprofessional education: A literature review</w:t>
            </w:r>
          </w:p>
        </w:tc>
        <w:tc>
          <w:tcPr>
            <w:tcW w:w="2052" w:type="pct"/>
            <w:vAlign w:val="center"/>
          </w:tcPr>
          <w:p w14:paraId="58C17858" w14:textId="77777777" w:rsidR="009F6AC8" w:rsidRPr="008C72E5" w:rsidRDefault="009F6AC8" w:rsidP="00B558B7">
            <w:pPr>
              <w:pStyle w:val="TekstTabeli"/>
            </w:pPr>
            <w:r w:rsidRPr="008C72E5">
              <w:t>(2014) Journal of Interprofessional Care, 28 (4), pp. 305 - 310, DOI: 10.3109/13561820.2014.895977</w:t>
            </w:r>
          </w:p>
        </w:tc>
      </w:tr>
      <w:tr w:rsidR="00C4329A" w:rsidRPr="004C10DC" w14:paraId="11A60AEF" w14:textId="77777777" w:rsidTr="00C4329A">
        <w:trPr>
          <w:cantSplit/>
        </w:trPr>
        <w:tc>
          <w:tcPr>
            <w:tcW w:w="297" w:type="pct"/>
            <w:vAlign w:val="center"/>
          </w:tcPr>
          <w:p w14:paraId="60B53A01" w14:textId="77777777" w:rsidR="009F6AC8" w:rsidRPr="008C72E5" w:rsidRDefault="009F6AC8" w:rsidP="00B558B7">
            <w:pPr>
              <w:pStyle w:val="TekstTabeli"/>
            </w:pPr>
            <w:r w:rsidRPr="008C72E5">
              <w:t>35</w:t>
            </w:r>
          </w:p>
        </w:tc>
        <w:tc>
          <w:tcPr>
            <w:tcW w:w="880" w:type="pct"/>
            <w:vAlign w:val="center"/>
          </w:tcPr>
          <w:p w14:paraId="237F2589" w14:textId="10674921" w:rsidR="009F6AC8" w:rsidRPr="008C72E5" w:rsidRDefault="009F6AC8" w:rsidP="00B558B7">
            <w:pPr>
              <w:pStyle w:val="TekstTabeli"/>
            </w:pPr>
            <w:proofErr w:type="spellStart"/>
            <w:r w:rsidRPr="008C72E5">
              <w:t>Nwajiuba</w:t>
            </w:r>
            <w:proofErr w:type="spellEnd"/>
            <w:r w:rsidRPr="008C72E5">
              <w:t xml:space="preserve"> C.A., Igwe P.A., Akinsola-</w:t>
            </w:r>
            <w:proofErr w:type="spellStart"/>
            <w:r w:rsidRPr="008C72E5">
              <w:t>Obatolu</w:t>
            </w:r>
            <w:proofErr w:type="spellEnd"/>
            <w:r w:rsidRPr="008C72E5">
              <w:t xml:space="preserve"> A.D.,</w:t>
            </w:r>
            <w:r w:rsidR="00D05480" w:rsidRPr="008C72E5">
              <w:t xml:space="preserve"> </w:t>
            </w:r>
            <w:proofErr w:type="spellStart"/>
            <w:r w:rsidR="00D05480" w:rsidRPr="008C72E5">
              <w:t>i</w:t>
            </w:r>
            <w:proofErr w:type="spellEnd"/>
            <w:r w:rsidR="00D05480" w:rsidRPr="008C72E5">
              <w:t xml:space="preserve"> in.</w:t>
            </w:r>
          </w:p>
        </w:tc>
        <w:tc>
          <w:tcPr>
            <w:tcW w:w="1771" w:type="pct"/>
            <w:vAlign w:val="center"/>
          </w:tcPr>
          <w:p w14:paraId="5FCFC532" w14:textId="77777777" w:rsidR="009F6AC8" w:rsidRPr="008C72E5" w:rsidRDefault="009F6AC8" w:rsidP="00B558B7">
            <w:pPr>
              <w:pStyle w:val="TekstTabeli"/>
            </w:pPr>
            <w:r w:rsidRPr="008C72E5">
              <w:t>What can be done to improve higher education quality and graduate employability in Nigeria? A stakeholder approach</w:t>
            </w:r>
          </w:p>
        </w:tc>
        <w:tc>
          <w:tcPr>
            <w:tcW w:w="2052" w:type="pct"/>
            <w:vAlign w:val="center"/>
          </w:tcPr>
          <w:p w14:paraId="40CCF37E" w14:textId="77777777" w:rsidR="009F6AC8" w:rsidRPr="008C72E5" w:rsidRDefault="009F6AC8" w:rsidP="00B558B7">
            <w:pPr>
              <w:pStyle w:val="TekstTabeli"/>
            </w:pPr>
            <w:r w:rsidRPr="008C72E5">
              <w:t>(2020) Industry and Higher Education, 34 (5), pp. 358 - 367, DOI: 10.1177/0950422219901102</w:t>
            </w:r>
          </w:p>
        </w:tc>
      </w:tr>
      <w:tr w:rsidR="00C4329A" w:rsidRPr="004C10DC" w14:paraId="2604AEF8" w14:textId="77777777" w:rsidTr="00C4329A">
        <w:trPr>
          <w:cantSplit/>
        </w:trPr>
        <w:tc>
          <w:tcPr>
            <w:tcW w:w="297" w:type="pct"/>
            <w:vAlign w:val="center"/>
          </w:tcPr>
          <w:p w14:paraId="29FE245A" w14:textId="77777777" w:rsidR="009F6AC8" w:rsidRPr="008C72E5" w:rsidRDefault="009F6AC8" w:rsidP="00B558B7">
            <w:pPr>
              <w:pStyle w:val="TekstTabeli"/>
            </w:pPr>
            <w:r w:rsidRPr="008C72E5">
              <w:t>36</w:t>
            </w:r>
          </w:p>
        </w:tc>
        <w:tc>
          <w:tcPr>
            <w:tcW w:w="880" w:type="pct"/>
            <w:vAlign w:val="center"/>
          </w:tcPr>
          <w:p w14:paraId="15C56D03" w14:textId="77777777" w:rsidR="009F6AC8" w:rsidRPr="008C72E5" w:rsidRDefault="009F6AC8" w:rsidP="00B558B7">
            <w:pPr>
              <w:pStyle w:val="TekstTabeli"/>
            </w:pPr>
            <w:r w:rsidRPr="008C72E5">
              <w:t>Kezar A.</w:t>
            </w:r>
          </w:p>
        </w:tc>
        <w:tc>
          <w:tcPr>
            <w:tcW w:w="1771" w:type="pct"/>
            <w:vAlign w:val="center"/>
          </w:tcPr>
          <w:p w14:paraId="51F3B72C" w14:textId="77777777" w:rsidR="009F6AC8" w:rsidRPr="008C72E5" w:rsidRDefault="009F6AC8" w:rsidP="00B558B7">
            <w:pPr>
              <w:pStyle w:val="TekstTabeli"/>
            </w:pPr>
            <w:r w:rsidRPr="008C72E5">
              <w:t>Understanding sensemaking/</w:t>
            </w:r>
            <w:proofErr w:type="spellStart"/>
            <w:r w:rsidRPr="008C72E5">
              <w:t>sensegiving</w:t>
            </w:r>
            <w:proofErr w:type="spellEnd"/>
            <w:r w:rsidRPr="008C72E5">
              <w:t xml:space="preserve"> in transformational change processes from the bottom up</w:t>
            </w:r>
          </w:p>
        </w:tc>
        <w:tc>
          <w:tcPr>
            <w:tcW w:w="2052" w:type="pct"/>
            <w:vAlign w:val="center"/>
          </w:tcPr>
          <w:p w14:paraId="0DC6FDD6" w14:textId="77777777" w:rsidR="009F6AC8" w:rsidRPr="008C72E5" w:rsidRDefault="009F6AC8" w:rsidP="00B558B7">
            <w:pPr>
              <w:pStyle w:val="TekstTabeli"/>
            </w:pPr>
            <w:r w:rsidRPr="008C72E5">
              <w:t>(2013) Higher Education, 65 (6), pp. 761 - 780, DOI: 10.1007/s10734-012-9575-7</w:t>
            </w:r>
          </w:p>
        </w:tc>
      </w:tr>
      <w:tr w:rsidR="00C4329A" w:rsidRPr="004C10DC" w14:paraId="75B0FBE9" w14:textId="77777777" w:rsidTr="00C4329A">
        <w:trPr>
          <w:cantSplit/>
        </w:trPr>
        <w:tc>
          <w:tcPr>
            <w:tcW w:w="297" w:type="pct"/>
            <w:vAlign w:val="center"/>
          </w:tcPr>
          <w:p w14:paraId="1CB92ABA" w14:textId="77777777" w:rsidR="009F6AC8" w:rsidRPr="008C72E5" w:rsidRDefault="009F6AC8" w:rsidP="00B558B7">
            <w:pPr>
              <w:pStyle w:val="TekstTabeli"/>
            </w:pPr>
            <w:r w:rsidRPr="008C72E5">
              <w:t>37</w:t>
            </w:r>
          </w:p>
        </w:tc>
        <w:tc>
          <w:tcPr>
            <w:tcW w:w="880" w:type="pct"/>
            <w:vAlign w:val="center"/>
          </w:tcPr>
          <w:p w14:paraId="06A8D1C1" w14:textId="77777777" w:rsidR="009F6AC8" w:rsidRPr="008C72E5" w:rsidRDefault="009F6AC8" w:rsidP="00B558B7">
            <w:pPr>
              <w:pStyle w:val="TekstTabeli"/>
            </w:pPr>
            <w:r w:rsidRPr="008C72E5">
              <w:t>Lieblein G., Breland T.A., Francis C., Østergaard E.</w:t>
            </w:r>
          </w:p>
        </w:tc>
        <w:tc>
          <w:tcPr>
            <w:tcW w:w="1771" w:type="pct"/>
            <w:vAlign w:val="center"/>
          </w:tcPr>
          <w:p w14:paraId="158384B9" w14:textId="77777777" w:rsidR="009F6AC8" w:rsidRPr="008C72E5" w:rsidRDefault="009F6AC8" w:rsidP="00B558B7">
            <w:pPr>
              <w:pStyle w:val="TekstTabeli"/>
            </w:pPr>
            <w:r w:rsidRPr="008C72E5">
              <w:t>Agroecology Education: Action-oriented Learning and Research</w:t>
            </w:r>
          </w:p>
        </w:tc>
        <w:tc>
          <w:tcPr>
            <w:tcW w:w="2052" w:type="pct"/>
            <w:vAlign w:val="center"/>
          </w:tcPr>
          <w:p w14:paraId="71877C1B" w14:textId="77777777" w:rsidR="009F6AC8" w:rsidRPr="008C72E5" w:rsidRDefault="009F6AC8" w:rsidP="00B558B7">
            <w:pPr>
              <w:pStyle w:val="TekstTabeli"/>
            </w:pPr>
            <w:r w:rsidRPr="008C72E5">
              <w:t>(2012) Journal of Agricultural Education and Extension, 18 (1), pp. 27 - 40, DOI: 10.1080/1389224X.2012.638781</w:t>
            </w:r>
          </w:p>
        </w:tc>
      </w:tr>
      <w:tr w:rsidR="00C4329A" w:rsidRPr="004C10DC" w14:paraId="6A8171CF" w14:textId="77777777" w:rsidTr="00C4329A">
        <w:trPr>
          <w:cantSplit/>
        </w:trPr>
        <w:tc>
          <w:tcPr>
            <w:tcW w:w="297" w:type="pct"/>
            <w:vAlign w:val="center"/>
          </w:tcPr>
          <w:p w14:paraId="21BD0D43" w14:textId="77777777" w:rsidR="009F6AC8" w:rsidRPr="008C72E5" w:rsidRDefault="009F6AC8" w:rsidP="00B558B7">
            <w:pPr>
              <w:pStyle w:val="TekstTabeli"/>
            </w:pPr>
            <w:r w:rsidRPr="008C72E5">
              <w:t>38</w:t>
            </w:r>
          </w:p>
        </w:tc>
        <w:tc>
          <w:tcPr>
            <w:tcW w:w="880" w:type="pct"/>
            <w:vAlign w:val="center"/>
          </w:tcPr>
          <w:p w14:paraId="6CB2814E" w14:textId="77777777" w:rsidR="009F6AC8" w:rsidRPr="008C72E5" w:rsidRDefault="009F6AC8" w:rsidP="00B558B7">
            <w:pPr>
              <w:pStyle w:val="TekstTabeli"/>
            </w:pPr>
            <w:proofErr w:type="spellStart"/>
            <w:r w:rsidRPr="008C72E5">
              <w:t>Okanović</w:t>
            </w:r>
            <w:proofErr w:type="spellEnd"/>
            <w:r w:rsidRPr="008C72E5">
              <w:t xml:space="preserve"> A., Ješić J., </w:t>
            </w:r>
            <w:proofErr w:type="spellStart"/>
            <w:r w:rsidRPr="008C72E5">
              <w:t>Ðaković</w:t>
            </w:r>
            <w:proofErr w:type="spellEnd"/>
            <w:r w:rsidRPr="008C72E5">
              <w:t xml:space="preserve"> V., Vukadinović S., Panić A.A.</w:t>
            </w:r>
          </w:p>
        </w:tc>
        <w:tc>
          <w:tcPr>
            <w:tcW w:w="1771" w:type="pct"/>
            <w:vAlign w:val="center"/>
          </w:tcPr>
          <w:p w14:paraId="17176F7F" w14:textId="77777777" w:rsidR="009F6AC8" w:rsidRPr="008C72E5" w:rsidRDefault="009F6AC8" w:rsidP="00B558B7">
            <w:pPr>
              <w:pStyle w:val="TekstTabeli"/>
            </w:pPr>
            <w:r w:rsidRPr="008C72E5">
              <w:t>Increasing university competitiveness through assessment of green content in curriculum and eco-labeling in higher education</w:t>
            </w:r>
          </w:p>
        </w:tc>
        <w:tc>
          <w:tcPr>
            <w:tcW w:w="2052" w:type="pct"/>
            <w:vAlign w:val="center"/>
          </w:tcPr>
          <w:p w14:paraId="791D0CD0" w14:textId="77777777" w:rsidR="009F6AC8" w:rsidRPr="008C72E5" w:rsidRDefault="009F6AC8" w:rsidP="00B558B7">
            <w:pPr>
              <w:pStyle w:val="TekstTabeli"/>
            </w:pPr>
            <w:r w:rsidRPr="008C72E5">
              <w:t>(2021) Sustainability (Switzerland), 13 (2), art. no. 712, pp. 1 - 20, DOI: 10.3390/su13020712</w:t>
            </w:r>
          </w:p>
        </w:tc>
      </w:tr>
      <w:tr w:rsidR="00C4329A" w:rsidRPr="004C10DC" w14:paraId="55DC28E8" w14:textId="77777777" w:rsidTr="00C4329A">
        <w:trPr>
          <w:cantSplit/>
        </w:trPr>
        <w:tc>
          <w:tcPr>
            <w:tcW w:w="297" w:type="pct"/>
            <w:vAlign w:val="center"/>
          </w:tcPr>
          <w:p w14:paraId="02F801EC" w14:textId="77777777" w:rsidR="009F6AC8" w:rsidRPr="008C72E5" w:rsidRDefault="009F6AC8" w:rsidP="00B558B7">
            <w:pPr>
              <w:pStyle w:val="TekstTabeli"/>
            </w:pPr>
            <w:r w:rsidRPr="008C72E5">
              <w:t>39</w:t>
            </w:r>
          </w:p>
        </w:tc>
        <w:tc>
          <w:tcPr>
            <w:tcW w:w="880" w:type="pct"/>
            <w:vAlign w:val="center"/>
          </w:tcPr>
          <w:p w14:paraId="7F6E678A" w14:textId="77777777" w:rsidR="009F6AC8" w:rsidRPr="008C72E5" w:rsidRDefault="009F6AC8" w:rsidP="00B558B7">
            <w:pPr>
              <w:pStyle w:val="TekstTabeli"/>
            </w:pPr>
            <w:r w:rsidRPr="008C72E5">
              <w:t>Wright T., Horst N.</w:t>
            </w:r>
          </w:p>
        </w:tc>
        <w:tc>
          <w:tcPr>
            <w:tcW w:w="1771" w:type="pct"/>
            <w:vAlign w:val="center"/>
          </w:tcPr>
          <w:p w14:paraId="49870ACD" w14:textId="77777777" w:rsidR="009F6AC8" w:rsidRPr="008C72E5" w:rsidRDefault="009F6AC8" w:rsidP="00B558B7">
            <w:pPr>
              <w:pStyle w:val="TekstTabeli"/>
            </w:pPr>
            <w:r w:rsidRPr="008C72E5">
              <w:t>Exploring the ambiguity: What faculty leaders really think of sustainability in higher education</w:t>
            </w:r>
          </w:p>
        </w:tc>
        <w:tc>
          <w:tcPr>
            <w:tcW w:w="2052" w:type="pct"/>
            <w:vAlign w:val="center"/>
          </w:tcPr>
          <w:p w14:paraId="5CB63A01" w14:textId="77777777" w:rsidR="009F6AC8" w:rsidRPr="008C72E5" w:rsidRDefault="009F6AC8" w:rsidP="00B558B7">
            <w:pPr>
              <w:pStyle w:val="TekstTabeli"/>
            </w:pPr>
            <w:r w:rsidRPr="008C72E5">
              <w:t>(2013) International Journal of Sustainability in Higher Education, 14 (2), pp. 209 - 227, DOI: 10.1108/14676371311312905</w:t>
            </w:r>
          </w:p>
        </w:tc>
      </w:tr>
      <w:tr w:rsidR="00C4329A" w:rsidRPr="004C10DC" w14:paraId="3BD82FCC" w14:textId="77777777" w:rsidTr="00C4329A">
        <w:trPr>
          <w:cantSplit/>
        </w:trPr>
        <w:tc>
          <w:tcPr>
            <w:tcW w:w="297" w:type="pct"/>
            <w:vAlign w:val="center"/>
          </w:tcPr>
          <w:p w14:paraId="7A1A1F60" w14:textId="77777777" w:rsidR="009F6AC8" w:rsidRPr="008C72E5" w:rsidRDefault="009F6AC8" w:rsidP="00B558B7">
            <w:pPr>
              <w:pStyle w:val="TekstTabeli"/>
            </w:pPr>
            <w:r w:rsidRPr="008C72E5">
              <w:t>40</w:t>
            </w:r>
          </w:p>
        </w:tc>
        <w:tc>
          <w:tcPr>
            <w:tcW w:w="880" w:type="pct"/>
            <w:vAlign w:val="center"/>
          </w:tcPr>
          <w:p w14:paraId="57329092" w14:textId="77777777" w:rsidR="009F6AC8" w:rsidRPr="008C72E5" w:rsidRDefault="009F6AC8" w:rsidP="00B558B7">
            <w:pPr>
              <w:pStyle w:val="TekstTabeli"/>
            </w:pPr>
            <w:r w:rsidRPr="008C72E5">
              <w:t>Lozano R.</w:t>
            </w:r>
          </w:p>
        </w:tc>
        <w:tc>
          <w:tcPr>
            <w:tcW w:w="1771" w:type="pct"/>
            <w:vAlign w:val="center"/>
          </w:tcPr>
          <w:p w14:paraId="49E1240E" w14:textId="77777777" w:rsidR="009F6AC8" w:rsidRPr="008C72E5" w:rsidRDefault="009F6AC8" w:rsidP="00B558B7">
            <w:pPr>
              <w:pStyle w:val="TekstTabeli"/>
            </w:pPr>
            <w:r w:rsidRPr="008C72E5">
              <w:t>Incorporation and institutionalization of SD into universities: breaking through barriers to change</w:t>
            </w:r>
          </w:p>
        </w:tc>
        <w:tc>
          <w:tcPr>
            <w:tcW w:w="2052" w:type="pct"/>
            <w:vAlign w:val="center"/>
          </w:tcPr>
          <w:p w14:paraId="5D30FFF5" w14:textId="77777777" w:rsidR="009F6AC8" w:rsidRPr="008C72E5" w:rsidRDefault="009F6AC8" w:rsidP="00B558B7">
            <w:pPr>
              <w:pStyle w:val="TekstTabeli"/>
            </w:pPr>
            <w:r w:rsidRPr="008C72E5">
              <w:t>(2006) Journal of Cleaner Production, 14 (9-11), pp. 787 - 796, DOI: 10.1016/j.jclepro.2005.12.010</w:t>
            </w:r>
          </w:p>
        </w:tc>
      </w:tr>
      <w:tr w:rsidR="00C4329A" w:rsidRPr="004C10DC" w14:paraId="481AE0EB" w14:textId="77777777" w:rsidTr="00C4329A">
        <w:trPr>
          <w:cantSplit/>
        </w:trPr>
        <w:tc>
          <w:tcPr>
            <w:tcW w:w="297" w:type="pct"/>
            <w:vAlign w:val="center"/>
          </w:tcPr>
          <w:p w14:paraId="6FAE7E1F" w14:textId="77777777" w:rsidR="009F6AC8" w:rsidRPr="008C72E5" w:rsidRDefault="009F6AC8" w:rsidP="00B558B7">
            <w:pPr>
              <w:pStyle w:val="TekstTabeli"/>
            </w:pPr>
            <w:r w:rsidRPr="008C72E5">
              <w:t>41</w:t>
            </w:r>
          </w:p>
        </w:tc>
        <w:tc>
          <w:tcPr>
            <w:tcW w:w="880" w:type="pct"/>
            <w:vAlign w:val="center"/>
          </w:tcPr>
          <w:p w14:paraId="14296360" w14:textId="77777777" w:rsidR="009F6AC8" w:rsidRPr="008C72E5" w:rsidRDefault="009F6AC8" w:rsidP="00B558B7">
            <w:pPr>
              <w:pStyle w:val="TekstTabeli"/>
            </w:pPr>
            <w:proofErr w:type="spellStart"/>
            <w:r w:rsidRPr="008C72E5">
              <w:t>Benneworth</w:t>
            </w:r>
            <w:proofErr w:type="spellEnd"/>
            <w:r w:rsidRPr="008C72E5">
              <w:t xml:space="preserve"> P., de Boer H., </w:t>
            </w:r>
            <w:proofErr w:type="spellStart"/>
            <w:r w:rsidRPr="008C72E5">
              <w:t>Jongbloed</w:t>
            </w:r>
            <w:proofErr w:type="spellEnd"/>
            <w:r w:rsidRPr="008C72E5">
              <w:t xml:space="preserve"> B.</w:t>
            </w:r>
          </w:p>
        </w:tc>
        <w:tc>
          <w:tcPr>
            <w:tcW w:w="1771" w:type="pct"/>
            <w:vAlign w:val="center"/>
          </w:tcPr>
          <w:p w14:paraId="12D613F3" w14:textId="77777777" w:rsidR="009F6AC8" w:rsidRPr="008C72E5" w:rsidRDefault="009F6AC8" w:rsidP="00B558B7">
            <w:pPr>
              <w:pStyle w:val="TekstTabeli"/>
            </w:pPr>
            <w:r w:rsidRPr="008C72E5">
              <w:t>Between good intentions and urgent stakeholder pressures: Institutionalizing the universities’ third mission in the Swedish context</w:t>
            </w:r>
          </w:p>
        </w:tc>
        <w:tc>
          <w:tcPr>
            <w:tcW w:w="2052" w:type="pct"/>
            <w:vAlign w:val="center"/>
          </w:tcPr>
          <w:p w14:paraId="39C7FBFD" w14:textId="77777777" w:rsidR="009F6AC8" w:rsidRPr="008C72E5" w:rsidRDefault="009F6AC8" w:rsidP="00B558B7">
            <w:pPr>
              <w:pStyle w:val="TekstTabeli"/>
            </w:pPr>
            <w:r w:rsidRPr="008C72E5">
              <w:t>(2015) European Journal of Higher Education, 5 (3), pp. 280 - 296, DOI: 10.1080/21568235.2015.1044549</w:t>
            </w:r>
          </w:p>
        </w:tc>
      </w:tr>
      <w:tr w:rsidR="00C4329A" w:rsidRPr="004C10DC" w14:paraId="58017D05" w14:textId="77777777" w:rsidTr="00C4329A">
        <w:trPr>
          <w:cantSplit/>
        </w:trPr>
        <w:tc>
          <w:tcPr>
            <w:tcW w:w="297" w:type="pct"/>
            <w:vAlign w:val="center"/>
          </w:tcPr>
          <w:p w14:paraId="4A336033" w14:textId="77777777" w:rsidR="009F6AC8" w:rsidRPr="008C72E5" w:rsidRDefault="009F6AC8" w:rsidP="00B558B7">
            <w:pPr>
              <w:pStyle w:val="TekstTabeli"/>
            </w:pPr>
            <w:r w:rsidRPr="008C72E5">
              <w:t>42</w:t>
            </w:r>
          </w:p>
        </w:tc>
        <w:tc>
          <w:tcPr>
            <w:tcW w:w="880" w:type="pct"/>
            <w:vAlign w:val="center"/>
          </w:tcPr>
          <w:p w14:paraId="2FFE73A6" w14:textId="77777777" w:rsidR="009F6AC8" w:rsidRPr="008C72E5" w:rsidRDefault="009F6AC8" w:rsidP="00B558B7">
            <w:pPr>
              <w:pStyle w:val="TekstTabeli"/>
            </w:pPr>
            <w:proofErr w:type="spellStart"/>
            <w:r w:rsidRPr="008C72E5">
              <w:t>Beerkens</w:t>
            </w:r>
            <w:proofErr w:type="spellEnd"/>
            <w:r w:rsidRPr="008C72E5">
              <w:t xml:space="preserve"> M., Udam M.</w:t>
            </w:r>
          </w:p>
        </w:tc>
        <w:tc>
          <w:tcPr>
            <w:tcW w:w="1771" w:type="pct"/>
            <w:vAlign w:val="center"/>
          </w:tcPr>
          <w:p w14:paraId="4FA76917" w14:textId="77777777" w:rsidR="009F6AC8" w:rsidRPr="008C72E5" w:rsidRDefault="009F6AC8" w:rsidP="00B558B7">
            <w:pPr>
              <w:pStyle w:val="TekstTabeli"/>
            </w:pPr>
            <w:r w:rsidRPr="008C72E5">
              <w:t>Stakeholders in Higher Education Quality Assurance: Richness in Diversity?</w:t>
            </w:r>
          </w:p>
        </w:tc>
        <w:tc>
          <w:tcPr>
            <w:tcW w:w="2052" w:type="pct"/>
            <w:vAlign w:val="center"/>
          </w:tcPr>
          <w:p w14:paraId="647783A0" w14:textId="77777777" w:rsidR="009F6AC8" w:rsidRPr="008C72E5" w:rsidRDefault="009F6AC8" w:rsidP="00B558B7">
            <w:pPr>
              <w:pStyle w:val="TekstTabeli"/>
            </w:pPr>
            <w:r w:rsidRPr="008C72E5">
              <w:t>(2017) Higher Education Policy, 30 (3), pp. 341 - 359, DOI: 10.1057/s41307-016-0032-6</w:t>
            </w:r>
          </w:p>
        </w:tc>
      </w:tr>
      <w:tr w:rsidR="00C4329A" w:rsidRPr="004C10DC" w14:paraId="74633BFF" w14:textId="77777777" w:rsidTr="00C4329A">
        <w:trPr>
          <w:cantSplit/>
        </w:trPr>
        <w:tc>
          <w:tcPr>
            <w:tcW w:w="297" w:type="pct"/>
            <w:vAlign w:val="center"/>
          </w:tcPr>
          <w:p w14:paraId="4C26183C" w14:textId="77777777" w:rsidR="009F6AC8" w:rsidRPr="008C72E5" w:rsidRDefault="009F6AC8" w:rsidP="00B558B7">
            <w:pPr>
              <w:pStyle w:val="TekstTabeli"/>
            </w:pPr>
            <w:r w:rsidRPr="008C72E5">
              <w:t>43</w:t>
            </w:r>
          </w:p>
        </w:tc>
        <w:tc>
          <w:tcPr>
            <w:tcW w:w="880" w:type="pct"/>
            <w:vAlign w:val="center"/>
          </w:tcPr>
          <w:p w14:paraId="6C7C9374" w14:textId="77777777" w:rsidR="009F6AC8" w:rsidRPr="008C72E5" w:rsidRDefault="009F6AC8" w:rsidP="00B558B7">
            <w:pPr>
              <w:pStyle w:val="TekstTabeli"/>
            </w:pPr>
            <w:r w:rsidRPr="008C72E5">
              <w:t>Tsang A.</w:t>
            </w:r>
          </w:p>
        </w:tc>
        <w:tc>
          <w:tcPr>
            <w:tcW w:w="1771" w:type="pct"/>
            <w:vAlign w:val="center"/>
          </w:tcPr>
          <w:p w14:paraId="0231CB4C" w14:textId="77777777" w:rsidR="009F6AC8" w:rsidRPr="008C72E5" w:rsidRDefault="009F6AC8" w:rsidP="00B558B7">
            <w:pPr>
              <w:pStyle w:val="TekstTabeli"/>
            </w:pPr>
            <w:r w:rsidRPr="008C72E5">
              <w:t>Enhancing learners’ awareness of oral presentation (delivery) skills in the context of self-regulated learning</w:t>
            </w:r>
          </w:p>
        </w:tc>
        <w:tc>
          <w:tcPr>
            <w:tcW w:w="2052" w:type="pct"/>
            <w:vAlign w:val="center"/>
          </w:tcPr>
          <w:p w14:paraId="4B50C35A" w14:textId="77777777" w:rsidR="009F6AC8" w:rsidRPr="008C72E5" w:rsidRDefault="009F6AC8" w:rsidP="00B558B7">
            <w:pPr>
              <w:pStyle w:val="TekstTabeli"/>
            </w:pPr>
            <w:r w:rsidRPr="008C72E5">
              <w:t>(2020) Active Learning in Higher Education, 21 (1), pp. 39 - 50, DOI: 10.1177/1469787417731214</w:t>
            </w:r>
          </w:p>
        </w:tc>
      </w:tr>
      <w:tr w:rsidR="00C4329A" w:rsidRPr="004C10DC" w14:paraId="3D4F1078" w14:textId="77777777" w:rsidTr="00C4329A">
        <w:trPr>
          <w:cantSplit/>
        </w:trPr>
        <w:tc>
          <w:tcPr>
            <w:tcW w:w="297" w:type="pct"/>
            <w:vAlign w:val="center"/>
          </w:tcPr>
          <w:p w14:paraId="1E01907D" w14:textId="77777777" w:rsidR="009F6AC8" w:rsidRPr="008C72E5" w:rsidRDefault="009F6AC8" w:rsidP="00B558B7">
            <w:pPr>
              <w:pStyle w:val="TekstTabeli"/>
            </w:pPr>
            <w:r w:rsidRPr="008C72E5">
              <w:t>44</w:t>
            </w:r>
          </w:p>
        </w:tc>
        <w:tc>
          <w:tcPr>
            <w:tcW w:w="880" w:type="pct"/>
            <w:vAlign w:val="center"/>
          </w:tcPr>
          <w:p w14:paraId="3D10BFC9" w14:textId="77777777" w:rsidR="009F6AC8" w:rsidRPr="008C72E5" w:rsidRDefault="009F6AC8" w:rsidP="00B558B7">
            <w:pPr>
              <w:pStyle w:val="TekstTabeli"/>
            </w:pPr>
            <w:r w:rsidRPr="008C72E5">
              <w:t xml:space="preserve">Colasanti N., Frondizi R., </w:t>
            </w:r>
            <w:proofErr w:type="spellStart"/>
            <w:r w:rsidRPr="008C72E5">
              <w:t>Meneguzzo</w:t>
            </w:r>
            <w:proofErr w:type="spellEnd"/>
            <w:r w:rsidRPr="008C72E5">
              <w:t xml:space="preserve"> M.</w:t>
            </w:r>
          </w:p>
        </w:tc>
        <w:tc>
          <w:tcPr>
            <w:tcW w:w="1771" w:type="pct"/>
            <w:vAlign w:val="center"/>
          </w:tcPr>
          <w:p w14:paraId="469A5A96" w14:textId="77777777" w:rsidR="009F6AC8" w:rsidRPr="008C72E5" w:rsidRDefault="009F6AC8" w:rsidP="00B558B7">
            <w:pPr>
              <w:pStyle w:val="TekstTabeli"/>
            </w:pPr>
            <w:r w:rsidRPr="008C72E5">
              <w:t>Higher education and stakeholders’ donations: successful civic crowdfunding in an Italian university</w:t>
            </w:r>
          </w:p>
        </w:tc>
        <w:tc>
          <w:tcPr>
            <w:tcW w:w="2052" w:type="pct"/>
            <w:vAlign w:val="center"/>
          </w:tcPr>
          <w:p w14:paraId="2A91FACB" w14:textId="77777777" w:rsidR="009F6AC8" w:rsidRPr="008C72E5" w:rsidRDefault="009F6AC8" w:rsidP="00B558B7">
            <w:pPr>
              <w:pStyle w:val="TekstTabeli"/>
            </w:pPr>
            <w:r w:rsidRPr="008C72E5">
              <w:t>(2018) Public Money and Management, 38 (4), pp. 281 - 288, DOI: 10.1080/09540962.2018.1449471</w:t>
            </w:r>
          </w:p>
        </w:tc>
      </w:tr>
      <w:tr w:rsidR="00C4329A" w:rsidRPr="004C10DC" w14:paraId="74EAFEA1" w14:textId="77777777" w:rsidTr="00C4329A">
        <w:trPr>
          <w:cantSplit/>
        </w:trPr>
        <w:tc>
          <w:tcPr>
            <w:tcW w:w="297" w:type="pct"/>
            <w:vAlign w:val="center"/>
          </w:tcPr>
          <w:p w14:paraId="1D379374" w14:textId="77777777" w:rsidR="009F6AC8" w:rsidRPr="008C72E5" w:rsidRDefault="009F6AC8" w:rsidP="00B558B7">
            <w:pPr>
              <w:pStyle w:val="TekstTabeli"/>
            </w:pPr>
            <w:r w:rsidRPr="008C72E5">
              <w:t>45</w:t>
            </w:r>
          </w:p>
        </w:tc>
        <w:tc>
          <w:tcPr>
            <w:tcW w:w="880" w:type="pct"/>
            <w:vAlign w:val="center"/>
          </w:tcPr>
          <w:p w14:paraId="78208408" w14:textId="77777777" w:rsidR="009F6AC8" w:rsidRPr="008C72E5" w:rsidRDefault="009F6AC8" w:rsidP="00B558B7">
            <w:pPr>
              <w:pStyle w:val="TekstTabeli"/>
            </w:pPr>
            <w:proofErr w:type="spellStart"/>
            <w:r w:rsidRPr="008C72E5">
              <w:t>Mainardes</w:t>
            </w:r>
            <w:proofErr w:type="spellEnd"/>
            <w:r w:rsidRPr="008C72E5">
              <w:t xml:space="preserve"> E., Alves H., Raposo M.</w:t>
            </w:r>
          </w:p>
        </w:tc>
        <w:tc>
          <w:tcPr>
            <w:tcW w:w="1771" w:type="pct"/>
            <w:vAlign w:val="center"/>
          </w:tcPr>
          <w:p w14:paraId="12761E45" w14:textId="667F6600" w:rsidR="009F6AC8" w:rsidRPr="008C72E5" w:rsidRDefault="009F6AC8" w:rsidP="00B558B7">
            <w:pPr>
              <w:pStyle w:val="TekstTabeli"/>
            </w:pPr>
            <w:r w:rsidRPr="008C72E5">
              <w:t>Identifying stakeholders in a Portuguese university: A case study</w:t>
            </w:r>
          </w:p>
        </w:tc>
        <w:tc>
          <w:tcPr>
            <w:tcW w:w="2052" w:type="pct"/>
            <w:vAlign w:val="center"/>
          </w:tcPr>
          <w:p w14:paraId="5873FE2E" w14:textId="77777777" w:rsidR="009F6AC8" w:rsidRPr="008C72E5" w:rsidRDefault="009F6AC8" w:rsidP="00B558B7">
            <w:pPr>
              <w:pStyle w:val="TekstTabeli"/>
            </w:pPr>
            <w:r w:rsidRPr="008C72E5">
              <w:t xml:space="preserve">(2013) </w:t>
            </w:r>
            <w:proofErr w:type="spellStart"/>
            <w:r w:rsidRPr="008C72E5">
              <w:t>Revista</w:t>
            </w:r>
            <w:proofErr w:type="spellEnd"/>
            <w:r w:rsidRPr="008C72E5">
              <w:t xml:space="preserve"> de </w:t>
            </w:r>
            <w:proofErr w:type="spellStart"/>
            <w:r w:rsidRPr="008C72E5">
              <w:t>Educacion</w:t>
            </w:r>
            <w:proofErr w:type="spellEnd"/>
            <w:r w:rsidRPr="008C72E5">
              <w:t>, (362), pp. 429 - 457, DOI: 10.4438/1988-592X-RE-2012-362-167</w:t>
            </w:r>
          </w:p>
        </w:tc>
      </w:tr>
      <w:tr w:rsidR="00C4329A" w:rsidRPr="004C10DC" w14:paraId="3120CC07" w14:textId="77777777" w:rsidTr="00C4329A">
        <w:trPr>
          <w:cantSplit/>
        </w:trPr>
        <w:tc>
          <w:tcPr>
            <w:tcW w:w="297" w:type="pct"/>
            <w:vAlign w:val="center"/>
          </w:tcPr>
          <w:p w14:paraId="7637511C" w14:textId="77777777" w:rsidR="009F6AC8" w:rsidRPr="008C72E5" w:rsidRDefault="009F6AC8" w:rsidP="00B558B7">
            <w:pPr>
              <w:pStyle w:val="TekstTabeli"/>
            </w:pPr>
            <w:r w:rsidRPr="008C72E5">
              <w:lastRenderedPageBreak/>
              <w:t>46</w:t>
            </w:r>
          </w:p>
        </w:tc>
        <w:tc>
          <w:tcPr>
            <w:tcW w:w="880" w:type="pct"/>
            <w:vAlign w:val="center"/>
          </w:tcPr>
          <w:p w14:paraId="432F8B4B" w14:textId="77777777" w:rsidR="009F6AC8" w:rsidRPr="00D82766" w:rsidRDefault="009F6AC8" w:rsidP="00B558B7">
            <w:pPr>
              <w:pStyle w:val="TekstTabeli"/>
              <w:rPr>
                <w:lang w:val="pl-PL"/>
              </w:rPr>
            </w:pPr>
            <w:proofErr w:type="spellStart"/>
            <w:r w:rsidRPr="00D82766">
              <w:rPr>
                <w:lang w:val="pl-PL"/>
              </w:rPr>
              <w:t>Aversano</w:t>
            </w:r>
            <w:proofErr w:type="spellEnd"/>
            <w:r w:rsidRPr="00D82766">
              <w:rPr>
                <w:lang w:val="pl-PL"/>
              </w:rPr>
              <w:t xml:space="preserve"> N., </w:t>
            </w:r>
            <w:proofErr w:type="spellStart"/>
            <w:r w:rsidRPr="00D82766">
              <w:rPr>
                <w:lang w:val="pl-PL"/>
              </w:rPr>
              <w:t>Nicolò</w:t>
            </w:r>
            <w:proofErr w:type="spellEnd"/>
            <w:r w:rsidRPr="00D82766">
              <w:rPr>
                <w:lang w:val="pl-PL"/>
              </w:rPr>
              <w:t xml:space="preserve"> G., </w:t>
            </w:r>
            <w:proofErr w:type="spellStart"/>
            <w:r w:rsidRPr="00D82766">
              <w:rPr>
                <w:lang w:val="pl-PL"/>
              </w:rPr>
              <w:t>Sannino</w:t>
            </w:r>
            <w:proofErr w:type="spellEnd"/>
            <w:r w:rsidRPr="00D82766">
              <w:rPr>
                <w:lang w:val="pl-PL"/>
              </w:rPr>
              <w:t xml:space="preserve"> G., </w:t>
            </w:r>
            <w:proofErr w:type="spellStart"/>
            <w:r w:rsidRPr="00D82766">
              <w:rPr>
                <w:lang w:val="pl-PL"/>
              </w:rPr>
              <w:t>Tartaglia</w:t>
            </w:r>
            <w:proofErr w:type="spellEnd"/>
            <w:r w:rsidRPr="00D82766">
              <w:rPr>
                <w:lang w:val="pl-PL"/>
              </w:rPr>
              <w:t xml:space="preserve"> </w:t>
            </w:r>
            <w:proofErr w:type="spellStart"/>
            <w:r w:rsidRPr="00D82766">
              <w:rPr>
                <w:lang w:val="pl-PL"/>
              </w:rPr>
              <w:t>Polcini</w:t>
            </w:r>
            <w:proofErr w:type="spellEnd"/>
            <w:r w:rsidRPr="00D82766">
              <w:rPr>
                <w:lang w:val="pl-PL"/>
              </w:rPr>
              <w:t xml:space="preserve"> P.</w:t>
            </w:r>
          </w:p>
        </w:tc>
        <w:tc>
          <w:tcPr>
            <w:tcW w:w="1771" w:type="pct"/>
            <w:vAlign w:val="center"/>
          </w:tcPr>
          <w:p w14:paraId="11FF9A49" w14:textId="77777777" w:rsidR="009F6AC8" w:rsidRPr="008C72E5" w:rsidRDefault="009F6AC8" w:rsidP="00B558B7">
            <w:pPr>
              <w:pStyle w:val="TekstTabeli"/>
            </w:pPr>
            <w:r w:rsidRPr="008C72E5">
              <w:t>The Integrated Plan in Italian public universities: new patterns in intellectual capital disclosure</w:t>
            </w:r>
          </w:p>
        </w:tc>
        <w:tc>
          <w:tcPr>
            <w:tcW w:w="2052" w:type="pct"/>
            <w:vAlign w:val="center"/>
          </w:tcPr>
          <w:p w14:paraId="15CE946D" w14:textId="77777777" w:rsidR="009F6AC8" w:rsidRPr="008C72E5" w:rsidRDefault="009F6AC8" w:rsidP="00B558B7">
            <w:pPr>
              <w:pStyle w:val="TekstTabeli"/>
            </w:pPr>
            <w:r w:rsidRPr="008C72E5">
              <w:t xml:space="preserve">(2020) </w:t>
            </w:r>
            <w:proofErr w:type="spellStart"/>
            <w:r w:rsidRPr="008C72E5">
              <w:t>Meditari</w:t>
            </w:r>
            <w:proofErr w:type="spellEnd"/>
            <w:r w:rsidRPr="008C72E5">
              <w:t xml:space="preserve"> Accountancy Research, 28 (4), pp. 655 - 679, DOI: 10.1108/MEDAR-07-2019-0519</w:t>
            </w:r>
          </w:p>
        </w:tc>
      </w:tr>
      <w:tr w:rsidR="00C4329A" w:rsidRPr="004C10DC" w14:paraId="2FABDAA6" w14:textId="77777777" w:rsidTr="00C4329A">
        <w:trPr>
          <w:cantSplit/>
        </w:trPr>
        <w:tc>
          <w:tcPr>
            <w:tcW w:w="297" w:type="pct"/>
            <w:vAlign w:val="center"/>
          </w:tcPr>
          <w:p w14:paraId="523FE562" w14:textId="77777777" w:rsidR="009F6AC8" w:rsidRPr="008C72E5" w:rsidRDefault="009F6AC8" w:rsidP="00B558B7">
            <w:pPr>
              <w:pStyle w:val="TekstTabeli"/>
            </w:pPr>
            <w:r w:rsidRPr="008C72E5">
              <w:t>47</w:t>
            </w:r>
          </w:p>
        </w:tc>
        <w:tc>
          <w:tcPr>
            <w:tcW w:w="880" w:type="pct"/>
            <w:vAlign w:val="center"/>
          </w:tcPr>
          <w:p w14:paraId="784FCD52" w14:textId="77777777" w:rsidR="009F6AC8" w:rsidRPr="008C72E5" w:rsidRDefault="009F6AC8" w:rsidP="00B558B7">
            <w:pPr>
              <w:pStyle w:val="TekstTabeli"/>
            </w:pPr>
            <w:r w:rsidRPr="008C72E5">
              <w:t>Graham C.</w:t>
            </w:r>
          </w:p>
        </w:tc>
        <w:tc>
          <w:tcPr>
            <w:tcW w:w="1771" w:type="pct"/>
            <w:vAlign w:val="center"/>
          </w:tcPr>
          <w:p w14:paraId="2884B222" w14:textId="77777777" w:rsidR="009F6AC8" w:rsidRPr="008C72E5" w:rsidRDefault="009F6AC8" w:rsidP="00B558B7">
            <w:pPr>
              <w:pStyle w:val="TekstTabeli"/>
            </w:pPr>
            <w:r w:rsidRPr="008C72E5">
              <w:t xml:space="preserve">Hearing the voices of general staff: A </w:t>
            </w:r>
            <w:proofErr w:type="spellStart"/>
            <w:r w:rsidRPr="008C72E5">
              <w:t>delphi</w:t>
            </w:r>
            <w:proofErr w:type="spellEnd"/>
            <w:r w:rsidRPr="008C72E5">
              <w:t xml:space="preserve"> study of the contributions of general staff to student outcomes</w:t>
            </w:r>
          </w:p>
        </w:tc>
        <w:tc>
          <w:tcPr>
            <w:tcW w:w="2052" w:type="pct"/>
            <w:vAlign w:val="center"/>
          </w:tcPr>
          <w:p w14:paraId="05B29933" w14:textId="77777777" w:rsidR="009F6AC8" w:rsidRPr="008C72E5" w:rsidRDefault="009F6AC8" w:rsidP="00B558B7">
            <w:pPr>
              <w:pStyle w:val="TekstTabeli"/>
            </w:pPr>
            <w:r w:rsidRPr="008C72E5">
              <w:t>(2010) Journal of Higher Education Policy and Management, 32 (3), pp. 213 - 223, DOI: 10.1080/13600801003743315</w:t>
            </w:r>
          </w:p>
        </w:tc>
      </w:tr>
      <w:tr w:rsidR="00C4329A" w:rsidRPr="004C10DC" w14:paraId="4F631E51" w14:textId="77777777" w:rsidTr="00C4329A">
        <w:trPr>
          <w:cantSplit/>
        </w:trPr>
        <w:tc>
          <w:tcPr>
            <w:tcW w:w="297" w:type="pct"/>
            <w:vAlign w:val="center"/>
          </w:tcPr>
          <w:p w14:paraId="6EEFD0B8" w14:textId="77777777" w:rsidR="009F6AC8" w:rsidRPr="008C72E5" w:rsidRDefault="009F6AC8" w:rsidP="00B558B7">
            <w:pPr>
              <w:pStyle w:val="TekstTabeli"/>
            </w:pPr>
            <w:r w:rsidRPr="008C72E5">
              <w:t>48</w:t>
            </w:r>
          </w:p>
        </w:tc>
        <w:tc>
          <w:tcPr>
            <w:tcW w:w="880" w:type="pct"/>
            <w:vAlign w:val="center"/>
          </w:tcPr>
          <w:p w14:paraId="01270873" w14:textId="77777777" w:rsidR="009F6AC8" w:rsidRPr="008C72E5" w:rsidRDefault="009F6AC8" w:rsidP="00B558B7">
            <w:pPr>
              <w:pStyle w:val="TekstTabeli"/>
            </w:pPr>
            <w:proofErr w:type="spellStart"/>
            <w:r w:rsidRPr="008C72E5">
              <w:t>Shpigelman</w:t>
            </w:r>
            <w:proofErr w:type="spellEnd"/>
            <w:r w:rsidRPr="008C72E5">
              <w:t xml:space="preserve"> C.-N., Mor S., Sachs D., </w:t>
            </w:r>
            <w:proofErr w:type="spellStart"/>
            <w:r w:rsidRPr="008C72E5">
              <w:t>Schreuer</w:t>
            </w:r>
            <w:proofErr w:type="spellEnd"/>
            <w:r w:rsidRPr="008C72E5">
              <w:t xml:space="preserve"> N.</w:t>
            </w:r>
          </w:p>
        </w:tc>
        <w:tc>
          <w:tcPr>
            <w:tcW w:w="1771" w:type="pct"/>
            <w:vAlign w:val="center"/>
          </w:tcPr>
          <w:p w14:paraId="517BE2F1" w14:textId="77777777" w:rsidR="009F6AC8" w:rsidRPr="008C72E5" w:rsidRDefault="009F6AC8" w:rsidP="00B558B7">
            <w:pPr>
              <w:pStyle w:val="TekstTabeli"/>
            </w:pPr>
            <w:r w:rsidRPr="008C72E5">
              <w:t>Supporting the development of students with disabilities in higher education: access, stigma, identity, and power</w:t>
            </w:r>
          </w:p>
        </w:tc>
        <w:tc>
          <w:tcPr>
            <w:tcW w:w="2052" w:type="pct"/>
            <w:vAlign w:val="center"/>
          </w:tcPr>
          <w:p w14:paraId="18BE161D" w14:textId="77777777" w:rsidR="009F6AC8" w:rsidRPr="008C72E5" w:rsidRDefault="009F6AC8" w:rsidP="00B558B7">
            <w:pPr>
              <w:pStyle w:val="TekstTabeli"/>
            </w:pPr>
            <w:r w:rsidRPr="008C72E5">
              <w:t>(2022) Studies in Higher Education, 47 (9), pp. 1776 - 1791, DOI: 10.1080/03075079.2021.1960303</w:t>
            </w:r>
          </w:p>
        </w:tc>
      </w:tr>
      <w:tr w:rsidR="00C4329A" w:rsidRPr="004C10DC" w14:paraId="4CB1416D" w14:textId="77777777" w:rsidTr="00C4329A">
        <w:trPr>
          <w:cantSplit/>
        </w:trPr>
        <w:tc>
          <w:tcPr>
            <w:tcW w:w="297" w:type="pct"/>
            <w:vAlign w:val="center"/>
          </w:tcPr>
          <w:p w14:paraId="288EE3B7" w14:textId="77777777" w:rsidR="009F6AC8" w:rsidRPr="008C72E5" w:rsidRDefault="009F6AC8" w:rsidP="00B558B7">
            <w:pPr>
              <w:pStyle w:val="TekstTabeli"/>
            </w:pPr>
            <w:r w:rsidRPr="008C72E5">
              <w:t>49</w:t>
            </w:r>
          </w:p>
        </w:tc>
        <w:tc>
          <w:tcPr>
            <w:tcW w:w="880" w:type="pct"/>
            <w:vAlign w:val="center"/>
          </w:tcPr>
          <w:p w14:paraId="0CC2B89A" w14:textId="70BB9B73" w:rsidR="009F6AC8" w:rsidRPr="008C72E5" w:rsidRDefault="009F6AC8" w:rsidP="00B558B7">
            <w:pPr>
              <w:pStyle w:val="TekstTabeli"/>
            </w:pPr>
            <w:proofErr w:type="spellStart"/>
            <w:r w:rsidRPr="008C72E5">
              <w:t>Desfiandi</w:t>
            </w:r>
            <w:proofErr w:type="spellEnd"/>
            <w:r w:rsidRPr="008C72E5">
              <w:t xml:space="preserve"> A., Rajest S.S., Venkateswaran P.S., </w:t>
            </w:r>
            <w:proofErr w:type="spellStart"/>
            <w:r w:rsidR="00422CD8" w:rsidRPr="008C72E5">
              <w:t>i</w:t>
            </w:r>
            <w:proofErr w:type="spellEnd"/>
            <w:r w:rsidR="00422CD8" w:rsidRPr="008C72E5">
              <w:t xml:space="preserve"> in.</w:t>
            </w:r>
          </w:p>
        </w:tc>
        <w:tc>
          <w:tcPr>
            <w:tcW w:w="1771" w:type="pct"/>
            <w:vAlign w:val="center"/>
          </w:tcPr>
          <w:p w14:paraId="2530AC9C" w14:textId="77777777" w:rsidR="009F6AC8" w:rsidRPr="008C72E5" w:rsidRDefault="009F6AC8" w:rsidP="00B558B7">
            <w:pPr>
              <w:pStyle w:val="TekstTabeli"/>
            </w:pPr>
            <w:r w:rsidRPr="008C72E5">
              <w:t xml:space="preserve">Company credibility: A tool to trigger positive </w:t>
            </w:r>
            <w:proofErr w:type="spellStart"/>
            <w:r w:rsidRPr="008C72E5">
              <w:t>csr</w:t>
            </w:r>
            <w:proofErr w:type="spellEnd"/>
            <w:r w:rsidRPr="008C72E5">
              <w:t xml:space="preserve"> image in the cause-brand alliance context in Indonesia</w:t>
            </w:r>
          </w:p>
        </w:tc>
        <w:tc>
          <w:tcPr>
            <w:tcW w:w="2052" w:type="pct"/>
            <w:vAlign w:val="center"/>
          </w:tcPr>
          <w:p w14:paraId="575AAD25" w14:textId="77777777" w:rsidR="009F6AC8" w:rsidRPr="008C72E5" w:rsidRDefault="009F6AC8" w:rsidP="00B558B7">
            <w:pPr>
              <w:pStyle w:val="TekstTabeli"/>
            </w:pPr>
            <w:r w:rsidRPr="008C72E5">
              <w:t>(2019) Humanities and Social Sciences Reviews, 7 (6), pp. 320 - 331, DOI: 10.18510/hssr.2019.7657</w:t>
            </w:r>
          </w:p>
        </w:tc>
      </w:tr>
      <w:tr w:rsidR="00C4329A" w:rsidRPr="004C10DC" w14:paraId="04E677BC" w14:textId="77777777" w:rsidTr="00C4329A">
        <w:trPr>
          <w:cantSplit/>
        </w:trPr>
        <w:tc>
          <w:tcPr>
            <w:tcW w:w="297" w:type="pct"/>
            <w:vAlign w:val="center"/>
          </w:tcPr>
          <w:p w14:paraId="4727DC65" w14:textId="77777777" w:rsidR="009F6AC8" w:rsidRPr="008C72E5" w:rsidRDefault="009F6AC8" w:rsidP="00B558B7">
            <w:pPr>
              <w:pStyle w:val="TekstTabeli"/>
            </w:pPr>
            <w:r w:rsidRPr="008C72E5">
              <w:t>50</w:t>
            </w:r>
          </w:p>
        </w:tc>
        <w:tc>
          <w:tcPr>
            <w:tcW w:w="880" w:type="pct"/>
            <w:vAlign w:val="center"/>
          </w:tcPr>
          <w:p w14:paraId="5F3EFAD0" w14:textId="77777777" w:rsidR="009F6AC8" w:rsidRPr="008C72E5" w:rsidRDefault="009F6AC8" w:rsidP="00B558B7">
            <w:pPr>
              <w:pStyle w:val="TekstTabeli"/>
            </w:pPr>
            <w:r w:rsidRPr="008C72E5">
              <w:t>Young K., Anderson M., Stewart S.</w:t>
            </w:r>
          </w:p>
        </w:tc>
        <w:tc>
          <w:tcPr>
            <w:tcW w:w="1771" w:type="pct"/>
            <w:vAlign w:val="center"/>
          </w:tcPr>
          <w:p w14:paraId="0E28DB87" w14:textId="77777777" w:rsidR="009F6AC8" w:rsidRPr="008C72E5" w:rsidRDefault="009F6AC8" w:rsidP="00B558B7">
            <w:pPr>
              <w:pStyle w:val="TekstTabeli"/>
            </w:pPr>
            <w:r w:rsidRPr="008C72E5">
              <w:t>Hierarchical microaggressions in higher education</w:t>
            </w:r>
          </w:p>
        </w:tc>
        <w:tc>
          <w:tcPr>
            <w:tcW w:w="2052" w:type="pct"/>
            <w:vAlign w:val="center"/>
          </w:tcPr>
          <w:p w14:paraId="507A74FA" w14:textId="77777777" w:rsidR="009F6AC8" w:rsidRPr="008C72E5" w:rsidRDefault="009F6AC8" w:rsidP="00B558B7">
            <w:pPr>
              <w:pStyle w:val="TekstTabeli"/>
            </w:pPr>
            <w:r w:rsidRPr="008C72E5">
              <w:t>(2015) Journal of Diversity in Higher Education, 8 (1), pp. 61 - 71, DOI: 10.1037/a0038464</w:t>
            </w:r>
          </w:p>
        </w:tc>
      </w:tr>
      <w:tr w:rsidR="00C4329A" w:rsidRPr="004C10DC" w14:paraId="70A0C8A0" w14:textId="77777777" w:rsidTr="00C4329A">
        <w:trPr>
          <w:cantSplit/>
        </w:trPr>
        <w:tc>
          <w:tcPr>
            <w:tcW w:w="297" w:type="pct"/>
            <w:vAlign w:val="center"/>
          </w:tcPr>
          <w:p w14:paraId="188C23C4" w14:textId="77777777" w:rsidR="009F6AC8" w:rsidRPr="008C72E5" w:rsidRDefault="009F6AC8" w:rsidP="00B558B7">
            <w:pPr>
              <w:pStyle w:val="TekstTabeli"/>
            </w:pPr>
            <w:r w:rsidRPr="008C72E5">
              <w:t>51</w:t>
            </w:r>
          </w:p>
        </w:tc>
        <w:tc>
          <w:tcPr>
            <w:tcW w:w="880" w:type="pct"/>
            <w:vAlign w:val="center"/>
          </w:tcPr>
          <w:p w14:paraId="5344E015" w14:textId="77777777" w:rsidR="009F6AC8" w:rsidRPr="008C72E5" w:rsidRDefault="009F6AC8" w:rsidP="00B558B7">
            <w:pPr>
              <w:pStyle w:val="TekstTabeli"/>
            </w:pPr>
            <w:r w:rsidRPr="008C72E5">
              <w:t>O’Leary S.</w:t>
            </w:r>
          </w:p>
        </w:tc>
        <w:tc>
          <w:tcPr>
            <w:tcW w:w="1771" w:type="pct"/>
            <w:vAlign w:val="center"/>
          </w:tcPr>
          <w:p w14:paraId="14556338" w14:textId="77777777" w:rsidR="009F6AC8" w:rsidRPr="008C72E5" w:rsidRDefault="009F6AC8" w:rsidP="00B558B7">
            <w:pPr>
              <w:pStyle w:val="TekstTabeli"/>
            </w:pPr>
            <w:r w:rsidRPr="008C72E5">
              <w:t xml:space="preserve">Graduates’ experiences of, and attitudes towards, the inclusion of employability-related support in undergraduate degree </w:t>
            </w:r>
            <w:proofErr w:type="spellStart"/>
            <w:r w:rsidRPr="008C72E5">
              <w:t>programmes</w:t>
            </w:r>
            <w:proofErr w:type="spellEnd"/>
            <w:r w:rsidRPr="008C72E5">
              <w:t>; trends and variations by subject discipline and gender</w:t>
            </w:r>
          </w:p>
        </w:tc>
        <w:tc>
          <w:tcPr>
            <w:tcW w:w="2052" w:type="pct"/>
            <w:vAlign w:val="center"/>
          </w:tcPr>
          <w:p w14:paraId="2ACC09CD" w14:textId="77777777" w:rsidR="009F6AC8" w:rsidRPr="008C72E5" w:rsidRDefault="009F6AC8" w:rsidP="00B558B7">
            <w:pPr>
              <w:pStyle w:val="TekstTabeli"/>
            </w:pPr>
            <w:r w:rsidRPr="008C72E5">
              <w:t>(2017) Journal of Education and Work, 30 (1), pp. 84 - 105, DOI: 10.1080/13639080.2015.1122181</w:t>
            </w:r>
          </w:p>
        </w:tc>
      </w:tr>
      <w:tr w:rsidR="00C4329A" w:rsidRPr="004C10DC" w14:paraId="010F70D0" w14:textId="77777777" w:rsidTr="00C4329A">
        <w:trPr>
          <w:cantSplit/>
        </w:trPr>
        <w:tc>
          <w:tcPr>
            <w:tcW w:w="297" w:type="pct"/>
            <w:vAlign w:val="center"/>
          </w:tcPr>
          <w:p w14:paraId="633D8315" w14:textId="77777777" w:rsidR="009F6AC8" w:rsidRPr="008C72E5" w:rsidRDefault="009F6AC8" w:rsidP="00B558B7">
            <w:pPr>
              <w:pStyle w:val="TekstTabeli"/>
            </w:pPr>
            <w:r w:rsidRPr="008C72E5">
              <w:t>52</w:t>
            </w:r>
          </w:p>
        </w:tc>
        <w:tc>
          <w:tcPr>
            <w:tcW w:w="880" w:type="pct"/>
            <w:vAlign w:val="center"/>
          </w:tcPr>
          <w:p w14:paraId="49DA9844" w14:textId="77777777" w:rsidR="009F6AC8" w:rsidRPr="008C72E5" w:rsidRDefault="009F6AC8" w:rsidP="00B558B7">
            <w:pPr>
              <w:pStyle w:val="TekstTabeli"/>
            </w:pPr>
            <w:r w:rsidRPr="008C72E5">
              <w:t>Cunningham M., Walton G.</w:t>
            </w:r>
          </w:p>
        </w:tc>
        <w:tc>
          <w:tcPr>
            <w:tcW w:w="1771" w:type="pct"/>
            <w:vAlign w:val="center"/>
          </w:tcPr>
          <w:p w14:paraId="62104829" w14:textId="77777777" w:rsidR="009F6AC8" w:rsidRPr="008C72E5" w:rsidRDefault="009F6AC8" w:rsidP="00B558B7">
            <w:pPr>
              <w:pStyle w:val="TekstTabeli"/>
            </w:pPr>
            <w:r w:rsidRPr="008C72E5">
              <w:t>Informal learning spaces (ILS) in university libraries and their campuses: A Loughborough University case study</w:t>
            </w:r>
          </w:p>
        </w:tc>
        <w:tc>
          <w:tcPr>
            <w:tcW w:w="2052" w:type="pct"/>
            <w:vAlign w:val="center"/>
          </w:tcPr>
          <w:p w14:paraId="25AD3678" w14:textId="77777777" w:rsidR="009F6AC8" w:rsidRPr="008C72E5" w:rsidRDefault="009F6AC8" w:rsidP="00B558B7">
            <w:pPr>
              <w:pStyle w:val="TekstTabeli"/>
            </w:pPr>
            <w:r w:rsidRPr="008C72E5">
              <w:t>(2016) New Library World, 117 (1-2), pp. 49 - 62, DOI: 10.1108/NLW-04-2015-0031</w:t>
            </w:r>
          </w:p>
        </w:tc>
      </w:tr>
      <w:tr w:rsidR="00C4329A" w:rsidRPr="004C10DC" w14:paraId="57FB7A50" w14:textId="77777777" w:rsidTr="00C4329A">
        <w:trPr>
          <w:cantSplit/>
        </w:trPr>
        <w:tc>
          <w:tcPr>
            <w:tcW w:w="297" w:type="pct"/>
            <w:vAlign w:val="center"/>
          </w:tcPr>
          <w:p w14:paraId="48679F86" w14:textId="77777777" w:rsidR="009F6AC8" w:rsidRPr="008C72E5" w:rsidRDefault="009F6AC8" w:rsidP="00B558B7">
            <w:pPr>
              <w:pStyle w:val="TekstTabeli"/>
            </w:pPr>
            <w:r w:rsidRPr="008C72E5">
              <w:t>53</w:t>
            </w:r>
          </w:p>
        </w:tc>
        <w:tc>
          <w:tcPr>
            <w:tcW w:w="880" w:type="pct"/>
            <w:vAlign w:val="center"/>
          </w:tcPr>
          <w:p w14:paraId="4A5FA7DB" w14:textId="77777777" w:rsidR="009F6AC8" w:rsidRPr="008C72E5" w:rsidRDefault="009F6AC8" w:rsidP="00B558B7">
            <w:pPr>
              <w:pStyle w:val="TekstTabeli"/>
            </w:pPr>
            <w:r w:rsidRPr="008C72E5">
              <w:t>Maxey D., Kezar A.</w:t>
            </w:r>
          </w:p>
        </w:tc>
        <w:tc>
          <w:tcPr>
            <w:tcW w:w="1771" w:type="pct"/>
            <w:vAlign w:val="center"/>
          </w:tcPr>
          <w:p w14:paraId="52B74922" w14:textId="77777777" w:rsidR="009F6AC8" w:rsidRPr="008C72E5" w:rsidRDefault="009F6AC8" w:rsidP="00B558B7">
            <w:pPr>
              <w:pStyle w:val="TekstTabeli"/>
            </w:pPr>
            <w:r w:rsidRPr="008C72E5">
              <w:t>Revealing opportunities and obstacles for changing non-tenure-track faculty practices: An examination of stakeholders’ awareness of institutional contradictions</w:t>
            </w:r>
          </w:p>
        </w:tc>
        <w:tc>
          <w:tcPr>
            <w:tcW w:w="2052" w:type="pct"/>
            <w:vAlign w:val="center"/>
          </w:tcPr>
          <w:p w14:paraId="5C7D8F9E" w14:textId="77777777" w:rsidR="009F6AC8" w:rsidRPr="008C72E5" w:rsidRDefault="009F6AC8" w:rsidP="00B558B7">
            <w:pPr>
              <w:pStyle w:val="TekstTabeli"/>
            </w:pPr>
            <w:r w:rsidRPr="008C72E5">
              <w:t>(2015) Journal of Higher Education, 86 (4), pp. 564 - 594, DOI: 10.1353/jhe.2015.0022</w:t>
            </w:r>
          </w:p>
        </w:tc>
      </w:tr>
      <w:tr w:rsidR="00C4329A" w:rsidRPr="004C10DC" w14:paraId="59CD2E62" w14:textId="77777777" w:rsidTr="00C4329A">
        <w:trPr>
          <w:cantSplit/>
        </w:trPr>
        <w:tc>
          <w:tcPr>
            <w:tcW w:w="297" w:type="pct"/>
            <w:vAlign w:val="center"/>
          </w:tcPr>
          <w:p w14:paraId="659027B3" w14:textId="77777777" w:rsidR="009F6AC8" w:rsidRPr="008C72E5" w:rsidRDefault="009F6AC8" w:rsidP="00B558B7">
            <w:pPr>
              <w:pStyle w:val="TekstTabeli"/>
            </w:pPr>
            <w:r w:rsidRPr="008C72E5">
              <w:t>54</w:t>
            </w:r>
          </w:p>
        </w:tc>
        <w:tc>
          <w:tcPr>
            <w:tcW w:w="880" w:type="pct"/>
            <w:vAlign w:val="center"/>
          </w:tcPr>
          <w:p w14:paraId="664FF9A8" w14:textId="77777777" w:rsidR="009F6AC8" w:rsidRPr="008C72E5" w:rsidRDefault="009F6AC8" w:rsidP="00B558B7">
            <w:pPr>
              <w:pStyle w:val="TekstTabeli"/>
            </w:pPr>
            <w:r w:rsidRPr="008C72E5">
              <w:t>Abbas J.</w:t>
            </w:r>
          </w:p>
        </w:tc>
        <w:tc>
          <w:tcPr>
            <w:tcW w:w="1771" w:type="pct"/>
            <w:vAlign w:val="center"/>
          </w:tcPr>
          <w:p w14:paraId="252996FF" w14:textId="77777777" w:rsidR="009F6AC8" w:rsidRPr="008C72E5" w:rsidRDefault="009F6AC8" w:rsidP="00B558B7">
            <w:pPr>
              <w:pStyle w:val="TekstTabeli"/>
            </w:pPr>
            <w:r w:rsidRPr="008C72E5">
              <w:t>HEISQUAL: A modern approach to measure service quality in higher education institutions</w:t>
            </w:r>
          </w:p>
        </w:tc>
        <w:tc>
          <w:tcPr>
            <w:tcW w:w="2052" w:type="pct"/>
            <w:vAlign w:val="center"/>
          </w:tcPr>
          <w:p w14:paraId="47927CDE" w14:textId="77777777" w:rsidR="009F6AC8" w:rsidRPr="008C72E5" w:rsidRDefault="009F6AC8" w:rsidP="00B558B7">
            <w:pPr>
              <w:pStyle w:val="TekstTabeli"/>
            </w:pPr>
            <w:r w:rsidRPr="008C72E5">
              <w:t>(2020) Studies in Educational Evaluation, 67, art. no. 100933, DOI: 10.1016/j.stueduc.2020.100933</w:t>
            </w:r>
          </w:p>
        </w:tc>
      </w:tr>
      <w:tr w:rsidR="00C4329A" w:rsidRPr="004C10DC" w14:paraId="7E3BADEF" w14:textId="77777777" w:rsidTr="00C4329A">
        <w:trPr>
          <w:cantSplit/>
        </w:trPr>
        <w:tc>
          <w:tcPr>
            <w:tcW w:w="297" w:type="pct"/>
            <w:vAlign w:val="center"/>
          </w:tcPr>
          <w:p w14:paraId="2F79485C" w14:textId="77777777" w:rsidR="009F6AC8" w:rsidRPr="008C72E5" w:rsidRDefault="009F6AC8" w:rsidP="00B558B7">
            <w:pPr>
              <w:pStyle w:val="TekstTabeli"/>
            </w:pPr>
            <w:r w:rsidRPr="008C72E5">
              <w:t>55</w:t>
            </w:r>
          </w:p>
        </w:tc>
        <w:tc>
          <w:tcPr>
            <w:tcW w:w="880" w:type="pct"/>
            <w:vAlign w:val="center"/>
          </w:tcPr>
          <w:p w14:paraId="5AD9B455" w14:textId="77777777" w:rsidR="009F6AC8" w:rsidRPr="008C72E5" w:rsidRDefault="009F6AC8" w:rsidP="00B558B7">
            <w:pPr>
              <w:pStyle w:val="TekstTabeli"/>
            </w:pPr>
            <w:r w:rsidRPr="008C72E5">
              <w:t>Del-Castillo-Feito C., Blanco-González A., González-Vázquez E.</w:t>
            </w:r>
          </w:p>
        </w:tc>
        <w:tc>
          <w:tcPr>
            <w:tcW w:w="1771" w:type="pct"/>
            <w:vAlign w:val="center"/>
          </w:tcPr>
          <w:p w14:paraId="6CE80295" w14:textId="77777777" w:rsidR="009F6AC8" w:rsidRPr="008C72E5" w:rsidRDefault="009F6AC8" w:rsidP="00B558B7">
            <w:pPr>
              <w:pStyle w:val="TekstTabeli"/>
            </w:pPr>
            <w:r w:rsidRPr="008C72E5">
              <w:t>The relationship between image and reputation in the Spanish public university</w:t>
            </w:r>
          </w:p>
        </w:tc>
        <w:tc>
          <w:tcPr>
            <w:tcW w:w="2052" w:type="pct"/>
            <w:vAlign w:val="center"/>
          </w:tcPr>
          <w:p w14:paraId="1BB808F0" w14:textId="77777777" w:rsidR="009F6AC8" w:rsidRPr="008C72E5" w:rsidRDefault="009F6AC8" w:rsidP="00B558B7">
            <w:pPr>
              <w:pStyle w:val="TekstTabeli"/>
            </w:pPr>
            <w:r w:rsidRPr="008C72E5">
              <w:t>(2019) European Research on Management and Business Economics, 25 (2), pp. 87 - 92, DOI: 10.1016/j.iedeen.2019.01.001</w:t>
            </w:r>
          </w:p>
        </w:tc>
      </w:tr>
      <w:tr w:rsidR="00C4329A" w:rsidRPr="004C10DC" w14:paraId="4BC9167A" w14:textId="77777777" w:rsidTr="00C4329A">
        <w:trPr>
          <w:cantSplit/>
        </w:trPr>
        <w:tc>
          <w:tcPr>
            <w:tcW w:w="297" w:type="pct"/>
            <w:vAlign w:val="center"/>
          </w:tcPr>
          <w:p w14:paraId="528CA65B" w14:textId="77777777" w:rsidR="009F6AC8" w:rsidRPr="008C72E5" w:rsidRDefault="009F6AC8" w:rsidP="00B558B7">
            <w:pPr>
              <w:pStyle w:val="TekstTabeli"/>
            </w:pPr>
            <w:r w:rsidRPr="008C72E5">
              <w:t>56</w:t>
            </w:r>
          </w:p>
        </w:tc>
        <w:tc>
          <w:tcPr>
            <w:tcW w:w="880" w:type="pct"/>
            <w:vAlign w:val="center"/>
          </w:tcPr>
          <w:p w14:paraId="78D6C6B3" w14:textId="77777777" w:rsidR="009F6AC8" w:rsidRPr="008C72E5" w:rsidRDefault="009F6AC8" w:rsidP="00B558B7">
            <w:pPr>
              <w:pStyle w:val="TekstTabeli"/>
            </w:pPr>
            <w:r w:rsidRPr="008C72E5">
              <w:t xml:space="preserve">Nandy M., </w:t>
            </w:r>
            <w:proofErr w:type="spellStart"/>
            <w:r w:rsidRPr="008C72E5">
              <w:t>Lodh</w:t>
            </w:r>
            <w:proofErr w:type="spellEnd"/>
            <w:r w:rsidRPr="008C72E5">
              <w:t xml:space="preserve"> S., Tang A.</w:t>
            </w:r>
          </w:p>
        </w:tc>
        <w:tc>
          <w:tcPr>
            <w:tcW w:w="1771" w:type="pct"/>
            <w:vAlign w:val="center"/>
          </w:tcPr>
          <w:p w14:paraId="6291B278" w14:textId="77777777" w:rsidR="009F6AC8" w:rsidRPr="008C72E5" w:rsidRDefault="009F6AC8" w:rsidP="00B558B7">
            <w:pPr>
              <w:pStyle w:val="TekstTabeli"/>
            </w:pPr>
            <w:r w:rsidRPr="008C72E5">
              <w:t>Lessons from Covid-19 and a resilience model for higher education</w:t>
            </w:r>
          </w:p>
        </w:tc>
        <w:tc>
          <w:tcPr>
            <w:tcW w:w="2052" w:type="pct"/>
            <w:vAlign w:val="center"/>
          </w:tcPr>
          <w:p w14:paraId="0A787FBC" w14:textId="77777777" w:rsidR="009F6AC8" w:rsidRPr="008C72E5" w:rsidRDefault="009F6AC8" w:rsidP="00B558B7">
            <w:pPr>
              <w:pStyle w:val="TekstTabeli"/>
            </w:pPr>
            <w:r w:rsidRPr="008C72E5">
              <w:t>(2021) Industry and Higher Education, 35 (1), pp. 3 - 9, DOI: 10.1177/0950422220962696</w:t>
            </w:r>
          </w:p>
        </w:tc>
      </w:tr>
      <w:tr w:rsidR="00C4329A" w:rsidRPr="008C72E5" w14:paraId="2E228A93" w14:textId="77777777" w:rsidTr="00C4329A">
        <w:trPr>
          <w:cantSplit/>
        </w:trPr>
        <w:tc>
          <w:tcPr>
            <w:tcW w:w="297" w:type="pct"/>
            <w:vAlign w:val="center"/>
          </w:tcPr>
          <w:p w14:paraId="7C703596" w14:textId="77777777" w:rsidR="009F6AC8" w:rsidRPr="008C72E5" w:rsidRDefault="009F6AC8" w:rsidP="00B558B7">
            <w:pPr>
              <w:pStyle w:val="TekstTabeli"/>
            </w:pPr>
            <w:r w:rsidRPr="008C72E5">
              <w:t>57</w:t>
            </w:r>
          </w:p>
        </w:tc>
        <w:tc>
          <w:tcPr>
            <w:tcW w:w="880" w:type="pct"/>
            <w:vAlign w:val="center"/>
          </w:tcPr>
          <w:p w14:paraId="77C4B193" w14:textId="77777777" w:rsidR="009F6AC8" w:rsidRPr="008C72E5" w:rsidRDefault="009F6AC8" w:rsidP="00B558B7">
            <w:pPr>
              <w:pStyle w:val="TekstTabeli"/>
            </w:pPr>
            <w:proofErr w:type="spellStart"/>
            <w:r w:rsidRPr="008C72E5">
              <w:t>Bambawale</w:t>
            </w:r>
            <w:proofErr w:type="spellEnd"/>
            <w:r w:rsidRPr="008C72E5">
              <w:t xml:space="preserve"> M.J., </w:t>
            </w:r>
            <w:proofErr w:type="spellStart"/>
            <w:r w:rsidRPr="008C72E5">
              <w:t>Sovacool</w:t>
            </w:r>
            <w:proofErr w:type="spellEnd"/>
            <w:r w:rsidRPr="008C72E5">
              <w:t xml:space="preserve"> B.K.</w:t>
            </w:r>
          </w:p>
        </w:tc>
        <w:tc>
          <w:tcPr>
            <w:tcW w:w="1771" w:type="pct"/>
            <w:vAlign w:val="center"/>
          </w:tcPr>
          <w:p w14:paraId="4FDD5ECB" w14:textId="77777777" w:rsidR="009F6AC8" w:rsidRPr="008C72E5" w:rsidRDefault="009F6AC8" w:rsidP="00B558B7">
            <w:pPr>
              <w:pStyle w:val="TekstTabeli"/>
            </w:pPr>
            <w:r w:rsidRPr="008C72E5">
              <w:t>India's energy security: A sample of business, government, civil society, and university perspectives</w:t>
            </w:r>
          </w:p>
        </w:tc>
        <w:tc>
          <w:tcPr>
            <w:tcW w:w="2052" w:type="pct"/>
            <w:vAlign w:val="center"/>
          </w:tcPr>
          <w:p w14:paraId="7A8A7E77" w14:textId="77777777" w:rsidR="009F6AC8" w:rsidRPr="00D82766" w:rsidRDefault="009F6AC8" w:rsidP="00B558B7">
            <w:pPr>
              <w:pStyle w:val="TekstTabeli"/>
              <w:rPr>
                <w:lang w:val="pl-PL"/>
              </w:rPr>
            </w:pPr>
            <w:r w:rsidRPr="00D82766">
              <w:rPr>
                <w:lang w:val="pl-PL"/>
              </w:rPr>
              <w:t>(2011) Energy Policy, 39 (3), pp. 1254 - 1264, DOI: 10.1016/j.enpol.2010.11.053</w:t>
            </w:r>
          </w:p>
        </w:tc>
      </w:tr>
      <w:tr w:rsidR="00C4329A" w:rsidRPr="004C10DC" w14:paraId="19EB1357" w14:textId="77777777" w:rsidTr="00C4329A">
        <w:trPr>
          <w:cantSplit/>
        </w:trPr>
        <w:tc>
          <w:tcPr>
            <w:tcW w:w="297" w:type="pct"/>
            <w:vAlign w:val="center"/>
          </w:tcPr>
          <w:p w14:paraId="7E2B003E" w14:textId="77777777" w:rsidR="009F6AC8" w:rsidRPr="008C72E5" w:rsidRDefault="009F6AC8" w:rsidP="00B558B7">
            <w:pPr>
              <w:pStyle w:val="TekstTabeli"/>
            </w:pPr>
            <w:r w:rsidRPr="008C72E5">
              <w:t>58</w:t>
            </w:r>
          </w:p>
        </w:tc>
        <w:tc>
          <w:tcPr>
            <w:tcW w:w="880" w:type="pct"/>
            <w:vAlign w:val="center"/>
          </w:tcPr>
          <w:p w14:paraId="52B5385E" w14:textId="77777777" w:rsidR="009F6AC8" w:rsidRPr="008C72E5" w:rsidRDefault="009F6AC8" w:rsidP="00B558B7">
            <w:pPr>
              <w:pStyle w:val="TekstTabeli"/>
            </w:pPr>
            <w:r w:rsidRPr="008C72E5">
              <w:t>Sin C., Amaral A.</w:t>
            </w:r>
          </w:p>
        </w:tc>
        <w:tc>
          <w:tcPr>
            <w:tcW w:w="1771" w:type="pct"/>
            <w:vAlign w:val="center"/>
          </w:tcPr>
          <w:p w14:paraId="0D405315" w14:textId="77777777" w:rsidR="009F6AC8" w:rsidRPr="008C72E5" w:rsidRDefault="009F6AC8" w:rsidP="00B558B7">
            <w:pPr>
              <w:pStyle w:val="TekstTabeli"/>
            </w:pPr>
            <w:r w:rsidRPr="008C72E5">
              <w:t>Academics’ and employers’ perceptions about responsibilities for employability and their initiatives towards its development</w:t>
            </w:r>
          </w:p>
        </w:tc>
        <w:tc>
          <w:tcPr>
            <w:tcW w:w="2052" w:type="pct"/>
            <w:vAlign w:val="center"/>
          </w:tcPr>
          <w:p w14:paraId="77BFF370" w14:textId="77777777" w:rsidR="009F6AC8" w:rsidRPr="008C72E5" w:rsidRDefault="009F6AC8" w:rsidP="00B558B7">
            <w:pPr>
              <w:pStyle w:val="TekstTabeli"/>
            </w:pPr>
            <w:r w:rsidRPr="008C72E5">
              <w:t>(2017) Higher Education, 73 (1), pp. 97 - 111, DOI: 10.1007/s10734-016-0007-y</w:t>
            </w:r>
          </w:p>
        </w:tc>
      </w:tr>
      <w:tr w:rsidR="00C4329A" w:rsidRPr="004C10DC" w14:paraId="359DF826" w14:textId="77777777" w:rsidTr="00C4329A">
        <w:trPr>
          <w:cantSplit/>
        </w:trPr>
        <w:tc>
          <w:tcPr>
            <w:tcW w:w="297" w:type="pct"/>
            <w:vAlign w:val="center"/>
          </w:tcPr>
          <w:p w14:paraId="6A51A9A0" w14:textId="77777777" w:rsidR="009F6AC8" w:rsidRPr="008C72E5" w:rsidRDefault="009F6AC8" w:rsidP="00B558B7">
            <w:pPr>
              <w:pStyle w:val="TekstTabeli"/>
            </w:pPr>
            <w:r w:rsidRPr="008C72E5">
              <w:lastRenderedPageBreak/>
              <w:t>59</w:t>
            </w:r>
          </w:p>
        </w:tc>
        <w:tc>
          <w:tcPr>
            <w:tcW w:w="880" w:type="pct"/>
            <w:vAlign w:val="center"/>
          </w:tcPr>
          <w:p w14:paraId="59E541BB" w14:textId="77777777" w:rsidR="009F6AC8" w:rsidRPr="008C72E5" w:rsidRDefault="009F6AC8" w:rsidP="00B558B7">
            <w:pPr>
              <w:pStyle w:val="TekstTabeli"/>
            </w:pPr>
            <w:proofErr w:type="spellStart"/>
            <w:r w:rsidRPr="008C72E5">
              <w:t>Volchik</w:t>
            </w:r>
            <w:proofErr w:type="spellEnd"/>
            <w:r w:rsidRPr="008C72E5">
              <w:t xml:space="preserve"> V., Oganesyan A., Olejarz T.</w:t>
            </w:r>
          </w:p>
        </w:tc>
        <w:tc>
          <w:tcPr>
            <w:tcW w:w="1771" w:type="pct"/>
            <w:vAlign w:val="center"/>
          </w:tcPr>
          <w:p w14:paraId="4B177E45" w14:textId="77777777" w:rsidR="009F6AC8" w:rsidRPr="008C72E5" w:rsidRDefault="009F6AC8" w:rsidP="00B558B7">
            <w:pPr>
              <w:pStyle w:val="TekstTabeli"/>
            </w:pPr>
            <w:r w:rsidRPr="008C72E5">
              <w:t>Higher education as a factor of socio-economic performance and development</w:t>
            </w:r>
          </w:p>
        </w:tc>
        <w:tc>
          <w:tcPr>
            <w:tcW w:w="2052" w:type="pct"/>
            <w:vAlign w:val="center"/>
          </w:tcPr>
          <w:p w14:paraId="5F540703" w14:textId="77777777" w:rsidR="009F6AC8" w:rsidRPr="008C72E5" w:rsidRDefault="009F6AC8" w:rsidP="00B558B7">
            <w:pPr>
              <w:pStyle w:val="TekstTabeli"/>
            </w:pPr>
            <w:r w:rsidRPr="008C72E5">
              <w:t>(2018) Journal of International Studies, 11 (4), pp. 326 - 340, DOI: 10.14254/2071-8330.2018/11-4/23</w:t>
            </w:r>
          </w:p>
        </w:tc>
      </w:tr>
      <w:tr w:rsidR="00C4329A" w:rsidRPr="008C72E5" w14:paraId="389DC5DA" w14:textId="77777777" w:rsidTr="00C4329A">
        <w:trPr>
          <w:cantSplit/>
        </w:trPr>
        <w:tc>
          <w:tcPr>
            <w:tcW w:w="297" w:type="pct"/>
            <w:vAlign w:val="center"/>
          </w:tcPr>
          <w:p w14:paraId="08459F87" w14:textId="77777777" w:rsidR="009F6AC8" w:rsidRPr="008C72E5" w:rsidRDefault="009F6AC8" w:rsidP="00B558B7">
            <w:pPr>
              <w:pStyle w:val="TekstTabeli"/>
            </w:pPr>
            <w:r w:rsidRPr="008C72E5">
              <w:t>60</w:t>
            </w:r>
          </w:p>
        </w:tc>
        <w:tc>
          <w:tcPr>
            <w:tcW w:w="880" w:type="pct"/>
            <w:vAlign w:val="center"/>
          </w:tcPr>
          <w:p w14:paraId="7205A9B9" w14:textId="77777777" w:rsidR="009F6AC8" w:rsidRPr="008C72E5" w:rsidRDefault="009F6AC8" w:rsidP="00B558B7">
            <w:pPr>
              <w:pStyle w:val="TekstTabeli"/>
            </w:pPr>
            <w:r w:rsidRPr="008C72E5">
              <w:t>Watty K.</w:t>
            </w:r>
          </w:p>
        </w:tc>
        <w:tc>
          <w:tcPr>
            <w:tcW w:w="1771" w:type="pct"/>
            <w:vAlign w:val="center"/>
          </w:tcPr>
          <w:p w14:paraId="5E4D1A70" w14:textId="77777777" w:rsidR="009F6AC8" w:rsidRPr="008C72E5" w:rsidRDefault="009F6AC8" w:rsidP="00B558B7">
            <w:pPr>
              <w:pStyle w:val="TekstTabeli"/>
            </w:pPr>
            <w:r w:rsidRPr="008C72E5">
              <w:t xml:space="preserve">Quality in accounting education and low </w:t>
            </w:r>
            <w:proofErr w:type="spellStart"/>
            <w:r w:rsidRPr="008C72E5">
              <w:t>english</w:t>
            </w:r>
            <w:proofErr w:type="spellEnd"/>
            <w:r w:rsidRPr="008C72E5">
              <w:t xml:space="preserve"> standards among overseas students: Is there a link?</w:t>
            </w:r>
          </w:p>
        </w:tc>
        <w:tc>
          <w:tcPr>
            <w:tcW w:w="2052" w:type="pct"/>
            <w:vAlign w:val="center"/>
          </w:tcPr>
          <w:p w14:paraId="4EFC1AD2" w14:textId="77777777" w:rsidR="009F6AC8" w:rsidRPr="008C72E5" w:rsidRDefault="009F6AC8" w:rsidP="00B558B7">
            <w:pPr>
              <w:pStyle w:val="TekstTabeli"/>
            </w:pPr>
            <w:r w:rsidRPr="008C72E5">
              <w:t>(2007) People and Place, 15 (1), pp. 22 - 29, 0</w:t>
            </w:r>
          </w:p>
        </w:tc>
      </w:tr>
      <w:tr w:rsidR="00C4329A" w:rsidRPr="004C10DC" w14:paraId="5410C667" w14:textId="77777777" w:rsidTr="00C4329A">
        <w:trPr>
          <w:cantSplit/>
        </w:trPr>
        <w:tc>
          <w:tcPr>
            <w:tcW w:w="297" w:type="pct"/>
            <w:vAlign w:val="center"/>
          </w:tcPr>
          <w:p w14:paraId="17BC14B0" w14:textId="77777777" w:rsidR="009F6AC8" w:rsidRPr="008C72E5" w:rsidRDefault="009F6AC8" w:rsidP="00B558B7">
            <w:pPr>
              <w:pStyle w:val="TekstTabeli"/>
            </w:pPr>
            <w:r w:rsidRPr="008C72E5">
              <w:t>61</w:t>
            </w:r>
          </w:p>
        </w:tc>
        <w:tc>
          <w:tcPr>
            <w:tcW w:w="880" w:type="pct"/>
            <w:vAlign w:val="center"/>
          </w:tcPr>
          <w:p w14:paraId="25726B45" w14:textId="77777777" w:rsidR="009F6AC8" w:rsidRPr="008C72E5" w:rsidRDefault="009F6AC8" w:rsidP="00B558B7">
            <w:pPr>
              <w:pStyle w:val="TekstTabeli"/>
            </w:pPr>
            <w:proofErr w:type="spellStart"/>
            <w:r w:rsidRPr="008C72E5">
              <w:t>Lasagabaster</w:t>
            </w:r>
            <w:proofErr w:type="spellEnd"/>
            <w:r w:rsidRPr="008C72E5">
              <w:t xml:space="preserve"> D.</w:t>
            </w:r>
          </w:p>
        </w:tc>
        <w:tc>
          <w:tcPr>
            <w:tcW w:w="1771" w:type="pct"/>
            <w:vAlign w:val="center"/>
          </w:tcPr>
          <w:p w14:paraId="318A0CE9" w14:textId="77777777" w:rsidR="009F6AC8" w:rsidRPr="008C72E5" w:rsidRDefault="009F6AC8" w:rsidP="00B558B7">
            <w:pPr>
              <w:pStyle w:val="TekstTabeli"/>
            </w:pPr>
            <w:r w:rsidRPr="008C72E5">
              <w:t>Language policy and language choice at European Universities: Is there really a ‘choice’?</w:t>
            </w:r>
          </w:p>
        </w:tc>
        <w:tc>
          <w:tcPr>
            <w:tcW w:w="2052" w:type="pct"/>
            <w:vAlign w:val="center"/>
          </w:tcPr>
          <w:p w14:paraId="181E0E21" w14:textId="77777777" w:rsidR="009F6AC8" w:rsidRPr="008C72E5" w:rsidRDefault="009F6AC8" w:rsidP="00B558B7">
            <w:pPr>
              <w:pStyle w:val="TekstTabeli"/>
            </w:pPr>
            <w:r w:rsidRPr="008C72E5">
              <w:t>(2015) European Journal of Applied Linguistics, 3 (2), pp. 255 - 276, DOI: 10.1515/eujal-2014-0024</w:t>
            </w:r>
          </w:p>
        </w:tc>
      </w:tr>
      <w:tr w:rsidR="00C4329A" w:rsidRPr="004C10DC" w14:paraId="66B90E83" w14:textId="77777777" w:rsidTr="00C4329A">
        <w:trPr>
          <w:cantSplit/>
        </w:trPr>
        <w:tc>
          <w:tcPr>
            <w:tcW w:w="297" w:type="pct"/>
            <w:vAlign w:val="center"/>
          </w:tcPr>
          <w:p w14:paraId="22984306" w14:textId="77777777" w:rsidR="009F6AC8" w:rsidRPr="008C72E5" w:rsidRDefault="009F6AC8" w:rsidP="00B558B7">
            <w:pPr>
              <w:pStyle w:val="TekstTabeli"/>
            </w:pPr>
            <w:r w:rsidRPr="008C72E5">
              <w:t>62</w:t>
            </w:r>
          </w:p>
        </w:tc>
        <w:tc>
          <w:tcPr>
            <w:tcW w:w="880" w:type="pct"/>
            <w:vAlign w:val="center"/>
          </w:tcPr>
          <w:p w14:paraId="464FFC58" w14:textId="77777777" w:rsidR="009F6AC8" w:rsidRPr="008C72E5" w:rsidRDefault="009F6AC8" w:rsidP="00B558B7">
            <w:pPr>
              <w:pStyle w:val="TekstTabeli"/>
            </w:pPr>
            <w:proofErr w:type="spellStart"/>
            <w:r w:rsidRPr="008C72E5">
              <w:t>Mainardes</w:t>
            </w:r>
            <w:proofErr w:type="spellEnd"/>
            <w:r w:rsidRPr="008C72E5">
              <w:t xml:space="preserve"> E.W., Raposo M., Alves H.</w:t>
            </w:r>
          </w:p>
        </w:tc>
        <w:tc>
          <w:tcPr>
            <w:tcW w:w="1771" w:type="pct"/>
            <w:vAlign w:val="center"/>
          </w:tcPr>
          <w:p w14:paraId="05909A88" w14:textId="77777777" w:rsidR="009F6AC8" w:rsidRPr="008C72E5" w:rsidRDefault="009F6AC8" w:rsidP="00B558B7">
            <w:pPr>
              <w:pStyle w:val="TekstTabeli"/>
            </w:pPr>
            <w:r w:rsidRPr="008C72E5">
              <w:t>Universities Need a Market Orientation to Attract Non-Traditional Stakeholders as New Financing Sources</w:t>
            </w:r>
          </w:p>
        </w:tc>
        <w:tc>
          <w:tcPr>
            <w:tcW w:w="2052" w:type="pct"/>
            <w:vAlign w:val="center"/>
          </w:tcPr>
          <w:p w14:paraId="17850FBA" w14:textId="77777777" w:rsidR="009F6AC8" w:rsidRPr="008C72E5" w:rsidRDefault="009F6AC8" w:rsidP="00B558B7">
            <w:pPr>
              <w:pStyle w:val="TekstTabeli"/>
            </w:pPr>
            <w:r w:rsidRPr="008C72E5">
              <w:t>(2014) Public Organization Review, 14 (2), pp. 159 - 171, DOI: 10.1007/s11115-012-0211-x</w:t>
            </w:r>
          </w:p>
        </w:tc>
      </w:tr>
      <w:tr w:rsidR="00C4329A" w:rsidRPr="004C10DC" w14:paraId="7462FD8B" w14:textId="77777777" w:rsidTr="00C4329A">
        <w:trPr>
          <w:cantSplit/>
        </w:trPr>
        <w:tc>
          <w:tcPr>
            <w:tcW w:w="297" w:type="pct"/>
            <w:vAlign w:val="center"/>
          </w:tcPr>
          <w:p w14:paraId="646E9D6A" w14:textId="77777777" w:rsidR="009F6AC8" w:rsidRPr="008C72E5" w:rsidRDefault="009F6AC8" w:rsidP="00B558B7">
            <w:pPr>
              <w:pStyle w:val="TekstTabeli"/>
            </w:pPr>
            <w:r w:rsidRPr="008C72E5">
              <w:t>63</w:t>
            </w:r>
          </w:p>
        </w:tc>
        <w:tc>
          <w:tcPr>
            <w:tcW w:w="880" w:type="pct"/>
            <w:vAlign w:val="center"/>
          </w:tcPr>
          <w:p w14:paraId="0299E5F2" w14:textId="77777777" w:rsidR="009F6AC8" w:rsidRPr="008C72E5" w:rsidRDefault="009F6AC8" w:rsidP="00B558B7">
            <w:pPr>
              <w:pStyle w:val="TekstTabeli"/>
            </w:pPr>
            <w:proofErr w:type="spellStart"/>
            <w:r w:rsidRPr="008C72E5">
              <w:t>Saniee</w:t>
            </w:r>
            <w:proofErr w:type="spellEnd"/>
            <w:r w:rsidRPr="008C72E5">
              <w:t xml:space="preserve"> Monfared M.A., Safi M.</w:t>
            </w:r>
          </w:p>
        </w:tc>
        <w:tc>
          <w:tcPr>
            <w:tcW w:w="1771" w:type="pct"/>
            <w:vAlign w:val="center"/>
          </w:tcPr>
          <w:p w14:paraId="651720BF" w14:textId="77777777" w:rsidR="009F6AC8" w:rsidRPr="008C72E5" w:rsidRDefault="009F6AC8" w:rsidP="00B558B7">
            <w:pPr>
              <w:pStyle w:val="TekstTabeli"/>
            </w:pPr>
            <w:r w:rsidRPr="008C72E5">
              <w:t>Network DEA: an application to analysis of academic performance</w:t>
            </w:r>
          </w:p>
        </w:tc>
        <w:tc>
          <w:tcPr>
            <w:tcW w:w="2052" w:type="pct"/>
            <w:vAlign w:val="center"/>
          </w:tcPr>
          <w:p w14:paraId="43502332" w14:textId="77777777" w:rsidR="009F6AC8" w:rsidRPr="008C72E5" w:rsidRDefault="009F6AC8" w:rsidP="00B558B7">
            <w:pPr>
              <w:pStyle w:val="TekstTabeli"/>
            </w:pPr>
            <w:r w:rsidRPr="008C72E5">
              <w:t>(2013) Journal of Industrial Engineering International, 9 (1), art. no. 15, DOI: 10.1186/2251-712X-9-15</w:t>
            </w:r>
          </w:p>
        </w:tc>
      </w:tr>
      <w:tr w:rsidR="00C4329A" w:rsidRPr="004C10DC" w14:paraId="6DFCFFEE" w14:textId="77777777" w:rsidTr="00C4329A">
        <w:trPr>
          <w:cantSplit/>
        </w:trPr>
        <w:tc>
          <w:tcPr>
            <w:tcW w:w="297" w:type="pct"/>
            <w:vAlign w:val="center"/>
          </w:tcPr>
          <w:p w14:paraId="14A5A92C" w14:textId="77777777" w:rsidR="009F6AC8" w:rsidRPr="008C72E5" w:rsidRDefault="009F6AC8" w:rsidP="00B558B7">
            <w:pPr>
              <w:pStyle w:val="TekstTabeli"/>
            </w:pPr>
            <w:r w:rsidRPr="008C72E5">
              <w:t>64</w:t>
            </w:r>
          </w:p>
        </w:tc>
        <w:tc>
          <w:tcPr>
            <w:tcW w:w="880" w:type="pct"/>
            <w:vAlign w:val="center"/>
          </w:tcPr>
          <w:p w14:paraId="3257B136" w14:textId="77777777" w:rsidR="009F6AC8" w:rsidRPr="008C72E5" w:rsidRDefault="009F6AC8" w:rsidP="00B558B7">
            <w:pPr>
              <w:pStyle w:val="TekstTabeli"/>
            </w:pPr>
            <w:r w:rsidRPr="008C72E5">
              <w:t xml:space="preserve">Falqueto J.M.Z., Hoffmann V.E., Gomes R.C., </w:t>
            </w:r>
            <w:proofErr w:type="spellStart"/>
            <w:r w:rsidRPr="008C72E5">
              <w:t>Onoyama</w:t>
            </w:r>
            <w:proofErr w:type="spellEnd"/>
            <w:r w:rsidRPr="008C72E5">
              <w:t xml:space="preserve"> Mori S.S.</w:t>
            </w:r>
          </w:p>
        </w:tc>
        <w:tc>
          <w:tcPr>
            <w:tcW w:w="1771" w:type="pct"/>
            <w:vAlign w:val="center"/>
          </w:tcPr>
          <w:p w14:paraId="69362F3E" w14:textId="77777777" w:rsidR="009F6AC8" w:rsidRPr="008C72E5" w:rsidRDefault="009F6AC8" w:rsidP="00B558B7">
            <w:pPr>
              <w:pStyle w:val="TekstTabeli"/>
            </w:pPr>
            <w:r w:rsidRPr="008C72E5">
              <w:t>Strategic planning in higher education institutions: what are the stakeholders’ roles in the process?</w:t>
            </w:r>
          </w:p>
        </w:tc>
        <w:tc>
          <w:tcPr>
            <w:tcW w:w="2052" w:type="pct"/>
            <w:vAlign w:val="center"/>
          </w:tcPr>
          <w:p w14:paraId="5EBF5A6D" w14:textId="77777777" w:rsidR="009F6AC8" w:rsidRPr="008C72E5" w:rsidRDefault="009F6AC8" w:rsidP="00B558B7">
            <w:pPr>
              <w:pStyle w:val="TekstTabeli"/>
            </w:pPr>
            <w:r w:rsidRPr="008C72E5">
              <w:t>(2020) Higher Education, 79 (6), pp. 1039 - 1056, DOI: 10.1007/s10734-019-00455-8</w:t>
            </w:r>
          </w:p>
        </w:tc>
      </w:tr>
      <w:tr w:rsidR="00C4329A" w:rsidRPr="004C10DC" w14:paraId="2E0798D1" w14:textId="77777777" w:rsidTr="00C4329A">
        <w:trPr>
          <w:cantSplit/>
        </w:trPr>
        <w:tc>
          <w:tcPr>
            <w:tcW w:w="297" w:type="pct"/>
            <w:vAlign w:val="center"/>
          </w:tcPr>
          <w:p w14:paraId="1DF342BA" w14:textId="77777777" w:rsidR="009F6AC8" w:rsidRPr="008C72E5" w:rsidRDefault="009F6AC8" w:rsidP="00B558B7">
            <w:pPr>
              <w:pStyle w:val="TekstTabeli"/>
            </w:pPr>
            <w:r w:rsidRPr="008C72E5">
              <w:t>65</w:t>
            </w:r>
          </w:p>
        </w:tc>
        <w:tc>
          <w:tcPr>
            <w:tcW w:w="880" w:type="pct"/>
            <w:vAlign w:val="center"/>
          </w:tcPr>
          <w:p w14:paraId="18539764" w14:textId="77777777" w:rsidR="009F6AC8" w:rsidRPr="008C72E5" w:rsidRDefault="009F6AC8" w:rsidP="00B558B7">
            <w:pPr>
              <w:pStyle w:val="TekstTabeli"/>
            </w:pPr>
            <w:proofErr w:type="spellStart"/>
            <w:r w:rsidRPr="008C72E5">
              <w:t>Anthym</w:t>
            </w:r>
            <w:proofErr w:type="spellEnd"/>
            <w:r w:rsidRPr="008C72E5">
              <w:t xml:space="preserve"> M., Tuitt F.</w:t>
            </w:r>
          </w:p>
        </w:tc>
        <w:tc>
          <w:tcPr>
            <w:tcW w:w="1771" w:type="pct"/>
            <w:vAlign w:val="center"/>
          </w:tcPr>
          <w:p w14:paraId="59E3852F" w14:textId="77777777" w:rsidR="009F6AC8" w:rsidRPr="008C72E5" w:rsidRDefault="009F6AC8" w:rsidP="00B558B7">
            <w:pPr>
              <w:pStyle w:val="TekstTabeli"/>
            </w:pPr>
            <w:r w:rsidRPr="008C72E5">
              <w:t>When the levees break: the cost of vicarious trauma, microaggressions and emotional labor for Black administrators and faculty engaging in race work at traditionally White institutions</w:t>
            </w:r>
          </w:p>
        </w:tc>
        <w:tc>
          <w:tcPr>
            <w:tcW w:w="2052" w:type="pct"/>
            <w:vAlign w:val="center"/>
          </w:tcPr>
          <w:p w14:paraId="08793C36" w14:textId="77777777" w:rsidR="009F6AC8" w:rsidRPr="008C72E5" w:rsidRDefault="009F6AC8" w:rsidP="00B558B7">
            <w:pPr>
              <w:pStyle w:val="TekstTabeli"/>
            </w:pPr>
            <w:r w:rsidRPr="008C72E5">
              <w:t>(2019) International Journal of Qualitative Studies in Education, 32 (9), pp. 1072 - 1093, DOI: 10.1080/09518398.2019.1645907</w:t>
            </w:r>
          </w:p>
        </w:tc>
      </w:tr>
      <w:tr w:rsidR="00C4329A" w:rsidRPr="004C10DC" w14:paraId="58D87912" w14:textId="77777777" w:rsidTr="00C4329A">
        <w:trPr>
          <w:cantSplit/>
        </w:trPr>
        <w:tc>
          <w:tcPr>
            <w:tcW w:w="297" w:type="pct"/>
            <w:vAlign w:val="center"/>
          </w:tcPr>
          <w:p w14:paraId="747E626A" w14:textId="77777777" w:rsidR="009F6AC8" w:rsidRPr="008C72E5" w:rsidRDefault="009F6AC8" w:rsidP="00B558B7">
            <w:pPr>
              <w:pStyle w:val="TekstTabeli"/>
            </w:pPr>
            <w:r w:rsidRPr="008C72E5">
              <w:t>66</w:t>
            </w:r>
          </w:p>
        </w:tc>
        <w:tc>
          <w:tcPr>
            <w:tcW w:w="880" w:type="pct"/>
            <w:vAlign w:val="center"/>
          </w:tcPr>
          <w:p w14:paraId="2F926A34" w14:textId="77777777" w:rsidR="009F6AC8" w:rsidRPr="008C72E5" w:rsidRDefault="009F6AC8" w:rsidP="00B558B7">
            <w:pPr>
              <w:pStyle w:val="TekstTabeli"/>
            </w:pPr>
            <w:r w:rsidRPr="008C72E5">
              <w:t>Lindsay A.</w:t>
            </w:r>
          </w:p>
        </w:tc>
        <w:tc>
          <w:tcPr>
            <w:tcW w:w="1771" w:type="pct"/>
            <w:vAlign w:val="center"/>
          </w:tcPr>
          <w:p w14:paraId="1F0123BC" w14:textId="77777777" w:rsidR="009F6AC8" w:rsidRPr="008C72E5" w:rsidRDefault="009F6AC8" w:rsidP="00B558B7">
            <w:pPr>
              <w:pStyle w:val="TekstTabeli"/>
            </w:pPr>
            <w:r w:rsidRPr="008C72E5">
              <w:t>Concepts of Quality in Higher Education</w:t>
            </w:r>
          </w:p>
        </w:tc>
        <w:tc>
          <w:tcPr>
            <w:tcW w:w="2052" w:type="pct"/>
            <w:vAlign w:val="center"/>
          </w:tcPr>
          <w:p w14:paraId="09C4AAC8" w14:textId="77777777" w:rsidR="009F6AC8" w:rsidRPr="008C72E5" w:rsidRDefault="009F6AC8" w:rsidP="00B558B7">
            <w:pPr>
              <w:pStyle w:val="TekstTabeli"/>
            </w:pPr>
            <w:r w:rsidRPr="008C72E5">
              <w:t>(1992) Journal of Tertiary Education Administration, 14 (2), pp. 153 - 163, DOI: 10.1080/1036970920140203</w:t>
            </w:r>
          </w:p>
        </w:tc>
      </w:tr>
      <w:tr w:rsidR="00C4329A" w:rsidRPr="004C10DC" w14:paraId="56090AD2" w14:textId="77777777" w:rsidTr="00C4329A">
        <w:trPr>
          <w:cantSplit/>
        </w:trPr>
        <w:tc>
          <w:tcPr>
            <w:tcW w:w="297" w:type="pct"/>
            <w:vAlign w:val="center"/>
          </w:tcPr>
          <w:p w14:paraId="03A98D25" w14:textId="77777777" w:rsidR="009F6AC8" w:rsidRPr="008C72E5" w:rsidRDefault="009F6AC8" w:rsidP="00B558B7">
            <w:pPr>
              <w:pStyle w:val="TekstTabeli"/>
            </w:pPr>
            <w:r w:rsidRPr="008C72E5">
              <w:t>67</w:t>
            </w:r>
          </w:p>
        </w:tc>
        <w:tc>
          <w:tcPr>
            <w:tcW w:w="880" w:type="pct"/>
            <w:vAlign w:val="center"/>
          </w:tcPr>
          <w:p w14:paraId="1A98839C" w14:textId="77777777" w:rsidR="009F6AC8" w:rsidRPr="008C72E5" w:rsidRDefault="009F6AC8" w:rsidP="00B558B7">
            <w:pPr>
              <w:pStyle w:val="TekstTabeli"/>
            </w:pPr>
            <w:proofErr w:type="spellStart"/>
            <w:r w:rsidRPr="008C72E5">
              <w:t>Córcoles</w:t>
            </w:r>
            <w:proofErr w:type="spellEnd"/>
            <w:r w:rsidRPr="008C72E5">
              <w:t xml:space="preserve"> Y.R., Peñalver J.F.S., Ponce A.T.</w:t>
            </w:r>
          </w:p>
        </w:tc>
        <w:tc>
          <w:tcPr>
            <w:tcW w:w="1771" w:type="pct"/>
            <w:vAlign w:val="center"/>
          </w:tcPr>
          <w:p w14:paraId="67FDAFDE" w14:textId="77777777" w:rsidR="009F6AC8" w:rsidRPr="008C72E5" w:rsidRDefault="009F6AC8" w:rsidP="00B558B7">
            <w:pPr>
              <w:pStyle w:val="TekstTabeli"/>
            </w:pPr>
            <w:r w:rsidRPr="008C72E5">
              <w:t>Intellectual capital in Spanish public universities: Stakeholders' information needs</w:t>
            </w:r>
          </w:p>
        </w:tc>
        <w:tc>
          <w:tcPr>
            <w:tcW w:w="2052" w:type="pct"/>
            <w:vAlign w:val="center"/>
          </w:tcPr>
          <w:p w14:paraId="0A50BA55" w14:textId="77777777" w:rsidR="009F6AC8" w:rsidRPr="008C72E5" w:rsidRDefault="009F6AC8" w:rsidP="00B558B7">
            <w:pPr>
              <w:pStyle w:val="TekstTabeli"/>
            </w:pPr>
            <w:r w:rsidRPr="008C72E5">
              <w:t>(2011) Journal of Intellectual Capital, 12 (3), pp. 356 - 376, DOI: 10.1108/14691931111154689</w:t>
            </w:r>
          </w:p>
        </w:tc>
      </w:tr>
      <w:tr w:rsidR="00C4329A" w:rsidRPr="004C10DC" w14:paraId="4B6B7FAE" w14:textId="77777777" w:rsidTr="00C4329A">
        <w:trPr>
          <w:cantSplit/>
        </w:trPr>
        <w:tc>
          <w:tcPr>
            <w:tcW w:w="297" w:type="pct"/>
            <w:vAlign w:val="center"/>
          </w:tcPr>
          <w:p w14:paraId="33F1001E" w14:textId="77777777" w:rsidR="009F6AC8" w:rsidRPr="008C72E5" w:rsidRDefault="009F6AC8" w:rsidP="00B558B7">
            <w:pPr>
              <w:pStyle w:val="TekstTabeli"/>
            </w:pPr>
            <w:r w:rsidRPr="008C72E5">
              <w:t>68</w:t>
            </w:r>
          </w:p>
        </w:tc>
        <w:tc>
          <w:tcPr>
            <w:tcW w:w="880" w:type="pct"/>
            <w:vAlign w:val="center"/>
          </w:tcPr>
          <w:p w14:paraId="3F9E52F8" w14:textId="77777777" w:rsidR="009F6AC8" w:rsidRPr="008C72E5" w:rsidRDefault="009F6AC8" w:rsidP="00B558B7">
            <w:pPr>
              <w:pStyle w:val="TekstTabeli"/>
            </w:pPr>
            <w:proofErr w:type="spellStart"/>
            <w:r w:rsidRPr="008C72E5">
              <w:t>Cebriána</w:t>
            </w:r>
            <w:proofErr w:type="spellEnd"/>
            <w:r w:rsidRPr="008C72E5">
              <w:t xml:space="preserve"> G.</w:t>
            </w:r>
          </w:p>
        </w:tc>
        <w:tc>
          <w:tcPr>
            <w:tcW w:w="1771" w:type="pct"/>
            <w:vAlign w:val="center"/>
          </w:tcPr>
          <w:p w14:paraId="37E1C64A" w14:textId="77777777" w:rsidR="009F6AC8" w:rsidRPr="008C72E5" w:rsidRDefault="009F6AC8" w:rsidP="00B558B7">
            <w:pPr>
              <w:pStyle w:val="TekstTabeli"/>
            </w:pPr>
            <w:r w:rsidRPr="008C72E5">
              <w:t>The I3E model for embedding education for sustainability within higher education institutions</w:t>
            </w:r>
          </w:p>
        </w:tc>
        <w:tc>
          <w:tcPr>
            <w:tcW w:w="2052" w:type="pct"/>
            <w:vAlign w:val="center"/>
          </w:tcPr>
          <w:p w14:paraId="6B80E8AF" w14:textId="77777777" w:rsidR="009F6AC8" w:rsidRPr="008C72E5" w:rsidRDefault="009F6AC8" w:rsidP="00B558B7">
            <w:pPr>
              <w:pStyle w:val="TekstTabeli"/>
            </w:pPr>
            <w:r w:rsidRPr="008C72E5">
              <w:t>(2018) Environmental Education Research, 24 (2), pp. 153 - 171, DOI: 10.1080/13504622.2016.1217395</w:t>
            </w:r>
          </w:p>
        </w:tc>
      </w:tr>
      <w:tr w:rsidR="00C4329A" w:rsidRPr="004C10DC" w14:paraId="57719801" w14:textId="77777777" w:rsidTr="00C4329A">
        <w:trPr>
          <w:cantSplit/>
        </w:trPr>
        <w:tc>
          <w:tcPr>
            <w:tcW w:w="297" w:type="pct"/>
            <w:vAlign w:val="center"/>
          </w:tcPr>
          <w:p w14:paraId="760E04A8" w14:textId="77777777" w:rsidR="009F6AC8" w:rsidRPr="008C72E5" w:rsidRDefault="009F6AC8" w:rsidP="00B558B7">
            <w:pPr>
              <w:pStyle w:val="TekstTabeli"/>
            </w:pPr>
            <w:r w:rsidRPr="008C72E5">
              <w:t>69</w:t>
            </w:r>
          </w:p>
        </w:tc>
        <w:tc>
          <w:tcPr>
            <w:tcW w:w="880" w:type="pct"/>
            <w:vAlign w:val="center"/>
          </w:tcPr>
          <w:p w14:paraId="12D5A80E" w14:textId="77777777" w:rsidR="009F6AC8" w:rsidRPr="008C72E5" w:rsidRDefault="009F6AC8" w:rsidP="00B558B7">
            <w:pPr>
              <w:pStyle w:val="TekstTabeli"/>
            </w:pPr>
            <w:r w:rsidRPr="008C72E5">
              <w:t>Smith A.R.</w:t>
            </w:r>
          </w:p>
        </w:tc>
        <w:tc>
          <w:tcPr>
            <w:tcW w:w="1771" w:type="pct"/>
            <w:vAlign w:val="center"/>
          </w:tcPr>
          <w:p w14:paraId="299CE0DA" w14:textId="77777777" w:rsidR="009F6AC8" w:rsidRPr="008C72E5" w:rsidRDefault="009F6AC8" w:rsidP="00B558B7">
            <w:pPr>
              <w:pStyle w:val="TekstTabeli"/>
            </w:pPr>
            <w:r w:rsidRPr="008C72E5">
              <w:t>Ensuring quality: The faculty role in online higher education</w:t>
            </w:r>
          </w:p>
        </w:tc>
        <w:tc>
          <w:tcPr>
            <w:tcW w:w="2052" w:type="pct"/>
            <w:vAlign w:val="center"/>
          </w:tcPr>
          <w:p w14:paraId="026AD4C7" w14:textId="77777777" w:rsidR="009F6AC8" w:rsidRPr="008C72E5" w:rsidRDefault="009F6AC8" w:rsidP="00B558B7">
            <w:pPr>
              <w:pStyle w:val="TekstTabeli"/>
            </w:pPr>
            <w:r w:rsidRPr="008C72E5">
              <w:t>(2016) Handbook of Research on Building, Growing, and Sustaining Quality E-Learning Programs, pp. 210 - 231, DOI: 10.4018/978-1-5225-0877-9.ch011</w:t>
            </w:r>
          </w:p>
        </w:tc>
      </w:tr>
      <w:tr w:rsidR="00C4329A" w:rsidRPr="004C10DC" w14:paraId="0BF502DC" w14:textId="77777777" w:rsidTr="00C4329A">
        <w:trPr>
          <w:cantSplit/>
        </w:trPr>
        <w:tc>
          <w:tcPr>
            <w:tcW w:w="297" w:type="pct"/>
            <w:vAlign w:val="center"/>
          </w:tcPr>
          <w:p w14:paraId="3BE143AB" w14:textId="77777777" w:rsidR="009F6AC8" w:rsidRPr="008C72E5" w:rsidRDefault="009F6AC8" w:rsidP="00B558B7">
            <w:pPr>
              <w:pStyle w:val="TekstTabeli"/>
            </w:pPr>
            <w:r w:rsidRPr="008C72E5">
              <w:t>70</w:t>
            </w:r>
          </w:p>
        </w:tc>
        <w:tc>
          <w:tcPr>
            <w:tcW w:w="880" w:type="pct"/>
            <w:vAlign w:val="center"/>
          </w:tcPr>
          <w:p w14:paraId="4BEDD7C7" w14:textId="77777777" w:rsidR="009F6AC8" w:rsidRPr="008C72E5" w:rsidRDefault="009F6AC8" w:rsidP="00B558B7">
            <w:pPr>
              <w:pStyle w:val="TekstTabeli"/>
            </w:pPr>
            <w:r w:rsidRPr="008C72E5">
              <w:t>Liu O.L., Bridgeman B., Adler R.M.</w:t>
            </w:r>
          </w:p>
        </w:tc>
        <w:tc>
          <w:tcPr>
            <w:tcW w:w="1771" w:type="pct"/>
            <w:vAlign w:val="center"/>
          </w:tcPr>
          <w:p w14:paraId="7E7BD344" w14:textId="77777777" w:rsidR="009F6AC8" w:rsidRPr="008C72E5" w:rsidRDefault="009F6AC8" w:rsidP="00B558B7">
            <w:pPr>
              <w:pStyle w:val="TekstTabeli"/>
            </w:pPr>
            <w:r w:rsidRPr="008C72E5">
              <w:t>Measuring Learning Outcomes in Higher Education: Motivation Matters</w:t>
            </w:r>
          </w:p>
        </w:tc>
        <w:tc>
          <w:tcPr>
            <w:tcW w:w="2052" w:type="pct"/>
            <w:vAlign w:val="center"/>
          </w:tcPr>
          <w:p w14:paraId="6F64E012" w14:textId="77777777" w:rsidR="009F6AC8" w:rsidRPr="008C72E5" w:rsidRDefault="009F6AC8" w:rsidP="00B558B7">
            <w:pPr>
              <w:pStyle w:val="TekstTabeli"/>
            </w:pPr>
            <w:r w:rsidRPr="008C72E5">
              <w:t>(2012) Educational Researcher, 41 (9), pp. 352 - 362, DOI: 10.3102/0013189X12459679</w:t>
            </w:r>
          </w:p>
        </w:tc>
      </w:tr>
      <w:tr w:rsidR="00C4329A" w:rsidRPr="004C10DC" w14:paraId="7617461B" w14:textId="77777777" w:rsidTr="00C4329A">
        <w:trPr>
          <w:cantSplit/>
        </w:trPr>
        <w:tc>
          <w:tcPr>
            <w:tcW w:w="297" w:type="pct"/>
            <w:vAlign w:val="center"/>
          </w:tcPr>
          <w:p w14:paraId="517B7030" w14:textId="77777777" w:rsidR="009F6AC8" w:rsidRPr="008C72E5" w:rsidRDefault="009F6AC8" w:rsidP="00B558B7">
            <w:pPr>
              <w:pStyle w:val="TekstTabeli"/>
            </w:pPr>
            <w:r w:rsidRPr="008C72E5">
              <w:t>71</w:t>
            </w:r>
          </w:p>
        </w:tc>
        <w:tc>
          <w:tcPr>
            <w:tcW w:w="880" w:type="pct"/>
            <w:vAlign w:val="center"/>
          </w:tcPr>
          <w:p w14:paraId="078BB91B" w14:textId="77777777" w:rsidR="009F6AC8" w:rsidRPr="008C72E5" w:rsidRDefault="009F6AC8" w:rsidP="00B558B7">
            <w:pPr>
              <w:pStyle w:val="TekstTabeli"/>
            </w:pPr>
            <w:proofErr w:type="spellStart"/>
            <w:r w:rsidRPr="008C72E5">
              <w:t>Waas</w:t>
            </w:r>
            <w:proofErr w:type="spellEnd"/>
            <w:r w:rsidRPr="008C72E5">
              <w:t xml:space="preserve"> T., Verbruggen A., Wright T.</w:t>
            </w:r>
          </w:p>
        </w:tc>
        <w:tc>
          <w:tcPr>
            <w:tcW w:w="1771" w:type="pct"/>
            <w:vAlign w:val="center"/>
          </w:tcPr>
          <w:p w14:paraId="16490838" w14:textId="77777777" w:rsidR="009F6AC8" w:rsidRPr="008C72E5" w:rsidRDefault="009F6AC8" w:rsidP="00B558B7">
            <w:pPr>
              <w:pStyle w:val="TekstTabeli"/>
            </w:pPr>
            <w:r w:rsidRPr="008C72E5">
              <w:t>University research for sustainable development: definition and characteristics explored</w:t>
            </w:r>
          </w:p>
        </w:tc>
        <w:tc>
          <w:tcPr>
            <w:tcW w:w="2052" w:type="pct"/>
            <w:vAlign w:val="center"/>
          </w:tcPr>
          <w:p w14:paraId="0ACD03CB" w14:textId="77777777" w:rsidR="009F6AC8" w:rsidRPr="008C72E5" w:rsidRDefault="009F6AC8" w:rsidP="00B558B7">
            <w:pPr>
              <w:pStyle w:val="TekstTabeli"/>
            </w:pPr>
            <w:r w:rsidRPr="008C72E5">
              <w:t>(2010) Journal of Cleaner Production, 18 (7), pp. 629 - 636, DOI: 10.1016/j.jclepro.2009.09.017</w:t>
            </w:r>
          </w:p>
        </w:tc>
      </w:tr>
      <w:tr w:rsidR="00C4329A" w:rsidRPr="004C10DC" w14:paraId="79F7763C" w14:textId="77777777" w:rsidTr="00C4329A">
        <w:trPr>
          <w:cantSplit/>
        </w:trPr>
        <w:tc>
          <w:tcPr>
            <w:tcW w:w="297" w:type="pct"/>
            <w:vAlign w:val="center"/>
          </w:tcPr>
          <w:p w14:paraId="75E95EF5" w14:textId="77777777" w:rsidR="009F6AC8" w:rsidRPr="008C72E5" w:rsidRDefault="009F6AC8" w:rsidP="00B558B7">
            <w:pPr>
              <w:pStyle w:val="TekstTabeli"/>
            </w:pPr>
            <w:r w:rsidRPr="008C72E5">
              <w:t>72</w:t>
            </w:r>
          </w:p>
        </w:tc>
        <w:tc>
          <w:tcPr>
            <w:tcW w:w="880" w:type="pct"/>
            <w:vAlign w:val="center"/>
          </w:tcPr>
          <w:p w14:paraId="14ECE59A" w14:textId="4C34A392" w:rsidR="009F6AC8" w:rsidRPr="008C72E5" w:rsidRDefault="009F6AC8" w:rsidP="00B558B7">
            <w:pPr>
              <w:pStyle w:val="TekstTabeli"/>
            </w:pPr>
            <w:r w:rsidRPr="008C72E5">
              <w:t xml:space="preserve">Franco I., Saito O., Vaughter P., </w:t>
            </w:r>
            <w:proofErr w:type="spellStart"/>
            <w:r w:rsidR="00422CD8" w:rsidRPr="008C72E5">
              <w:t>i</w:t>
            </w:r>
            <w:proofErr w:type="spellEnd"/>
            <w:r w:rsidR="00422CD8" w:rsidRPr="008C72E5">
              <w:t xml:space="preserve"> in.</w:t>
            </w:r>
          </w:p>
        </w:tc>
        <w:tc>
          <w:tcPr>
            <w:tcW w:w="1771" w:type="pct"/>
            <w:vAlign w:val="center"/>
          </w:tcPr>
          <w:p w14:paraId="5F30FD84" w14:textId="77777777" w:rsidR="009F6AC8" w:rsidRPr="008C72E5" w:rsidRDefault="009F6AC8" w:rsidP="00B558B7">
            <w:pPr>
              <w:pStyle w:val="TekstTabeli"/>
            </w:pPr>
            <w:r w:rsidRPr="008C72E5">
              <w:t>Higher education for sustainable development: actioning the global goals in policy, curriculum and practice</w:t>
            </w:r>
          </w:p>
        </w:tc>
        <w:tc>
          <w:tcPr>
            <w:tcW w:w="2052" w:type="pct"/>
            <w:vAlign w:val="center"/>
          </w:tcPr>
          <w:p w14:paraId="757A901C" w14:textId="77777777" w:rsidR="009F6AC8" w:rsidRPr="008C72E5" w:rsidRDefault="009F6AC8" w:rsidP="00B558B7">
            <w:pPr>
              <w:pStyle w:val="TekstTabeli"/>
            </w:pPr>
            <w:r w:rsidRPr="008C72E5">
              <w:t>(2019) Sustainability Science, 14 (6), pp. 1621 - 1642, DOI: 10.1007/s11625-018-0628-4</w:t>
            </w:r>
          </w:p>
        </w:tc>
      </w:tr>
      <w:tr w:rsidR="00C4329A" w:rsidRPr="004C10DC" w14:paraId="41B4F89C" w14:textId="77777777" w:rsidTr="00C4329A">
        <w:trPr>
          <w:cantSplit/>
        </w:trPr>
        <w:tc>
          <w:tcPr>
            <w:tcW w:w="297" w:type="pct"/>
            <w:vAlign w:val="center"/>
          </w:tcPr>
          <w:p w14:paraId="257FC393" w14:textId="77777777" w:rsidR="009F6AC8" w:rsidRPr="008C72E5" w:rsidRDefault="009F6AC8" w:rsidP="00B558B7">
            <w:pPr>
              <w:pStyle w:val="TekstTabeli"/>
            </w:pPr>
            <w:r w:rsidRPr="008C72E5">
              <w:t>73</w:t>
            </w:r>
          </w:p>
        </w:tc>
        <w:tc>
          <w:tcPr>
            <w:tcW w:w="880" w:type="pct"/>
            <w:vAlign w:val="center"/>
          </w:tcPr>
          <w:p w14:paraId="317EA7E9" w14:textId="77777777" w:rsidR="009F6AC8" w:rsidRPr="008C72E5" w:rsidRDefault="009F6AC8" w:rsidP="00B558B7">
            <w:pPr>
              <w:pStyle w:val="TekstTabeli"/>
            </w:pPr>
            <w:proofErr w:type="spellStart"/>
            <w:r w:rsidRPr="008C72E5">
              <w:t>Zepkea</w:t>
            </w:r>
            <w:proofErr w:type="spellEnd"/>
            <w:r w:rsidRPr="008C72E5">
              <w:t xml:space="preserve"> N., Leach L., Butler P.</w:t>
            </w:r>
          </w:p>
        </w:tc>
        <w:tc>
          <w:tcPr>
            <w:tcW w:w="1771" w:type="pct"/>
            <w:vAlign w:val="center"/>
          </w:tcPr>
          <w:p w14:paraId="62FC5063" w14:textId="77777777" w:rsidR="009F6AC8" w:rsidRPr="008C72E5" w:rsidRDefault="009F6AC8" w:rsidP="00B558B7">
            <w:pPr>
              <w:pStyle w:val="TekstTabeli"/>
            </w:pPr>
            <w:r w:rsidRPr="008C72E5">
              <w:t>Non-institutional influences and student perceptions of success</w:t>
            </w:r>
          </w:p>
        </w:tc>
        <w:tc>
          <w:tcPr>
            <w:tcW w:w="2052" w:type="pct"/>
            <w:vAlign w:val="center"/>
          </w:tcPr>
          <w:p w14:paraId="04A4CF65" w14:textId="77777777" w:rsidR="009F6AC8" w:rsidRPr="008C72E5" w:rsidRDefault="009F6AC8" w:rsidP="00B558B7">
            <w:pPr>
              <w:pStyle w:val="TekstTabeli"/>
            </w:pPr>
            <w:r w:rsidRPr="008C72E5">
              <w:t>(2011) Studies in Higher Education, 36 (2), pp. 227 - 242, DOI: 10.1080/03075070903545074</w:t>
            </w:r>
          </w:p>
        </w:tc>
      </w:tr>
      <w:tr w:rsidR="00C4329A" w:rsidRPr="004C10DC" w14:paraId="4AA3437D" w14:textId="77777777" w:rsidTr="00C4329A">
        <w:trPr>
          <w:cantSplit/>
        </w:trPr>
        <w:tc>
          <w:tcPr>
            <w:tcW w:w="297" w:type="pct"/>
            <w:vAlign w:val="center"/>
          </w:tcPr>
          <w:p w14:paraId="56B244DF" w14:textId="77777777" w:rsidR="009F6AC8" w:rsidRPr="008C72E5" w:rsidRDefault="009F6AC8" w:rsidP="00B558B7">
            <w:pPr>
              <w:pStyle w:val="TekstTabeli"/>
            </w:pPr>
            <w:r w:rsidRPr="008C72E5">
              <w:lastRenderedPageBreak/>
              <w:t>74</w:t>
            </w:r>
          </w:p>
        </w:tc>
        <w:tc>
          <w:tcPr>
            <w:tcW w:w="880" w:type="pct"/>
            <w:vAlign w:val="center"/>
          </w:tcPr>
          <w:p w14:paraId="100914CD" w14:textId="77777777" w:rsidR="009F6AC8" w:rsidRPr="00D82766" w:rsidRDefault="009F6AC8" w:rsidP="00B558B7">
            <w:pPr>
              <w:pStyle w:val="TekstTabeli"/>
              <w:rPr>
                <w:lang w:val="pl-PL"/>
              </w:rPr>
            </w:pPr>
            <w:proofErr w:type="spellStart"/>
            <w:r w:rsidRPr="00D82766">
              <w:rPr>
                <w:lang w:val="pl-PL"/>
              </w:rPr>
              <w:t>Ramírez</w:t>
            </w:r>
            <w:proofErr w:type="spellEnd"/>
            <w:r w:rsidRPr="00D82766">
              <w:rPr>
                <w:lang w:val="pl-PL"/>
              </w:rPr>
              <w:t xml:space="preserve"> </w:t>
            </w:r>
            <w:proofErr w:type="spellStart"/>
            <w:r w:rsidRPr="00D82766">
              <w:rPr>
                <w:lang w:val="pl-PL"/>
              </w:rPr>
              <w:t>Córcoles</w:t>
            </w:r>
            <w:proofErr w:type="spellEnd"/>
            <w:r w:rsidRPr="00D82766">
              <w:rPr>
                <w:lang w:val="pl-PL"/>
              </w:rPr>
              <w:t xml:space="preserve"> Y., </w:t>
            </w:r>
            <w:proofErr w:type="spellStart"/>
            <w:r w:rsidRPr="00D82766">
              <w:rPr>
                <w:lang w:val="pl-PL"/>
              </w:rPr>
              <w:t>Tejada</w:t>
            </w:r>
            <w:proofErr w:type="spellEnd"/>
            <w:r w:rsidRPr="00D82766">
              <w:rPr>
                <w:lang w:val="pl-PL"/>
              </w:rPr>
              <w:t xml:space="preserve"> </w:t>
            </w:r>
            <w:proofErr w:type="spellStart"/>
            <w:r w:rsidRPr="00D82766">
              <w:rPr>
                <w:lang w:val="pl-PL"/>
              </w:rPr>
              <w:t>Ponce</w:t>
            </w:r>
            <w:proofErr w:type="spellEnd"/>
            <w:r w:rsidRPr="00D82766">
              <w:rPr>
                <w:lang w:val="pl-PL"/>
              </w:rPr>
              <w:t xml:space="preserve"> Á.</w:t>
            </w:r>
          </w:p>
        </w:tc>
        <w:tc>
          <w:tcPr>
            <w:tcW w:w="1771" w:type="pct"/>
            <w:vAlign w:val="center"/>
          </w:tcPr>
          <w:p w14:paraId="476FC4A1" w14:textId="77777777" w:rsidR="009F6AC8" w:rsidRPr="008C72E5" w:rsidRDefault="009F6AC8" w:rsidP="00B558B7">
            <w:pPr>
              <w:pStyle w:val="TekstTabeli"/>
            </w:pPr>
            <w:r w:rsidRPr="008C72E5">
              <w:t>Cost-benefit analysis of intellectual capital disclosure: University stakeholders' view</w:t>
            </w:r>
          </w:p>
        </w:tc>
        <w:tc>
          <w:tcPr>
            <w:tcW w:w="2052" w:type="pct"/>
            <w:vAlign w:val="center"/>
          </w:tcPr>
          <w:p w14:paraId="25D72B42" w14:textId="77777777" w:rsidR="009F6AC8" w:rsidRPr="008C72E5" w:rsidRDefault="009F6AC8" w:rsidP="00B558B7">
            <w:pPr>
              <w:pStyle w:val="TekstTabeli"/>
            </w:pPr>
            <w:r w:rsidRPr="008C72E5">
              <w:t xml:space="preserve">(2013) </w:t>
            </w:r>
            <w:proofErr w:type="spellStart"/>
            <w:r w:rsidRPr="008C72E5">
              <w:t>Revista</w:t>
            </w:r>
            <w:proofErr w:type="spellEnd"/>
            <w:r w:rsidRPr="008C72E5">
              <w:t xml:space="preserve"> de </w:t>
            </w:r>
            <w:proofErr w:type="spellStart"/>
            <w:r w:rsidRPr="008C72E5">
              <w:t>Contabilidad</w:t>
            </w:r>
            <w:proofErr w:type="spellEnd"/>
            <w:r w:rsidRPr="008C72E5">
              <w:t>-Spanish Accounting Review, 16 (2), pp. 106 - 117, DOI: 10.1016/j.rcsar.2013.07.001</w:t>
            </w:r>
          </w:p>
        </w:tc>
      </w:tr>
      <w:tr w:rsidR="00C4329A" w:rsidRPr="004C10DC" w14:paraId="6D127201" w14:textId="77777777" w:rsidTr="00C4329A">
        <w:trPr>
          <w:cantSplit/>
        </w:trPr>
        <w:tc>
          <w:tcPr>
            <w:tcW w:w="297" w:type="pct"/>
            <w:vAlign w:val="center"/>
          </w:tcPr>
          <w:p w14:paraId="7460FB4F" w14:textId="77777777" w:rsidR="009F6AC8" w:rsidRPr="008C72E5" w:rsidRDefault="009F6AC8" w:rsidP="00B558B7">
            <w:pPr>
              <w:pStyle w:val="TekstTabeli"/>
            </w:pPr>
            <w:r w:rsidRPr="008C72E5">
              <w:t>75</w:t>
            </w:r>
          </w:p>
        </w:tc>
        <w:tc>
          <w:tcPr>
            <w:tcW w:w="880" w:type="pct"/>
            <w:vAlign w:val="center"/>
          </w:tcPr>
          <w:p w14:paraId="4795EAED" w14:textId="77777777" w:rsidR="009F6AC8" w:rsidRPr="00D82766" w:rsidRDefault="009F6AC8" w:rsidP="00B558B7">
            <w:pPr>
              <w:pStyle w:val="TekstTabeli"/>
              <w:rPr>
                <w:lang w:val="pl-PL"/>
              </w:rPr>
            </w:pPr>
            <w:r w:rsidRPr="00D82766">
              <w:rPr>
                <w:lang w:val="pl-PL"/>
              </w:rPr>
              <w:t xml:space="preserve">Kim N., Park J., </w:t>
            </w:r>
            <w:proofErr w:type="spellStart"/>
            <w:r w:rsidRPr="00D82766">
              <w:rPr>
                <w:lang w:val="pl-PL"/>
              </w:rPr>
              <w:t>Choi</w:t>
            </w:r>
            <w:proofErr w:type="spellEnd"/>
            <w:r w:rsidRPr="00D82766">
              <w:rPr>
                <w:lang w:val="pl-PL"/>
              </w:rPr>
              <w:t xml:space="preserve"> J.-J.</w:t>
            </w:r>
          </w:p>
        </w:tc>
        <w:tc>
          <w:tcPr>
            <w:tcW w:w="1771" w:type="pct"/>
            <w:vAlign w:val="center"/>
          </w:tcPr>
          <w:p w14:paraId="5D626F38" w14:textId="77777777" w:rsidR="009F6AC8" w:rsidRPr="008C72E5" w:rsidRDefault="009F6AC8" w:rsidP="00B558B7">
            <w:pPr>
              <w:pStyle w:val="TekstTabeli"/>
            </w:pPr>
            <w:r w:rsidRPr="008C72E5">
              <w:t>Perceptual differences in core competencies between tourism industry practitioners and students using Analytic Hierarchy Process (AHP)</w:t>
            </w:r>
          </w:p>
        </w:tc>
        <w:tc>
          <w:tcPr>
            <w:tcW w:w="2052" w:type="pct"/>
            <w:vAlign w:val="center"/>
          </w:tcPr>
          <w:p w14:paraId="2451B17B" w14:textId="77777777" w:rsidR="009F6AC8" w:rsidRPr="008C72E5" w:rsidRDefault="009F6AC8" w:rsidP="00B558B7">
            <w:pPr>
              <w:pStyle w:val="TekstTabeli"/>
            </w:pPr>
            <w:r w:rsidRPr="008C72E5">
              <w:t>(2017) Journal of Hospitality, Leisure, Sport and Tourism Education, 20, pp. 76 - 86, DOI: 10.1016/j.jhlste.2017.04.003</w:t>
            </w:r>
          </w:p>
        </w:tc>
      </w:tr>
      <w:tr w:rsidR="00C4329A" w:rsidRPr="004C10DC" w14:paraId="0561524D" w14:textId="77777777" w:rsidTr="00C4329A">
        <w:trPr>
          <w:cantSplit/>
        </w:trPr>
        <w:tc>
          <w:tcPr>
            <w:tcW w:w="297" w:type="pct"/>
            <w:vAlign w:val="center"/>
          </w:tcPr>
          <w:p w14:paraId="77AC84A6" w14:textId="77777777" w:rsidR="009F6AC8" w:rsidRPr="008C72E5" w:rsidRDefault="009F6AC8" w:rsidP="00B558B7">
            <w:pPr>
              <w:pStyle w:val="TekstTabeli"/>
            </w:pPr>
            <w:r w:rsidRPr="008C72E5">
              <w:t>76</w:t>
            </w:r>
          </w:p>
        </w:tc>
        <w:tc>
          <w:tcPr>
            <w:tcW w:w="880" w:type="pct"/>
            <w:vAlign w:val="center"/>
          </w:tcPr>
          <w:p w14:paraId="3069D0E9" w14:textId="77777777" w:rsidR="009F6AC8" w:rsidRPr="008C72E5" w:rsidRDefault="009F6AC8" w:rsidP="00B558B7">
            <w:pPr>
              <w:pStyle w:val="TekstTabeli"/>
            </w:pPr>
            <w:r w:rsidRPr="008C72E5">
              <w:t xml:space="preserve">Ramirez Y., Merino E., </w:t>
            </w:r>
            <w:proofErr w:type="spellStart"/>
            <w:r w:rsidRPr="008C72E5">
              <w:t>Manzaneque</w:t>
            </w:r>
            <w:proofErr w:type="spellEnd"/>
            <w:r w:rsidRPr="008C72E5">
              <w:t xml:space="preserve"> M.</w:t>
            </w:r>
          </w:p>
        </w:tc>
        <w:tc>
          <w:tcPr>
            <w:tcW w:w="1771" w:type="pct"/>
            <w:vAlign w:val="center"/>
          </w:tcPr>
          <w:p w14:paraId="6680572E" w14:textId="77777777" w:rsidR="009F6AC8" w:rsidRPr="008C72E5" w:rsidRDefault="009F6AC8" w:rsidP="00B558B7">
            <w:pPr>
              <w:pStyle w:val="TekstTabeli"/>
            </w:pPr>
            <w:r w:rsidRPr="008C72E5">
              <w:t>Examining the intellectual capital web reporting by Spanish universities</w:t>
            </w:r>
          </w:p>
        </w:tc>
        <w:tc>
          <w:tcPr>
            <w:tcW w:w="2052" w:type="pct"/>
            <w:vAlign w:val="center"/>
          </w:tcPr>
          <w:p w14:paraId="649D6610" w14:textId="77777777" w:rsidR="009F6AC8" w:rsidRPr="008C72E5" w:rsidRDefault="009F6AC8" w:rsidP="00B558B7">
            <w:pPr>
              <w:pStyle w:val="TekstTabeli"/>
            </w:pPr>
            <w:r w:rsidRPr="008C72E5">
              <w:t>(2019) Online Information Review, 43 (5), pp. 775 - 798, DOI: 10.1108/OIR-02-2018-0048</w:t>
            </w:r>
          </w:p>
        </w:tc>
      </w:tr>
      <w:tr w:rsidR="00C4329A" w:rsidRPr="004C10DC" w14:paraId="06757D07" w14:textId="77777777" w:rsidTr="00C4329A">
        <w:trPr>
          <w:cantSplit/>
        </w:trPr>
        <w:tc>
          <w:tcPr>
            <w:tcW w:w="297" w:type="pct"/>
            <w:vAlign w:val="center"/>
          </w:tcPr>
          <w:p w14:paraId="019F0953" w14:textId="77777777" w:rsidR="009F6AC8" w:rsidRPr="008C72E5" w:rsidRDefault="009F6AC8" w:rsidP="00B558B7">
            <w:pPr>
              <w:pStyle w:val="TekstTabeli"/>
            </w:pPr>
            <w:r w:rsidRPr="008C72E5">
              <w:t>77</w:t>
            </w:r>
          </w:p>
        </w:tc>
        <w:tc>
          <w:tcPr>
            <w:tcW w:w="880" w:type="pct"/>
            <w:vAlign w:val="center"/>
          </w:tcPr>
          <w:p w14:paraId="4D357537" w14:textId="77777777" w:rsidR="009F6AC8" w:rsidRPr="008C72E5" w:rsidRDefault="009F6AC8" w:rsidP="00B558B7">
            <w:pPr>
              <w:pStyle w:val="TekstTabeli"/>
            </w:pPr>
            <w:r w:rsidRPr="008C72E5">
              <w:t>Tran L.H.N.</w:t>
            </w:r>
          </w:p>
        </w:tc>
        <w:tc>
          <w:tcPr>
            <w:tcW w:w="1771" w:type="pct"/>
            <w:vAlign w:val="center"/>
          </w:tcPr>
          <w:p w14:paraId="16DEA470" w14:textId="77777777" w:rsidR="009F6AC8" w:rsidRPr="008C72E5" w:rsidRDefault="009F6AC8" w:rsidP="00B558B7">
            <w:pPr>
              <w:pStyle w:val="TekstTabeli"/>
            </w:pPr>
            <w:r w:rsidRPr="008C72E5">
              <w:t>Game of blames: Higher education stakeholders’ perceptions of causes of Vietnamese graduates’ skills gap</w:t>
            </w:r>
          </w:p>
        </w:tc>
        <w:tc>
          <w:tcPr>
            <w:tcW w:w="2052" w:type="pct"/>
            <w:vAlign w:val="center"/>
          </w:tcPr>
          <w:p w14:paraId="76571960" w14:textId="77777777" w:rsidR="009F6AC8" w:rsidRPr="008C72E5" w:rsidRDefault="009F6AC8" w:rsidP="00B558B7">
            <w:pPr>
              <w:pStyle w:val="TekstTabeli"/>
            </w:pPr>
            <w:r w:rsidRPr="008C72E5">
              <w:t>(2018) International Journal of Educational Development, 62, pp. 302 - 312, DOI: 10.1016/j.ijedudev.2018.07.005</w:t>
            </w:r>
          </w:p>
        </w:tc>
      </w:tr>
      <w:tr w:rsidR="00C4329A" w:rsidRPr="004C10DC" w14:paraId="7EE0E6DC" w14:textId="77777777" w:rsidTr="00C4329A">
        <w:trPr>
          <w:cantSplit/>
        </w:trPr>
        <w:tc>
          <w:tcPr>
            <w:tcW w:w="297" w:type="pct"/>
            <w:vAlign w:val="center"/>
          </w:tcPr>
          <w:p w14:paraId="644A207A" w14:textId="77777777" w:rsidR="009F6AC8" w:rsidRPr="008C72E5" w:rsidRDefault="009F6AC8" w:rsidP="00B558B7">
            <w:pPr>
              <w:pStyle w:val="TekstTabeli"/>
            </w:pPr>
            <w:r w:rsidRPr="008C72E5">
              <w:t>78</w:t>
            </w:r>
          </w:p>
        </w:tc>
        <w:tc>
          <w:tcPr>
            <w:tcW w:w="880" w:type="pct"/>
            <w:vAlign w:val="center"/>
          </w:tcPr>
          <w:p w14:paraId="0ACCC53C" w14:textId="77777777" w:rsidR="009F6AC8" w:rsidRPr="008C72E5" w:rsidRDefault="009F6AC8" w:rsidP="00B558B7">
            <w:pPr>
              <w:pStyle w:val="TekstTabeli"/>
            </w:pPr>
            <w:r w:rsidRPr="008C72E5">
              <w:t>McBride L.-J., Fitzgerald C., Costello C., Perkins K.</w:t>
            </w:r>
          </w:p>
        </w:tc>
        <w:tc>
          <w:tcPr>
            <w:tcW w:w="1771" w:type="pct"/>
            <w:vAlign w:val="center"/>
          </w:tcPr>
          <w:p w14:paraId="6CB74B43" w14:textId="77777777" w:rsidR="009F6AC8" w:rsidRPr="008C72E5" w:rsidRDefault="009F6AC8" w:rsidP="00B558B7">
            <w:pPr>
              <w:pStyle w:val="TekstTabeli"/>
            </w:pPr>
            <w:r w:rsidRPr="008C72E5">
              <w:t>Allied health pre-entry student clinical placement capacity: Can it be sustained?</w:t>
            </w:r>
          </w:p>
        </w:tc>
        <w:tc>
          <w:tcPr>
            <w:tcW w:w="2052" w:type="pct"/>
            <w:vAlign w:val="center"/>
          </w:tcPr>
          <w:p w14:paraId="4ECF3995" w14:textId="77777777" w:rsidR="009F6AC8" w:rsidRPr="008C72E5" w:rsidRDefault="009F6AC8" w:rsidP="00B558B7">
            <w:pPr>
              <w:pStyle w:val="TekstTabeli"/>
            </w:pPr>
            <w:r w:rsidRPr="008C72E5">
              <w:t>(2019) Australian Health Review, 44 (1), pp. 39 - 46, DOI: 10.1071/AH18088</w:t>
            </w:r>
          </w:p>
        </w:tc>
      </w:tr>
      <w:tr w:rsidR="00C4329A" w:rsidRPr="004C10DC" w14:paraId="722A6C23" w14:textId="77777777" w:rsidTr="00C4329A">
        <w:trPr>
          <w:cantSplit/>
        </w:trPr>
        <w:tc>
          <w:tcPr>
            <w:tcW w:w="297" w:type="pct"/>
            <w:vAlign w:val="center"/>
          </w:tcPr>
          <w:p w14:paraId="15058F0B" w14:textId="77777777" w:rsidR="009F6AC8" w:rsidRPr="008C72E5" w:rsidRDefault="009F6AC8" w:rsidP="00B558B7">
            <w:pPr>
              <w:pStyle w:val="TekstTabeli"/>
            </w:pPr>
            <w:r w:rsidRPr="008C72E5">
              <w:t>79</w:t>
            </w:r>
          </w:p>
        </w:tc>
        <w:tc>
          <w:tcPr>
            <w:tcW w:w="880" w:type="pct"/>
            <w:vAlign w:val="center"/>
          </w:tcPr>
          <w:p w14:paraId="114D5C0F" w14:textId="77777777" w:rsidR="009F6AC8" w:rsidRPr="008C72E5" w:rsidRDefault="009F6AC8" w:rsidP="00B558B7">
            <w:pPr>
              <w:pStyle w:val="TekstTabeli"/>
            </w:pPr>
            <w:r w:rsidRPr="008C72E5">
              <w:t>Ali M.B.</w:t>
            </w:r>
          </w:p>
        </w:tc>
        <w:tc>
          <w:tcPr>
            <w:tcW w:w="1771" w:type="pct"/>
            <w:vAlign w:val="center"/>
          </w:tcPr>
          <w:p w14:paraId="5FD174BA" w14:textId="77777777" w:rsidR="009F6AC8" w:rsidRPr="008C72E5" w:rsidRDefault="009F6AC8" w:rsidP="00B558B7">
            <w:pPr>
              <w:pStyle w:val="TekstTabeli"/>
            </w:pPr>
            <w:r w:rsidRPr="008C72E5">
              <w:t>Multi-perspectives of cloud computing service adoption quality and risks in higher education</w:t>
            </w:r>
          </w:p>
        </w:tc>
        <w:tc>
          <w:tcPr>
            <w:tcW w:w="2052" w:type="pct"/>
            <w:vAlign w:val="center"/>
          </w:tcPr>
          <w:p w14:paraId="0177F624" w14:textId="77777777" w:rsidR="009F6AC8" w:rsidRPr="008C72E5" w:rsidRDefault="009F6AC8" w:rsidP="00B558B7">
            <w:pPr>
              <w:pStyle w:val="TekstTabeli"/>
            </w:pPr>
            <w:r w:rsidRPr="008C72E5">
              <w:t>(2020) Handbook of Research on Modern Educational Technologies, Applications, and Management (2 Vol.), pp. 1 - 19, DOI: 10.4018/978-1-7998-3476-2.ch001</w:t>
            </w:r>
          </w:p>
        </w:tc>
      </w:tr>
      <w:tr w:rsidR="00C4329A" w:rsidRPr="004C10DC" w14:paraId="0FEE39E7" w14:textId="77777777" w:rsidTr="00C4329A">
        <w:trPr>
          <w:cantSplit/>
        </w:trPr>
        <w:tc>
          <w:tcPr>
            <w:tcW w:w="297" w:type="pct"/>
            <w:vAlign w:val="center"/>
          </w:tcPr>
          <w:p w14:paraId="6083693C" w14:textId="77777777" w:rsidR="009F6AC8" w:rsidRPr="008C72E5" w:rsidRDefault="009F6AC8" w:rsidP="00B558B7">
            <w:pPr>
              <w:pStyle w:val="TekstTabeli"/>
            </w:pPr>
            <w:r w:rsidRPr="008C72E5">
              <w:t>80</w:t>
            </w:r>
          </w:p>
        </w:tc>
        <w:tc>
          <w:tcPr>
            <w:tcW w:w="880" w:type="pct"/>
            <w:vAlign w:val="center"/>
          </w:tcPr>
          <w:p w14:paraId="2C69052E" w14:textId="77777777" w:rsidR="009F6AC8" w:rsidRPr="008C72E5" w:rsidRDefault="009F6AC8" w:rsidP="00B558B7">
            <w:pPr>
              <w:pStyle w:val="TekstTabeli"/>
            </w:pPr>
            <w:r w:rsidRPr="008C72E5">
              <w:t>Ramírez Y., Gordillo S.</w:t>
            </w:r>
          </w:p>
        </w:tc>
        <w:tc>
          <w:tcPr>
            <w:tcW w:w="1771" w:type="pct"/>
            <w:vAlign w:val="center"/>
          </w:tcPr>
          <w:p w14:paraId="53F87C25" w14:textId="77777777" w:rsidR="009F6AC8" w:rsidRPr="008C72E5" w:rsidRDefault="009F6AC8" w:rsidP="00B558B7">
            <w:pPr>
              <w:pStyle w:val="TekstTabeli"/>
            </w:pPr>
            <w:r w:rsidRPr="008C72E5">
              <w:t>Recognition and measurement of intellectual capital in Spanish universities</w:t>
            </w:r>
          </w:p>
        </w:tc>
        <w:tc>
          <w:tcPr>
            <w:tcW w:w="2052" w:type="pct"/>
            <w:vAlign w:val="center"/>
          </w:tcPr>
          <w:p w14:paraId="7EBF6763" w14:textId="77777777" w:rsidR="009F6AC8" w:rsidRPr="008C72E5" w:rsidRDefault="009F6AC8" w:rsidP="00B558B7">
            <w:pPr>
              <w:pStyle w:val="TekstTabeli"/>
            </w:pPr>
            <w:r w:rsidRPr="008C72E5">
              <w:t>(2014) Journal of Intellectual Capital, 15 (1), pp. 173 - 188, DOI: 10.1108/JIC-05-2013-0058</w:t>
            </w:r>
          </w:p>
        </w:tc>
      </w:tr>
      <w:tr w:rsidR="00C4329A" w:rsidRPr="004C10DC" w14:paraId="6989127F" w14:textId="77777777" w:rsidTr="00C4329A">
        <w:trPr>
          <w:cantSplit/>
        </w:trPr>
        <w:tc>
          <w:tcPr>
            <w:tcW w:w="297" w:type="pct"/>
            <w:vAlign w:val="center"/>
          </w:tcPr>
          <w:p w14:paraId="41300CFD" w14:textId="77777777" w:rsidR="009F6AC8" w:rsidRPr="008C72E5" w:rsidRDefault="009F6AC8" w:rsidP="00B558B7">
            <w:pPr>
              <w:pStyle w:val="TekstTabeli"/>
            </w:pPr>
            <w:r w:rsidRPr="008C72E5">
              <w:t>81</w:t>
            </w:r>
          </w:p>
        </w:tc>
        <w:tc>
          <w:tcPr>
            <w:tcW w:w="880" w:type="pct"/>
            <w:vAlign w:val="center"/>
          </w:tcPr>
          <w:p w14:paraId="6B6F16FB" w14:textId="77777777" w:rsidR="009F6AC8" w:rsidRPr="008C72E5" w:rsidRDefault="009F6AC8" w:rsidP="00B558B7">
            <w:pPr>
              <w:pStyle w:val="TekstTabeli"/>
            </w:pPr>
            <w:proofErr w:type="spellStart"/>
            <w:r w:rsidRPr="008C72E5">
              <w:t>Bervell</w:t>
            </w:r>
            <w:proofErr w:type="spellEnd"/>
            <w:r w:rsidRPr="008C72E5">
              <w:t xml:space="preserve"> B., Umar I.N.</w:t>
            </w:r>
          </w:p>
        </w:tc>
        <w:tc>
          <w:tcPr>
            <w:tcW w:w="1771" w:type="pct"/>
            <w:vAlign w:val="center"/>
          </w:tcPr>
          <w:p w14:paraId="1FD1898E" w14:textId="77777777" w:rsidR="009F6AC8" w:rsidRPr="008C72E5" w:rsidRDefault="009F6AC8" w:rsidP="00B558B7">
            <w:pPr>
              <w:pStyle w:val="TekstTabeli"/>
            </w:pPr>
            <w:r w:rsidRPr="008C72E5">
              <w:t>A decade of LMS acceptance and adoption research in Sub-Sahara African higher education: A systematic review of models, methodologies, milestones and main challenges</w:t>
            </w:r>
          </w:p>
        </w:tc>
        <w:tc>
          <w:tcPr>
            <w:tcW w:w="2052" w:type="pct"/>
            <w:vAlign w:val="center"/>
          </w:tcPr>
          <w:p w14:paraId="4496D57E" w14:textId="77777777" w:rsidR="009F6AC8" w:rsidRPr="008C72E5" w:rsidRDefault="009F6AC8" w:rsidP="00B558B7">
            <w:pPr>
              <w:pStyle w:val="TekstTabeli"/>
            </w:pPr>
            <w:r w:rsidRPr="008C72E5">
              <w:t>(2017) Eurasia Journal of Mathematics, Science and Technology Education, 13 (11), pp. 7269 - 7286, DOI: 10.12973/</w:t>
            </w:r>
            <w:proofErr w:type="spellStart"/>
            <w:r w:rsidRPr="008C72E5">
              <w:t>ejmste</w:t>
            </w:r>
            <w:proofErr w:type="spellEnd"/>
            <w:r w:rsidRPr="008C72E5">
              <w:t>/79444</w:t>
            </w:r>
          </w:p>
        </w:tc>
      </w:tr>
      <w:tr w:rsidR="00C4329A" w:rsidRPr="004C10DC" w14:paraId="641775FB" w14:textId="77777777" w:rsidTr="00C4329A">
        <w:trPr>
          <w:cantSplit/>
        </w:trPr>
        <w:tc>
          <w:tcPr>
            <w:tcW w:w="297" w:type="pct"/>
            <w:vAlign w:val="center"/>
          </w:tcPr>
          <w:p w14:paraId="4A97762A" w14:textId="77777777" w:rsidR="009F6AC8" w:rsidRPr="008C72E5" w:rsidRDefault="009F6AC8" w:rsidP="00B558B7">
            <w:pPr>
              <w:pStyle w:val="TekstTabeli"/>
            </w:pPr>
            <w:r w:rsidRPr="008C72E5">
              <w:t>82</w:t>
            </w:r>
          </w:p>
        </w:tc>
        <w:tc>
          <w:tcPr>
            <w:tcW w:w="880" w:type="pct"/>
            <w:vAlign w:val="center"/>
          </w:tcPr>
          <w:p w14:paraId="2F9D15E8" w14:textId="77777777" w:rsidR="009F6AC8" w:rsidRPr="008C72E5" w:rsidRDefault="009F6AC8" w:rsidP="00B558B7">
            <w:pPr>
              <w:pStyle w:val="TekstTabeli"/>
            </w:pPr>
            <w:r w:rsidRPr="008C72E5">
              <w:t xml:space="preserve">Hauptman </w:t>
            </w:r>
            <w:proofErr w:type="spellStart"/>
            <w:r w:rsidRPr="008C72E5">
              <w:t>Komotar</w:t>
            </w:r>
            <w:proofErr w:type="spellEnd"/>
            <w:r w:rsidRPr="008C72E5">
              <w:t xml:space="preserve"> M.</w:t>
            </w:r>
          </w:p>
        </w:tc>
        <w:tc>
          <w:tcPr>
            <w:tcW w:w="1771" w:type="pct"/>
            <w:vAlign w:val="center"/>
          </w:tcPr>
          <w:p w14:paraId="385E274B" w14:textId="77777777" w:rsidR="009F6AC8" w:rsidRPr="008C72E5" w:rsidRDefault="009F6AC8" w:rsidP="00B558B7">
            <w:pPr>
              <w:pStyle w:val="TekstTabeli"/>
            </w:pPr>
            <w:r w:rsidRPr="008C72E5">
              <w:t>Discourses on quality and quality assurance in higher education from the perspective of global university rankings</w:t>
            </w:r>
          </w:p>
        </w:tc>
        <w:tc>
          <w:tcPr>
            <w:tcW w:w="2052" w:type="pct"/>
            <w:vAlign w:val="center"/>
          </w:tcPr>
          <w:p w14:paraId="0F164310" w14:textId="77777777" w:rsidR="009F6AC8" w:rsidRPr="008C72E5" w:rsidRDefault="009F6AC8" w:rsidP="00B558B7">
            <w:pPr>
              <w:pStyle w:val="TekstTabeli"/>
            </w:pPr>
            <w:r w:rsidRPr="008C72E5">
              <w:t>(2020) Quality Assurance in Education, 28 (1), pp. 78 - 88, DOI: 10.1108/QAE-05-2019-0055</w:t>
            </w:r>
          </w:p>
        </w:tc>
      </w:tr>
      <w:tr w:rsidR="00C4329A" w:rsidRPr="008C72E5" w14:paraId="4673884B" w14:textId="77777777" w:rsidTr="00C4329A">
        <w:trPr>
          <w:cantSplit/>
        </w:trPr>
        <w:tc>
          <w:tcPr>
            <w:tcW w:w="297" w:type="pct"/>
            <w:vAlign w:val="center"/>
          </w:tcPr>
          <w:p w14:paraId="73160EB9" w14:textId="77777777" w:rsidR="009F6AC8" w:rsidRPr="008C72E5" w:rsidRDefault="009F6AC8" w:rsidP="00B558B7">
            <w:pPr>
              <w:pStyle w:val="TekstTabeli"/>
            </w:pPr>
            <w:r w:rsidRPr="008C72E5">
              <w:t>83</w:t>
            </w:r>
          </w:p>
        </w:tc>
        <w:tc>
          <w:tcPr>
            <w:tcW w:w="880" w:type="pct"/>
            <w:vAlign w:val="center"/>
          </w:tcPr>
          <w:p w14:paraId="303FC8AB" w14:textId="77777777" w:rsidR="009F6AC8" w:rsidRPr="008C72E5" w:rsidRDefault="009F6AC8" w:rsidP="00B558B7">
            <w:pPr>
              <w:pStyle w:val="TekstTabeli"/>
            </w:pPr>
            <w:r w:rsidRPr="008C72E5">
              <w:t>Johnes J.</w:t>
            </w:r>
          </w:p>
        </w:tc>
        <w:tc>
          <w:tcPr>
            <w:tcW w:w="1771" w:type="pct"/>
            <w:vAlign w:val="center"/>
          </w:tcPr>
          <w:p w14:paraId="1A020C89" w14:textId="77777777" w:rsidR="009F6AC8" w:rsidRPr="008C72E5" w:rsidRDefault="009F6AC8" w:rsidP="00B558B7">
            <w:pPr>
              <w:pStyle w:val="TekstTabeli"/>
            </w:pPr>
            <w:r w:rsidRPr="008C72E5">
              <w:t>University rankings: What do they really show?</w:t>
            </w:r>
          </w:p>
        </w:tc>
        <w:tc>
          <w:tcPr>
            <w:tcW w:w="2052" w:type="pct"/>
            <w:vAlign w:val="center"/>
          </w:tcPr>
          <w:p w14:paraId="5BA79106" w14:textId="77777777" w:rsidR="009F6AC8" w:rsidRPr="008C72E5" w:rsidRDefault="009F6AC8" w:rsidP="00B558B7">
            <w:pPr>
              <w:pStyle w:val="TekstTabeli"/>
            </w:pPr>
            <w:r w:rsidRPr="008C72E5">
              <w:t xml:space="preserve">(2018) </w:t>
            </w:r>
            <w:proofErr w:type="spellStart"/>
            <w:r w:rsidRPr="008C72E5">
              <w:t>Scientometrics</w:t>
            </w:r>
            <w:proofErr w:type="spellEnd"/>
            <w:r w:rsidRPr="008C72E5">
              <w:t>, 115 (1), pp. 585 - 606, DOI: 10.1007/s11192-018-2666-1</w:t>
            </w:r>
          </w:p>
        </w:tc>
      </w:tr>
      <w:tr w:rsidR="00C4329A" w:rsidRPr="004C10DC" w14:paraId="2A14B094" w14:textId="77777777" w:rsidTr="00C4329A">
        <w:trPr>
          <w:cantSplit/>
        </w:trPr>
        <w:tc>
          <w:tcPr>
            <w:tcW w:w="297" w:type="pct"/>
            <w:vAlign w:val="center"/>
          </w:tcPr>
          <w:p w14:paraId="59407B6A" w14:textId="77777777" w:rsidR="009F6AC8" w:rsidRPr="008C72E5" w:rsidRDefault="009F6AC8" w:rsidP="00B558B7">
            <w:pPr>
              <w:pStyle w:val="TekstTabeli"/>
            </w:pPr>
            <w:r w:rsidRPr="008C72E5">
              <w:t>84</w:t>
            </w:r>
          </w:p>
        </w:tc>
        <w:tc>
          <w:tcPr>
            <w:tcW w:w="880" w:type="pct"/>
            <w:vAlign w:val="center"/>
          </w:tcPr>
          <w:p w14:paraId="19CB6701" w14:textId="77D4DFD8" w:rsidR="009F6AC8" w:rsidRPr="008C72E5" w:rsidRDefault="009F6AC8" w:rsidP="00B558B7">
            <w:pPr>
              <w:pStyle w:val="TekstTabeli"/>
            </w:pPr>
            <w:r w:rsidRPr="008C72E5">
              <w:t xml:space="preserve">Falcão T.P., Mello R.F., Rodrigues R.L., </w:t>
            </w:r>
            <w:proofErr w:type="spellStart"/>
            <w:r w:rsidR="00422CD8" w:rsidRPr="008C72E5">
              <w:t>i</w:t>
            </w:r>
            <w:proofErr w:type="spellEnd"/>
            <w:r w:rsidR="00422CD8" w:rsidRPr="008C72E5">
              <w:t> in.</w:t>
            </w:r>
          </w:p>
        </w:tc>
        <w:tc>
          <w:tcPr>
            <w:tcW w:w="1771" w:type="pct"/>
            <w:vAlign w:val="center"/>
          </w:tcPr>
          <w:p w14:paraId="2B3B4E82" w14:textId="286F62DD" w:rsidR="009F6AC8" w:rsidRPr="008C72E5" w:rsidRDefault="009F6AC8" w:rsidP="00B558B7">
            <w:pPr>
              <w:pStyle w:val="TekstTabeli"/>
            </w:pPr>
            <w:r w:rsidRPr="008C72E5">
              <w:t xml:space="preserve">Perceptions and expectations about learning analytics from a </w:t>
            </w:r>
            <w:r w:rsidR="00E61495" w:rsidRPr="008C72E5">
              <w:t xml:space="preserve">Brazilian </w:t>
            </w:r>
            <w:r w:rsidRPr="008C72E5">
              <w:t>higher education institution</w:t>
            </w:r>
          </w:p>
        </w:tc>
        <w:tc>
          <w:tcPr>
            <w:tcW w:w="2052" w:type="pct"/>
            <w:vAlign w:val="center"/>
          </w:tcPr>
          <w:p w14:paraId="1D3F8D19" w14:textId="77777777" w:rsidR="009F6AC8" w:rsidRPr="008C72E5" w:rsidRDefault="009F6AC8" w:rsidP="00B558B7">
            <w:pPr>
              <w:pStyle w:val="TekstTabeli"/>
            </w:pPr>
            <w:r w:rsidRPr="008C72E5">
              <w:t>(2020) ACM International Conference Proceeding Series, pp. 240 - 249, DOI: 10.1145/3375462.3375478</w:t>
            </w:r>
          </w:p>
        </w:tc>
      </w:tr>
      <w:tr w:rsidR="00C4329A" w:rsidRPr="004C10DC" w14:paraId="5D714F1F" w14:textId="77777777" w:rsidTr="00C4329A">
        <w:trPr>
          <w:cantSplit/>
        </w:trPr>
        <w:tc>
          <w:tcPr>
            <w:tcW w:w="297" w:type="pct"/>
            <w:vAlign w:val="center"/>
          </w:tcPr>
          <w:p w14:paraId="76C6F5F4" w14:textId="77777777" w:rsidR="009F6AC8" w:rsidRPr="008C72E5" w:rsidRDefault="009F6AC8" w:rsidP="00B558B7">
            <w:pPr>
              <w:pStyle w:val="TekstTabeli"/>
            </w:pPr>
            <w:r w:rsidRPr="008C72E5">
              <w:t>85</w:t>
            </w:r>
          </w:p>
        </w:tc>
        <w:tc>
          <w:tcPr>
            <w:tcW w:w="880" w:type="pct"/>
            <w:vAlign w:val="center"/>
          </w:tcPr>
          <w:p w14:paraId="49D689D3" w14:textId="77777777" w:rsidR="009F6AC8" w:rsidRPr="008C72E5" w:rsidRDefault="009F6AC8" w:rsidP="00B558B7">
            <w:pPr>
              <w:pStyle w:val="TekstTabeli"/>
            </w:pPr>
            <w:r w:rsidRPr="008C72E5">
              <w:t>Dollinger M., Lodge J.</w:t>
            </w:r>
          </w:p>
        </w:tc>
        <w:tc>
          <w:tcPr>
            <w:tcW w:w="1771" w:type="pct"/>
            <w:vAlign w:val="center"/>
          </w:tcPr>
          <w:p w14:paraId="46724AFA" w14:textId="77777777" w:rsidR="009F6AC8" w:rsidRPr="008C72E5" w:rsidRDefault="009F6AC8" w:rsidP="00B558B7">
            <w:pPr>
              <w:pStyle w:val="TekstTabeli"/>
            </w:pPr>
            <w:r w:rsidRPr="008C72E5">
              <w:t>Student-staff co-creation in higher education: an evidence-informed model to support future design and implementation</w:t>
            </w:r>
          </w:p>
        </w:tc>
        <w:tc>
          <w:tcPr>
            <w:tcW w:w="2052" w:type="pct"/>
            <w:vAlign w:val="center"/>
          </w:tcPr>
          <w:p w14:paraId="29B3452B" w14:textId="77777777" w:rsidR="009F6AC8" w:rsidRPr="008C72E5" w:rsidRDefault="009F6AC8" w:rsidP="00B558B7">
            <w:pPr>
              <w:pStyle w:val="TekstTabeli"/>
            </w:pPr>
            <w:r w:rsidRPr="008C72E5">
              <w:t>(2020) Journal of Higher Education Policy and Management, 42 (5), pp. 532 - 546, DOI: 10.1080/1360080X.2019.1663681</w:t>
            </w:r>
          </w:p>
        </w:tc>
      </w:tr>
      <w:tr w:rsidR="00C4329A" w:rsidRPr="004C10DC" w14:paraId="164EC7E8" w14:textId="77777777" w:rsidTr="00C4329A">
        <w:trPr>
          <w:cantSplit/>
        </w:trPr>
        <w:tc>
          <w:tcPr>
            <w:tcW w:w="297" w:type="pct"/>
            <w:vAlign w:val="center"/>
          </w:tcPr>
          <w:p w14:paraId="5EF5438F" w14:textId="77777777" w:rsidR="009F6AC8" w:rsidRPr="008C72E5" w:rsidRDefault="009F6AC8" w:rsidP="00B558B7">
            <w:pPr>
              <w:pStyle w:val="TekstTabeli"/>
            </w:pPr>
            <w:r w:rsidRPr="008C72E5">
              <w:t>86</w:t>
            </w:r>
          </w:p>
        </w:tc>
        <w:tc>
          <w:tcPr>
            <w:tcW w:w="880" w:type="pct"/>
            <w:vAlign w:val="center"/>
          </w:tcPr>
          <w:p w14:paraId="022DA2FD" w14:textId="77777777" w:rsidR="009F6AC8" w:rsidRPr="008C72E5" w:rsidRDefault="009F6AC8" w:rsidP="00B558B7">
            <w:pPr>
              <w:pStyle w:val="TekstTabeli"/>
            </w:pPr>
            <w:r w:rsidRPr="008C72E5">
              <w:t>Ramírez Y., Tejada Á.</w:t>
            </w:r>
          </w:p>
        </w:tc>
        <w:tc>
          <w:tcPr>
            <w:tcW w:w="1771" w:type="pct"/>
            <w:vAlign w:val="center"/>
          </w:tcPr>
          <w:p w14:paraId="2BD275D0" w14:textId="77777777" w:rsidR="009F6AC8" w:rsidRPr="008C72E5" w:rsidRDefault="009F6AC8" w:rsidP="00B558B7">
            <w:pPr>
              <w:pStyle w:val="TekstTabeli"/>
            </w:pPr>
            <w:r w:rsidRPr="008C72E5">
              <w:t>Digital transparency and public accountability in Spanish universities in online media</w:t>
            </w:r>
          </w:p>
        </w:tc>
        <w:tc>
          <w:tcPr>
            <w:tcW w:w="2052" w:type="pct"/>
            <w:vAlign w:val="center"/>
          </w:tcPr>
          <w:p w14:paraId="43FE855B" w14:textId="77777777" w:rsidR="009F6AC8" w:rsidRPr="008C72E5" w:rsidRDefault="009F6AC8" w:rsidP="00B558B7">
            <w:pPr>
              <w:pStyle w:val="TekstTabeli"/>
            </w:pPr>
            <w:r w:rsidRPr="008C72E5">
              <w:t>(2019) Journal of Intellectual Capital, 20 (5), pp. 701 - 732, DOI: 10.1108/JIC-02-2019-0039</w:t>
            </w:r>
          </w:p>
        </w:tc>
      </w:tr>
      <w:tr w:rsidR="00C4329A" w:rsidRPr="004C10DC" w14:paraId="1BE4926C" w14:textId="77777777" w:rsidTr="00C4329A">
        <w:trPr>
          <w:cantSplit/>
        </w:trPr>
        <w:tc>
          <w:tcPr>
            <w:tcW w:w="297" w:type="pct"/>
            <w:vAlign w:val="center"/>
          </w:tcPr>
          <w:p w14:paraId="6757CC92" w14:textId="77777777" w:rsidR="009F6AC8" w:rsidRPr="008C72E5" w:rsidRDefault="009F6AC8" w:rsidP="00B558B7">
            <w:pPr>
              <w:pStyle w:val="TekstTabeli"/>
            </w:pPr>
            <w:r w:rsidRPr="008C72E5">
              <w:t>87</w:t>
            </w:r>
          </w:p>
        </w:tc>
        <w:tc>
          <w:tcPr>
            <w:tcW w:w="880" w:type="pct"/>
            <w:vAlign w:val="center"/>
          </w:tcPr>
          <w:p w14:paraId="2E4FED35" w14:textId="77777777" w:rsidR="009F6AC8" w:rsidRPr="008C72E5" w:rsidRDefault="009F6AC8" w:rsidP="00B558B7">
            <w:pPr>
              <w:pStyle w:val="TekstTabeli"/>
            </w:pPr>
            <w:r w:rsidRPr="008C72E5">
              <w:t>Shaw M.A.</w:t>
            </w:r>
          </w:p>
        </w:tc>
        <w:tc>
          <w:tcPr>
            <w:tcW w:w="1771" w:type="pct"/>
            <w:vAlign w:val="center"/>
          </w:tcPr>
          <w:p w14:paraId="4B4BE0DF" w14:textId="77777777" w:rsidR="009F6AC8" w:rsidRPr="008C72E5" w:rsidRDefault="009F6AC8" w:rsidP="00B558B7">
            <w:pPr>
              <w:pStyle w:val="TekstTabeli"/>
            </w:pPr>
            <w:r w:rsidRPr="008C72E5">
              <w:t>Public accountability versus academic independence: tensions of public higher education governance in Poland</w:t>
            </w:r>
          </w:p>
        </w:tc>
        <w:tc>
          <w:tcPr>
            <w:tcW w:w="2052" w:type="pct"/>
            <w:vAlign w:val="center"/>
          </w:tcPr>
          <w:p w14:paraId="38FEA3F4" w14:textId="77777777" w:rsidR="009F6AC8" w:rsidRPr="008C72E5" w:rsidRDefault="009F6AC8" w:rsidP="00B558B7">
            <w:pPr>
              <w:pStyle w:val="TekstTabeli"/>
            </w:pPr>
            <w:r w:rsidRPr="008C72E5">
              <w:t>(2019) Studies in Higher Education, 44 (12), pp. 2235 - 2248, DOI: 10.1080/03075079.2018.1483910</w:t>
            </w:r>
          </w:p>
        </w:tc>
      </w:tr>
      <w:tr w:rsidR="00C4329A" w:rsidRPr="004C10DC" w14:paraId="3AEB3FAF" w14:textId="77777777" w:rsidTr="00C4329A">
        <w:trPr>
          <w:cantSplit/>
        </w:trPr>
        <w:tc>
          <w:tcPr>
            <w:tcW w:w="297" w:type="pct"/>
            <w:vAlign w:val="center"/>
          </w:tcPr>
          <w:p w14:paraId="2AD1F75A" w14:textId="77777777" w:rsidR="009F6AC8" w:rsidRPr="008C72E5" w:rsidRDefault="009F6AC8" w:rsidP="00B558B7">
            <w:pPr>
              <w:pStyle w:val="TekstTabeli"/>
            </w:pPr>
            <w:r w:rsidRPr="008C72E5">
              <w:t>88</w:t>
            </w:r>
          </w:p>
        </w:tc>
        <w:tc>
          <w:tcPr>
            <w:tcW w:w="880" w:type="pct"/>
            <w:vAlign w:val="center"/>
          </w:tcPr>
          <w:p w14:paraId="540B016D" w14:textId="77777777" w:rsidR="009F6AC8" w:rsidRPr="008C72E5" w:rsidRDefault="009F6AC8" w:rsidP="00B558B7">
            <w:pPr>
              <w:pStyle w:val="TekstTabeli"/>
            </w:pPr>
            <w:proofErr w:type="spellStart"/>
            <w:r w:rsidRPr="008C72E5">
              <w:t>Lwehabura</w:t>
            </w:r>
            <w:proofErr w:type="spellEnd"/>
            <w:r w:rsidRPr="008C72E5">
              <w:t xml:space="preserve"> M.J., Stilwell C.</w:t>
            </w:r>
          </w:p>
        </w:tc>
        <w:tc>
          <w:tcPr>
            <w:tcW w:w="1771" w:type="pct"/>
            <w:vAlign w:val="center"/>
          </w:tcPr>
          <w:p w14:paraId="4542823F" w14:textId="77777777" w:rsidR="009F6AC8" w:rsidRPr="008C72E5" w:rsidRDefault="009F6AC8" w:rsidP="00B558B7">
            <w:pPr>
              <w:pStyle w:val="TekstTabeli"/>
            </w:pPr>
            <w:r w:rsidRPr="008C72E5">
              <w:t>Information literacy in Tanzanian universities: Challenges and potential opportunities</w:t>
            </w:r>
          </w:p>
        </w:tc>
        <w:tc>
          <w:tcPr>
            <w:tcW w:w="2052" w:type="pct"/>
            <w:vAlign w:val="center"/>
          </w:tcPr>
          <w:p w14:paraId="238B87F3" w14:textId="77777777" w:rsidR="009F6AC8" w:rsidRPr="008C72E5" w:rsidRDefault="009F6AC8" w:rsidP="00B558B7">
            <w:pPr>
              <w:pStyle w:val="TekstTabeli"/>
            </w:pPr>
            <w:r w:rsidRPr="008C72E5">
              <w:t>(2008) Journal of Librarianship and Information Science, 40 (3), pp. 179 - 191, DOI: 10.1177/0961000608092553</w:t>
            </w:r>
          </w:p>
        </w:tc>
      </w:tr>
      <w:tr w:rsidR="00C4329A" w:rsidRPr="004C10DC" w14:paraId="47AECEF1" w14:textId="77777777" w:rsidTr="00C4329A">
        <w:trPr>
          <w:cantSplit/>
        </w:trPr>
        <w:tc>
          <w:tcPr>
            <w:tcW w:w="297" w:type="pct"/>
            <w:vAlign w:val="center"/>
          </w:tcPr>
          <w:p w14:paraId="6DF6DE35" w14:textId="77777777" w:rsidR="009F6AC8" w:rsidRPr="008C72E5" w:rsidRDefault="009F6AC8" w:rsidP="00B558B7">
            <w:pPr>
              <w:pStyle w:val="TekstTabeli"/>
            </w:pPr>
            <w:r w:rsidRPr="008C72E5">
              <w:lastRenderedPageBreak/>
              <w:t>89</w:t>
            </w:r>
          </w:p>
        </w:tc>
        <w:tc>
          <w:tcPr>
            <w:tcW w:w="880" w:type="pct"/>
            <w:vAlign w:val="center"/>
          </w:tcPr>
          <w:p w14:paraId="32B79BF4" w14:textId="77777777" w:rsidR="009F6AC8" w:rsidRPr="008C72E5" w:rsidRDefault="009F6AC8" w:rsidP="00B558B7">
            <w:pPr>
              <w:pStyle w:val="TekstTabeli"/>
            </w:pPr>
            <w:r w:rsidRPr="008C72E5">
              <w:t>Tate M., Evermann J., Hope B., Barnes S.</w:t>
            </w:r>
          </w:p>
        </w:tc>
        <w:tc>
          <w:tcPr>
            <w:tcW w:w="1771" w:type="pct"/>
            <w:vAlign w:val="center"/>
          </w:tcPr>
          <w:p w14:paraId="48E6AD7E" w14:textId="77777777" w:rsidR="009F6AC8" w:rsidRPr="008C72E5" w:rsidRDefault="009F6AC8" w:rsidP="00B558B7">
            <w:pPr>
              <w:pStyle w:val="TekstTabeli"/>
            </w:pPr>
            <w:r w:rsidRPr="008C72E5">
              <w:t>Perceived service quality in a University Web portal: Revising the e-qual instrument</w:t>
            </w:r>
          </w:p>
        </w:tc>
        <w:tc>
          <w:tcPr>
            <w:tcW w:w="2052" w:type="pct"/>
            <w:vAlign w:val="center"/>
          </w:tcPr>
          <w:p w14:paraId="549A8A0C" w14:textId="77777777" w:rsidR="009F6AC8" w:rsidRPr="008C72E5" w:rsidRDefault="009F6AC8" w:rsidP="00B558B7">
            <w:pPr>
              <w:pStyle w:val="TekstTabeli"/>
            </w:pPr>
            <w:r w:rsidRPr="008C72E5">
              <w:t>(2007) Proceedings of the Annual Hawaii International Conference on System Sciences, art. no. 4076672, DOI: 10.1109/HICSS.2007.431</w:t>
            </w:r>
          </w:p>
        </w:tc>
      </w:tr>
      <w:tr w:rsidR="00C4329A" w:rsidRPr="004C10DC" w14:paraId="0ECE45CD" w14:textId="77777777" w:rsidTr="00C4329A">
        <w:trPr>
          <w:cantSplit/>
        </w:trPr>
        <w:tc>
          <w:tcPr>
            <w:tcW w:w="297" w:type="pct"/>
            <w:vAlign w:val="center"/>
          </w:tcPr>
          <w:p w14:paraId="1845D290" w14:textId="77777777" w:rsidR="009F6AC8" w:rsidRPr="008C72E5" w:rsidRDefault="009F6AC8" w:rsidP="00B558B7">
            <w:pPr>
              <w:pStyle w:val="TekstTabeli"/>
            </w:pPr>
            <w:r w:rsidRPr="008C72E5">
              <w:t>90</w:t>
            </w:r>
          </w:p>
        </w:tc>
        <w:tc>
          <w:tcPr>
            <w:tcW w:w="880" w:type="pct"/>
            <w:vAlign w:val="center"/>
          </w:tcPr>
          <w:p w14:paraId="49AB9E14" w14:textId="77777777" w:rsidR="009F6AC8" w:rsidRPr="00D82766" w:rsidRDefault="009F6AC8" w:rsidP="00B558B7">
            <w:pPr>
              <w:pStyle w:val="TekstTabeli"/>
              <w:rPr>
                <w:lang w:val="pl-PL"/>
              </w:rPr>
            </w:pPr>
            <w:r w:rsidRPr="00D82766">
              <w:rPr>
                <w:lang w:val="pl-PL"/>
              </w:rPr>
              <w:t xml:space="preserve">Ramirez Y., </w:t>
            </w:r>
            <w:proofErr w:type="spellStart"/>
            <w:r w:rsidRPr="00D82766">
              <w:rPr>
                <w:lang w:val="pl-PL"/>
              </w:rPr>
              <w:t>Tejada</w:t>
            </w:r>
            <w:proofErr w:type="spellEnd"/>
            <w:r w:rsidRPr="00D82766">
              <w:rPr>
                <w:lang w:val="pl-PL"/>
              </w:rPr>
              <w:t xml:space="preserve"> A., </w:t>
            </w:r>
            <w:proofErr w:type="spellStart"/>
            <w:r w:rsidRPr="00D82766">
              <w:rPr>
                <w:lang w:val="pl-PL"/>
              </w:rPr>
              <w:t>Manzaneque</w:t>
            </w:r>
            <w:proofErr w:type="spellEnd"/>
            <w:r w:rsidRPr="00D82766">
              <w:rPr>
                <w:lang w:val="pl-PL"/>
              </w:rPr>
              <w:t xml:space="preserve"> M.</w:t>
            </w:r>
          </w:p>
        </w:tc>
        <w:tc>
          <w:tcPr>
            <w:tcW w:w="1771" w:type="pct"/>
            <w:vAlign w:val="center"/>
          </w:tcPr>
          <w:p w14:paraId="57DC2ED8" w14:textId="77777777" w:rsidR="009F6AC8" w:rsidRPr="008C72E5" w:rsidRDefault="009F6AC8" w:rsidP="00B558B7">
            <w:pPr>
              <w:pStyle w:val="TekstTabeli"/>
            </w:pPr>
            <w:r w:rsidRPr="008C72E5">
              <w:t>The value of disclosing intellectual capital in Spanish universities: A new challenge of our days</w:t>
            </w:r>
          </w:p>
        </w:tc>
        <w:tc>
          <w:tcPr>
            <w:tcW w:w="2052" w:type="pct"/>
            <w:vAlign w:val="center"/>
          </w:tcPr>
          <w:p w14:paraId="34FDFC8C" w14:textId="77777777" w:rsidR="009F6AC8" w:rsidRPr="008C72E5" w:rsidRDefault="009F6AC8" w:rsidP="00B558B7">
            <w:pPr>
              <w:pStyle w:val="TekstTabeli"/>
            </w:pPr>
            <w:r w:rsidRPr="008C72E5">
              <w:t>(2016) Journal of Organizational Change Management, 29 (2), pp. 176 - 198, DOI: 10.1108/JOCM-02-2015-0025</w:t>
            </w:r>
          </w:p>
        </w:tc>
      </w:tr>
      <w:tr w:rsidR="00C4329A" w:rsidRPr="004C10DC" w14:paraId="46B11B4F" w14:textId="77777777" w:rsidTr="00C4329A">
        <w:trPr>
          <w:cantSplit/>
        </w:trPr>
        <w:tc>
          <w:tcPr>
            <w:tcW w:w="297" w:type="pct"/>
            <w:vAlign w:val="center"/>
          </w:tcPr>
          <w:p w14:paraId="1A589321" w14:textId="77777777" w:rsidR="009F6AC8" w:rsidRPr="008C72E5" w:rsidRDefault="009F6AC8" w:rsidP="00B558B7">
            <w:pPr>
              <w:pStyle w:val="TekstTabeli"/>
            </w:pPr>
            <w:r w:rsidRPr="008C72E5">
              <w:t>91</w:t>
            </w:r>
          </w:p>
        </w:tc>
        <w:tc>
          <w:tcPr>
            <w:tcW w:w="880" w:type="pct"/>
            <w:vAlign w:val="center"/>
          </w:tcPr>
          <w:p w14:paraId="531121AB" w14:textId="77777777" w:rsidR="009F6AC8" w:rsidRPr="008C72E5" w:rsidRDefault="009F6AC8" w:rsidP="00B558B7">
            <w:pPr>
              <w:pStyle w:val="TekstTabeli"/>
            </w:pPr>
            <w:r w:rsidRPr="008C72E5">
              <w:t xml:space="preserve">del Rocío Bonilla M., Perea E., del Olmo J.L., </w:t>
            </w:r>
            <w:proofErr w:type="spellStart"/>
            <w:r w:rsidRPr="008C72E5">
              <w:t>Corrons</w:t>
            </w:r>
            <w:proofErr w:type="spellEnd"/>
            <w:r w:rsidRPr="008C72E5">
              <w:t xml:space="preserve"> A.</w:t>
            </w:r>
          </w:p>
        </w:tc>
        <w:tc>
          <w:tcPr>
            <w:tcW w:w="1771" w:type="pct"/>
            <w:vAlign w:val="center"/>
          </w:tcPr>
          <w:p w14:paraId="53457E4D" w14:textId="77777777" w:rsidR="009F6AC8" w:rsidRPr="008C72E5" w:rsidRDefault="009F6AC8" w:rsidP="00B558B7">
            <w:pPr>
              <w:pStyle w:val="TekstTabeli"/>
            </w:pPr>
            <w:r w:rsidRPr="008C72E5">
              <w:t>Insights into user engagement on social media. Case study of a higher education institution</w:t>
            </w:r>
          </w:p>
        </w:tc>
        <w:tc>
          <w:tcPr>
            <w:tcW w:w="2052" w:type="pct"/>
            <w:vAlign w:val="center"/>
          </w:tcPr>
          <w:p w14:paraId="2C0B405E" w14:textId="77777777" w:rsidR="009F6AC8" w:rsidRPr="008C72E5" w:rsidRDefault="009F6AC8" w:rsidP="00B558B7">
            <w:pPr>
              <w:pStyle w:val="TekstTabeli"/>
            </w:pPr>
            <w:r w:rsidRPr="008C72E5">
              <w:t>(2020) Journal of Marketing for Higher Education, 30 (1), pp. 145 - 160, DOI: 10.1080/08841241.2019.1693475</w:t>
            </w:r>
          </w:p>
        </w:tc>
      </w:tr>
      <w:tr w:rsidR="00C4329A" w:rsidRPr="004C10DC" w14:paraId="3B59230C" w14:textId="77777777" w:rsidTr="00C4329A">
        <w:trPr>
          <w:cantSplit/>
        </w:trPr>
        <w:tc>
          <w:tcPr>
            <w:tcW w:w="297" w:type="pct"/>
            <w:vAlign w:val="center"/>
          </w:tcPr>
          <w:p w14:paraId="13717247" w14:textId="77777777" w:rsidR="009F6AC8" w:rsidRPr="008C72E5" w:rsidRDefault="009F6AC8" w:rsidP="00B558B7">
            <w:pPr>
              <w:pStyle w:val="TekstTabeli"/>
            </w:pPr>
            <w:r w:rsidRPr="008C72E5">
              <w:t>92</w:t>
            </w:r>
          </w:p>
        </w:tc>
        <w:tc>
          <w:tcPr>
            <w:tcW w:w="880" w:type="pct"/>
            <w:vAlign w:val="center"/>
          </w:tcPr>
          <w:p w14:paraId="0239D9B3" w14:textId="77777777" w:rsidR="009F6AC8" w:rsidRPr="008C72E5" w:rsidRDefault="009F6AC8" w:rsidP="00B558B7">
            <w:pPr>
              <w:pStyle w:val="TekstTabeli"/>
            </w:pPr>
            <w:r w:rsidRPr="008C72E5">
              <w:t xml:space="preserve">Mariani G., </w:t>
            </w:r>
            <w:proofErr w:type="spellStart"/>
            <w:r w:rsidRPr="008C72E5">
              <w:t>Carlesi</w:t>
            </w:r>
            <w:proofErr w:type="spellEnd"/>
            <w:r w:rsidRPr="008C72E5">
              <w:t xml:space="preserve"> A., </w:t>
            </w:r>
            <w:proofErr w:type="spellStart"/>
            <w:r w:rsidRPr="008C72E5">
              <w:t>Scarfò</w:t>
            </w:r>
            <w:proofErr w:type="spellEnd"/>
            <w:r w:rsidRPr="008C72E5">
              <w:t xml:space="preserve"> A.A.</w:t>
            </w:r>
          </w:p>
        </w:tc>
        <w:tc>
          <w:tcPr>
            <w:tcW w:w="1771" w:type="pct"/>
            <w:vAlign w:val="center"/>
          </w:tcPr>
          <w:p w14:paraId="00615B95" w14:textId="77777777" w:rsidR="009F6AC8" w:rsidRPr="008C72E5" w:rsidRDefault="009F6AC8" w:rsidP="00B558B7">
            <w:pPr>
              <w:pStyle w:val="TekstTabeli"/>
            </w:pPr>
            <w:r w:rsidRPr="008C72E5">
              <w:t>Academic spinoffs as a value driver for intellectual capital: the case of the University of Pisa</w:t>
            </w:r>
          </w:p>
        </w:tc>
        <w:tc>
          <w:tcPr>
            <w:tcW w:w="2052" w:type="pct"/>
            <w:vAlign w:val="center"/>
          </w:tcPr>
          <w:p w14:paraId="32031569" w14:textId="77777777" w:rsidR="009F6AC8" w:rsidRPr="008C72E5" w:rsidRDefault="009F6AC8" w:rsidP="00B558B7">
            <w:pPr>
              <w:pStyle w:val="TekstTabeli"/>
            </w:pPr>
            <w:r w:rsidRPr="008C72E5">
              <w:t>(2018) Journal of Intellectual Capital, 19 (1), pp. 202 - 226, DOI: 10.1108/JIC-03-2017-0050</w:t>
            </w:r>
          </w:p>
        </w:tc>
      </w:tr>
      <w:tr w:rsidR="00C4329A" w:rsidRPr="004C10DC" w14:paraId="14561B32" w14:textId="77777777" w:rsidTr="00C4329A">
        <w:trPr>
          <w:cantSplit/>
        </w:trPr>
        <w:tc>
          <w:tcPr>
            <w:tcW w:w="297" w:type="pct"/>
            <w:vAlign w:val="center"/>
          </w:tcPr>
          <w:p w14:paraId="65A25EFF" w14:textId="77777777" w:rsidR="009F6AC8" w:rsidRPr="008C72E5" w:rsidRDefault="009F6AC8" w:rsidP="00B558B7">
            <w:pPr>
              <w:pStyle w:val="TekstTabeli"/>
            </w:pPr>
            <w:r w:rsidRPr="008C72E5">
              <w:t>93</w:t>
            </w:r>
          </w:p>
        </w:tc>
        <w:tc>
          <w:tcPr>
            <w:tcW w:w="880" w:type="pct"/>
            <w:vAlign w:val="center"/>
          </w:tcPr>
          <w:p w14:paraId="21233C19" w14:textId="579606FC" w:rsidR="009F6AC8" w:rsidRPr="008C72E5" w:rsidRDefault="009F6AC8" w:rsidP="00B558B7">
            <w:pPr>
              <w:pStyle w:val="TekstTabeli"/>
            </w:pPr>
            <w:r w:rsidRPr="008C72E5">
              <w:t xml:space="preserve">Gallardo-Vázquez D., </w:t>
            </w:r>
            <w:proofErr w:type="spellStart"/>
            <w:r w:rsidRPr="008C72E5">
              <w:t>Folgado</w:t>
            </w:r>
            <w:proofErr w:type="spellEnd"/>
            <w:r w:rsidRPr="008C72E5">
              <w:t xml:space="preserve">-Fernández J.A., </w:t>
            </w:r>
            <w:proofErr w:type="spellStart"/>
            <w:r w:rsidR="00A147A1" w:rsidRPr="008C72E5">
              <w:t>i</w:t>
            </w:r>
            <w:proofErr w:type="spellEnd"/>
            <w:r w:rsidR="00A147A1" w:rsidRPr="008C72E5">
              <w:t> in.</w:t>
            </w:r>
          </w:p>
        </w:tc>
        <w:tc>
          <w:tcPr>
            <w:tcW w:w="1771" w:type="pct"/>
            <w:vAlign w:val="center"/>
          </w:tcPr>
          <w:p w14:paraId="5FC54E4B" w14:textId="77777777" w:rsidR="009F6AC8" w:rsidRPr="008C72E5" w:rsidRDefault="009F6AC8" w:rsidP="00B558B7">
            <w:pPr>
              <w:pStyle w:val="TekstTabeli"/>
            </w:pPr>
            <w:r w:rsidRPr="008C72E5">
              <w:t>Social responsibility attitudes and behaviors' influence on university students' satisfaction</w:t>
            </w:r>
          </w:p>
        </w:tc>
        <w:tc>
          <w:tcPr>
            <w:tcW w:w="2052" w:type="pct"/>
            <w:vAlign w:val="center"/>
          </w:tcPr>
          <w:p w14:paraId="2F596A77" w14:textId="77777777" w:rsidR="009F6AC8" w:rsidRPr="008C72E5" w:rsidRDefault="009F6AC8" w:rsidP="00B558B7">
            <w:pPr>
              <w:pStyle w:val="TekstTabeli"/>
            </w:pPr>
            <w:r w:rsidRPr="008C72E5">
              <w:t>(2020) Social Sciences, 9 (2), art. no. 8, DOI: 10.3390/socsci9020008</w:t>
            </w:r>
          </w:p>
        </w:tc>
      </w:tr>
      <w:tr w:rsidR="00C4329A" w:rsidRPr="004C10DC" w14:paraId="54C849FD" w14:textId="77777777" w:rsidTr="00C4329A">
        <w:trPr>
          <w:cantSplit/>
        </w:trPr>
        <w:tc>
          <w:tcPr>
            <w:tcW w:w="297" w:type="pct"/>
            <w:vAlign w:val="center"/>
          </w:tcPr>
          <w:p w14:paraId="465DF6F9" w14:textId="77777777" w:rsidR="009F6AC8" w:rsidRPr="008C72E5" w:rsidRDefault="009F6AC8" w:rsidP="00B558B7">
            <w:pPr>
              <w:pStyle w:val="TekstTabeli"/>
            </w:pPr>
            <w:r w:rsidRPr="008C72E5">
              <w:t>94</w:t>
            </w:r>
          </w:p>
        </w:tc>
        <w:tc>
          <w:tcPr>
            <w:tcW w:w="880" w:type="pct"/>
            <w:vAlign w:val="center"/>
          </w:tcPr>
          <w:p w14:paraId="1DD895EF" w14:textId="77777777" w:rsidR="009F6AC8" w:rsidRPr="008C72E5" w:rsidRDefault="009F6AC8" w:rsidP="00B558B7">
            <w:pPr>
              <w:pStyle w:val="TekstTabeli"/>
            </w:pPr>
            <w:r w:rsidRPr="008C72E5">
              <w:t>Small L., Shacklock K., Marchant T.</w:t>
            </w:r>
          </w:p>
        </w:tc>
        <w:tc>
          <w:tcPr>
            <w:tcW w:w="1771" w:type="pct"/>
            <w:vAlign w:val="center"/>
          </w:tcPr>
          <w:p w14:paraId="18FCC5BF" w14:textId="77777777" w:rsidR="009F6AC8" w:rsidRPr="008C72E5" w:rsidRDefault="009F6AC8" w:rsidP="00B558B7">
            <w:pPr>
              <w:pStyle w:val="TekstTabeli"/>
            </w:pPr>
            <w:r w:rsidRPr="008C72E5">
              <w:t>Employability: a contemporary review for higher education stakeholders</w:t>
            </w:r>
          </w:p>
        </w:tc>
        <w:tc>
          <w:tcPr>
            <w:tcW w:w="2052" w:type="pct"/>
            <w:vAlign w:val="center"/>
          </w:tcPr>
          <w:p w14:paraId="343AF4A6" w14:textId="77777777" w:rsidR="009F6AC8" w:rsidRPr="008C72E5" w:rsidRDefault="009F6AC8" w:rsidP="00B558B7">
            <w:pPr>
              <w:pStyle w:val="TekstTabeli"/>
            </w:pPr>
            <w:r w:rsidRPr="008C72E5">
              <w:t>(2018) Journal of Vocational Education and Training, 70 (1), pp. 148 - 166, DOI: 10.1080/13636820.2017.1394355</w:t>
            </w:r>
          </w:p>
        </w:tc>
      </w:tr>
      <w:tr w:rsidR="00C4329A" w:rsidRPr="004C10DC" w14:paraId="4EB2DB4C" w14:textId="77777777" w:rsidTr="00C4329A">
        <w:trPr>
          <w:cantSplit/>
        </w:trPr>
        <w:tc>
          <w:tcPr>
            <w:tcW w:w="297" w:type="pct"/>
            <w:vAlign w:val="center"/>
          </w:tcPr>
          <w:p w14:paraId="22CB45E7" w14:textId="77777777" w:rsidR="009F6AC8" w:rsidRPr="008C72E5" w:rsidRDefault="009F6AC8" w:rsidP="00B558B7">
            <w:pPr>
              <w:pStyle w:val="TekstTabeli"/>
            </w:pPr>
            <w:r w:rsidRPr="008C72E5">
              <w:t>95</w:t>
            </w:r>
          </w:p>
        </w:tc>
        <w:tc>
          <w:tcPr>
            <w:tcW w:w="880" w:type="pct"/>
            <w:vAlign w:val="center"/>
          </w:tcPr>
          <w:p w14:paraId="6B458455" w14:textId="77777777" w:rsidR="009F6AC8" w:rsidRPr="008C72E5" w:rsidRDefault="009F6AC8" w:rsidP="00B558B7">
            <w:pPr>
              <w:pStyle w:val="TekstTabeli"/>
            </w:pPr>
            <w:proofErr w:type="spellStart"/>
            <w:r w:rsidRPr="008C72E5">
              <w:t>Sharabati</w:t>
            </w:r>
            <w:proofErr w:type="spellEnd"/>
            <w:r w:rsidRPr="008C72E5">
              <w:t xml:space="preserve"> A.-A.A., </w:t>
            </w:r>
            <w:proofErr w:type="spellStart"/>
            <w:r w:rsidRPr="008C72E5">
              <w:t>Alhileh</w:t>
            </w:r>
            <w:proofErr w:type="spellEnd"/>
            <w:r w:rsidRPr="008C72E5">
              <w:t xml:space="preserve"> M.M., </w:t>
            </w:r>
            <w:proofErr w:type="spellStart"/>
            <w:r w:rsidRPr="008C72E5">
              <w:t>Abusaimeh</w:t>
            </w:r>
            <w:proofErr w:type="spellEnd"/>
            <w:r w:rsidRPr="008C72E5">
              <w:t xml:space="preserve"> H.</w:t>
            </w:r>
          </w:p>
        </w:tc>
        <w:tc>
          <w:tcPr>
            <w:tcW w:w="1771" w:type="pct"/>
            <w:vAlign w:val="center"/>
          </w:tcPr>
          <w:p w14:paraId="64F2B3C7" w14:textId="77777777" w:rsidR="009F6AC8" w:rsidRPr="008C72E5" w:rsidRDefault="009F6AC8" w:rsidP="00B558B7">
            <w:pPr>
              <w:pStyle w:val="TekstTabeli"/>
            </w:pPr>
            <w:r w:rsidRPr="008C72E5">
              <w:t>Effect of service quality on graduates’ satisfaction</w:t>
            </w:r>
          </w:p>
        </w:tc>
        <w:tc>
          <w:tcPr>
            <w:tcW w:w="2052" w:type="pct"/>
            <w:vAlign w:val="center"/>
          </w:tcPr>
          <w:p w14:paraId="4DE7BFB8" w14:textId="77777777" w:rsidR="009F6AC8" w:rsidRPr="008C72E5" w:rsidRDefault="009F6AC8" w:rsidP="00B558B7">
            <w:pPr>
              <w:pStyle w:val="TekstTabeli"/>
            </w:pPr>
            <w:r w:rsidRPr="008C72E5">
              <w:t>(2019) Quality Assurance in Education, 27 (3), pp. 320 - 337, DOI: 10.1108/QAE-04-2018-0035</w:t>
            </w:r>
          </w:p>
        </w:tc>
      </w:tr>
      <w:tr w:rsidR="00C4329A" w:rsidRPr="004C10DC" w14:paraId="774740A9" w14:textId="77777777" w:rsidTr="00C4329A">
        <w:trPr>
          <w:cantSplit/>
        </w:trPr>
        <w:tc>
          <w:tcPr>
            <w:tcW w:w="297" w:type="pct"/>
            <w:vAlign w:val="center"/>
          </w:tcPr>
          <w:p w14:paraId="3E93CA33" w14:textId="77777777" w:rsidR="009F6AC8" w:rsidRPr="008C72E5" w:rsidRDefault="009F6AC8" w:rsidP="00B558B7">
            <w:pPr>
              <w:pStyle w:val="TekstTabeli"/>
            </w:pPr>
            <w:r w:rsidRPr="008C72E5">
              <w:t>96</w:t>
            </w:r>
          </w:p>
        </w:tc>
        <w:tc>
          <w:tcPr>
            <w:tcW w:w="880" w:type="pct"/>
            <w:vAlign w:val="center"/>
          </w:tcPr>
          <w:p w14:paraId="46C0ED54" w14:textId="6B5E963B" w:rsidR="009F6AC8" w:rsidRPr="008C72E5" w:rsidRDefault="009F6AC8" w:rsidP="00B558B7">
            <w:pPr>
              <w:pStyle w:val="TekstTabeli"/>
            </w:pPr>
            <w:r w:rsidRPr="008C72E5">
              <w:t xml:space="preserve">Alonso-Almeida M.D.M., Marimon F., </w:t>
            </w:r>
            <w:proofErr w:type="spellStart"/>
            <w:r w:rsidR="00A147A1" w:rsidRPr="008C72E5">
              <w:t>i</w:t>
            </w:r>
            <w:proofErr w:type="spellEnd"/>
            <w:r w:rsidR="00A147A1" w:rsidRPr="008C72E5">
              <w:t> in.</w:t>
            </w:r>
          </w:p>
        </w:tc>
        <w:tc>
          <w:tcPr>
            <w:tcW w:w="1771" w:type="pct"/>
            <w:vAlign w:val="center"/>
          </w:tcPr>
          <w:p w14:paraId="725D9172" w14:textId="77777777" w:rsidR="009F6AC8" w:rsidRPr="008C72E5" w:rsidRDefault="009F6AC8" w:rsidP="00B558B7">
            <w:pPr>
              <w:pStyle w:val="TekstTabeli"/>
            </w:pPr>
            <w:r w:rsidRPr="008C72E5">
              <w:t>Diffusion of sustainability reporting in universities: Current situation and future perspectives</w:t>
            </w:r>
          </w:p>
        </w:tc>
        <w:tc>
          <w:tcPr>
            <w:tcW w:w="2052" w:type="pct"/>
            <w:vAlign w:val="center"/>
          </w:tcPr>
          <w:p w14:paraId="0AA1ABC4" w14:textId="77777777" w:rsidR="009F6AC8" w:rsidRPr="008C72E5" w:rsidRDefault="009F6AC8" w:rsidP="00B558B7">
            <w:pPr>
              <w:pStyle w:val="TekstTabeli"/>
            </w:pPr>
            <w:r w:rsidRPr="008C72E5">
              <w:t>(2015) Journal of Cleaner Production, 106, pp. 144 - 154, DOI: 10.1016/j.jclepro.2014.02.008</w:t>
            </w:r>
          </w:p>
        </w:tc>
      </w:tr>
      <w:tr w:rsidR="00C4329A" w:rsidRPr="008C72E5" w14:paraId="1B81A0DD" w14:textId="77777777" w:rsidTr="00C4329A">
        <w:trPr>
          <w:cantSplit/>
        </w:trPr>
        <w:tc>
          <w:tcPr>
            <w:tcW w:w="297" w:type="pct"/>
            <w:vAlign w:val="center"/>
          </w:tcPr>
          <w:p w14:paraId="03889806" w14:textId="77777777" w:rsidR="009F6AC8" w:rsidRPr="008C72E5" w:rsidRDefault="009F6AC8" w:rsidP="00B558B7">
            <w:pPr>
              <w:pStyle w:val="TekstTabeli"/>
            </w:pPr>
            <w:r w:rsidRPr="008C72E5">
              <w:t>97</w:t>
            </w:r>
          </w:p>
        </w:tc>
        <w:tc>
          <w:tcPr>
            <w:tcW w:w="880" w:type="pct"/>
            <w:vAlign w:val="center"/>
          </w:tcPr>
          <w:p w14:paraId="2A3CBEC6" w14:textId="77777777" w:rsidR="009F6AC8" w:rsidRPr="008C72E5" w:rsidRDefault="009F6AC8" w:rsidP="00B558B7">
            <w:pPr>
              <w:pStyle w:val="TekstTabeli"/>
            </w:pPr>
            <w:proofErr w:type="spellStart"/>
            <w:r w:rsidRPr="008C72E5">
              <w:t>Mainardes</w:t>
            </w:r>
            <w:proofErr w:type="spellEnd"/>
            <w:r w:rsidRPr="008C72E5">
              <w:t xml:space="preserve"> E.W., Alves H., Raposo M.</w:t>
            </w:r>
          </w:p>
        </w:tc>
        <w:tc>
          <w:tcPr>
            <w:tcW w:w="1771" w:type="pct"/>
            <w:vAlign w:val="center"/>
          </w:tcPr>
          <w:p w14:paraId="776F8C4A" w14:textId="77777777" w:rsidR="009F6AC8" w:rsidRPr="008C72E5" w:rsidRDefault="009F6AC8" w:rsidP="00B558B7">
            <w:pPr>
              <w:pStyle w:val="TekstTabeli"/>
            </w:pPr>
            <w:r w:rsidRPr="008C72E5">
              <w:t>A model for stakeholder classification and stakeholder relationships</w:t>
            </w:r>
          </w:p>
        </w:tc>
        <w:tc>
          <w:tcPr>
            <w:tcW w:w="2052" w:type="pct"/>
            <w:vAlign w:val="center"/>
          </w:tcPr>
          <w:p w14:paraId="0D65F556" w14:textId="77777777" w:rsidR="009F6AC8" w:rsidRPr="008C72E5" w:rsidRDefault="009F6AC8" w:rsidP="00B558B7">
            <w:pPr>
              <w:pStyle w:val="TekstTabeli"/>
            </w:pPr>
            <w:r w:rsidRPr="008C72E5">
              <w:t>(2012) Management Decision, 50 (10), pp. 1861 - 1879, DOI: 10.1108/00251741211279648</w:t>
            </w:r>
          </w:p>
        </w:tc>
      </w:tr>
      <w:tr w:rsidR="00C4329A" w:rsidRPr="004C10DC" w14:paraId="57922CAD" w14:textId="77777777" w:rsidTr="00C4329A">
        <w:trPr>
          <w:cantSplit/>
        </w:trPr>
        <w:tc>
          <w:tcPr>
            <w:tcW w:w="297" w:type="pct"/>
            <w:vAlign w:val="center"/>
          </w:tcPr>
          <w:p w14:paraId="5704EFBD" w14:textId="77777777" w:rsidR="009F6AC8" w:rsidRPr="008C72E5" w:rsidRDefault="009F6AC8" w:rsidP="00B558B7">
            <w:pPr>
              <w:pStyle w:val="TekstTabeli"/>
            </w:pPr>
            <w:r w:rsidRPr="008C72E5">
              <w:t>98</w:t>
            </w:r>
          </w:p>
        </w:tc>
        <w:tc>
          <w:tcPr>
            <w:tcW w:w="880" w:type="pct"/>
            <w:vAlign w:val="center"/>
          </w:tcPr>
          <w:p w14:paraId="736DFB00" w14:textId="77777777" w:rsidR="009F6AC8" w:rsidRPr="008C72E5" w:rsidRDefault="009F6AC8" w:rsidP="00B558B7">
            <w:pPr>
              <w:pStyle w:val="TekstTabeli"/>
            </w:pPr>
            <w:r w:rsidRPr="008C72E5">
              <w:t xml:space="preserve">Ndou V., Secundo G., </w:t>
            </w:r>
            <w:proofErr w:type="spellStart"/>
            <w:r w:rsidRPr="008C72E5">
              <w:t>Schiuma</w:t>
            </w:r>
            <w:proofErr w:type="spellEnd"/>
            <w:r w:rsidRPr="008C72E5">
              <w:t xml:space="preserve"> G., </w:t>
            </w:r>
            <w:proofErr w:type="spellStart"/>
            <w:r w:rsidRPr="008C72E5">
              <w:t>Passiante</w:t>
            </w:r>
            <w:proofErr w:type="spellEnd"/>
            <w:r w:rsidRPr="008C72E5">
              <w:t xml:space="preserve"> G.</w:t>
            </w:r>
          </w:p>
        </w:tc>
        <w:tc>
          <w:tcPr>
            <w:tcW w:w="1771" w:type="pct"/>
            <w:vAlign w:val="center"/>
          </w:tcPr>
          <w:p w14:paraId="5D432AEE" w14:textId="77777777" w:rsidR="009F6AC8" w:rsidRPr="008C72E5" w:rsidRDefault="009F6AC8" w:rsidP="00B558B7">
            <w:pPr>
              <w:pStyle w:val="TekstTabeli"/>
            </w:pPr>
            <w:r w:rsidRPr="008C72E5">
              <w:t>Insights for shaping Entrepreneurship Education: Evidence from the European Entrepreneurship centers</w:t>
            </w:r>
          </w:p>
        </w:tc>
        <w:tc>
          <w:tcPr>
            <w:tcW w:w="2052" w:type="pct"/>
            <w:vAlign w:val="center"/>
          </w:tcPr>
          <w:p w14:paraId="74D2D715" w14:textId="77777777" w:rsidR="009F6AC8" w:rsidRPr="008C72E5" w:rsidRDefault="009F6AC8" w:rsidP="00B558B7">
            <w:pPr>
              <w:pStyle w:val="TekstTabeli"/>
            </w:pPr>
            <w:r w:rsidRPr="008C72E5">
              <w:t>(2018) Sustainability (Switzerland), 10 (11), art. no. 4323, DOI: 10.3390/su10114323</w:t>
            </w:r>
          </w:p>
        </w:tc>
      </w:tr>
      <w:tr w:rsidR="00C4329A" w:rsidRPr="004C10DC" w14:paraId="76F1C719" w14:textId="77777777" w:rsidTr="00C4329A">
        <w:trPr>
          <w:cantSplit/>
        </w:trPr>
        <w:tc>
          <w:tcPr>
            <w:tcW w:w="297" w:type="pct"/>
            <w:vAlign w:val="center"/>
          </w:tcPr>
          <w:p w14:paraId="1DC8BFFE" w14:textId="77777777" w:rsidR="009F6AC8" w:rsidRPr="008C72E5" w:rsidRDefault="009F6AC8" w:rsidP="00B558B7">
            <w:pPr>
              <w:pStyle w:val="TekstTabeli"/>
            </w:pPr>
            <w:r w:rsidRPr="008C72E5">
              <w:t>99</w:t>
            </w:r>
          </w:p>
        </w:tc>
        <w:tc>
          <w:tcPr>
            <w:tcW w:w="880" w:type="pct"/>
            <w:vAlign w:val="center"/>
          </w:tcPr>
          <w:p w14:paraId="397A3044" w14:textId="77777777" w:rsidR="009F6AC8" w:rsidRPr="008C72E5" w:rsidRDefault="009F6AC8" w:rsidP="00B558B7">
            <w:pPr>
              <w:pStyle w:val="TekstTabeli"/>
            </w:pPr>
            <w:r w:rsidRPr="008C72E5">
              <w:t>Hentschel K., Jacob D., Singer J., Chalmers M.</w:t>
            </w:r>
          </w:p>
        </w:tc>
        <w:tc>
          <w:tcPr>
            <w:tcW w:w="1771" w:type="pct"/>
            <w:vAlign w:val="center"/>
          </w:tcPr>
          <w:p w14:paraId="1F9A7500" w14:textId="77777777" w:rsidR="009F6AC8" w:rsidRPr="008C72E5" w:rsidRDefault="009F6AC8" w:rsidP="00B558B7">
            <w:pPr>
              <w:pStyle w:val="TekstTabeli"/>
            </w:pPr>
            <w:proofErr w:type="spellStart"/>
            <w:r w:rsidRPr="008C72E5">
              <w:t>Supersensors</w:t>
            </w:r>
            <w:proofErr w:type="spellEnd"/>
            <w:r w:rsidRPr="008C72E5">
              <w:t>: Raspberry Pi devices for smart campus infrastructure</w:t>
            </w:r>
          </w:p>
        </w:tc>
        <w:tc>
          <w:tcPr>
            <w:tcW w:w="2052" w:type="pct"/>
            <w:vAlign w:val="center"/>
          </w:tcPr>
          <w:p w14:paraId="038741BE" w14:textId="77777777" w:rsidR="009F6AC8" w:rsidRPr="008C72E5" w:rsidRDefault="009F6AC8" w:rsidP="00B558B7">
            <w:pPr>
              <w:pStyle w:val="TekstTabeli"/>
            </w:pPr>
            <w:r w:rsidRPr="008C72E5">
              <w:t xml:space="preserve">(2016) Proceedings - 2016 IEEE 4th International Conference on Future Internet of Things and Cloud, </w:t>
            </w:r>
            <w:proofErr w:type="spellStart"/>
            <w:r w:rsidRPr="008C72E5">
              <w:t>FiCloud</w:t>
            </w:r>
            <w:proofErr w:type="spellEnd"/>
            <w:r w:rsidRPr="008C72E5">
              <w:t xml:space="preserve"> 2016, art. no. 7575844, pp. 58 - 62, DOI: 10.1109/FiCloud.2016.16</w:t>
            </w:r>
          </w:p>
        </w:tc>
      </w:tr>
      <w:tr w:rsidR="00C4329A" w:rsidRPr="004C10DC" w14:paraId="79FDC3E7" w14:textId="77777777" w:rsidTr="00C4329A">
        <w:trPr>
          <w:cantSplit/>
        </w:trPr>
        <w:tc>
          <w:tcPr>
            <w:tcW w:w="297" w:type="pct"/>
            <w:vAlign w:val="center"/>
          </w:tcPr>
          <w:p w14:paraId="34700950" w14:textId="77777777" w:rsidR="009F6AC8" w:rsidRPr="008C72E5" w:rsidRDefault="009F6AC8" w:rsidP="00B558B7">
            <w:pPr>
              <w:pStyle w:val="TekstTabeli"/>
            </w:pPr>
            <w:r w:rsidRPr="008C72E5">
              <w:t>100</w:t>
            </w:r>
          </w:p>
        </w:tc>
        <w:tc>
          <w:tcPr>
            <w:tcW w:w="880" w:type="pct"/>
            <w:vAlign w:val="center"/>
          </w:tcPr>
          <w:p w14:paraId="49220606" w14:textId="77777777" w:rsidR="009F6AC8" w:rsidRPr="008C72E5" w:rsidRDefault="009F6AC8" w:rsidP="00B558B7">
            <w:pPr>
              <w:pStyle w:val="TekstTabeli"/>
            </w:pPr>
            <w:r w:rsidRPr="008C72E5">
              <w:t>Halonen J.S.</w:t>
            </w:r>
          </w:p>
        </w:tc>
        <w:tc>
          <w:tcPr>
            <w:tcW w:w="1771" w:type="pct"/>
            <w:vAlign w:val="center"/>
          </w:tcPr>
          <w:p w14:paraId="394DE45B" w14:textId="77777777" w:rsidR="009F6AC8" w:rsidRPr="008C72E5" w:rsidRDefault="009F6AC8" w:rsidP="00B558B7">
            <w:pPr>
              <w:pStyle w:val="TekstTabeli"/>
            </w:pPr>
            <w:r w:rsidRPr="008C72E5">
              <w:t>Demystifying Critical Thinking</w:t>
            </w:r>
          </w:p>
        </w:tc>
        <w:tc>
          <w:tcPr>
            <w:tcW w:w="2052" w:type="pct"/>
            <w:vAlign w:val="center"/>
          </w:tcPr>
          <w:p w14:paraId="7C3E382B" w14:textId="77777777" w:rsidR="009F6AC8" w:rsidRPr="008C72E5" w:rsidRDefault="009F6AC8" w:rsidP="00B558B7">
            <w:pPr>
              <w:pStyle w:val="TekstTabeli"/>
            </w:pPr>
            <w:r w:rsidRPr="008C72E5">
              <w:t>(1995) Teaching of Psychology, 22 (1), pp. 75 - 81, DOI: 10.1207/s15328023top2201_23</w:t>
            </w:r>
          </w:p>
        </w:tc>
      </w:tr>
      <w:tr w:rsidR="00C4329A" w:rsidRPr="004C10DC" w14:paraId="19AE6BF1" w14:textId="77777777" w:rsidTr="00C4329A">
        <w:trPr>
          <w:cantSplit/>
        </w:trPr>
        <w:tc>
          <w:tcPr>
            <w:tcW w:w="297" w:type="pct"/>
            <w:vAlign w:val="center"/>
          </w:tcPr>
          <w:p w14:paraId="17515F8B" w14:textId="77777777" w:rsidR="009F6AC8" w:rsidRPr="008C72E5" w:rsidRDefault="009F6AC8" w:rsidP="00B558B7">
            <w:pPr>
              <w:pStyle w:val="TekstTabeli"/>
            </w:pPr>
            <w:r w:rsidRPr="008C72E5">
              <w:t>101</w:t>
            </w:r>
          </w:p>
        </w:tc>
        <w:tc>
          <w:tcPr>
            <w:tcW w:w="880" w:type="pct"/>
            <w:vAlign w:val="center"/>
          </w:tcPr>
          <w:p w14:paraId="27CB1D42" w14:textId="7A74973C" w:rsidR="009F6AC8" w:rsidRPr="008C72E5" w:rsidRDefault="009F6AC8" w:rsidP="00B558B7">
            <w:pPr>
              <w:pStyle w:val="TekstTabeli"/>
            </w:pPr>
            <w:r w:rsidRPr="008C72E5">
              <w:t xml:space="preserve">Baker C.K., </w:t>
            </w:r>
            <w:proofErr w:type="spellStart"/>
            <w:r w:rsidRPr="008C72E5">
              <w:t>Saclarides</w:t>
            </w:r>
            <w:proofErr w:type="spellEnd"/>
            <w:r w:rsidRPr="008C72E5">
              <w:t xml:space="preserve"> E.S., </w:t>
            </w:r>
            <w:proofErr w:type="spellStart"/>
            <w:r w:rsidRPr="008C72E5">
              <w:t>Harbour</w:t>
            </w:r>
            <w:proofErr w:type="spellEnd"/>
            <w:r w:rsidRPr="008C72E5">
              <w:t xml:space="preserve"> K.E., </w:t>
            </w:r>
            <w:proofErr w:type="spellStart"/>
            <w:r w:rsidR="00A147A1" w:rsidRPr="008C72E5">
              <w:t>i</w:t>
            </w:r>
            <w:proofErr w:type="spellEnd"/>
            <w:r w:rsidR="00A147A1" w:rsidRPr="008C72E5">
              <w:t> in.</w:t>
            </w:r>
          </w:p>
        </w:tc>
        <w:tc>
          <w:tcPr>
            <w:tcW w:w="1771" w:type="pct"/>
            <w:vAlign w:val="center"/>
          </w:tcPr>
          <w:p w14:paraId="362E2493" w14:textId="77777777" w:rsidR="009F6AC8" w:rsidRPr="008C72E5" w:rsidRDefault="009F6AC8" w:rsidP="00B558B7">
            <w:pPr>
              <w:pStyle w:val="TekstTabeli"/>
            </w:pPr>
            <w:r w:rsidRPr="008C72E5">
              <w:t>Trends in mathematics specialist literature: Analyzing research spanning four decades</w:t>
            </w:r>
          </w:p>
        </w:tc>
        <w:tc>
          <w:tcPr>
            <w:tcW w:w="2052" w:type="pct"/>
            <w:vAlign w:val="center"/>
          </w:tcPr>
          <w:p w14:paraId="233DECB4" w14:textId="77777777" w:rsidR="009F6AC8" w:rsidRPr="008C72E5" w:rsidRDefault="009F6AC8" w:rsidP="00B558B7">
            <w:pPr>
              <w:pStyle w:val="TekstTabeli"/>
            </w:pPr>
            <w:r w:rsidRPr="008C72E5">
              <w:t>(2022) School Science and Mathematics, 122 (1), pp. 24 - 35, DOI: 10.1111/ssm.12507</w:t>
            </w:r>
          </w:p>
        </w:tc>
      </w:tr>
      <w:tr w:rsidR="00C4329A" w:rsidRPr="004C10DC" w14:paraId="761AD77A" w14:textId="77777777" w:rsidTr="00C4329A">
        <w:trPr>
          <w:cantSplit/>
        </w:trPr>
        <w:tc>
          <w:tcPr>
            <w:tcW w:w="297" w:type="pct"/>
            <w:vAlign w:val="center"/>
          </w:tcPr>
          <w:p w14:paraId="536FB904" w14:textId="77777777" w:rsidR="009F6AC8" w:rsidRPr="008C72E5" w:rsidRDefault="009F6AC8" w:rsidP="00B558B7">
            <w:pPr>
              <w:pStyle w:val="TekstTabeli"/>
            </w:pPr>
            <w:r w:rsidRPr="008C72E5">
              <w:t>102</w:t>
            </w:r>
          </w:p>
        </w:tc>
        <w:tc>
          <w:tcPr>
            <w:tcW w:w="880" w:type="pct"/>
            <w:vAlign w:val="center"/>
          </w:tcPr>
          <w:p w14:paraId="0019BEB3" w14:textId="77777777" w:rsidR="009F6AC8" w:rsidRPr="008C72E5" w:rsidRDefault="009F6AC8" w:rsidP="00B558B7">
            <w:pPr>
              <w:pStyle w:val="TekstTabeli"/>
            </w:pPr>
            <w:r w:rsidRPr="008C72E5">
              <w:t>Mosey S., Westhead P., Lockett A.</w:t>
            </w:r>
          </w:p>
        </w:tc>
        <w:tc>
          <w:tcPr>
            <w:tcW w:w="1771" w:type="pct"/>
            <w:vAlign w:val="center"/>
          </w:tcPr>
          <w:p w14:paraId="76B5903F" w14:textId="77777777" w:rsidR="009F6AC8" w:rsidRPr="008C72E5" w:rsidRDefault="009F6AC8" w:rsidP="00B558B7">
            <w:pPr>
              <w:pStyle w:val="TekstTabeli"/>
            </w:pPr>
            <w:r w:rsidRPr="008C72E5">
              <w:t>University technology transfer: Network bridge promotion by the Medici Fellowship Scheme</w:t>
            </w:r>
          </w:p>
        </w:tc>
        <w:tc>
          <w:tcPr>
            <w:tcW w:w="2052" w:type="pct"/>
            <w:vAlign w:val="center"/>
          </w:tcPr>
          <w:p w14:paraId="2E6BBC12" w14:textId="77777777" w:rsidR="009F6AC8" w:rsidRPr="008C72E5" w:rsidRDefault="009F6AC8" w:rsidP="00B558B7">
            <w:pPr>
              <w:pStyle w:val="TekstTabeli"/>
            </w:pPr>
            <w:r w:rsidRPr="008C72E5">
              <w:t>(2007) Journal of Small Business and Enterprise Development, 14 (3), pp. 360 - 384, DOI: 10.1108/14626000710773493</w:t>
            </w:r>
          </w:p>
        </w:tc>
      </w:tr>
      <w:tr w:rsidR="00C4329A" w:rsidRPr="004C10DC" w14:paraId="2E1F6A3A" w14:textId="77777777" w:rsidTr="00C4329A">
        <w:trPr>
          <w:cantSplit/>
        </w:trPr>
        <w:tc>
          <w:tcPr>
            <w:tcW w:w="297" w:type="pct"/>
            <w:vAlign w:val="center"/>
          </w:tcPr>
          <w:p w14:paraId="7EC95475" w14:textId="77777777" w:rsidR="009F6AC8" w:rsidRPr="008C72E5" w:rsidRDefault="009F6AC8" w:rsidP="00B558B7">
            <w:pPr>
              <w:pStyle w:val="TekstTabeli"/>
            </w:pPr>
            <w:r w:rsidRPr="008C72E5">
              <w:t>103</w:t>
            </w:r>
          </w:p>
        </w:tc>
        <w:tc>
          <w:tcPr>
            <w:tcW w:w="880" w:type="pct"/>
            <w:vAlign w:val="center"/>
          </w:tcPr>
          <w:p w14:paraId="0CBA1780" w14:textId="01EF14F1" w:rsidR="009F6AC8" w:rsidRPr="008C72E5" w:rsidRDefault="009F6AC8" w:rsidP="00B558B7">
            <w:pPr>
              <w:pStyle w:val="TekstTabeli"/>
            </w:pPr>
            <w:r w:rsidRPr="008C72E5">
              <w:t xml:space="preserve">Chesser S.A., Porter M.M., Barclay R., </w:t>
            </w:r>
            <w:proofErr w:type="spellStart"/>
            <w:r w:rsidR="00A147A1" w:rsidRPr="008C72E5">
              <w:t>i</w:t>
            </w:r>
            <w:proofErr w:type="spellEnd"/>
            <w:r w:rsidR="00A147A1" w:rsidRPr="008C72E5">
              <w:t> in.</w:t>
            </w:r>
          </w:p>
        </w:tc>
        <w:tc>
          <w:tcPr>
            <w:tcW w:w="1771" w:type="pct"/>
            <w:vAlign w:val="center"/>
          </w:tcPr>
          <w:p w14:paraId="5A243AE0" w14:textId="77777777" w:rsidR="009F6AC8" w:rsidRPr="008C72E5" w:rsidRDefault="009F6AC8" w:rsidP="00B558B7">
            <w:pPr>
              <w:pStyle w:val="TekstTabeli"/>
            </w:pPr>
            <w:r w:rsidRPr="008C72E5">
              <w:t>Exploring University Age-Friendliness Using Collaborative Citizen Science</w:t>
            </w:r>
          </w:p>
        </w:tc>
        <w:tc>
          <w:tcPr>
            <w:tcW w:w="2052" w:type="pct"/>
            <w:vAlign w:val="center"/>
          </w:tcPr>
          <w:p w14:paraId="3AF3981D" w14:textId="77777777" w:rsidR="009F6AC8" w:rsidRPr="008C72E5" w:rsidRDefault="009F6AC8" w:rsidP="00B558B7">
            <w:pPr>
              <w:pStyle w:val="TekstTabeli"/>
            </w:pPr>
            <w:r w:rsidRPr="008C72E5">
              <w:t>(2020) Gerontologist, 60 (8), pp. 1527 - 1537, DOI: 10.1093/</w:t>
            </w:r>
            <w:proofErr w:type="spellStart"/>
            <w:r w:rsidRPr="008C72E5">
              <w:t>geront</w:t>
            </w:r>
            <w:proofErr w:type="spellEnd"/>
            <w:r w:rsidRPr="008C72E5">
              <w:t>/gnaa026</w:t>
            </w:r>
          </w:p>
        </w:tc>
      </w:tr>
      <w:tr w:rsidR="00C4329A" w:rsidRPr="004C10DC" w14:paraId="3F036A24" w14:textId="77777777" w:rsidTr="00C4329A">
        <w:trPr>
          <w:cantSplit/>
        </w:trPr>
        <w:tc>
          <w:tcPr>
            <w:tcW w:w="297" w:type="pct"/>
            <w:vAlign w:val="center"/>
          </w:tcPr>
          <w:p w14:paraId="063AF6CF" w14:textId="77777777" w:rsidR="009F6AC8" w:rsidRPr="008C72E5" w:rsidRDefault="009F6AC8" w:rsidP="00B558B7">
            <w:pPr>
              <w:pStyle w:val="TekstTabeli"/>
            </w:pPr>
            <w:r w:rsidRPr="008C72E5">
              <w:t>104</w:t>
            </w:r>
          </w:p>
        </w:tc>
        <w:tc>
          <w:tcPr>
            <w:tcW w:w="880" w:type="pct"/>
            <w:vAlign w:val="center"/>
          </w:tcPr>
          <w:p w14:paraId="1F1B1E78" w14:textId="77777777" w:rsidR="009F6AC8" w:rsidRPr="008C72E5" w:rsidRDefault="009F6AC8" w:rsidP="00B558B7">
            <w:pPr>
              <w:pStyle w:val="TekstTabeli"/>
            </w:pPr>
            <w:proofErr w:type="spellStart"/>
            <w:r w:rsidRPr="008C72E5">
              <w:t>Córcoles</w:t>
            </w:r>
            <w:proofErr w:type="spellEnd"/>
            <w:r w:rsidRPr="008C72E5">
              <w:t xml:space="preserve"> Y.R.</w:t>
            </w:r>
          </w:p>
        </w:tc>
        <w:tc>
          <w:tcPr>
            <w:tcW w:w="1771" w:type="pct"/>
            <w:vAlign w:val="center"/>
          </w:tcPr>
          <w:p w14:paraId="6E6CAF11" w14:textId="77777777" w:rsidR="009F6AC8" w:rsidRPr="008C72E5" w:rsidRDefault="009F6AC8" w:rsidP="00B558B7">
            <w:pPr>
              <w:pStyle w:val="TekstTabeli"/>
            </w:pPr>
            <w:r w:rsidRPr="008C72E5">
              <w:t>Importance of intellectual capital disclosure in Spanish universities</w:t>
            </w:r>
          </w:p>
        </w:tc>
        <w:tc>
          <w:tcPr>
            <w:tcW w:w="2052" w:type="pct"/>
            <w:vAlign w:val="center"/>
          </w:tcPr>
          <w:p w14:paraId="5A851855" w14:textId="77777777" w:rsidR="009F6AC8" w:rsidRPr="008C72E5" w:rsidRDefault="009F6AC8" w:rsidP="00B558B7">
            <w:pPr>
              <w:pStyle w:val="TekstTabeli"/>
            </w:pPr>
            <w:r w:rsidRPr="008C72E5">
              <w:t>(2013) Intangible Capital, 9 (3), pp. 931 - 944, DOI: 10.3926/ic.348</w:t>
            </w:r>
          </w:p>
        </w:tc>
      </w:tr>
      <w:tr w:rsidR="00C4329A" w:rsidRPr="004C10DC" w14:paraId="5E366951" w14:textId="77777777" w:rsidTr="00C4329A">
        <w:trPr>
          <w:cantSplit/>
        </w:trPr>
        <w:tc>
          <w:tcPr>
            <w:tcW w:w="297" w:type="pct"/>
            <w:vAlign w:val="center"/>
          </w:tcPr>
          <w:p w14:paraId="010BCB30" w14:textId="77777777" w:rsidR="009F6AC8" w:rsidRPr="008C72E5" w:rsidRDefault="009F6AC8" w:rsidP="00B558B7">
            <w:pPr>
              <w:pStyle w:val="TekstTabeli"/>
            </w:pPr>
            <w:r w:rsidRPr="008C72E5">
              <w:lastRenderedPageBreak/>
              <w:t>105</w:t>
            </w:r>
          </w:p>
        </w:tc>
        <w:tc>
          <w:tcPr>
            <w:tcW w:w="880" w:type="pct"/>
            <w:vAlign w:val="center"/>
          </w:tcPr>
          <w:p w14:paraId="3C7E9753" w14:textId="77777777" w:rsidR="009F6AC8" w:rsidRPr="008C72E5" w:rsidRDefault="009F6AC8" w:rsidP="00B558B7">
            <w:pPr>
              <w:pStyle w:val="TekstTabeli"/>
            </w:pPr>
            <w:r w:rsidRPr="008C72E5">
              <w:t>Martin A.</w:t>
            </w:r>
          </w:p>
        </w:tc>
        <w:tc>
          <w:tcPr>
            <w:tcW w:w="1771" w:type="pct"/>
            <w:vAlign w:val="center"/>
          </w:tcPr>
          <w:p w14:paraId="5F802F68" w14:textId="77777777" w:rsidR="009F6AC8" w:rsidRPr="008C72E5" w:rsidRDefault="009F6AC8" w:rsidP="00B558B7">
            <w:pPr>
              <w:pStyle w:val="TekstTabeli"/>
            </w:pPr>
            <w:r w:rsidRPr="008C72E5">
              <w:t xml:space="preserve">Service climate and employee </w:t>
            </w:r>
            <w:proofErr w:type="spellStart"/>
            <w:r w:rsidRPr="008C72E5">
              <w:t>well being</w:t>
            </w:r>
            <w:proofErr w:type="spellEnd"/>
            <w:r w:rsidRPr="008C72E5">
              <w:t xml:space="preserve"> in higher education</w:t>
            </w:r>
          </w:p>
        </w:tc>
        <w:tc>
          <w:tcPr>
            <w:tcW w:w="2052" w:type="pct"/>
            <w:vAlign w:val="center"/>
          </w:tcPr>
          <w:p w14:paraId="53A78F6F" w14:textId="77777777" w:rsidR="009F6AC8" w:rsidRPr="008C72E5" w:rsidRDefault="009F6AC8" w:rsidP="00B558B7">
            <w:pPr>
              <w:pStyle w:val="TekstTabeli"/>
            </w:pPr>
            <w:r w:rsidRPr="008C72E5">
              <w:t>(2008) Journal of Management and Organization, 14 (2), pp. 155 - 167, DOI: 10.5172/jmo.837.14.2.155</w:t>
            </w:r>
          </w:p>
        </w:tc>
      </w:tr>
      <w:tr w:rsidR="00C4329A" w:rsidRPr="004C10DC" w14:paraId="38C75430" w14:textId="77777777" w:rsidTr="00C4329A">
        <w:trPr>
          <w:cantSplit/>
        </w:trPr>
        <w:tc>
          <w:tcPr>
            <w:tcW w:w="297" w:type="pct"/>
            <w:vAlign w:val="center"/>
          </w:tcPr>
          <w:p w14:paraId="68733A04" w14:textId="77777777" w:rsidR="009F6AC8" w:rsidRPr="008C72E5" w:rsidRDefault="009F6AC8" w:rsidP="00B558B7">
            <w:pPr>
              <w:pStyle w:val="TekstTabeli"/>
            </w:pPr>
            <w:r w:rsidRPr="008C72E5">
              <w:t>106</w:t>
            </w:r>
          </w:p>
        </w:tc>
        <w:tc>
          <w:tcPr>
            <w:tcW w:w="880" w:type="pct"/>
            <w:vAlign w:val="center"/>
          </w:tcPr>
          <w:p w14:paraId="27859361" w14:textId="77777777" w:rsidR="009F6AC8" w:rsidRPr="008C72E5" w:rsidRDefault="009F6AC8" w:rsidP="00B558B7">
            <w:pPr>
              <w:pStyle w:val="TekstTabeli"/>
            </w:pPr>
            <w:r w:rsidRPr="008C72E5">
              <w:t>Choi S.</w:t>
            </w:r>
          </w:p>
        </w:tc>
        <w:tc>
          <w:tcPr>
            <w:tcW w:w="1771" w:type="pct"/>
            <w:vAlign w:val="center"/>
          </w:tcPr>
          <w:p w14:paraId="4A73C79B" w14:textId="77777777" w:rsidR="009F6AC8" w:rsidRPr="008C72E5" w:rsidRDefault="009F6AC8" w:rsidP="00B558B7">
            <w:pPr>
              <w:pStyle w:val="TekstTabeli"/>
            </w:pPr>
            <w:r w:rsidRPr="008C72E5">
              <w:t>Identifying indicators of university autonomy according to stakeholders’ interests</w:t>
            </w:r>
          </w:p>
        </w:tc>
        <w:tc>
          <w:tcPr>
            <w:tcW w:w="2052" w:type="pct"/>
            <w:vAlign w:val="center"/>
          </w:tcPr>
          <w:p w14:paraId="56BD5734" w14:textId="77777777" w:rsidR="009F6AC8" w:rsidRPr="008C72E5" w:rsidRDefault="009F6AC8" w:rsidP="00B558B7">
            <w:pPr>
              <w:pStyle w:val="TekstTabeli"/>
            </w:pPr>
            <w:r w:rsidRPr="008C72E5">
              <w:t>(2019) Tertiary Education and Management, 25 (1), pp. 17 - 29, DOI: 10.1007/s11233-018-09011-y</w:t>
            </w:r>
          </w:p>
        </w:tc>
      </w:tr>
      <w:tr w:rsidR="00C4329A" w:rsidRPr="004C10DC" w14:paraId="41C6A296" w14:textId="77777777" w:rsidTr="00C4329A">
        <w:trPr>
          <w:cantSplit/>
        </w:trPr>
        <w:tc>
          <w:tcPr>
            <w:tcW w:w="297" w:type="pct"/>
            <w:vAlign w:val="center"/>
          </w:tcPr>
          <w:p w14:paraId="51F5774C" w14:textId="77777777" w:rsidR="009F6AC8" w:rsidRPr="008C72E5" w:rsidRDefault="009F6AC8" w:rsidP="00B558B7">
            <w:pPr>
              <w:pStyle w:val="TekstTabeli"/>
            </w:pPr>
            <w:r w:rsidRPr="008C72E5">
              <w:t>107</w:t>
            </w:r>
          </w:p>
        </w:tc>
        <w:tc>
          <w:tcPr>
            <w:tcW w:w="880" w:type="pct"/>
            <w:vAlign w:val="center"/>
          </w:tcPr>
          <w:p w14:paraId="50EE91D9" w14:textId="77777777" w:rsidR="009F6AC8" w:rsidRPr="008C72E5" w:rsidRDefault="009F6AC8" w:rsidP="00B558B7">
            <w:pPr>
              <w:pStyle w:val="TekstTabeli"/>
            </w:pPr>
            <w:r w:rsidRPr="008C72E5">
              <w:t xml:space="preserve">Jordaan M., </w:t>
            </w:r>
            <w:proofErr w:type="spellStart"/>
            <w:r w:rsidRPr="008C72E5">
              <w:t>Mennega</w:t>
            </w:r>
            <w:proofErr w:type="spellEnd"/>
            <w:r w:rsidRPr="008C72E5">
              <w:t xml:space="preserve"> N.</w:t>
            </w:r>
          </w:p>
        </w:tc>
        <w:tc>
          <w:tcPr>
            <w:tcW w:w="1771" w:type="pct"/>
            <w:vAlign w:val="center"/>
          </w:tcPr>
          <w:p w14:paraId="6B5E199B" w14:textId="77777777" w:rsidR="009F6AC8" w:rsidRPr="008C72E5" w:rsidRDefault="009F6AC8" w:rsidP="00B558B7">
            <w:pPr>
              <w:pStyle w:val="TekstTabeli"/>
            </w:pPr>
            <w:r w:rsidRPr="008C72E5">
              <w:t>Community partners' experiences of higher education service-learning in a community engagement module</w:t>
            </w:r>
          </w:p>
        </w:tc>
        <w:tc>
          <w:tcPr>
            <w:tcW w:w="2052" w:type="pct"/>
            <w:vAlign w:val="center"/>
          </w:tcPr>
          <w:p w14:paraId="14093F1B" w14:textId="77777777" w:rsidR="009F6AC8" w:rsidRPr="008C72E5" w:rsidRDefault="009F6AC8" w:rsidP="00B558B7">
            <w:pPr>
              <w:pStyle w:val="TekstTabeli"/>
            </w:pPr>
            <w:r w:rsidRPr="008C72E5">
              <w:t>(2022) Journal of Applied Research in Higher Education, 14 (1), pp. 394 - 408, DOI: 10.1108/JARHE-09-2020-0327</w:t>
            </w:r>
          </w:p>
        </w:tc>
      </w:tr>
      <w:tr w:rsidR="00C4329A" w:rsidRPr="004C10DC" w14:paraId="07EB441B" w14:textId="77777777" w:rsidTr="00C4329A">
        <w:trPr>
          <w:cantSplit/>
        </w:trPr>
        <w:tc>
          <w:tcPr>
            <w:tcW w:w="297" w:type="pct"/>
            <w:vAlign w:val="center"/>
          </w:tcPr>
          <w:p w14:paraId="7C581BAC" w14:textId="77777777" w:rsidR="009F6AC8" w:rsidRPr="008C72E5" w:rsidRDefault="009F6AC8" w:rsidP="00B558B7">
            <w:pPr>
              <w:pStyle w:val="TekstTabeli"/>
            </w:pPr>
            <w:r w:rsidRPr="008C72E5">
              <w:t>108</w:t>
            </w:r>
          </w:p>
        </w:tc>
        <w:tc>
          <w:tcPr>
            <w:tcW w:w="880" w:type="pct"/>
            <w:vAlign w:val="center"/>
          </w:tcPr>
          <w:p w14:paraId="5B2A84C0" w14:textId="77777777" w:rsidR="009F6AC8" w:rsidRPr="00D82766" w:rsidRDefault="009F6AC8" w:rsidP="00B558B7">
            <w:pPr>
              <w:pStyle w:val="TekstTabeli"/>
              <w:rPr>
                <w:lang w:val="pl-PL"/>
              </w:rPr>
            </w:pPr>
            <w:proofErr w:type="spellStart"/>
            <w:r w:rsidRPr="00D82766">
              <w:rPr>
                <w:lang w:val="pl-PL"/>
              </w:rPr>
              <w:t>Gozali</w:t>
            </w:r>
            <w:proofErr w:type="spellEnd"/>
            <w:r w:rsidRPr="00D82766">
              <w:rPr>
                <w:lang w:val="pl-PL"/>
              </w:rPr>
              <w:t xml:space="preserve"> A.A., </w:t>
            </w:r>
            <w:proofErr w:type="spellStart"/>
            <w:r w:rsidRPr="00D82766">
              <w:rPr>
                <w:lang w:val="pl-PL"/>
              </w:rPr>
              <w:t>Fujimura</w:t>
            </w:r>
            <w:proofErr w:type="spellEnd"/>
            <w:r w:rsidRPr="00D82766">
              <w:rPr>
                <w:lang w:val="pl-PL"/>
              </w:rPr>
              <w:t xml:space="preserve"> S.</w:t>
            </w:r>
          </w:p>
        </w:tc>
        <w:tc>
          <w:tcPr>
            <w:tcW w:w="1771" w:type="pct"/>
            <w:vAlign w:val="center"/>
          </w:tcPr>
          <w:p w14:paraId="0933AFEA" w14:textId="77777777" w:rsidR="009F6AC8" w:rsidRPr="008C72E5" w:rsidRDefault="009F6AC8" w:rsidP="00B558B7">
            <w:pPr>
              <w:pStyle w:val="TekstTabeli"/>
            </w:pPr>
            <w:r w:rsidRPr="008C72E5">
              <w:t>Reinforced island model genetic algorithm to solve university course timetabling</w:t>
            </w:r>
          </w:p>
        </w:tc>
        <w:tc>
          <w:tcPr>
            <w:tcW w:w="2052" w:type="pct"/>
            <w:vAlign w:val="center"/>
          </w:tcPr>
          <w:p w14:paraId="1EF068A5" w14:textId="77777777" w:rsidR="009F6AC8" w:rsidRPr="008C72E5" w:rsidRDefault="009F6AC8" w:rsidP="00B558B7">
            <w:pPr>
              <w:pStyle w:val="TekstTabeli"/>
            </w:pPr>
            <w:r w:rsidRPr="008C72E5">
              <w:t xml:space="preserve">(2018) </w:t>
            </w:r>
            <w:proofErr w:type="spellStart"/>
            <w:r w:rsidRPr="008C72E5">
              <w:t>Telkomnika</w:t>
            </w:r>
            <w:proofErr w:type="spellEnd"/>
            <w:r w:rsidRPr="008C72E5">
              <w:t xml:space="preserve"> (Telecommunication Computing Electronics and Control), 16 (6), pp. 2747 - 2755, DOI: 10.12928/TELKOMNIKA.v16i6.9691</w:t>
            </w:r>
          </w:p>
        </w:tc>
      </w:tr>
      <w:tr w:rsidR="00C4329A" w:rsidRPr="004C10DC" w14:paraId="555C36BA" w14:textId="77777777" w:rsidTr="00C4329A">
        <w:trPr>
          <w:cantSplit/>
        </w:trPr>
        <w:tc>
          <w:tcPr>
            <w:tcW w:w="297" w:type="pct"/>
            <w:vAlign w:val="center"/>
          </w:tcPr>
          <w:p w14:paraId="67A08231" w14:textId="77777777" w:rsidR="009F6AC8" w:rsidRPr="008C72E5" w:rsidRDefault="009F6AC8" w:rsidP="00B558B7">
            <w:pPr>
              <w:pStyle w:val="TekstTabeli"/>
            </w:pPr>
            <w:r w:rsidRPr="008C72E5">
              <w:t>109</w:t>
            </w:r>
          </w:p>
        </w:tc>
        <w:tc>
          <w:tcPr>
            <w:tcW w:w="880" w:type="pct"/>
            <w:vAlign w:val="center"/>
          </w:tcPr>
          <w:p w14:paraId="13AF8F75" w14:textId="77777777" w:rsidR="009F6AC8" w:rsidRPr="008C72E5" w:rsidRDefault="009F6AC8" w:rsidP="00B558B7">
            <w:pPr>
              <w:pStyle w:val="TekstTabeli"/>
            </w:pPr>
            <w:r w:rsidRPr="008C72E5">
              <w:t>Wang C., Medaglia R., Jensen T.B.</w:t>
            </w:r>
          </w:p>
        </w:tc>
        <w:tc>
          <w:tcPr>
            <w:tcW w:w="1771" w:type="pct"/>
            <w:vAlign w:val="center"/>
          </w:tcPr>
          <w:p w14:paraId="511F466E" w14:textId="77777777" w:rsidR="009F6AC8" w:rsidRPr="008C72E5" w:rsidRDefault="009F6AC8" w:rsidP="00B558B7">
            <w:pPr>
              <w:pStyle w:val="TekstTabeli"/>
            </w:pPr>
            <w:r w:rsidRPr="008C72E5">
              <w:t>When Ambiguity Rules: The Emergence of Adaptive Governance from (In)Congruent Frames of Knowledge Sharing Technology</w:t>
            </w:r>
          </w:p>
        </w:tc>
        <w:tc>
          <w:tcPr>
            <w:tcW w:w="2052" w:type="pct"/>
            <w:vAlign w:val="center"/>
          </w:tcPr>
          <w:p w14:paraId="37DDDC61" w14:textId="77777777" w:rsidR="009F6AC8" w:rsidRPr="008C72E5" w:rsidRDefault="009F6AC8" w:rsidP="00B558B7">
            <w:pPr>
              <w:pStyle w:val="TekstTabeli"/>
            </w:pPr>
            <w:r w:rsidRPr="008C72E5">
              <w:t>(2021) Information Systems Frontiers, 23 (6), pp. 1573 - 1591, DOI: 10.1007/s10796-020-10050-3</w:t>
            </w:r>
          </w:p>
        </w:tc>
      </w:tr>
      <w:tr w:rsidR="00C4329A" w:rsidRPr="008C72E5" w14:paraId="17A8E9EE" w14:textId="77777777" w:rsidTr="00C4329A">
        <w:trPr>
          <w:cantSplit/>
        </w:trPr>
        <w:tc>
          <w:tcPr>
            <w:tcW w:w="297" w:type="pct"/>
            <w:vAlign w:val="center"/>
          </w:tcPr>
          <w:p w14:paraId="4DAC4DF8" w14:textId="77777777" w:rsidR="009F6AC8" w:rsidRPr="008C72E5" w:rsidRDefault="009F6AC8" w:rsidP="00B558B7">
            <w:pPr>
              <w:pStyle w:val="TekstTabeli"/>
            </w:pPr>
            <w:r w:rsidRPr="008C72E5">
              <w:t>110</w:t>
            </w:r>
          </w:p>
        </w:tc>
        <w:tc>
          <w:tcPr>
            <w:tcW w:w="880" w:type="pct"/>
            <w:vAlign w:val="center"/>
          </w:tcPr>
          <w:p w14:paraId="6637F91C" w14:textId="77777777" w:rsidR="009F6AC8" w:rsidRPr="00D82766" w:rsidRDefault="009F6AC8" w:rsidP="00B558B7">
            <w:pPr>
              <w:pStyle w:val="TekstTabeli"/>
              <w:rPr>
                <w:lang w:val="pl-PL"/>
              </w:rPr>
            </w:pPr>
            <w:r w:rsidRPr="00D82766">
              <w:rPr>
                <w:lang w:val="pl-PL"/>
              </w:rPr>
              <w:t>Molina-</w:t>
            </w:r>
            <w:proofErr w:type="spellStart"/>
            <w:r w:rsidRPr="00D82766">
              <w:rPr>
                <w:lang w:val="pl-PL"/>
              </w:rPr>
              <w:t>Luque</w:t>
            </w:r>
            <w:proofErr w:type="spellEnd"/>
            <w:r w:rsidRPr="00D82766">
              <w:rPr>
                <w:lang w:val="pl-PL"/>
              </w:rPr>
              <w:t xml:space="preserve"> F., </w:t>
            </w:r>
            <w:proofErr w:type="spellStart"/>
            <w:r w:rsidRPr="00D82766">
              <w:rPr>
                <w:lang w:val="pl-PL"/>
              </w:rPr>
              <w:t>Casado</w:t>
            </w:r>
            <w:proofErr w:type="spellEnd"/>
            <w:r w:rsidRPr="00D82766">
              <w:rPr>
                <w:lang w:val="pl-PL"/>
              </w:rPr>
              <w:t xml:space="preserve"> N., </w:t>
            </w:r>
            <w:proofErr w:type="spellStart"/>
            <w:r w:rsidRPr="00D82766">
              <w:rPr>
                <w:lang w:val="pl-PL"/>
              </w:rPr>
              <w:t>Stončikaitė</w:t>
            </w:r>
            <w:proofErr w:type="spellEnd"/>
            <w:r w:rsidRPr="00D82766">
              <w:rPr>
                <w:lang w:val="pl-PL"/>
              </w:rPr>
              <w:t xml:space="preserve"> I.</w:t>
            </w:r>
          </w:p>
        </w:tc>
        <w:tc>
          <w:tcPr>
            <w:tcW w:w="1771" w:type="pct"/>
            <w:vAlign w:val="center"/>
          </w:tcPr>
          <w:p w14:paraId="0C5C9518" w14:textId="77777777" w:rsidR="009F6AC8" w:rsidRPr="008C72E5" w:rsidRDefault="009F6AC8" w:rsidP="00B558B7">
            <w:pPr>
              <w:pStyle w:val="TekstTabeli"/>
            </w:pPr>
            <w:r w:rsidRPr="008C72E5">
              <w:t>University stakeholders, intergenerational relationships and lifelong learning: a European case study</w:t>
            </w:r>
          </w:p>
        </w:tc>
        <w:tc>
          <w:tcPr>
            <w:tcW w:w="2052" w:type="pct"/>
            <w:vAlign w:val="center"/>
          </w:tcPr>
          <w:p w14:paraId="56D07F1A" w14:textId="77777777" w:rsidR="009F6AC8" w:rsidRPr="008C72E5" w:rsidRDefault="009F6AC8" w:rsidP="00B558B7">
            <w:pPr>
              <w:pStyle w:val="TekstTabeli"/>
            </w:pPr>
            <w:r w:rsidRPr="008C72E5">
              <w:t>(2018) Educational Gerontology, 44 (12), pp. 744 - 752, DOI: 10.1080/03601277.2018.1555366</w:t>
            </w:r>
          </w:p>
        </w:tc>
      </w:tr>
      <w:tr w:rsidR="00C4329A" w:rsidRPr="004C10DC" w14:paraId="7A3FB71E" w14:textId="77777777" w:rsidTr="00C4329A">
        <w:trPr>
          <w:cantSplit/>
        </w:trPr>
        <w:tc>
          <w:tcPr>
            <w:tcW w:w="297" w:type="pct"/>
            <w:vAlign w:val="center"/>
          </w:tcPr>
          <w:p w14:paraId="46230F00" w14:textId="77777777" w:rsidR="009F6AC8" w:rsidRPr="008C72E5" w:rsidRDefault="009F6AC8" w:rsidP="00B558B7">
            <w:pPr>
              <w:pStyle w:val="TekstTabeli"/>
            </w:pPr>
            <w:r w:rsidRPr="008C72E5">
              <w:t>111</w:t>
            </w:r>
          </w:p>
        </w:tc>
        <w:tc>
          <w:tcPr>
            <w:tcW w:w="880" w:type="pct"/>
            <w:vAlign w:val="center"/>
          </w:tcPr>
          <w:p w14:paraId="4A034E0A" w14:textId="77777777" w:rsidR="009F6AC8" w:rsidRPr="008C72E5" w:rsidRDefault="009F6AC8" w:rsidP="00B558B7">
            <w:pPr>
              <w:pStyle w:val="TekstTabeli"/>
            </w:pPr>
            <w:proofErr w:type="spellStart"/>
            <w:r w:rsidRPr="008C72E5">
              <w:t>Dashtestani</w:t>
            </w:r>
            <w:proofErr w:type="spellEnd"/>
            <w:r w:rsidRPr="008C72E5">
              <w:t xml:space="preserve"> R.</w:t>
            </w:r>
          </w:p>
        </w:tc>
        <w:tc>
          <w:tcPr>
            <w:tcW w:w="1771" w:type="pct"/>
            <w:vAlign w:val="center"/>
          </w:tcPr>
          <w:p w14:paraId="7BD5A3B4" w14:textId="77777777" w:rsidR="009F6AC8" w:rsidRPr="008C72E5" w:rsidRDefault="009F6AC8" w:rsidP="00B558B7">
            <w:pPr>
              <w:pStyle w:val="TekstTabeli"/>
            </w:pPr>
            <w:r w:rsidRPr="008C72E5">
              <w:t>Online Courses in Higher Education in Iran: A Stakeholder-Based Investigation into Preservice Teachers' Acceptance, Learning Achievements, and Satisfaction: A Mixed-Methods Study</w:t>
            </w:r>
          </w:p>
        </w:tc>
        <w:tc>
          <w:tcPr>
            <w:tcW w:w="2052" w:type="pct"/>
            <w:vAlign w:val="center"/>
          </w:tcPr>
          <w:p w14:paraId="4DF63AEF" w14:textId="77777777" w:rsidR="009F6AC8" w:rsidRPr="008C72E5" w:rsidRDefault="009F6AC8" w:rsidP="00B558B7">
            <w:pPr>
              <w:pStyle w:val="TekstTabeli"/>
            </w:pPr>
            <w:r w:rsidRPr="008C72E5">
              <w:t>(2020) International Review of Research in Open and Distance Learning, 21 (4), pp. 117 - 142, DOI: 10.19173/IRRODL.V21I4.4873</w:t>
            </w:r>
          </w:p>
        </w:tc>
      </w:tr>
      <w:tr w:rsidR="00C4329A" w:rsidRPr="004C10DC" w14:paraId="3F2D8934" w14:textId="77777777" w:rsidTr="00C4329A">
        <w:trPr>
          <w:cantSplit/>
        </w:trPr>
        <w:tc>
          <w:tcPr>
            <w:tcW w:w="297" w:type="pct"/>
            <w:vAlign w:val="center"/>
          </w:tcPr>
          <w:p w14:paraId="7960E0FF" w14:textId="77777777" w:rsidR="009F6AC8" w:rsidRPr="008C72E5" w:rsidRDefault="009F6AC8" w:rsidP="00B558B7">
            <w:pPr>
              <w:pStyle w:val="TekstTabeli"/>
            </w:pPr>
            <w:r w:rsidRPr="008C72E5">
              <w:t>112</w:t>
            </w:r>
          </w:p>
        </w:tc>
        <w:tc>
          <w:tcPr>
            <w:tcW w:w="880" w:type="pct"/>
            <w:vAlign w:val="center"/>
          </w:tcPr>
          <w:p w14:paraId="14A49472" w14:textId="77777777" w:rsidR="009F6AC8" w:rsidRPr="008C72E5" w:rsidRDefault="009F6AC8" w:rsidP="00B558B7">
            <w:pPr>
              <w:pStyle w:val="TekstTabeli"/>
            </w:pPr>
            <w:r w:rsidRPr="008C72E5">
              <w:t>McGrath C.</w:t>
            </w:r>
          </w:p>
        </w:tc>
        <w:tc>
          <w:tcPr>
            <w:tcW w:w="1771" w:type="pct"/>
            <w:vAlign w:val="center"/>
          </w:tcPr>
          <w:p w14:paraId="08DF8BFF" w14:textId="77777777" w:rsidR="009F6AC8" w:rsidRPr="008C72E5" w:rsidRDefault="009F6AC8" w:rsidP="00B558B7">
            <w:pPr>
              <w:pStyle w:val="TekstTabeli"/>
            </w:pPr>
            <w:r w:rsidRPr="008C72E5">
              <w:t>Academic developers as brokers of change: insights from a research project on change practice and agency</w:t>
            </w:r>
          </w:p>
        </w:tc>
        <w:tc>
          <w:tcPr>
            <w:tcW w:w="2052" w:type="pct"/>
            <w:vAlign w:val="center"/>
          </w:tcPr>
          <w:p w14:paraId="030A5A0E" w14:textId="77777777" w:rsidR="009F6AC8" w:rsidRPr="008C72E5" w:rsidRDefault="009F6AC8" w:rsidP="00B558B7">
            <w:pPr>
              <w:pStyle w:val="TekstTabeli"/>
            </w:pPr>
            <w:r w:rsidRPr="008C72E5">
              <w:t>(2020) International Journal for Academic Development, 25 (2), pp. 94 - 106, DOI: 10.1080/1360144X.2019.1665524</w:t>
            </w:r>
          </w:p>
        </w:tc>
      </w:tr>
      <w:tr w:rsidR="00C4329A" w:rsidRPr="004C10DC" w14:paraId="768C0B26" w14:textId="77777777" w:rsidTr="00C4329A">
        <w:trPr>
          <w:cantSplit/>
        </w:trPr>
        <w:tc>
          <w:tcPr>
            <w:tcW w:w="297" w:type="pct"/>
            <w:vAlign w:val="center"/>
          </w:tcPr>
          <w:p w14:paraId="50F5599F" w14:textId="77777777" w:rsidR="009F6AC8" w:rsidRPr="008C72E5" w:rsidRDefault="009F6AC8" w:rsidP="00B558B7">
            <w:pPr>
              <w:pStyle w:val="TekstTabeli"/>
            </w:pPr>
            <w:r w:rsidRPr="008C72E5">
              <w:t>113</w:t>
            </w:r>
          </w:p>
        </w:tc>
        <w:tc>
          <w:tcPr>
            <w:tcW w:w="880" w:type="pct"/>
            <w:vAlign w:val="center"/>
          </w:tcPr>
          <w:p w14:paraId="6F7C0F69" w14:textId="77777777" w:rsidR="009F6AC8" w:rsidRPr="008C72E5" w:rsidRDefault="009F6AC8" w:rsidP="00B558B7">
            <w:pPr>
              <w:pStyle w:val="TekstTabeli"/>
            </w:pPr>
            <w:r w:rsidRPr="008C72E5">
              <w:t xml:space="preserve">Salerno J.P., </w:t>
            </w:r>
            <w:proofErr w:type="spellStart"/>
            <w:r w:rsidRPr="008C72E5">
              <w:t>Gattamorta</w:t>
            </w:r>
            <w:proofErr w:type="spellEnd"/>
            <w:r w:rsidRPr="008C72E5">
              <w:t xml:space="preserve"> K.A., Williams N.D.</w:t>
            </w:r>
          </w:p>
        </w:tc>
        <w:tc>
          <w:tcPr>
            <w:tcW w:w="1771" w:type="pct"/>
            <w:vAlign w:val="center"/>
          </w:tcPr>
          <w:p w14:paraId="05682982" w14:textId="77777777" w:rsidR="009F6AC8" w:rsidRPr="008C72E5" w:rsidRDefault="009F6AC8" w:rsidP="00B558B7">
            <w:pPr>
              <w:pStyle w:val="TekstTabeli"/>
            </w:pPr>
            <w:r w:rsidRPr="008C72E5">
              <w:t>Impact of Family Rejection and Racism on Sexual and Gender Minority Stress Among LGBTQ Young People of Color During COVID-19</w:t>
            </w:r>
          </w:p>
        </w:tc>
        <w:tc>
          <w:tcPr>
            <w:tcW w:w="2052" w:type="pct"/>
            <w:vAlign w:val="center"/>
          </w:tcPr>
          <w:p w14:paraId="080D052C" w14:textId="77777777" w:rsidR="009F6AC8" w:rsidRPr="008C72E5" w:rsidRDefault="009F6AC8" w:rsidP="00B558B7">
            <w:pPr>
              <w:pStyle w:val="TekstTabeli"/>
            </w:pPr>
            <w:r w:rsidRPr="008C72E5">
              <w:t>(2022) Psychological Trauma: Theory, Research, Practice, and Policy, 15 (4), pp. 637 - 647, DOI: 10.1037/tra0001254</w:t>
            </w:r>
          </w:p>
        </w:tc>
      </w:tr>
      <w:tr w:rsidR="00C4329A" w:rsidRPr="008C72E5" w14:paraId="6D7950F3" w14:textId="77777777" w:rsidTr="00C4329A">
        <w:trPr>
          <w:cantSplit/>
        </w:trPr>
        <w:tc>
          <w:tcPr>
            <w:tcW w:w="297" w:type="pct"/>
            <w:vAlign w:val="center"/>
          </w:tcPr>
          <w:p w14:paraId="7594AA69" w14:textId="77777777" w:rsidR="009F6AC8" w:rsidRPr="008C72E5" w:rsidRDefault="009F6AC8" w:rsidP="00B558B7">
            <w:pPr>
              <w:pStyle w:val="TekstTabeli"/>
            </w:pPr>
            <w:r w:rsidRPr="008C72E5">
              <w:t>114</w:t>
            </w:r>
          </w:p>
        </w:tc>
        <w:tc>
          <w:tcPr>
            <w:tcW w:w="880" w:type="pct"/>
            <w:vAlign w:val="center"/>
          </w:tcPr>
          <w:p w14:paraId="635A76DA" w14:textId="77777777" w:rsidR="009F6AC8" w:rsidRPr="008C72E5" w:rsidRDefault="009F6AC8" w:rsidP="00B558B7">
            <w:pPr>
              <w:pStyle w:val="TekstTabeli"/>
            </w:pPr>
            <w:proofErr w:type="spellStart"/>
            <w:r w:rsidRPr="008C72E5">
              <w:t>Bucklow</w:t>
            </w:r>
            <w:proofErr w:type="spellEnd"/>
            <w:r w:rsidRPr="008C72E5">
              <w:t xml:space="preserve"> C., Clark P.</w:t>
            </w:r>
          </w:p>
        </w:tc>
        <w:tc>
          <w:tcPr>
            <w:tcW w:w="1771" w:type="pct"/>
            <w:vAlign w:val="center"/>
          </w:tcPr>
          <w:p w14:paraId="208E7B03" w14:textId="77777777" w:rsidR="009F6AC8" w:rsidRPr="008C72E5" w:rsidRDefault="009F6AC8" w:rsidP="00B558B7">
            <w:pPr>
              <w:pStyle w:val="TekstTabeli"/>
            </w:pPr>
            <w:r w:rsidRPr="008C72E5">
              <w:t>The role of the institute for learning and teaching in higher education in supporting professional development in learning and teaching in higher education</w:t>
            </w:r>
          </w:p>
        </w:tc>
        <w:tc>
          <w:tcPr>
            <w:tcW w:w="2052" w:type="pct"/>
            <w:vAlign w:val="center"/>
          </w:tcPr>
          <w:p w14:paraId="1511F88F" w14:textId="77777777" w:rsidR="009F6AC8" w:rsidRPr="008C72E5" w:rsidRDefault="009F6AC8" w:rsidP="00B558B7">
            <w:pPr>
              <w:pStyle w:val="TekstTabeli"/>
            </w:pPr>
            <w:r w:rsidRPr="008C72E5">
              <w:t>(2000) Teacher Development, 4 (1), pp. 7 - 13, DOI: 10.1080/13664530000200101</w:t>
            </w:r>
          </w:p>
        </w:tc>
      </w:tr>
      <w:tr w:rsidR="00C4329A" w:rsidRPr="004C10DC" w14:paraId="3F463B8A" w14:textId="77777777" w:rsidTr="00C4329A">
        <w:trPr>
          <w:cantSplit/>
        </w:trPr>
        <w:tc>
          <w:tcPr>
            <w:tcW w:w="297" w:type="pct"/>
            <w:vAlign w:val="center"/>
          </w:tcPr>
          <w:p w14:paraId="622373A9" w14:textId="77777777" w:rsidR="009F6AC8" w:rsidRPr="008C72E5" w:rsidRDefault="009F6AC8" w:rsidP="00B558B7">
            <w:pPr>
              <w:pStyle w:val="TekstTabeli"/>
            </w:pPr>
            <w:r w:rsidRPr="008C72E5">
              <w:t>115</w:t>
            </w:r>
          </w:p>
        </w:tc>
        <w:tc>
          <w:tcPr>
            <w:tcW w:w="880" w:type="pct"/>
            <w:vAlign w:val="center"/>
          </w:tcPr>
          <w:p w14:paraId="0518FE21" w14:textId="77777777" w:rsidR="009F6AC8" w:rsidRPr="008C72E5" w:rsidRDefault="009F6AC8" w:rsidP="00B558B7">
            <w:pPr>
              <w:pStyle w:val="TekstTabeli"/>
            </w:pPr>
            <w:proofErr w:type="spellStart"/>
            <w:r w:rsidRPr="008C72E5">
              <w:t>Lambovska</w:t>
            </w:r>
            <w:proofErr w:type="spellEnd"/>
            <w:r w:rsidRPr="008C72E5">
              <w:t xml:space="preserve"> M., Todorova D.</w:t>
            </w:r>
          </w:p>
        </w:tc>
        <w:tc>
          <w:tcPr>
            <w:tcW w:w="1771" w:type="pct"/>
            <w:vAlign w:val="center"/>
          </w:tcPr>
          <w:p w14:paraId="2AD9E266" w14:textId="77777777" w:rsidR="009F6AC8" w:rsidRPr="008C72E5" w:rsidRDefault="009F6AC8" w:rsidP="00B558B7">
            <w:pPr>
              <w:pStyle w:val="TekstTabeli"/>
            </w:pPr>
            <w:r w:rsidRPr="008C72E5">
              <w:t>‘Publish and flourish’ instead of ‘publish or perish’: A motivation model for top-quality publications</w:t>
            </w:r>
          </w:p>
        </w:tc>
        <w:tc>
          <w:tcPr>
            <w:tcW w:w="2052" w:type="pct"/>
            <w:vAlign w:val="center"/>
          </w:tcPr>
          <w:p w14:paraId="03CF358E" w14:textId="77777777" w:rsidR="009F6AC8" w:rsidRPr="008C72E5" w:rsidRDefault="009F6AC8" w:rsidP="00B558B7">
            <w:pPr>
              <w:pStyle w:val="TekstTabeli"/>
            </w:pPr>
            <w:r w:rsidRPr="008C72E5">
              <w:t>(2021) Journal of Language and Education, 7 (1), pp. 141 - 155, DOI: 10.17323/jle.2021.11522</w:t>
            </w:r>
          </w:p>
        </w:tc>
      </w:tr>
      <w:tr w:rsidR="00C4329A" w:rsidRPr="004C10DC" w14:paraId="6D945B57" w14:textId="77777777" w:rsidTr="00C4329A">
        <w:trPr>
          <w:cantSplit/>
        </w:trPr>
        <w:tc>
          <w:tcPr>
            <w:tcW w:w="297" w:type="pct"/>
            <w:vAlign w:val="center"/>
          </w:tcPr>
          <w:p w14:paraId="0466E465" w14:textId="77777777" w:rsidR="009F6AC8" w:rsidRPr="008C72E5" w:rsidRDefault="009F6AC8" w:rsidP="00B558B7">
            <w:pPr>
              <w:pStyle w:val="TekstTabeli"/>
            </w:pPr>
            <w:r w:rsidRPr="008C72E5">
              <w:t>116</w:t>
            </w:r>
          </w:p>
        </w:tc>
        <w:tc>
          <w:tcPr>
            <w:tcW w:w="880" w:type="pct"/>
            <w:vAlign w:val="center"/>
          </w:tcPr>
          <w:p w14:paraId="7A54A033" w14:textId="77777777" w:rsidR="009F6AC8" w:rsidRPr="008C72E5" w:rsidRDefault="009F6AC8" w:rsidP="00B558B7">
            <w:pPr>
              <w:pStyle w:val="TekstTabeli"/>
            </w:pPr>
            <w:proofErr w:type="spellStart"/>
            <w:r w:rsidRPr="008C72E5">
              <w:t>Simbolon</w:t>
            </w:r>
            <w:proofErr w:type="spellEnd"/>
            <w:r w:rsidRPr="008C72E5">
              <w:t xml:space="preserve"> N.E.</w:t>
            </w:r>
          </w:p>
        </w:tc>
        <w:tc>
          <w:tcPr>
            <w:tcW w:w="1771" w:type="pct"/>
            <w:vAlign w:val="center"/>
          </w:tcPr>
          <w:p w14:paraId="1B92B67F" w14:textId="77777777" w:rsidR="009F6AC8" w:rsidRPr="008C72E5" w:rsidRDefault="009F6AC8" w:rsidP="00B558B7">
            <w:pPr>
              <w:pStyle w:val="TekstTabeli"/>
            </w:pPr>
            <w:r w:rsidRPr="008C72E5">
              <w:t xml:space="preserve">Emi in </w:t>
            </w:r>
            <w:proofErr w:type="spellStart"/>
            <w:r w:rsidRPr="008C72E5">
              <w:t>indonesian</w:t>
            </w:r>
            <w:proofErr w:type="spellEnd"/>
            <w:r w:rsidRPr="008C72E5">
              <w:t xml:space="preserve"> higher education: Stakeholders’ perspectives</w:t>
            </w:r>
          </w:p>
        </w:tc>
        <w:tc>
          <w:tcPr>
            <w:tcW w:w="2052" w:type="pct"/>
            <w:vAlign w:val="center"/>
          </w:tcPr>
          <w:p w14:paraId="666FE440" w14:textId="77777777" w:rsidR="009F6AC8" w:rsidRPr="008C72E5" w:rsidRDefault="009F6AC8" w:rsidP="00B558B7">
            <w:pPr>
              <w:pStyle w:val="TekstTabeli"/>
            </w:pPr>
            <w:r w:rsidRPr="008C72E5">
              <w:t xml:space="preserve">(2018) </w:t>
            </w:r>
            <w:proofErr w:type="spellStart"/>
            <w:r w:rsidRPr="008C72E5">
              <w:t>Teflin</w:t>
            </w:r>
            <w:proofErr w:type="spellEnd"/>
            <w:r w:rsidRPr="008C72E5">
              <w:t xml:space="preserve"> Journal, 29 (1), pp. 108 - 128, DOI: 10.15639/teflinjournal.v29i1/108-128</w:t>
            </w:r>
          </w:p>
        </w:tc>
      </w:tr>
      <w:tr w:rsidR="00C4329A" w:rsidRPr="004C10DC" w14:paraId="6F35289A" w14:textId="77777777" w:rsidTr="00C4329A">
        <w:trPr>
          <w:cantSplit/>
        </w:trPr>
        <w:tc>
          <w:tcPr>
            <w:tcW w:w="297" w:type="pct"/>
            <w:vAlign w:val="center"/>
          </w:tcPr>
          <w:p w14:paraId="6F810E9D" w14:textId="77777777" w:rsidR="009F6AC8" w:rsidRPr="008C72E5" w:rsidRDefault="009F6AC8" w:rsidP="00B558B7">
            <w:pPr>
              <w:pStyle w:val="TekstTabeli"/>
            </w:pPr>
            <w:r w:rsidRPr="008C72E5">
              <w:t>117</w:t>
            </w:r>
          </w:p>
        </w:tc>
        <w:tc>
          <w:tcPr>
            <w:tcW w:w="880" w:type="pct"/>
            <w:vAlign w:val="center"/>
          </w:tcPr>
          <w:p w14:paraId="451AA089" w14:textId="77777777" w:rsidR="009F6AC8" w:rsidRPr="008C72E5" w:rsidRDefault="009F6AC8" w:rsidP="00B558B7">
            <w:pPr>
              <w:pStyle w:val="TekstTabeli"/>
            </w:pPr>
            <w:r w:rsidRPr="008C72E5">
              <w:t>Murphy C.F., Dillon P.S., Pitts G.E.</w:t>
            </w:r>
          </w:p>
        </w:tc>
        <w:tc>
          <w:tcPr>
            <w:tcW w:w="1771" w:type="pct"/>
            <w:vAlign w:val="center"/>
          </w:tcPr>
          <w:p w14:paraId="298D7938" w14:textId="77777777" w:rsidR="009F6AC8" w:rsidRPr="008C72E5" w:rsidRDefault="009F6AC8" w:rsidP="00B558B7">
            <w:pPr>
              <w:pStyle w:val="TekstTabeli"/>
            </w:pPr>
            <w:r w:rsidRPr="008C72E5">
              <w:t>Economic and logistical modeling for regional processing and recovery of engineering thermoplastics</w:t>
            </w:r>
          </w:p>
        </w:tc>
        <w:tc>
          <w:tcPr>
            <w:tcW w:w="2052" w:type="pct"/>
            <w:vAlign w:val="center"/>
          </w:tcPr>
          <w:p w14:paraId="33701DD4" w14:textId="77777777" w:rsidR="009F6AC8" w:rsidRPr="008C72E5" w:rsidRDefault="009F6AC8" w:rsidP="00B558B7">
            <w:pPr>
              <w:pStyle w:val="TekstTabeli"/>
            </w:pPr>
            <w:r w:rsidRPr="008C72E5">
              <w:t>(2001) IEEE International Symposium on Electronics and the Environment, pp. 229 - 235, 0</w:t>
            </w:r>
          </w:p>
        </w:tc>
      </w:tr>
      <w:tr w:rsidR="00C4329A" w:rsidRPr="004C10DC" w14:paraId="60AF4BD0" w14:textId="77777777" w:rsidTr="00C4329A">
        <w:trPr>
          <w:cantSplit/>
        </w:trPr>
        <w:tc>
          <w:tcPr>
            <w:tcW w:w="297" w:type="pct"/>
            <w:vAlign w:val="center"/>
          </w:tcPr>
          <w:p w14:paraId="65638CEF" w14:textId="77777777" w:rsidR="009F6AC8" w:rsidRPr="008C72E5" w:rsidRDefault="009F6AC8" w:rsidP="00B558B7">
            <w:pPr>
              <w:pStyle w:val="TekstTabeli"/>
            </w:pPr>
            <w:r w:rsidRPr="008C72E5">
              <w:t>118</w:t>
            </w:r>
          </w:p>
        </w:tc>
        <w:tc>
          <w:tcPr>
            <w:tcW w:w="880" w:type="pct"/>
            <w:vAlign w:val="center"/>
          </w:tcPr>
          <w:p w14:paraId="3722A9BB" w14:textId="77777777" w:rsidR="009F6AC8" w:rsidRPr="008C72E5" w:rsidRDefault="009F6AC8" w:rsidP="00B558B7">
            <w:pPr>
              <w:pStyle w:val="TekstTabeli"/>
            </w:pPr>
            <w:r w:rsidRPr="008C72E5">
              <w:t>Sassi P.</w:t>
            </w:r>
          </w:p>
        </w:tc>
        <w:tc>
          <w:tcPr>
            <w:tcW w:w="1771" w:type="pct"/>
            <w:vAlign w:val="center"/>
          </w:tcPr>
          <w:p w14:paraId="47D63CE8" w14:textId="77777777" w:rsidR="009F6AC8" w:rsidRPr="008C72E5" w:rsidRDefault="009F6AC8" w:rsidP="00B558B7">
            <w:pPr>
              <w:pStyle w:val="TekstTabeli"/>
            </w:pPr>
            <w:r w:rsidRPr="008C72E5">
              <w:t>Built environment sustainability and quality of life (BESQOL) assessment methodology</w:t>
            </w:r>
          </w:p>
        </w:tc>
        <w:tc>
          <w:tcPr>
            <w:tcW w:w="2052" w:type="pct"/>
            <w:vAlign w:val="center"/>
          </w:tcPr>
          <w:p w14:paraId="00EB5F2F" w14:textId="77777777" w:rsidR="009F6AC8" w:rsidRPr="008C72E5" w:rsidRDefault="009F6AC8" w:rsidP="00B558B7">
            <w:pPr>
              <w:pStyle w:val="TekstTabeli"/>
            </w:pPr>
            <w:r w:rsidRPr="008C72E5">
              <w:t>(2016) World Sustainability Series, pp. 21 - 32, DOI: 10.1007/978-3-319-26734-0_2</w:t>
            </w:r>
          </w:p>
        </w:tc>
      </w:tr>
      <w:tr w:rsidR="00C4329A" w:rsidRPr="004C10DC" w14:paraId="25EAEDBF" w14:textId="77777777" w:rsidTr="00C4329A">
        <w:trPr>
          <w:cantSplit/>
        </w:trPr>
        <w:tc>
          <w:tcPr>
            <w:tcW w:w="297" w:type="pct"/>
            <w:vAlign w:val="center"/>
          </w:tcPr>
          <w:p w14:paraId="3FFC5E2E" w14:textId="77777777" w:rsidR="009F6AC8" w:rsidRPr="008C72E5" w:rsidRDefault="009F6AC8" w:rsidP="00B558B7">
            <w:pPr>
              <w:pStyle w:val="TekstTabeli"/>
            </w:pPr>
            <w:r w:rsidRPr="008C72E5">
              <w:t>119</w:t>
            </w:r>
          </w:p>
        </w:tc>
        <w:tc>
          <w:tcPr>
            <w:tcW w:w="880" w:type="pct"/>
            <w:vAlign w:val="center"/>
          </w:tcPr>
          <w:p w14:paraId="4FB5D411" w14:textId="77777777" w:rsidR="009F6AC8" w:rsidRPr="008C72E5" w:rsidRDefault="009F6AC8" w:rsidP="00B558B7">
            <w:pPr>
              <w:pStyle w:val="TekstTabeli"/>
            </w:pPr>
            <w:r w:rsidRPr="008C72E5">
              <w:t>Xiong Y., Yang L.</w:t>
            </w:r>
          </w:p>
        </w:tc>
        <w:tc>
          <w:tcPr>
            <w:tcW w:w="1771" w:type="pct"/>
            <w:vAlign w:val="center"/>
          </w:tcPr>
          <w:p w14:paraId="0D956359" w14:textId="77777777" w:rsidR="009F6AC8" w:rsidRPr="008C72E5" w:rsidRDefault="009F6AC8" w:rsidP="00B558B7">
            <w:pPr>
              <w:pStyle w:val="TekstTabeli"/>
            </w:pPr>
            <w:r w:rsidRPr="008C72E5">
              <w:t>Asian international students’ help-seeking intentions and behavior in American Postsecondary Institutions</w:t>
            </w:r>
          </w:p>
        </w:tc>
        <w:tc>
          <w:tcPr>
            <w:tcW w:w="2052" w:type="pct"/>
            <w:vAlign w:val="center"/>
          </w:tcPr>
          <w:p w14:paraId="371118A3" w14:textId="77777777" w:rsidR="009F6AC8" w:rsidRPr="008C72E5" w:rsidRDefault="009F6AC8" w:rsidP="00B558B7">
            <w:pPr>
              <w:pStyle w:val="TekstTabeli"/>
            </w:pPr>
            <w:r w:rsidRPr="008C72E5">
              <w:t>(2021) International Journal of Intercultural Relations, 80, pp. 170 - 185, DOI: 10.1016/j.ijintrel.2020.11.007</w:t>
            </w:r>
          </w:p>
        </w:tc>
      </w:tr>
      <w:tr w:rsidR="00C4329A" w:rsidRPr="004C10DC" w14:paraId="2075FD94" w14:textId="77777777" w:rsidTr="00C4329A">
        <w:trPr>
          <w:cantSplit/>
        </w:trPr>
        <w:tc>
          <w:tcPr>
            <w:tcW w:w="297" w:type="pct"/>
            <w:vAlign w:val="center"/>
          </w:tcPr>
          <w:p w14:paraId="40AF8BA2" w14:textId="77777777" w:rsidR="009F6AC8" w:rsidRPr="008C72E5" w:rsidRDefault="009F6AC8" w:rsidP="00B558B7">
            <w:pPr>
              <w:pStyle w:val="TekstTabeli"/>
            </w:pPr>
            <w:r w:rsidRPr="008C72E5">
              <w:lastRenderedPageBreak/>
              <w:t>120</w:t>
            </w:r>
          </w:p>
        </w:tc>
        <w:tc>
          <w:tcPr>
            <w:tcW w:w="880" w:type="pct"/>
            <w:vAlign w:val="center"/>
          </w:tcPr>
          <w:p w14:paraId="298C9820" w14:textId="77777777" w:rsidR="009F6AC8" w:rsidRPr="008C72E5" w:rsidRDefault="009F6AC8" w:rsidP="00B558B7">
            <w:pPr>
              <w:pStyle w:val="TekstTabeli"/>
            </w:pPr>
            <w:r w:rsidRPr="008C72E5">
              <w:t xml:space="preserve">Alkhateeb H., Al Hamad M., </w:t>
            </w:r>
            <w:proofErr w:type="spellStart"/>
            <w:r w:rsidRPr="008C72E5">
              <w:t>Mustafawi</w:t>
            </w:r>
            <w:proofErr w:type="spellEnd"/>
            <w:r w:rsidRPr="008C72E5">
              <w:t xml:space="preserve"> E.</w:t>
            </w:r>
          </w:p>
        </w:tc>
        <w:tc>
          <w:tcPr>
            <w:tcW w:w="1771" w:type="pct"/>
            <w:vAlign w:val="center"/>
          </w:tcPr>
          <w:p w14:paraId="11B4C80A" w14:textId="77777777" w:rsidR="009F6AC8" w:rsidRPr="008C72E5" w:rsidRDefault="009F6AC8" w:rsidP="00B558B7">
            <w:pPr>
              <w:pStyle w:val="TekstTabeli"/>
            </w:pPr>
            <w:r w:rsidRPr="008C72E5">
              <w:t>Revealing stakeholders’ perspectives on educational language policy in higher education through Q-methodology</w:t>
            </w:r>
          </w:p>
        </w:tc>
        <w:tc>
          <w:tcPr>
            <w:tcW w:w="2052" w:type="pct"/>
            <w:vAlign w:val="center"/>
          </w:tcPr>
          <w:p w14:paraId="5F6AD4E3" w14:textId="77777777" w:rsidR="009F6AC8" w:rsidRPr="008C72E5" w:rsidRDefault="009F6AC8" w:rsidP="00B558B7">
            <w:pPr>
              <w:pStyle w:val="TekstTabeli"/>
            </w:pPr>
            <w:r w:rsidRPr="008C72E5">
              <w:t>(2020) Current Issues in Language Planning, 21 (4), pp. 415 - 433, DOI: 10.1080/14664208.2020.1741237</w:t>
            </w:r>
          </w:p>
        </w:tc>
      </w:tr>
      <w:tr w:rsidR="00C4329A" w:rsidRPr="004C10DC" w14:paraId="0D1AE13D" w14:textId="77777777" w:rsidTr="00C4329A">
        <w:trPr>
          <w:cantSplit/>
        </w:trPr>
        <w:tc>
          <w:tcPr>
            <w:tcW w:w="297" w:type="pct"/>
            <w:vAlign w:val="center"/>
          </w:tcPr>
          <w:p w14:paraId="698DECEE" w14:textId="77777777" w:rsidR="009F6AC8" w:rsidRPr="008C72E5" w:rsidRDefault="009F6AC8" w:rsidP="00B558B7">
            <w:pPr>
              <w:pStyle w:val="TekstTabeli"/>
            </w:pPr>
            <w:r w:rsidRPr="008C72E5">
              <w:t>121</w:t>
            </w:r>
          </w:p>
        </w:tc>
        <w:tc>
          <w:tcPr>
            <w:tcW w:w="880" w:type="pct"/>
            <w:vAlign w:val="center"/>
          </w:tcPr>
          <w:p w14:paraId="04C76252" w14:textId="77777777" w:rsidR="009F6AC8" w:rsidRPr="008C72E5" w:rsidRDefault="009F6AC8" w:rsidP="00B558B7">
            <w:pPr>
              <w:pStyle w:val="TekstTabeli"/>
            </w:pPr>
            <w:proofErr w:type="spellStart"/>
            <w:r w:rsidRPr="008C72E5">
              <w:t>Pakkan</w:t>
            </w:r>
            <w:proofErr w:type="spellEnd"/>
            <w:r w:rsidRPr="008C72E5">
              <w:t xml:space="preserve"> S., Sudhakar C., Tripathi S., Rao M.</w:t>
            </w:r>
          </w:p>
        </w:tc>
        <w:tc>
          <w:tcPr>
            <w:tcW w:w="1771" w:type="pct"/>
            <w:vAlign w:val="center"/>
          </w:tcPr>
          <w:p w14:paraId="7013A0EE" w14:textId="77777777" w:rsidR="009F6AC8" w:rsidRPr="008C72E5" w:rsidRDefault="009F6AC8" w:rsidP="00B558B7">
            <w:pPr>
              <w:pStyle w:val="TekstTabeli"/>
            </w:pPr>
            <w:r w:rsidRPr="008C72E5">
              <w:t>A correlation study of sustainable development goal (SDG) interactions</w:t>
            </w:r>
          </w:p>
        </w:tc>
        <w:tc>
          <w:tcPr>
            <w:tcW w:w="2052" w:type="pct"/>
            <w:vAlign w:val="center"/>
          </w:tcPr>
          <w:p w14:paraId="3C11ACB1" w14:textId="77777777" w:rsidR="009F6AC8" w:rsidRPr="008C72E5" w:rsidRDefault="009F6AC8" w:rsidP="00B558B7">
            <w:pPr>
              <w:pStyle w:val="TekstTabeli"/>
            </w:pPr>
            <w:r w:rsidRPr="008C72E5">
              <w:t>(2023) Quality and Quantity, 57 (2), pp. 1937 - 1956, DOI: 10.1007/s11135-022-01443-4</w:t>
            </w:r>
          </w:p>
        </w:tc>
      </w:tr>
      <w:tr w:rsidR="00C4329A" w:rsidRPr="004C10DC" w14:paraId="3885F7F9" w14:textId="77777777" w:rsidTr="00C4329A">
        <w:trPr>
          <w:cantSplit/>
        </w:trPr>
        <w:tc>
          <w:tcPr>
            <w:tcW w:w="297" w:type="pct"/>
            <w:vAlign w:val="center"/>
          </w:tcPr>
          <w:p w14:paraId="5B3F99F4" w14:textId="77777777" w:rsidR="009F6AC8" w:rsidRPr="008C72E5" w:rsidRDefault="009F6AC8" w:rsidP="00B558B7">
            <w:pPr>
              <w:pStyle w:val="TekstTabeli"/>
            </w:pPr>
            <w:r w:rsidRPr="008C72E5">
              <w:t>122</w:t>
            </w:r>
          </w:p>
        </w:tc>
        <w:tc>
          <w:tcPr>
            <w:tcW w:w="880" w:type="pct"/>
            <w:vAlign w:val="center"/>
          </w:tcPr>
          <w:p w14:paraId="320219B5" w14:textId="77777777" w:rsidR="009F6AC8" w:rsidRPr="00D82766" w:rsidRDefault="009F6AC8" w:rsidP="00B558B7">
            <w:pPr>
              <w:pStyle w:val="TekstTabeli"/>
              <w:rPr>
                <w:lang w:val="pl-PL"/>
              </w:rPr>
            </w:pPr>
            <w:r w:rsidRPr="00D82766">
              <w:rPr>
                <w:lang w:val="pl-PL"/>
              </w:rPr>
              <w:t xml:space="preserve">Budowle R., </w:t>
            </w:r>
            <w:proofErr w:type="spellStart"/>
            <w:r w:rsidRPr="00D82766">
              <w:rPr>
                <w:lang w:val="pl-PL"/>
              </w:rPr>
              <w:t>Krszjzaniek</w:t>
            </w:r>
            <w:proofErr w:type="spellEnd"/>
            <w:r w:rsidRPr="00D82766">
              <w:rPr>
                <w:lang w:val="pl-PL"/>
              </w:rPr>
              <w:t xml:space="preserve"> E., Taylor C.</w:t>
            </w:r>
          </w:p>
        </w:tc>
        <w:tc>
          <w:tcPr>
            <w:tcW w:w="1771" w:type="pct"/>
            <w:vAlign w:val="center"/>
          </w:tcPr>
          <w:p w14:paraId="15A0F618" w14:textId="77777777" w:rsidR="009F6AC8" w:rsidRPr="008C72E5" w:rsidRDefault="009F6AC8" w:rsidP="00B558B7">
            <w:pPr>
              <w:pStyle w:val="TekstTabeli"/>
            </w:pPr>
            <w:r w:rsidRPr="008C72E5">
              <w:t>Students as change agents for community–university sustainability transition partnerships</w:t>
            </w:r>
          </w:p>
        </w:tc>
        <w:tc>
          <w:tcPr>
            <w:tcW w:w="2052" w:type="pct"/>
            <w:vAlign w:val="center"/>
          </w:tcPr>
          <w:p w14:paraId="5B0DB92E" w14:textId="77777777" w:rsidR="009F6AC8" w:rsidRPr="008C72E5" w:rsidRDefault="009F6AC8" w:rsidP="00B558B7">
            <w:pPr>
              <w:pStyle w:val="TekstTabeli"/>
            </w:pPr>
            <w:r w:rsidRPr="008C72E5">
              <w:t>(2021) Sustainability (Switzerland), 13 (11), art. no. 6036, DOI: 10.3390/su13116036</w:t>
            </w:r>
          </w:p>
        </w:tc>
      </w:tr>
      <w:tr w:rsidR="00C4329A" w:rsidRPr="004C10DC" w14:paraId="16A445E5" w14:textId="77777777" w:rsidTr="00C4329A">
        <w:trPr>
          <w:cantSplit/>
        </w:trPr>
        <w:tc>
          <w:tcPr>
            <w:tcW w:w="297" w:type="pct"/>
            <w:vAlign w:val="center"/>
          </w:tcPr>
          <w:p w14:paraId="0686D245" w14:textId="77777777" w:rsidR="009F6AC8" w:rsidRPr="008C72E5" w:rsidRDefault="009F6AC8" w:rsidP="00B558B7">
            <w:pPr>
              <w:pStyle w:val="TekstTabeli"/>
            </w:pPr>
            <w:r w:rsidRPr="008C72E5">
              <w:t>123</w:t>
            </w:r>
          </w:p>
        </w:tc>
        <w:tc>
          <w:tcPr>
            <w:tcW w:w="880" w:type="pct"/>
            <w:vAlign w:val="center"/>
          </w:tcPr>
          <w:p w14:paraId="7D3D4720" w14:textId="77777777" w:rsidR="009F6AC8" w:rsidRPr="008C72E5" w:rsidRDefault="009F6AC8" w:rsidP="00B558B7">
            <w:pPr>
              <w:pStyle w:val="TekstTabeli"/>
            </w:pPr>
            <w:proofErr w:type="spellStart"/>
            <w:r w:rsidRPr="008C72E5">
              <w:t>Mainardes</w:t>
            </w:r>
            <w:proofErr w:type="spellEnd"/>
            <w:r w:rsidRPr="008C72E5">
              <w:t xml:space="preserve"> E.W., Raposo M., Alves H.</w:t>
            </w:r>
          </w:p>
        </w:tc>
        <w:tc>
          <w:tcPr>
            <w:tcW w:w="1771" w:type="pct"/>
            <w:vAlign w:val="center"/>
          </w:tcPr>
          <w:p w14:paraId="32DEA152" w14:textId="77777777" w:rsidR="009F6AC8" w:rsidRPr="008C72E5" w:rsidRDefault="009F6AC8" w:rsidP="00B558B7">
            <w:pPr>
              <w:pStyle w:val="TekstTabeli"/>
            </w:pPr>
            <w:r w:rsidRPr="008C72E5">
              <w:t>Public university students' expectations: An empirical study based on the Stakeholders Theory</w:t>
            </w:r>
          </w:p>
        </w:tc>
        <w:tc>
          <w:tcPr>
            <w:tcW w:w="2052" w:type="pct"/>
            <w:vAlign w:val="center"/>
          </w:tcPr>
          <w:p w14:paraId="21DF82A9" w14:textId="77777777" w:rsidR="009F6AC8" w:rsidRPr="008C72E5" w:rsidRDefault="009F6AC8" w:rsidP="00B558B7">
            <w:pPr>
              <w:pStyle w:val="TekstTabeli"/>
            </w:pPr>
            <w:r w:rsidRPr="008C72E5">
              <w:t>(2012) Transylvanian Review of Administrative Sciences, (35), pp. 173 - 196, 0</w:t>
            </w:r>
          </w:p>
        </w:tc>
      </w:tr>
      <w:tr w:rsidR="00C4329A" w:rsidRPr="004C10DC" w14:paraId="1C682A0F" w14:textId="77777777" w:rsidTr="00C4329A">
        <w:trPr>
          <w:cantSplit/>
        </w:trPr>
        <w:tc>
          <w:tcPr>
            <w:tcW w:w="297" w:type="pct"/>
            <w:vAlign w:val="center"/>
          </w:tcPr>
          <w:p w14:paraId="371A1405" w14:textId="77777777" w:rsidR="009F6AC8" w:rsidRPr="008C72E5" w:rsidRDefault="009F6AC8" w:rsidP="00B558B7">
            <w:pPr>
              <w:pStyle w:val="TekstTabeli"/>
            </w:pPr>
            <w:r w:rsidRPr="008C72E5">
              <w:t>124</w:t>
            </w:r>
          </w:p>
        </w:tc>
        <w:tc>
          <w:tcPr>
            <w:tcW w:w="880" w:type="pct"/>
            <w:vAlign w:val="center"/>
          </w:tcPr>
          <w:p w14:paraId="7E7ED5A2" w14:textId="77777777" w:rsidR="009F6AC8" w:rsidRPr="008C72E5" w:rsidRDefault="009F6AC8" w:rsidP="00B558B7">
            <w:pPr>
              <w:pStyle w:val="TekstTabeli"/>
            </w:pPr>
            <w:r w:rsidRPr="008C72E5">
              <w:t xml:space="preserve">Mncube V.S., </w:t>
            </w:r>
            <w:proofErr w:type="spellStart"/>
            <w:r w:rsidRPr="008C72E5">
              <w:t>Mutongoza</w:t>
            </w:r>
            <w:proofErr w:type="spellEnd"/>
            <w:r w:rsidRPr="008C72E5">
              <w:t xml:space="preserve"> B.H., Olawale B.E.</w:t>
            </w:r>
          </w:p>
        </w:tc>
        <w:tc>
          <w:tcPr>
            <w:tcW w:w="1771" w:type="pct"/>
            <w:vAlign w:val="center"/>
          </w:tcPr>
          <w:p w14:paraId="62D6B58A" w14:textId="67508DC9" w:rsidR="009F6AC8" w:rsidRPr="008C72E5" w:rsidRDefault="009F6AC8" w:rsidP="00B558B7">
            <w:pPr>
              <w:pStyle w:val="TekstTabeli"/>
            </w:pPr>
            <w:r w:rsidRPr="008C72E5">
              <w:t xml:space="preserve">Managing higher education institutions in the context of COVID-19 stringency: Experiences of stakeholders at a rural </w:t>
            </w:r>
            <w:r w:rsidR="00E61495" w:rsidRPr="008C72E5">
              <w:t xml:space="preserve">South African </w:t>
            </w:r>
            <w:r w:rsidRPr="008C72E5">
              <w:t>university</w:t>
            </w:r>
          </w:p>
        </w:tc>
        <w:tc>
          <w:tcPr>
            <w:tcW w:w="2052" w:type="pct"/>
            <w:vAlign w:val="center"/>
          </w:tcPr>
          <w:p w14:paraId="61FF5B8D" w14:textId="77777777" w:rsidR="009F6AC8" w:rsidRPr="008C72E5" w:rsidRDefault="009F6AC8" w:rsidP="00B558B7">
            <w:pPr>
              <w:pStyle w:val="TekstTabeli"/>
            </w:pPr>
            <w:r w:rsidRPr="008C72E5">
              <w:t>(2021) Perspectives in Education, 39 (1), pp. 390 - 409, DOI: 10.18820/2519593X/pie.v39.i1.24</w:t>
            </w:r>
          </w:p>
        </w:tc>
      </w:tr>
      <w:tr w:rsidR="00C4329A" w:rsidRPr="004C10DC" w14:paraId="3A829EDE" w14:textId="77777777" w:rsidTr="00C4329A">
        <w:trPr>
          <w:cantSplit/>
        </w:trPr>
        <w:tc>
          <w:tcPr>
            <w:tcW w:w="297" w:type="pct"/>
            <w:vAlign w:val="center"/>
          </w:tcPr>
          <w:p w14:paraId="63224243" w14:textId="77777777" w:rsidR="009F6AC8" w:rsidRPr="008C72E5" w:rsidRDefault="009F6AC8" w:rsidP="00B558B7">
            <w:pPr>
              <w:pStyle w:val="TekstTabeli"/>
            </w:pPr>
            <w:r w:rsidRPr="008C72E5">
              <w:t>125</w:t>
            </w:r>
          </w:p>
        </w:tc>
        <w:tc>
          <w:tcPr>
            <w:tcW w:w="880" w:type="pct"/>
            <w:vAlign w:val="center"/>
          </w:tcPr>
          <w:p w14:paraId="3454E2C0" w14:textId="77777777" w:rsidR="009F6AC8" w:rsidRPr="008C72E5" w:rsidRDefault="009F6AC8" w:rsidP="00B558B7">
            <w:pPr>
              <w:pStyle w:val="TekstTabeli"/>
            </w:pPr>
            <w:r w:rsidRPr="008C72E5">
              <w:t xml:space="preserve">Llonch J., </w:t>
            </w:r>
            <w:proofErr w:type="spellStart"/>
            <w:r w:rsidRPr="008C72E5">
              <w:t>Casablancas</w:t>
            </w:r>
            <w:proofErr w:type="spellEnd"/>
            <w:r w:rsidRPr="008C72E5">
              <w:t>-Segura C., Alarcón-del-Amo M.C.</w:t>
            </w:r>
          </w:p>
        </w:tc>
        <w:tc>
          <w:tcPr>
            <w:tcW w:w="1771" w:type="pct"/>
            <w:vAlign w:val="center"/>
          </w:tcPr>
          <w:p w14:paraId="378BB47F" w14:textId="2B28537B" w:rsidR="009F6AC8" w:rsidRPr="008C72E5" w:rsidRDefault="009F6AC8" w:rsidP="00B558B7">
            <w:pPr>
              <w:pStyle w:val="TekstTabeli"/>
            </w:pPr>
            <w:r w:rsidRPr="008C72E5">
              <w:t>Stakeholder orientation in public universities: A conceptual discussion and a scale development</w:t>
            </w:r>
          </w:p>
        </w:tc>
        <w:tc>
          <w:tcPr>
            <w:tcW w:w="2052" w:type="pct"/>
            <w:vAlign w:val="center"/>
          </w:tcPr>
          <w:p w14:paraId="05983053" w14:textId="77777777" w:rsidR="009F6AC8" w:rsidRPr="008C72E5" w:rsidRDefault="009F6AC8" w:rsidP="00B558B7">
            <w:pPr>
              <w:pStyle w:val="TekstTabeli"/>
            </w:pPr>
            <w:r w:rsidRPr="008C72E5">
              <w:t>(2016) Spanish Journal of Marketing - ESIC, 20 (1), pp. 41 - 57, DOI: 10.1016/j.reimke.2016.01.001</w:t>
            </w:r>
          </w:p>
        </w:tc>
      </w:tr>
      <w:tr w:rsidR="00C4329A" w:rsidRPr="004C10DC" w14:paraId="11021106" w14:textId="77777777" w:rsidTr="00C4329A">
        <w:trPr>
          <w:cantSplit/>
        </w:trPr>
        <w:tc>
          <w:tcPr>
            <w:tcW w:w="297" w:type="pct"/>
            <w:vAlign w:val="center"/>
          </w:tcPr>
          <w:p w14:paraId="401585C3" w14:textId="77777777" w:rsidR="009F6AC8" w:rsidRPr="008C72E5" w:rsidRDefault="009F6AC8" w:rsidP="00B558B7">
            <w:pPr>
              <w:pStyle w:val="TekstTabeli"/>
            </w:pPr>
            <w:r w:rsidRPr="008C72E5">
              <w:t>126</w:t>
            </w:r>
          </w:p>
        </w:tc>
        <w:tc>
          <w:tcPr>
            <w:tcW w:w="880" w:type="pct"/>
            <w:vAlign w:val="center"/>
          </w:tcPr>
          <w:p w14:paraId="14B95EE3" w14:textId="77777777" w:rsidR="009F6AC8" w:rsidRPr="008C72E5" w:rsidRDefault="009F6AC8" w:rsidP="00B558B7">
            <w:pPr>
              <w:pStyle w:val="TekstTabeli"/>
            </w:pPr>
            <w:r w:rsidRPr="008C72E5">
              <w:t>Al. Pop N., Todea S., Partenie C.-V., Ott C.</w:t>
            </w:r>
          </w:p>
        </w:tc>
        <w:tc>
          <w:tcPr>
            <w:tcW w:w="1771" w:type="pct"/>
            <w:vAlign w:val="center"/>
          </w:tcPr>
          <w:p w14:paraId="2679E429" w14:textId="77777777" w:rsidR="009F6AC8" w:rsidRPr="008C72E5" w:rsidRDefault="009F6AC8" w:rsidP="00B558B7">
            <w:pPr>
              <w:pStyle w:val="TekstTabeli"/>
            </w:pPr>
            <w:r w:rsidRPr="008C72E5">
              <w:t>Stakeholders' perception regarding sustainable universities</w:t>
            </w:r>
          </w:p>
        </w:tc>
        <w:tc>
          <w:tcPr>
            <w:tcW w:w="2052" w:type="pct"/>
            <w:vAlign w:val="center"/>
          </w:tcPr>
          <w:p w14:paraId="2D32CD7D" w14:textId="77777777" w:rsidR="009F6AC8" w:rsidRPr="008C72E5" w:rsidRDefault="009F6AC8" w:rsidP="00B558B7">
            <w:pPr>
              <w:pStyle w:val="TekstTabeli"/>
            </w:pPr>
            <w:r w:rsidRPr="008C72E5">
              <w:t xml:space="preserve">(2020) </w:t>
            </w:r>
            <w:proofErr w:type="spellStart"/>
            <w:r w:rsidRPr="008C72E5">
              <w:t>Amfiteatru</w:t>
            </w:r>
            <w:proofErr w:type="spellEnd"/>
            <w:r w:rsidRPr="008C72E5">
              <w:t xml:space="preserve"> Economic, 22 (54), pp. 330 - 345, DOI: 10.24818/EA/2020/54/330</w:t>
            </w:r>
          </w:p>
        </w:tc>
      </w:tr>
      <w:tr w:rsidR="00C4329A" w:rsidRPr="004C10DC" w14:paraId="0501D1CC" w14:textId="77777777" w:rsidTr="00C4329A">
        <w:trPr>
          <w:cantSplit/>
        </w:trPr>
        <w:tc>
          <w:tcPr>
            <w:tcW w:w="297" w:type="pct"/>
            <w:vAlign w:val="center"/>
          </w:tcPr>
          <w:p w14:paraId="1753DA24" w14:textId="77777777" w:rsidR="009F6AC8" w:rsidRPr="008C72E5" w:rsidRDefault="009F6AC8" w:rsidP="00B558B7">
            <w:pPr>
              <w:pStyle w:val="TekstTabeli"/>
            </w:pPr>
            <w:r w:rsidRPr="008C72E5">
              <w:t>127</w:t>
            </w:r>
          </w:p>
        </w:tc>
        <w:tc>
          <w:tcPr>
            <w:tcW w:w="880" w:type="pct"/>
            <w:vAlign w:val="center"/>
          </w:tcPr>
          <w:p w14:paraId="06E44B15" w14:textId="77777777" w:rsidR="009F6AC8" w:rsidRPr="008C72E5" w:rsidRDefault="009F6AC8" w:rsidP="00B558B7">
            <w:pPr>
              <w:pStyle w:val="TekstTabeli"/>
            </w:pPr>
            <w:r w:rsidRPr="008C72E5">
              <w:t xml:space="preserve">Johnson A.T., </w:t>
            </w:r>
            <w:proofErr w:type="spellStart"/>
            <w:r w:rsidRPr="008C72E5">
              <w:t>Hoba</w:t>
            </w:r>
            <w:proofErr w:type="spellEnd"/>
            <w:r w:rsidRPr="008C72E5">
              <w:t xml:space="preserve"> P.</w:t>
            </w:r>
          </w:p>
        </w:tc>
        <w:tc>
          <w:tcPr>
            <w:tcW w:w="1771" w:type="pct"/>
            <w:vAlign w:val="center"/>
          </w:tcPr>
          <w:p w14:paraId="7F211A59" w14:textId="77777777" w:rsidR="009F6AC8" w:rsidRPr="008C72E5" w:rsidRDefault="009F6AC8" w:rsidP="00B558B7">
            <w:pPr>
              <w:pStyle w:val="TekstTabeli"/>
            </w:pPr>
            <w:r w:rsidRPr="008C72E5">
              <w:t>Rebuilding higher education institutions in post-conflict contexts: Policy networks, process, perceptions, &amp; patterns</w:t>
            </w:r>
          </w:p>
        </w:tc>
        <w:tc>
          <w:tcPr>
            <w:tcW w:w="2052" w:type="pct"/>
            <w:vAlign w:val="center"/>
          </w:tcPr>
          <w:p w14:paraId="33FCD19A" w14:textId="77777777" w:rsidR="009F6AC8" w:rsidRPr="008C72E5" w:rsidRDefault="009F6AC8" w:rsidP="00B558B7">
            <w:pPr>
              <w:pStyle w:val="TekstTabeli"/>
            </w:pPr>
            <w:r w:rsidRPr="008C72E5">
              <w:t>(2015) International Journal of Educational Development, 43, pp. 118 - 125, DOI: 10.1016/j.ijedudev.2015.05.007</w:t>
            </w:r>
          </w:p>
        </w:tc>
      </w:tr>
      <w:tr w:rsidR="00C4329A" w:rsidRPr="004C10DC" w14:paraId="2A6DC051" w14:textId="77777777" w:rsidTr="00C4329A">
        <w:trPr>
          <w:cantSplit/>
        </w:trPr>
        <w:tc>
          <w:tcPr>
            <w:tcW w:w="297" w:type="pct"/>
            <w:vAlign w:val="center"/>
          </w:tcPr>
          <w:p w14:paraId="31DA3236" w14:textId="77777777" w:rsidR="009F6AC8" w:rsidRPr="008C72E5" w:rsidRDefault="009F6AC8" w:rsidP="00B558B7">
            <w:pPr>
              <w:pStyle w:val="TekstTabeli"/>
            </w:pPr>
            <w:r w:rsidRPr="008C72E5">
              <w:t>128</w:t>
            </w:r>
          </w:p>
        </w:tc>
        <w:tc>
          <w:tcPr>
            <w:tcW w:w="880" w:type="pct"/>
            <w:vAlign w:val="center"/>
          </w:tcPr>
          <w:p w14:paraId="1AC516D0" w14:textId="77777777" w:rsidR="009F6AC8" w:rsidRPr="008C72E5" w:rsidRDefault="009F6AC8" w:rsidP="00B558B7">
            <w:pPr>
              <w:pStyle w:val="TekstTabeli"/>
            </w:pPr>
            <w:r w:rsidRPr="008C72E5">
              <w:t>Abdullah K.H., Aziz F.S.A.</w:t>
            </w:r>
          </w:p>
        </w:tc>
        <w:tc>
          <w:tcPr>
            <w:tcW w:w="1771" w:type="pct"/>
            <w:vAlign w:val="center"/>
          </w:tcPr>
          <w:p w14:paraId="1608F132" w14:textId="77777777" w:rsidR="009F6AC8" w:rsidRPr="008C72E5" w:rsidRDefault="009F6AC8" w:rsidP="00B558B7">
            <w:pPr>
              <w:pStyle w:val="TekstTabeli"/>
            </w:pPr>
            <w:r w:rsidRPr="008C72E5">
              <w:t>Safety behavior in the laboratory among university students</w:t>
            </w:r>
          </w:p>
        </w:tc>
        <w:tc>
          <w:tcPr>
            <w:tcW w:w="2052" w:type="pct"/>
            <w:vAlign w:val="center"/>
          </w:tcPr>
          <w:p w14:paraId="7019D783" w14:textId="77777777" w:rsidR="009F6AC8" w:rsidRPr="008C72E5" w:rsidRDefault="009F6AC8" w:rsidP="00B558B7">
            <w:pPr>
              <w:pStyle w:val="TekstTabeli"/>
            </w:pPr>
            <w:r w:rsidRPr="008C72E5">
              <w:t>(2020) Journal of Behavioral Science, 15 (3), pp. 51 - 65, 0</w:t>
            </w:r>
          </w:p>
        </w:tc>
      </w:tr>
      <w:tr w:rsidR="00C4329A" w:rsidRPr="004C10DC" w14:paraId="709AC847" w14:textId="77777777" w:rsidTr="00C4329A">
        <w:trPr>
          <w:cantSplit/>
        </w:trPr>
        <w:tc>
          <w:tcPr>
            <w:tcW w:w="297" w:type="pct"/>
            <w:vAlign w:val="center"/>
          </w:tcPr>
          <w:p w14:paraId="4F77A37D" w14:textId="77777777" w:rsidR="009F6AC8" w:rsidRPr="008C72E5" w:rsidRDefault="009F6AC8" w:rsidP="00B558B7">
            <w:pPr>
              <w:pStyle w:val="TekstTabeli"/>
            </w:pPr>
            <w:r w:rsidRPr="008C72E5">
              <w:t>129</w:t>
            </w:r>
          </w:p>
        </w:tc>
        <w:tc>
          <w:tcPr>
            <w:tcW w:w="880" w:type="pct"/>
            <w:vAlign w:val="center"/>
          </w:tcPr>
          <w:p w14:paraId="3BC7D7DD" w14:textId="4269ABE9" w:rsidR="009F6AC8" w:rsidRPr="008C72E5" w:rsidRDefault="009F6AC8" w:rsidP="00B558B7">
            <w:pPr>
              <w:pStyle w:val="TekstTabeli"/>
            </w:pPr>
            <w:r w:rsidRPr="008C72E5">
              <w:t xml:space="preserve">Hoat L.N., Lan Viet N., Van Der Wilt G.J., </w:t>
            </w:r>
            <w:proofErr w:type="spellStart"/>
            <w:r w:rsidR="00A147A1" w:rsidRPr="008C72E5">
              <w:t>i</w:t>
            </w:r>
            <w:proofErr w:type="spellEnd"/>
            <w:r w:rsidR="00A147A1" w:rsidRPr="008C72E5">
              <w:t> in.</w:t>
            </w:r>
          </w:p>
        </w:tc>
        <w:tc>
          <w:tcPr>
            <w:tcW w:w="1771" w:type="pct"/>
            <w:vAlign w:val="center"/>
          </w:tcPr>
          <w:p w14:paraId="7CB110DF" w14:textId="77777777" w:rsidR="009F6AC8" w:rsidRPr="008C72E5" w:rsidRDefault="009F6AC8" w:rsidP="00B558B7">
            <w:pPr>
              <w:pStyle w:val="TekstTabeli"/>
            </w:pPr>
            <w:r w:rsidRPr="008C72E5">
              <w:t>Motivation of university and non-university stakeholders to change medical education in Vietnam</w:t>
            </w:r>
          </w:p>
        </w:tc>
        <w:tc>
          <w:tcPr>
            <w:tcW w:w="2052" w:type="pct"/>
            <w:vAlign w:val="center"/>
          </w:tcPr>
          <w:p w14:paraId="2FE1482E" w14:textId="77777777" w:rsidR="009F6AC8" w:rsidRPr="008C72E5" w:rsidRDefault="009F6AC8" w:rsidP="00B558B7">
            <w:pPr>
              <w:pStyle w:val="TekstTabeli"/>
            </w:pPr>
            <w:r w:rsidRPr="008C72E5">
              <w:t>(2009) BMC Medical Education, 9 (1), art. no. 49, DOI: 10.1186/1472-6920-9-49</w:t>
            </w:r>
          </w:p>
        </w:tc>
      </w:tr>
      <w:tr w:rsidR="00C4329A" w:rsidRPr="004C10DC" w14:paraId="126665C9" w14:textId="77777777" w:rsidTr="00C4329A">
        <w:trPr>
          <w:cantSplit/>
        </w:trPr>
        <w:tc>
          <w:tcPr>
            <w:tcW w:w="297" w:type="pct"/>
            <w:vAlign w:val="center"/>
          </w:tcPr>
          <w:p w14:paraId="7D023524" w14:textId="77777777" w:rsidR="009F6AC8" w:rsidRPr="008C72E5" w:rsidRDefault="009F6AC8" w:rsidP="00B558B7">
            <w:pPr>
              <w:pStyle w:val="TekstTabeli"/>
            </w:pPr>
            <w:r w:rsidRPr="008C72E5">
              <w:t>130</w:t>
            </w:r>
          </w:p>
        </w:tc>
        <w:tc>
          <w:tcPr>
            <w:tcW w:w="880" w:type="pct"/>
            <w:vAlign w:val="center"/>
          </w:tcPr>
          <w:p w14:paraId="58BD8EE7" w14:textId="62C59736" w:rsidR="009F6AC8" w:rsidRPr="00D82766" w:rsidRDefault="009F6AC8" w:rsidP="00B558B7">
            <w:pPr>
              <w:pStyle w:val="TekstTabeli"/>
              <w:rPr>
                <w:lang w:val="pl-PL"/>
              </w:rPr>
            </w:pPr>
            <w:proofErr w:type="spellStart"/>
            <w:r w:rsidRPr="00D82766">
              <w:rPr>
                <w:lang w:val="pl-PL"/>
              </w:rPr>
              <w:t>Sandhya</w:t>
            </w:r>
            <w:proofErr w:type="spellEnd"/>
            <w:r w:rsidRPr="00D82766">
              <w:rPr>
                <w:lang w:val="pl-PL"/>
              </w:rPr>
              <w:t xml:space="preserve"> S., </w:t>
            </w:r>
            <w:proofErr w:type="spellStart"/>
            <w:r w:rsidRPr="00D82766">
              <w:rPr>
                <w:lang w:val="pl-PL"/>
              </w:rPr>
              <w:t>Koppad</w:t>
            </w:r>
            <w:proofErr w:type="spellEnd"/>
            <w:r w:rsidRPr="00D82766">
              <w:rPr>
                <w:lang w:val="pl-PL"/>
              </w:rPr>
              <w:t xml:space="preserve"> S.H., </w:t>
            </w:r>
            <w:proofErr w:type="spellStart"/>
            <w:r w:rsidRPr="00D82766">
              <w:rPr>
                <w:lang w:val="pl-PL"/>
              </w:rPr>
              <w:t>Anupama</w:t>
            </w:r>
            <w:proofErr w:type="spellEnd"/>
            <w:r w:rsidRPr="00D82766">
              <w:rPr>
                <w:lang w:val="pl-PL"/>
              </w:rPr>
              <w:t xml:space="preserve"> Kumar S.,</w:t>
            </w:r>
            <w:r w:rsidR="00A147A1" w:rsidRPr="00D82766">
              <w:rPr>
                <w:lang w:val="pl-PL"/>
              </w:rPr>
              <w:t xml:space="preserve"> i in.</w:t>
            </w:r>
          </w:p>
        </w:tc>
        <w:tc>
          <w:tcPr>
            <w:tcW w:w="1771" w:type="pct"/>
            <w:vAlign w:val="center"/>
          </w:tcPr>
          <w:p w14:paraId="7B201240" w14:textId="77777777" w:rsidR="009F6AC8" w:rsidRPr="008C72E5" w:rsidRDefault="009F6AC8" w:rsidP="00B558B7">
            <w:pPr>
              <w:pStyle w:val="TekstTabeli"/>
            </w:pPr>
            <w:r w:rsidRPr="008C72E5">
              <w:t>Adoption of google forms for enhancing collaborative stakeholder engagement in higher education</w:t>
            </w:r>
          </w:p>
        </w:tc>
        <w:tc>
          <w:tcPr>
            <w:tcW w:w="2052" w:type="pct"/>
            <w:vAlign w:val="center"/>
          </w:tcPr>
          <w:p w14:paraId="18691564" w14:textId="77777777" w:rsidR="009F6AC8" w:rsidRPr="008C72E5" w:rsidRDefault="009F6AC8" w:rsidP="00B558B7">
            <w:pPr>
              <w:pStyle w:val="TekstTabeli"/>
            </w:pPr>
            <w:r w:rsidRPr="008C72E5">
              <w:t>(2020) Journal of Engineering Education Transformations, 33 (Special Issue), pp. 283 - 289, DOI: 10.16920/jeet/2020/v33i0/150161</w:t>
            </w:r>
          </w:p>
        </w:tc>
      </w:tr>
      <w:tr w:rsidR="00C4329A" w:rsidRPr="004C10DC" w14:paraId="618FA368" w14:textId="77777777" w:rsidTr="00C4329A">
        <w:trPr>
          <w:cantSplit/>
        </w:trPr>
        <w:tc>
          <w:tcPr>
            <w:tcW w:w="297" w:type="pct"/>
            <w:vAlign w:val="center"/>
          </w:tcPr>
          <w:p w14:paraId="7D5B9C4B" w14:textId="77777777" w:rsidR="009F6AC8" w:rsidRPr="008C72E5" w:rsidRDefault="009F6AC8" w:rsidP="00B558B7">
            <w:pPr>
              <w:pStyle w:val="TekstTabeli"/>
            </w:pPr>
            <w:r w:rsidRPr="008C72E5">
              <w:t>131</w:t>
            </w:r>
          </w:p>
        </w:tc>
        <w:tc>
          <w:tcPr>
            <w:tcW w:w="880" w:type="pct"/>
            <w:vAlign w:val="center"/>
          </w:tcPr>
          <w:p w14:paraId="3E87E601" w14:textId="77777777" w:rsidR="009F6AC8" w:rsidRPr="00D82766" w:rsidRDefault="009F6AC8" w:rsidP="00B558B7">
            <w:pPr>
              <w:pStyle w:val="TekstTabeli"/>
              <w:rPr>
                <w:lang w:val="pl-PL"/>
              </w:rPr>
            </w:pPr>
            <w:proofErr w:type="spellStart"/>
            <w:r w:rsidRPr="00D82766">
              <w:rPr>
                <w:lang w:val="pl-PL"/>
              </w:rPr>
              <w:t>Latham</w:t>
            </w:r>
            <w:proofErr w:type="spellEnd"/>
            <w:r w:rsidRPr="00D82766">
              <w:rPr>
                <w:lang w:val="pl-PL"/>
              </w:rPr>
              <w:t xml:space="preserve"> B., Poe J.W.</w:t>
            </w:r>
          </w:p>
        </w:tc>
        <w:tc>
          <w:tcPr>
            <w:tcW w:w="1771" w:type="pct"/>
            <w:vAlign w:val="center"/>
          </w:tcPr>
          <w:p w14:paraId="7E8F7878" w14:textId="77777777" w:rsidR="009F6AC8" w:rsidRPr="008C72E5" w:rsidRDefault="009F6AC8" w:rsidP="00B558B7">
            <w:pPr>
              <w:pStyle w:val="TekstTabeli"/>
            </w:pPr>
            <w:r w:rsidRPr="008C72E5">
              <w:t>The Library as Partner in University Data Curation: A Case Study in Collaboration</w:t>
            </w:r>
          </w:p>
        </w:tc>
        <w:tc>
          <w:tcPr>
            <w:tcW w:w="2052" w:type="pct"/>
            <w:vAlign w:val="center"/>
          </w:tcPr>
          <w:p w14:paraId="610D9811" w14:textId="77777777" w:rsidR="009F6AC8" w:rsidRPr="008C72E5" w:rsidRDefault="009F6AC8" w:rsidP="00B558B7">
            <w:pPr>
              <w:pStyle w:val="TekstTabeli"/>
            </w:pPr>
            <w:r w:rsidRPr="008C72E5">
              <w:t>(2012) Journal of Web Librarianship, 6 (4), pp. 288 - 304, DOI: 10.1080/19322909.2012.729429</w:t>
            </w:r>
          </w:p>
        </w:tc>
      </w:tr>
      <w:tr w:rsidR="00C4329A" w:rsidRPr="004C10DC" w14:paraId="6ED6FFF8" w14:textId="77777777" w:rsidTr="00C4329A">
        <w:trPr>
          <w:cantSplit/>
        </w:trPr>
        <w:tc>
          <w:tcPr>
            <w:tcW w:w="297" w:type="pct"/>
            <w:vAlign w:val="center"/>
          </w:tcPr>
          <w:p w14:paraId="5E7CC7D0" w14:textId="77777777" w:rsidR="009F6AC8" w:rsidRPr="008C72E5" w:rsidRDefault="009F6AC8" w:rsidP="00B558B7">
            <w:pPr>
              <w:pStyle w:val="TekstTabeli"/>
            </w:pPr>
            <w:r w:rsidRPr="008C72E5">
              <w:t>132</w:t>
            </w:r>
          </w:p>
        </w:tc>
        <w:tc>
          <w:tcPr>
            <w:tcW w:w="880" w:type="pct"/>
            <w:vAlign w:val="center"/>
          </w:tcPr>
          <w:p w14:paraId="740A5A24" w14:textId="77777777" w:rsidR="009F6AC8" w:rsidRPr="008C72E5" w:rsidRDefault="009F6AC8" w:rsidP="00B558B7">
            <w:pPr>
              <w:pStyle w:val="TekstTabeli"/>
            </w:pPr>
            <w:r w:rsidRPr="008C72E5">
              <w:t xml:space="preserve">Panday R., </w:t>
            </w:r>
            <w:proofErr w:type="spellStart"/>
            <w:r w:rsidRPr="008C72E5">
              <w:t>Purba</w:t>
            </w:r>
            <w:proofErr w:type="spellEnd"/>
            <w:r w:rsidRPr="008C72E5">
              <w:t xml:space="preserve"> J.T.</w:t>
            </w:r>
          </w:p>
        </w:tc>
        <w:tc>
          <w:tcPr>
            <w:tcW w:w="1771" w:type="pct"/>
            <w:vAlign w:val="center"/>
          </w:tcPr>
          <w:p w14:paraId="4C310047" w14:textId="77777777" w:rsidR="009F6AC8" w:rsidRPr="008C72E5" w:rsidRDefault="009F6AC8" w:rsidP="00B558B7">
            <w:pPr>
              <w:pStyle w:val="TekstTabeli"/>
            </w:pPr>
            <w:r w:rsidRPr="008C72E5">
              <w:t>Lecturers and students technology readiness in implementing services delivery of academic information system in higher education institution: A case study</w:t>
            </w:r>
          </w:p>
        </w:tc>
        <w:tc>
          <w:tcPr>
            <w:tcW w:w="2052" w:type="pct"/>
            <w:vAlign w:val="center"/>
          </w:tcPr>
          <w:p w14:paraId="0EE47E89" w14:textId="77777777" w:rsidR="009F6AC8" w:rsidRPr="008C72E5" w:rsidRDefault="009F6AC8" w:rsidP="00B558B7">
            <w:pPr>
              <w:pStyle w:val="TekstTabeli"/>
            </w:pPr>
            <w:r w:rsidRPr="008C72E5">
              <w:t>(2015) Communications in Computer and Information Science, 516, pp. 539 - 550, DOI: 10.1007/978-3-662-46742-8_49</w:t>
            </w:r>
          </w:p>
        </w:tc>
      </w:tr>
      <w:tr w:rsidR="00C4329A" w:rsidRPr="004C10DC" w14:paraId="6BA63F1F" w14:textId="77777777" w:rsidTr="00C4329A">
        <w:trPr>
          <w:cantSplit/>
        </w:trPr>
        <w:tc>
          <w:tcPr>
            <w:tcW w:w="297" w:type="pct"/>
            <w:vAlign w:val="center"/>
          </w:tcPr>
          <w:p w14:paraId="4926C1C2" w14:textId="77777777" w:rsidR="009F6AC8" w:rsidRPr="008C72E5" w:rsidRDefault="009F6AC8" w:rsidP="00B558B7">
            <w:pPr>
              <w:pStyle w:val="TekstTabeli"/>
            </w:pPr>
            <w:r w:rsidRPr="008C72E5">
              <w:t>133</w:t>
            </w:r>
          </w:p>
        </w:tc>
        <w:tc>
          <w:tcPr>
            <w:tcW w:w="880" w:type="pct"/>
            <w:vAlign w:val="center"/>
          </w:tcPr>
          <w:p w14:paraId="6EE40245" w14:textId="77777777" w:rsidR="009F6AC8" w:rsidRPr="008C72E5" w:rsidRDefault="009F6AC8" w:rsidP="00B558B7">
            <w:pPr>
              <w:pStyle w:val="TekstTabeli"/>
            </w:pPr>
            <w:r w:rsidRPr="008C72E5">
              <w:t>Manley S.</w:t>
            </w:r>
          </w:p>
        </w:tc>
        <w:tc>
          <w:tcPr>
            <w:tcW w:w="1771" w:type="pct"/>
            <w:vAlign w:val="center"/>
          </w:tcPr>
          <w:p w14:paraId="3C380641" w14:textId="77777777" w:rsidR="009F6AC8" w:rsidRPr="008C72E5" w:rsidRDefault="009F6AC8" w:rsidP="00B558B7">
            <w:pPr>
              <w:pStyle w:val="TekstTabeli"/>
            </w:pPr>
            <w:r w:rsidRPr="008C72E5">
              <w:t>On the limitations of recent lawsuits against Sci-Hub, OMICS, ResearchGate, and Georgia State University</w:t>
            </w:r>
          </w:p>
        </w:tc>
        <w:tc>
          <w:tcPr>
            <w:tcW w:w="2052" w:type="pct"/>
            <w:vAlign w:val="center"/>
          </w:tcPr>
          <w:p w14:paraId="4C54C8C0" w14:textId="77777777" w:rsidR="009F6AC8" w:rsidRPr="008C72E5" w:rsidRDefault="009F6AC8" w:rsidP="00B558B7">
            <w:pPr>
              <w:pStyle w:val="TekstTabeli"/>
            </w:pPr>
            <w:r w:rsidRPr="008C72E5">
              <w:t>(2019) Learned Publishing, 32 (4), pp. 375 - 381, DOI: 10.1002/leap.1254</w:t>
            </w:r>
          </w:p>
        </w:tc>
      </w:tr>
      <w:tr w:rsidR="00C4329A" w:rsidRPr="004C10DC" w14:paraId="30A9E7A6" w14:textId="77777777" w:rsidTr="00C4329A">
        <w:trPr>
          <w:cantSplit/>
        </w:trPr>
        <w:tc>
          <w:tcPr>
            <w:tcW w:w="297" w:type="pct"/>
            <w:vAlign w:val="center"/>
          </w:tcPr>
          <w:p w14:paraId="63D06C24" w14:textId="77777777" w:rsidR="009F6AC8" w:rsidRPr="008C72E5" w:rsidRDefault="009F6AC8" w:rsidP="00B558B7">
            <w:pPr>
              <w:pStyle w:val="TekstTabeli"/>
            </w:pPr>
            <w:r w:rsidRPr="008C72E5">
              <w:t>134</w:t>
            </w:r>
          </w:p>
        </w:tc>
        <w:tc>
          <w:tcPr>
            <w:tcW w:w="880" w:type="pct"/>
            <w:vAlign w:val="center"/>
          </w:tcPr>
          <w:p w14:paraId="4DD17FDD" w14:textId="015FF850" w:rsidR="009F6AC8" w:rsidRPr="008C72E5" w:rsidRDefault="009F6AC8" w:rsidP="00B558B7">
            <w:pPr>
              <w:pStyle w:val="TekstTabeli"/>
            </w:pPr>
            <w:r w:rsidRPr="008C72E5">
              <w:t xml:space="preserve">Franco D., Macke J., Cotton D., </w:t>
            </w:r>
            <w:proofErr w:type="spellStart"/>
            <w:r w:rsidR="00A147A1" w:rsidRPr="008C72E5">
              <w:t>i</w:t>
            </w:r>
            <w:proofErr w:type="spellEnd"/>
            <w:r w:rsidR="00A147A1" w:rsidRPr="008C72E5">
              <w:t> in.</w:t>
            </w:r>
          </w:p>
        </w:tc>
        <w:tc>
          <w:tcPr>
            <w:tcW w:w="1771" w:type="pct"/>
            <w:vAlign w:val="center"/>
          </w:tcPr>
          <w:p w14:paraId="79231281" w14:textId="77777777" w:rsidR="009F6AC8" w:rsidRPr="008C72E5" w:rsidRDefault="009F6AC8" w:rsidP="00B558B7">
            <w:pPr>
              <w:pStyle w:val="TekstTabeli"/>
            </w:pPr>
            <w:r w:rsidRPr="008C72E5">
              <w:t xml:space="preserve">Student energy-saving in higher education tackling the challenge of </w:t>
            </w:r>
            <w:proofErr w:type="spellStart"/>
            <w:r w:rsidRPr="008C72E5">
              <w:t>decarbonisation</w:t>
            </w:r>
            <w:proofErr w:type="spellEnd"/>
          </w:p>
        </w:tc>
        <w:tc>
          <w:tcPr>
            <w:tcW w:w="2052" w:type="pct"/>
            <w:vAlign w:val="center"/>
          </w:tcPr>
          <w:p w14:paraId="5189DB2B" w14:textId="77777777" w:rsidR="009F6AC8" w:rsidRPr="008C72E5" w:rsidRDefault="009F6AC8" w:rsidP="00B558B7">
            <w:pPr>
              <w:pStyle w:val="TekstTabeli"/>
            </w:pPr>
            <w:r w:rsidRPr="008C72E5">
              <w:t>(2022) International Journal of Sustainability in Higher Education, 23 (7), pp. 1648 - 1666, DOI: 10.1108/IJSHE-10-2021-0432</w:t>
            </w:r>
          </w:p>
        </w:tc>
      </w:tr>
      <w:tr w:rsidR="00C4329A" w:rsidRPr="004C10DC" w14:paraId="614517F7" w14:textId="77777777" w:rsidTr="00C4329A">
        <w:trPr>
          <w:cantSplit/>
        </w:trPr>
        <w:tc>
          <w:tcPr>
            <w:tcW w:w="297" w:type="pct"/>
            <w:vAlign w:val="center"/>
          </w:tcPr>
          <w:p w14:paraId="01289BC8" w14:textId="77777777" w:rsidR="009F6AC8" w:rsidRPr="008C72E5" w:rsidRDefault="009F6AC8" w:rsidP="00B558B7">
            <w:pPr>
              <w:pStyle w:val="TekstTabeli"/>
            </w:pPr>
            <w:r w:rsidRPr="008C72E5">
              <w:lastRenderedPageBreak/>
              <w:t>135</w:t>
            </w:r>
          </w:p>
        </w:tc>
        <w:tc>
          <w:tcPr>
            <w:tcW w:w="880" w:type="pct"/>
            <w:vAlign w:val="center"/>
          </w:tcPr>
          <w:p w14:paraId="0DECFE48" w14:textId="77777777" w:rsidR="009F6AC8" w:rsidRPr="008C72E5" w:rsidRDefault="009F6AC8" w:rsidP="00B558B7">
            <w:pPr>
              <w:pStyle w:val="TekstTabeli"/>
            </w:pPr>
            <w:r w:rsidRPr="008C72E5">
              <w:t>Hopff B., Nijhuis S., Verhoef L.A.</w:t>
            </w:r>
          </w:p>
        </w:tc>
        <w:tc>
          <w:tcPr>
            <w:tcW w:w="1771" w:type="pct"/>
            <w:vAlign w:val="center"/>
          </w:tcPr>
          <w:p w14:paraId="57E3D397" w14:textId="77777777" w:rsidR="009F6AC8" w:rsidRPr="008C72E5" w:rsidRDefault="009F6AC8" w:rsidP="00B558B7">
            <w:pPr>
              <w:pStyle w:val="TekstTabeli"/>
            </w:pPr>
            <w:r w:rsidRPr="008C72E5">
              <w:t>New dimensions for circularity on campus-framework for the application of circular principles in campus development</w:t>
            </w:r>
          </w:p>
        </w:tc>
        <w:tc>
          <w:tcPr>
            <w:tcW w:w="2052" w:type="pct"/>
            <w:vAlign w:val="center"/>
          </w:tcPr>
          <w:p w14:paraId="5A393F7A" w14:textId="77777777" w:rsidR="009F6AC8" w:rsidRPr="008C72E5" w:rsidRDefault="009F6AC8" w:rsidP="00B558B7">
            <w:pPr>
              <w:pStyle w:val="TekstTabeli"/>
            </w:pPr>
            <w:r w:rsidRPr="008C72E5">
              <w:t>(2019) Sustainability (Switzerland), 11 (3), art. no. 627, DOI: 10.3390/su11030627</w:t>
            </w:r>
          </w:p>
        </w:tc>
      </w:tr>
      <w:tr w:rsidR="00C4329A" w:rsidRPr="004C10DC" w14:paraId="0130515A" w14:textId="77777777" w:rsidTr="00C4329A">
        <w:trPr>
          <w:cantSplit/>
        </w:trPr>
        <w:tc>
          <w:tcPr>
            <w:tcW w:w="297" w:type="pct"/>
            <w:vAlign w:val="center"/>
          </w:tcPr>
          <w:p w14:paraId="32B5471B" w14:textId="77777777" w:rsidR="009F6AC8" w:rsidRPr="008C72E5" w:rsidRDefault="009F6AC8" w:rsidP="00B558B7">
            <w:pPr>
              <w:pStyle w:val="TekstTabeli"/>
            </w:pPr>
            <w:r w:rsidRPr="008C72E5">
              <w:t>136</w:t>
            </w:r>
          </w:p>
        </w:tc>
        <w:tc>
          <w:tcPr>
            <w:tcW w:w="880" w:type="pct"/>
            <w:vAlign w:val="center"/>
          </w:tcPr>
          <w:p w14:paraId="6F75B19E" w14:textId="77777777" w:rsidR="009F6AC8" w:rsidRPr="008C72E5" w:rsidRDefault="009F6AC8" w:rsidP="00B558B7">
            <w:pPr>
              <w:pStyle w:val="TekstTabeli"/>
            </w:pPr>
            <w:r w:rsidRPr="008C72E5">
              <w:t>Ramlo S.</w:t>
            </w:r>
          </w:p>
        </w:tc>
        <w:tc>
          <w:tcPr>
            <w:tcW w:w="1771" w:type="pct"/>
            <w:vAlign w:val="center"/>
          </w:tcPr>
          <w:p w14:paraId="112C004C" w14:textId="77777777" w:rsidR="009F6AC8" w:rsidRPr="008C72E5" w:rsidRDefault="009F6AC8" w:rsidP="00B558B7">
            <w:pPr>
              <w:pStyle w:val="TekstTabeli"/>
            </w:pPr>
            <w:r w:rsidRPr="008C72E5">
              <w:t>Free speech on US university campuses: differentiating perspectives using Q methodology</w:t>
            </w:r>
          </w:p>
        </w:tc>
        <w:tc>
          <w:tcPr>
            <w:tcW w:w="2052" w:type="pct"/>
            <w:vAlign w:val="center"/>
          </w:tcPr>
          <w:p w14:paraId="60142DDD" w14:textId="77777777" w:rsidR="009F6AC8" w:rsidRPr="008C72E5" w:rsidRDefault="009F6AC8" w:rsidP="00B558B7">
            <w:pPr>
              <w:pStyle w:val="TekstTabeli"/>
            </w:pPr>
            <w:r w:rsidRPr="008C72E5">
              <w:t>(2020) Studies in Higher Education, 45 (7), pp. 1488 - 1506, DOI: 10.1080/03075079.2018.1555700</w:t>
            </w:r>
          </w:p>
        </w:tc>
      </w:tr>
      <w:tr w:rsidR="00C4329A" w:rsidRPr="008C72E5" w14:paraId="77B2A19F" w14:textId="77777777" w:rsidTr="00C4329A">
        <w:trPr>
          <w:cantSplit/>
        </w:trPr>
        <w:tc>
          <w:tcPr>
            <w:tcW w:w="297" w:type="pct"/>
            <w:vAlign w:val="center"/>
          </w:tcPr>
          <w:p w14:paraId="35ADA9E9" w14:textId="77777777" w:rsidR="009F6AC8" w:rsidRPr="008C72E5" w:rsidRDefault="009F6AC8" w:rsidP="00B558B7">
            <w:pPr>
              <w:pStyle w:val="TekstTabeli"/>
            </w:pPr>
            <w:r w:rsidRPr="008C72E5">
              <w:t>137</w:t>
            </w:r>
          </w:p>
        </w:tc>
        <w:tc>
          <w:tcPr>
            <w:tcW w:w="880" w:type="pct"/>
            <w:vAlign w:val="center"/>
          </w:tcPr>
          <w:p w14:paraId="625C1CAC" w14:textId="77777777" w:rsidR="009F6AC8" w:rsidRPr="008C72E5" w:rsidRDefault="009F6AC8" w:rsidP="00B558B7">
            <w:pPr>
              <w:pStyle w:val="TekstTabeli"/>
            </w:pPr>
            <w:proofErr w:type="spellStart"/>
            <w:r w:rsidRPr="008C72E5">
              <w:t>Stankevičienė</w:t>
            </w:r>
            <w:proofErr w:type="spellEnd"/>
            <w:r w:rsidRPr="008C72E5">
              <w:t xml:space="preserve"> J., </w:t>
            </w:r>
            <w:proofErr w:type="spellStart"/>
            <w:r w:rsidRPr="008C72E5">
              <w:t>Vaiciukevičiūtė</w:t>
            </w:r>
            <w:proofErr w:type="spellEnd"/>
            <w:r w:rsidRPr="008C72E5">
              <w:t xml:space="preserve"> A.</w:t>
            </w:r>
          </w:p>
        </w:tc>
        <w:tc>
          <w:tcPr>
            <w:tcW w:w="1771" w:type="pct"/>
            <w:vAlign w:val="center"/>
          </w:tcPr>
          <w:p w14:paraId="02C4CD4D" w14:textId="77777777" w:rsidR="009F6AC8" w:rsidRPr="008C72E5" w:rsidRDefault="009F6AC8" w:rsidP="00B558B7">
            <w:pPr>
              <w:pStyle w:val="TekstTabeli"/>
            </w:pPr>
            <w:r w:rsidRPr="008C72E5">
              <w:t>Value creation for stakeholders in higher education management</w:t>
            </w:r>
          </w:p>
        </w:tc>
        <w:tc>
          <w:tcPr>
            <w:tcW w:w="2052" w:type="pct"/>
            <w:vAlign w:val="center"/>
          </w:tcPr>
          <w:p w14:paraId="5304BC24" w14:textId="77777777" w:rsidR="009F6AC8" w:rsidRPr="008C72E5" w:rsidRDefault="009F6AC8" w:rsidP="00B558B7">
            <w:pPr>
              <w:pStyle w:val="TekstTabeli"/>
            </w:pPr>
            <w:r w:rsidRPr="008C72E5">
              <w:t xml:space="preserve">(2016) E a M: </w:t>
            </w:r>
            <w:proofErr w:type="spellStart"/>
            <w:r w:rsidRPr="008C72E5">
              <w:t>Ekonomie</w:t>
            </w:r>
            <w:proofErr w:type="spellEnd"/>
            <w:r w:rsidRPr="008C72E5">
              <w:t xml:space="preserve"> a Management, 19 (1), pp. 17 - 32, DOI: 10.15240/</w:t>
            </w:r>
            <w:proofErr w:type="spellStart"/>
            <w:r w:rsidRPr="008C72E5">
              <w:t>tul</w:t>
            </w:r>
            <w:proofErr w:type="spellEnd"/>
            <w:r w:rsidRPr="008C72E5">
              <w:t>/001/2016-1-002</w:t>
            </w:r>
          </w:p>
        </w:tc>
      </w:tr>
      <w:tr w:rsidR="00C4329A" w:rsidRPr="004C10DC" w14:paraId="06509B80" w14:textId="77777777" w:rsidTr="00C4329A">
        <w:trPr>
          <w:cantSplit/>
        </w:trPr>
        <w:tc>
          <w:tcPr>
            <w:tcW w:w="297" w:type="pct"/>
            <w:vAlign w:val="center"/>
          </w:tcPr>
          <w:p w14:paraId="1AEF3ADD" w14:textId="77777777" w:rsidR="009F6AC8" w:rsidRPr="008C72E5" w:rsidRDefault="009F6AC8" w:rsidP="00B558B7">
            <w:pPr>
              <w:pStyle w:val="TekstTabeli"/>
            </w:pPr>
            <w:r w:rsidRPr="008C72E5">
              <w:t>138</w:t>
            </w:r>
          </w:p>
        </w:tc>
        <w:tc>
          <w:tcPr>
            <w:tcW w:w="880" w:type="pct"/>
            <w:vAlign w:val="center"/>
          </w:tcPr>
          <w:p w14:paraId="66B1EB8D" w14:textId="77777777" w:rsidR="009F6AC8" w:rsidRPr="008C72E5" w:rsidRDefault="009F6AC8" w:rsidP="00B558B7">
            <w:pPr>
              <w:pStyle w:val="TekstTabeli"/>
            </w:pPr>
            <w:r w:rsidRPr="008C72E5">
              <w:t>Chan C.</w:t>
            </w:r>
          </w:p>
        </w:tc>
        <w:tc>
          <w:tcPr>
            <w:tcW w:w="1771" w:type="pct"/>
            <w:vAlign w:val="center"/>
          </w:tcPr>
          <w:p w14:paraId="52A67410" w14:textId="77777777" w:rsidR="009F6AC8" w:rsidRPr="008C72E5" w:rsidRDefault="009F6AC8" w:rsidP="00B558B7">
            <w:pPr>
              <w:pStyle w:val="TekstTabeli"/>
            </w:pPr>
            <w:r w:rsidRPr="008C72E5">
              <w:t>Institutional assessment of student information literacy ability: A case study</w:t>
            </w:r>
          </w:p>
        </w:tc>
        <w:tc>
          <w:tcPr>
            <w:tcW w:w="2052" w:type="pct"/>
            <w:vAlign w:val="center"/>
          </w:tcPr>
          <w:p w14:paraId="56BF5C9B" w14:textId="77777777" w:rsidR="009F6AC8" w:rsidRPr="008C72E5" w:rsidRDefault="009F6AC8" w:rsidP="00B558B7">
            <w:pPr>
              <w:pStyle w:val="TekstTabeli"/>
            </w:pPr>
            <w:r w:rsidRPr="008C72E5">
              <w:t>(2016) Communications in Information Literacy, 10 (1), pp. 50 - 61, DOI: 10.15760/comminfolit.2016.10.1.14</w:t>
            </w:r>
          </w:p>
        </w:tc>
      </w:tr>
      <w:tr w:rsidR="00C4329A" w:rsidRPr="004C10DC" w14:paraId="4D9FE509" w14:textId="77777777" w:rsidTr="00C4329A">
        <w:trPr>
          <w:cantSplit/>
        </w:trPr>
        <w:tc>
          <w:tcPr>
            <w:tcW w:w="297" w:type="pct"/>
            <w:vAlign w:val="center"/>
          </w:tcPr>
          <w:p w14:paraId="5D6A3445" w14:textId="77777777" w:rsidR="009F6AC8" w:rsidRPr="008C72E5" w:rsidRDefault="009F6AC8" w:rsidP="00B558B7">
            <w:pPr>
              <w:pStyle w:val="TekstTabeli"/>
            </w:pPr>
            <w:r w:rsidRPr="008C72E5">
              <w:t>139</w:t>
            </w:r>
          </w:p>
        </w:tc>
        <w:tc>
          <w:tcPr>
            <w:tcW w:w="880" w:type="pct"/>
            <w:vAlign w:val="center"/>
          </w:tcPr>
          <w:p w14:paraId="4E6432CD" w14:textId="77777777" w:rsidR="009F6AC8" w:rsidRPr="00D82766" w:rsidRDefault="009F6AC8" w:rsidP="00B558B7">
            <w:pPr>
              <w:pStyle w:val="TekstTabeli"/>
              <w:rPr>
                <w:lang w:val="pl-PL"/>
              </w:rPr>
            </w:pPr>
            <w:proofErr w:type="spellStart"/>
            <w:r w:rsidRPr="00D82766">
              <w:rPr>
                <w:lang w:val="pl-PL"/>
              </w:rPr>
              <w:t>Lazić</w:t>
            </w:r>
            <w:proofErr w:type="spellEnd"/>
            <w:r w:rsidRPr="00D82766">
              <w:rPr>
                <w:lang w:val="pl-PL"/>
              </w:rPr>
              <w:t xml:space="preserve"> Z., </w:t>
            </w:r>
            <w:proofErr w:type="spellStart"/>
            <w:r w:rsidRPr="00D82766">
              <w:rPr>
                <w:lang w:val="pl-PL"/>
              </w:rPr>
              <w:t>Ðorđević</w:t>
            </w:r>
            <w:proofErr w:type="spellEnd"/>
            <w:r w:rsidRPr="00D82766">
              <w:rPr>
                <w:lang w:val="pl-PL"/>
              </w:rPr>
              <w:t xml:space="preserve"> A., </w:t>
            </w:r>
            <w:proofErr w:type="spellStart"/>
            <w:r w:rsidRPr="00D82766">
              <w:rPr>
                <w:lang w:val="pl-PL"/>
              </w:rPr>
              <w:t>Gazizulina</w:t>
            </w:r>
            <w:proofErr w:type="spellEnd"/>
            <w:r w:rsidRPr="00D82766">
              <w:rPr>
                <w:lang w:val="pl-PL"/>
              </w:rPr>
              <w:t xml:space="preserve"> A.</w:t>
            </w:r>
          </w:p>
        </w:tc>
        <w:tc>
          <w:tcPr>
            <w:tcW w:w="1771" w:type="pct"/>
            <w:vAlign w:val="center"/>
          </w:tcPr>
          <w:p w14:paraId="74FDC659" w14:textId="77777777" w:rsidR="009F6AC8" w:rsidRPr="008C72E5" w:rsidRDefault="009F6AC8" w:rsidP="00B558B7">
            <w:pPr>
              <w:pStyle w:val="TekstTabeli"/>
            </w:pPr>
            <w:r w:rsidRPr="008C72E5">
              <w:t>Improvement of quality of higher education institutions as a basis for improvement of quality of life</w:t>
            </w:r>
          </w:p>
        </w:tc>
        <w:tc>
          <w:tcPr>
            <w:tcW w:w="2052" w:type="pct"/>
            <w:vAlign w:val="center"/>
          </w:tcPr>
          <w:p w14:paraId="46AF4968" w14:textId="77777777" w:rsidR="009F6AC8" w:rsidRPr="008C72E5" w:rsidRDefault="009F6AC8" w:rsidP="00B558B7">
            <w:pPr>
              <w:pStyle w:val="TekstTabeli"/>
            </w:pPr>
            <w:r w:rsidRPr="008C72E5">
              <w:t>(2021) Sustainability (Switzerland), 13 (8), art. no. 4149, DOI: 10.3390/su13084149</w:t>
            </w:r>
          </w:p>
        </w:tc>
      </w:tr>
      <w:tr w:rsidR="00C4329A" w:rsidRPr="008C72E5" w14:paraId="0211D3AB" w14:textId="77777777" w:rsidTr="00C4329A">
        <w:trPr>
          <w:cantSplit/>
        </w:trPr>
        <w:tc>
          <w:tcPr>
            <w:tcW w:w="297" w:type="pct"/>
            <w:vAlign w:val="center"/>
          </w:tcPr>
          <w:p w14:paraId="0A226456" w14:textId="77777777" w:rsidR="009F6AC8" w:rsidRPr="008C72E5" w:rsidRDefault="009F6AC8" w:rsidP="00B558B7">
            <w:pPr>
              <w:pStyle w:val="TekstTabeli"/>
            </w:pPr>
            <w:r w:rsidRPr="008C72E5">
              <w:t>140</w:t>
            </w:r>
          </w:p>
        </w:tc>
        <w:tc>
          <w:tcPr>
            <w:tcW w:w="880" w:type="pct"/>
            <w:vAlign w:val="center"/>
          </w:tcPr>
          <w:p w14:paraId="646FF774" w14:textId="77777777" w:rsidR="009F6AC8" w:rsidRPr="008C72E5" w:rsidRDefault="009F6AC8" w:rsidP="00B558B7">
            <w:pPr>
              <w:pStyle w:val="TekstTabeli"/>
            </w:pPr>
            <w:r w:rsidRPr="008C72E5">
              <w:t>Campbell A., Gallen A.-M., Jones M.H., Walshe A.</w:t>
            </w:r>
          </w:p>
        </w:tc>
        <w:tc>
          <w:tcPr>
            <w:tcW w:w="1771" w:type="pct"/>
            <w:vAlign w:val="center"/>
          </w:tcPr>
          <w:p w14:paraId="36751088" w14:textId="77777777" w:rsidR="009F6AC8" w:rsidRPr="008C72E5" w:rsidRDefault="009F6AC8" w:rsidP="00B558B7">
            <w:pPr>
              <w:pStyle w:val="TekstTabeli"/>
            </w:pPr>
            <w:r w:rsidRPr="008C72E5">
              <w:t>The perceptions of STEM tutors on the role of tutorials in distance learning</w:t>
            </w:r>
          </w:p>
        </w:tc>
        <w:tc>
          <w:tcPr>
            <w:tcW w:w="2052" w:type="pct"/>
            <w:vAlign w:val="center"/>
          </w:tcPr>
          <w:p w14:paraId="440800C1" w14:textId="77777777" w:rsidR="009F6AC8" w:rsidRPr="008C72E5" w:rsidRDefault="009F6AC8" w:rsidP="00B558B7">
            <w:pPr>
              <w:pStyle w:val="TekstTabeli"/>
            </w:pPr>
            <w:r w:rsidRPr="008C72E5">
              <w:t>(2019) Open Learning, 34 (1), pp. 89 - 102, DOI: 10.1080/02680513.2018.1544488</w:t>
            </w:r>
          </w:p>
        </w:tc>
      </w:tr>
      <w:tr w:rsidR="00C4329A" w:rsidRPr="004C10DC" w14:paraId="4BF57B66" w14:textId="77777777" w:rsidTr="00C4329A">
        <w:trPr>
          <w:cantSplit/>
        </w:trPr>
        <w:tc>
          <w:tcPr>
            <w:tcW w:w="297" w:type="pct"/>
            <w:vAlign w:val="center"/>
          </w:tcPr>
          <w:p w14:paraId="00F1FBA6" w14:textId="77777777" w:rsidR="009F6AC8" w:rsidRPr="008C72E5" w:rsidRDefault="009F6AC8" w:rsidP="00B558B7">
            <w:pPr>
              <w:pStyle w:val="TekstTabeli"/>
            </w:pPr>
            <w:r w:rsidRPr="008C72E5">
              <w:t>141</w:t>
            </w:r>
          </w:p>
        </w:tc>
        <w:tc>
          <w:tcPr>
            <w:tcW w:w="880" w:type="pct"/>
            <w:vAlign w:val="center"/>
          </w:tcPr>
          <w:p w14:paraId="5E4FCF72" w14:textId="77777777" w:rsidR="009F6AC8" w:rsidRPr="00D82766" w:rsidRDefault="009F6AC8" w:rsidP="00B558B7">
            <w:pPr>
              <w:pStyle w:val="TekstTabeli"/>
              <w:rPr>
                <w:lang w:val="pl-PL"/>
              </w:rPr>
            </w:pPr>
            <w:r w:rsidRPr="00D82766">
              <w:rPr>
                <w:lang w:val="pl-PL"/>
              </w:rPr>
              <w:t xml:space="preserve">Radko N., </w:t>
            </w:r>
            <w:proofErr w:type="spellStart"/>
            <w:r w:rsidRPr="00D82766">
              <w:rPr>
                <w:lang w:val="pl-PL"/>
              </w:rPr>
              <w:t>Belitski</w:t>
            </w:r>
            <w:proofErr w:type="spellEnd"/>
            <w:r w:rsidRPr="00D82766">
              <w:rPr>
                <w:lang w:val="pl-PL"/>
              </w:rPr>
              <w:t xml:space="preserve"> M., </w:t>
            </w:r>
            <w:proofErr w:type="spellStart"/>
            <w:r w:rsidRPr="00D82766">
              <w:rPr>
                <w:lang w:val="pl-PL"/>
              </w:rPr>
              <w:t>Kalyuzhnova</w:t>
            </w:r>
            <w:proofErr w:type="spellEnd"/>
            <w:r w:rsidRPr="00D82766">
              <w:rPr>
                <w:lang w:val="pl-PL"/>
              </w:rPr>
              <w:t xml:space="preserve"> Y.</w:t>
            </w:r>
          </w:p>
        </w:tc>
        <w:tc>
          <w:tcPr>
            <w:tcW w:w="1771" w:type="pct"/>
            <w:vAlign w:val="center"/>
          </w:tcPr>
          <w:p w14:paraId="36D62578" w14:textId="77777777" w:rsidR="009F6AC8" w:rsidRPr="008C72E5" w:rsidRDefault="009F6AC8" w:rsidP="00B558B7">
            <w:pPr>
              <w:pStyle w:val="TekstTabeli"/>
            </w:pPr>
            <w:proofErr w:type="spellStart"/>
            <w:r w:rsidRPr="008C72E5">
              <w:t>Conceptualising</w:t>
            </w:r>
            <w:proofErr w:type="spellEnd"/>
            <w:r w:rsidRPr="008C72E5">
              <w:t xml:space="preserve"> the entrepreneurial university: the stakeholder approach</w:t>
            </w:r>
          </w:p>
        </w:tc>
        <w:tc>
          <w:tcPr>
            <w:tcW w:w="2052" w:type="pct"/>
            <w:vAlign w:val="center"/>
          </w:tcPr>
          <w:p w14:paraId="50684A41" w14:textId="77777777" w:rsidR="009F6AC8" w:rsidRPr="008C72E5" w:rsidRDefault="009F6AC8" w:rsidP="00B558B7">
            <w:pPr>
              <w:pStyle w:val="TekstTabeli"/>
            </w:pPr>
            <w:r w:rsidRPr="008C72E5">
              <w:t>(2023) Journal of Technology Transfer, 48 (3), pp. 955 - 1044, DOI: 10.1007/s10961-022-09926-0</w:t>
            </w:r>
          </w:p>
        </w:tc>
      </w:tr>
      <w:tr w:rsidR="00C4329A" w:rsidRPr="004C10DC" w14:paraId="50096109" w14:textId="77777777" w:rsidTr="00C4329A">
        <w:trPr>
          <w:cantSplit/>
        </w:trPr>
        <w:tc>
          <w:tcPr>
            <w:tcW w:w="297" w:type="pct"/>
            <w:vAlign w:val="center"/>
          </w:tcPr>
          <w:p w14:paraId="238BE574" w14:textId="77777777" w:rsidR="009F6AC8" w:rsidRPr="008C72E5" w:rsidRDefault="009F6AC8" w:rsidP="00B558B7">
            <w:pPr>
              <w:pStyle w:val="TekstTabeli"/>
            </w:pPr>
            <w:r w:rsidRPr="008C72E5">
              <w:t>142</w:t>
            </w:r>
          </w:p>
        </w:tc>
        <w:tc>
          <w:tcPr>
            <w:tcW w:w="880" w:type="pct"/>
            <w:vAlign w:val="center"/>
          </w:tcPr>
          <w:p w14:paraId="48EE4E1C" w14:textId="77777777" w:rsidR="009F6AC8" w:rsidRPr="008C72E5" w:rsidRDefault="009F6AC8" w:rsidP="00B558B7">
            <w:pPr>
              <w:pStyle w:val="TekstTabeli"/>
            </w:pPr>
            <w:proofErr w:type="spellStart"/>
            <w:r w:rsidRPr="008C72E5">
              <w:t>Mainardes</w:t>
            </w:r>
            <w:proofErr w:type="spellEnd"/>
            <w:r w:rsidRPr="008C72E5">
              <w:t xml:space="preserve"> E., Alves H., Raposo M.</w:t>
            </w:r>
          </w:p>
        </w:tc>
        <w:tc>
          <w:tcPr>
            <w:tcW w:w="1771" w:type="pct"/>
            <w:vAlign w:val="center"/>
          </w:tcPr>
          <w:p w14:paraId="79376022" w14:textId="77777777" w:rsidR="009F6AC8" w:rsidRPr="008C72E5" w:rsidRDefault="009F6AC8" w:rsidP="00B558B7">
            <w:pPr>
              <w:pStyle w:val="TekstTabeli"/>
            </w:pPr>
            <w:r w:rsidRPr="008C72E5">
              <w:t>Portuguese Public University Student Satisfaction: A stakeholder theory-based approach</w:t>
            </w:r>
          </w:p>
        </w:tc>
        <w:tc>
          <w:tcPr>
            <w:tcW w:w="2052" w:type="pct"/>
            <w:vAlign w:val="center"/>
          </w:tcPr>
          <w:p w14:paraId="5C7001FE" w14:textId="77777777" w:rsidR="009F6AC8" w:rsidRPr="008C72E5" w:rsidRDefault="009F6AC8" w:rsidP="00B558B7">
            <w:pPr>
              <w:pStyle w:val="TekstTabeli"/>
            </w:pPr>
            <w:r w:rsidRPr="008C72E5">
              <w:t>(2013) Tertiary Education and Management, 19 (4), pp. 353 - 372, DOI: 10.1080/13583883.2013.841984</w:t>
            </w:r>
          </w:p>
        </w:tc>
      </w:tr>
      <w:tr w:rsidR="00C4329A" w:rsidRPr="004C10DC" w14:paraId="5318847B" w14:textId="77777777" w:rsidTr="00C4329A">
        <w:trPr>
          <w:cantSplit/>
        </w:trPr>
        <w:tc>
          <w:tcPr>
            <w:tcW w:w="297" w:type="pct"/>
            <w:vAlign w:val="center"/>
          </w:tcPr>
          <w:p w14:paraId="12DC8877" w14:textId="77777777" w:rsidR="009F6AC8" w:rsidRPr="008C72E5" w:rsidRDefault="009F6AC8" w:rsidP="00B558B7">
            <w:pPr>
              <w:pStyle w:val="TekstTabeli"/>
            </w:pPr>
            <w:r w:rsidRPr="008C72E5">
              <w:t>143</w:t>
            </w:r>
          </w:p>
        </w:tc>
        <w:tc>
          <w:tcPr>
            <w:tcW w:w="880" w:type="pct"/>
            <w:vAlign w:val="center"/>
          </w:tcPr>
          <w:p w14:paraId="316BE9D0" w14:textId="77777777" w:rsidR="009F6AC8" w:rsidRPr="008C72E5" w:rsidRDefault="009F6AC8" w:rsidP="00B558B7">
            <w:pPr>
              <w:pStyle w:val="TekstTabeli"/>
            </w:pPr>
            <w:r w:rsidRPr="008C72E5">
              <w:t>Staub D.</w:t>
            </w:r>
          </w:p>
        </w:tc>
        <w:tc>
          <w:tcPr>
            <w:tcW w:w="1771" w:type="pct"/>
            <w:vAlign w:val="center"/>
          </w:tcPr>
          <w:p w14:paraId="13F5AD54" w14:textId="77777777" w:rsidR="009F6AC8" w:rsidRPr="008C72E5" w:rsidRDefault="009F6AC8" w:rsidP="00B558B7">
            <w:pPr>
              <w:pStyle w:val="TekstTabeli"/>
            </w:pPr>
            <w:r w:rsidRPr="008C72E5">
              <w:t xml:space="preserve">‘Another accreditation? what’s the point?’ effective planning and implementation for </w:t>
            </w:r>
            <w:proofErr w:type="spellStart"/>
            <w:r w:rsidRPr="008C72E5">
              <w:t>specialised</w:t>
            </w:r>
            <w:proofErr w:type="spellEnd"/>
            <w:r w:rsidRPr="008C72E5">
              <w:t xml:space="preserve"> accreditation</w:t>
            </w:r>
          </w:p>
        </w:tc>
        <w:tc>
          <w:tcPr>
            <w:tcW w:w="2052" w:type="pct"/>
            <w:vAlign w:val="center"/>
          </w:tcPr>
          <w:p w14:paraId="53071E0C" w14:textId="77777777" w:rsidR="009F6AC8" w:rsidRPr="008C72E5" w:rsidRDefault="009F6AC8" w:rsidP="00B558B7">
            <w:pPr>
              <w:pStyle w:val="TekstTabeli"/>
            </w:pPr>
            <w:r w:rsidRPr="008C72E5">
              <w:t>(2019) Quality in Higher Education, 25 (2), pp. 171 - 190, DOI: 10.1080/13538322.2019.1634342</w:t>
            </w:r>
          </w:p>
        </w:tc>
      </w:tr>
      <w:tr w:rsidR="00C4329A" w:rsidRPr="008C72E5" w14:paraId="4B1FFC82" w14:textId="77777777" w:rsidTr="00C4329A">
        <w:trPr>
          <w:cantSplit/>
        </w:trPr>
        <w:tc>
          <w:tcPr>
            <w:tcW w:w="297" w:type="pct"/>
            <w:vAlign w:val="center"/>
          </w:tcPr>
          <w:p w14:paraId="6E9F3F84" w14:textId="77777777" w:rsidR="009F6AC8" w:rsidRPr="008C72E5" w:rsidRDefault="009F6AC8" w:rsidP="00B558B7">
            <w:pPr>
              <w:pStyle w:val="TekstTabeli"/>
            </w:pPr>
            <w:r w:rsidRPr="008C72E5">
              <w:t>144</w:t>
            </w:r>
          </w:p>
        </w:tc>
        <w:tc>
          <w:tcPr>
            <w:tcW w:w="880" w:type="pct"/>
            <w:vAlign w:val="center"/>
          </w:tcPr>
          <w:p w14:paraId="6E54AD2D" w14:textId="77777777" w:rsidR="009F6AC8" w:rsidRPr="008C72E5" w:rsidRDefault="009F6AC8" w:rsidP="00B558B7">
            <w:pPr>
              <w:pStyle w:val="TekstTabeli"/>
            </w:pPr>
            <w:r w:rsidRPr="008C72E5">
              <w:t>Dewi A.</w:t>
            </w:r>
          </w:p>
        </w:tc>
        <w:tc>
          <w:tcPr>
            <w:tcW w:w="1771" w:type="pct"/>
            <w:vAlign w:val="center"/>
          </w:tcPr>
          <w:p w14:paraId="41848BDD" w14:textId="77777777" w:rsidR="009F6AC8" w:rsidRPr="008C72E5" w:rsidRDefault="009F6AC8" w:rsidP="00B558B7">
            <w:pPr>
              <w:pStyle w:val="TekstTabeli"/>
            </w:pPr>
            <w:r w:rsidRPr="008C72E5">
              <w:t>Is English A Form of Imperialism? A Study of Academic Community’s Perceptions at Yogyakarta Universities in Indonesia</w:t>
            </w:r>
          </w:p>
        </w:tc>
        <w:tc>
          <w:tcPr>
            <w:tcW w:w="2052" w:type="pct"/>
            <w:vAlign w:val="center"/>
          </w:tcPr>
          <w:p w14:paraId="14F66226" w14:textId="77777777" w:rsidR="009F6AC8" w:rsidRPr="008C72E5" w:rsidRDefault="009F6AC8" w:rsidP="00B558B7">
            <w:pPr>
              <w:pStyle w:val="TekstTabeli"/>
            </w:pPr>
            <w:r w:rsidRPr="008C72E5">
              <w:t xml:space="preserve">(2012) Asian </w:t>
            </w:r>
            <w:proofErr w:type="spellStart"/>
            <w:r w:rsidRPr="008C72E5">
              <w:t>Englishes</w:t>
            </w:r>
            <w:proofErr w:type="spellEnd"/>
            <w:r w:rsidRPr="008C72E5">
              <w:t>, 15 (1), pp. 4 - 27, DOI: 10.1080/13488678.2012.10801317</w:t>
            </w:r>
          </w:p>
        </w:tc>
      </w:tr>
      <w:tr w:rsidR="00C4329A" w:rsidRPr="008C72E5" w14:paraId="3D9C7F20" w14:textId="77777777" w:rsidTr="00C4329A">
        <w:trPr>
          <w:cantSplit/>
        </w:trPr>
        <w:tc>
          <w:tcPr>
            <w:tcW w:w="297" w:type="pct"/>
            <w:vAlign w:val="center"/>
          </w:tcPr>
          <w:p w14:paraId="2526E39D" w14:textId="77777777" w:rsidR="009F6AC8" w:rsidRPr="008C72E5" w:rsidRDefault="009F6AC8" w:rsidP="00B558B7">
            <w:pPr>
              <w:pStyle w:val="TekstTabeli"/>
            </w:pPr>
            <w:r w:rsidRPr="008C72E5">
              <w:t>145</w:t>
            </w:r>
          </w:p>
        </w:tc>
        <w:tc>
          <w:tcPr>
            <w:tcW w:w="880" w:type="pct"/>
            <w:vAlign w:val="center"/>
          </w:tcPr>
          <w:p w14:paraId="5FF6D673" w14:textId="77777777" w:rsidR="009F6AC8" w:rsidRPr="008C72E5" w:rsidRDefault="009F6AC8" w:rsidP="00B558B7">
            <w:pPr>
              <w:pStyle w:val="TekstTabeli"/>
            </w:pPr>
            <w:proofErr w:type="spellStart"/>
            <w:r w:rsidRPr="008C72E5">
              <w:t>Brezavšček</w:t>
            </w:r>
            <w:proofErr w:type="spellEnd"/>
            <w:r w:rsidRPr="008C72E5">
              <w:t xml:space="preserve"> A., Bach M.P., </w:t>
            </w:r>
            <w:proofErr w:type="spellStart"/>
            <w:r w:rsidRPr="008C72E5">
              <w:t>Baggia</w:t>
            </w:r>
            <w:proofErr w:type="spellEnd"/>
            <w:r w:rsidRPr="008C72E5">
              <w:t xml:space="preserve"> A.</w:t>
            </w:r>
          </w:p>
        </w:tc>
        <w:tc>
          <w:tcPr>
            <w:tcW w:w="1771" w:type="pct"/>
            <w:vAlign w:val="center"/>
          </w:tcPr>
          <w:p w14:paraId="1B8DE082" w14:textId="77777777" w:rsidR="009F6AC8" w:rsidRPr="008C72E5" w:rsidRDefault="009F6AC8" w:rsidP="00B558B7">
            <w:pPr>
              <w:pStyle w:val="TekstTabeli"/>
            </w:pPr>
            <w:r w:rsidRPr="008C72E5">
              <w:t>Markov Analysis of Students' Performance and Academic Progress in Higher Education</w:t>
            </w:r>
          </w:p>
        </w:tc>
        <w:tc>
          <w:tcPr>
            <w:tcW w:w="2052" w:type="pct"/>
            <w:vAlign w:val="center"/>
          </w:tcPr>
          <w:p w14:paraId="2CEA8FD4" w14:textId="77777777" w:rsidR="009F6AC8" w:rsidRPr="008C72E5" w:rsidRDefault="009F6AC8" w:rsidP="00B558B7">
            <w:pPr>
              <w:pStyle w:val="TekstTabeli"/>
            </w:pPr>
            <w:r w:rsidRPr="008C72E5">
              <w:t xml:space="preserve">(2017) </w:t>
            </w:r>
            <w:proofErr w:type="spellStart"/>
            <w:r w:rsidRPr="008C72E5">
              <w:t>Organizacija</w:t>
            </w:r>
            <w:proofErr w:type="spellEnd"/>
            <w:r w:rsidRPr="008C72E5">
              <w:t>, 50 (2), pp. 83 - 95, DOI: 10.1515/orga-2017-0006</w:t>
            </w:r>
          </w:p>
        </w:tc>
      </w:tr>
      <w:tr w:rsidR="00C4329A" w:rsidRPr="004C10DC" w14:paraId="6C687A23" w14:textId="77777777" w:rsidTr="00C4329A">
        <w:trPr>
          <w:cantSplit/>
        </w:trPr>
        <w:tc>
          <w:tcPr>
            <w:tcW w:w="297" w:type="pct"/>
            <w:vAlign w:val="center"/>
          </w:tcPr>
          <w:p w14:paraId="37C5B090" w14:textId="77777777" w:rsidR="009F6AC8" w:rsidRPr="008C72E5" w:rsidRDefault="009F6AC8" w:rsidP="00B558B7">
            <w:pPr>
              <w:pStyle w:val="TekstTabeli"/>
            </w:pPr>
            <w:r w:rsidRPr="008C72E5">
              <w:t>146</w:t>
            </w:r>
          </w:p>
        </w:tc>
        <w:tc>
          <w:tcPr>
            <w:tcW w:w="880" w:type="pct"/>
            <w:vAlign w:val="center"/>
          </w:tcPr>
          <w:p w14:paraId="36135828" w14:textId="77777777" w:rsidR="009F6AC8" w:rsidRPr="008C72E5" w:rsidRDefault="009F6AC8" w:rsidP="00B558B7">
            <w:pPr>
              <w:pStyle w:val="TekstTabeli"/>
            </w:pPr>
            <w:r w:rsidRPr="008C72E5">
              <w:t>Ramírez Y., Tejada Á.</w:t>
            </w:r>
          </w:p>
        </w:tc>
        <w:tc>
          <w:tcPr>
            <w:tcW w:w="1771" w:type="pct"/>
            <w:vAlign w:val="center"/>
          </w:tcPr>
          <w:p w14:paraId="1F29DA30" w14:textId="77777777" w:rsidR="009F6AC8" w:rsidRPr="008C72E5" w:rsidRDefault="009F6AC8" w:rsidP="00B558B7">
            <w:pPr>
              <w:pStyle w:val="TekstTabeli"/>
            </w:pPr>
            <w:r w:rsidRPr="008C72E5">
              <w:t>University stakeholders’ perceptions of the impact and benefits of, and barriers to, human resource information systems in Spanish universities</w:t>
            </w:r>
          </w:p>
        </w:tc>
        <w:tc>
          <w:tcPr>
            <w:tcW w:w="2052" w:type="pct"/>
            <w:vAlign w:val="center"/>
          </w:tcPr>
          <w:p w14:paraId="23A42D3E" w14:textId="77777777" w:rsidR="009F6AC8" w:rsidRPr="008C72E5" w:rsidRDefault="009F6AC8" w:rsidP="00B558B7">
            <w:pPr>
              <w:pStyle w:val="TekstTabeli"/>
            </w:pPr>
            <w:r w:rsidRPr="008C72E5">
              <w:t>(2022) International Review of Administrative Sciences, 88 (1), pp. 171 - 188, DOI: 10.1177/0020852319890646</w:t>
            </w:r>
          </w:p>
        </w:tc>
      </w:tr>
      <w:tr w:rsidR="00C4329A" w:rsidRPr="004C10DC" w14:paraId="10C6AD18" w14:textId="77777777" w:rsidTr="00C4329A">
        <w:trPr>
          <w:cantSplit/>
        </w:trPr>
        <w:tc>
          <w:tcPr>
            <w:tcW w:w="297" w:type="pct"/>
            <w:vAlign w:val="center"/>
          </w:tcPr>
          <w:p w14:paraId="7F229004" w14:textId="77777777" w:rsidR="009F6AC8" w:rsidRPr="008C72E5" w:rsidRDefault="009F6AC8" w:rsidP="00B558B7">
            <w:pPr>
              <w:pStyle w:val="TekstTabeli"/>
            </w:pPr>
            <w:r w:rsidRPr="008C72E5">
              <w:t>147</w:t>
            </w:r>
          </w:p>
        </w:tc>
        <w:tc>
          <w:tcPr>
            <w:tcW w:w="880" w:type="pct"/>
            <w:vAlign w:val="center"/>
          </w:tcPr>
          <w:p w14:paraId="6BFBDAAB" w14:textId="77777777" w:rsidR="009F6AC8" w:rsidRPr="008C72E5" w:rsidRDefault="009F6AC8" w:rsidP="00B558B7">
            <w:pPr>
              <w:pStyle w:val="TekstTabeli"/>
            </w:pPr>
            <w:proofErr w:type="spellStart"/>
            <w:r w:rsidRPr="008C72E5">
              <w:t>Bretag</w:t>
            </w:r>
            <w:proofErr w:type="spellEnd"/>
            <w:r w:rsidRPr="008C72E5">
              <w:t xml:space="preserve"> T.</w:t>
            </w:r>
          </w:p>
        </w:tc>
        <w:tc>
          <w:tcPr>
            <w:tcW w:w="1771" w:type="pct"/>
            <w:vAlign w:val="center"/>
          </w:tcPr>
          <w:p w14:paraId="3800BDA5" w14:textId="77777777" w:rsidR="009F6AC8" w:rsidRPr="008C72E5" w:rsidRDefault="009F6AC8" w:rsidP="00B558B7">
            <w:pPr>
              <w:pStyle w:val="TekstTabeli"/>
            </w:pPr>
            <w:r w:rsidRPr="008C72E5">
              <w:t>A Research Agenda for Academic Integrity</w:t>
            </w:r>
          </w:p>
        </w:tc>
        <w:tc>
          <w:tcPr>
            <w:tcW w:w="2052" w:type="pct"/>
            <w:vAlign w:val="center"/>
          </w:tcPr>
          <w:p w14:paraId="0F782F99" w14:textId="77777777" w:rsidR="009F6AC8" w:rsidRPr="008C72E5" w:rsidRDefault="009F6AC8" w:rsidP="00B558B7">
            <w:pPr>
              <w:pStyle w:val="TekstTabeli"/>
            </w:pPr>
            <w:r w:rsidRPr="008C72E5">
              <w:t>(2020) A Research Agenda for Academic Integrity, pp. 1 - 206, DOI: 10.4337/9781789903775</w:t>
            </w:r>
          </w:p>
        </w:tc>
      </w:tr>
      <w:tr w:rsidR="00C4329A" w:rsidRPr="008C72E5" w14:paraId="35975C98" w14:textId="77777777" w:rsidTr="00C4329A">
        <w:trPr>
          <w:cantSplit/>
        </w:trPr>
        <w:tc>
          <w:tcPr>
            <w:tcW w:w="297" w:type="pct"/>
            <w:vAlign w:val="center"/>
          </w:tcPr>
          <w:p w14:paraId="30EB2126" w14:textId="77777777" w:rsidR="009F6AC8" w:rsidRPr="008C72E5" w:rsidRDefault="009F6AC8" w:rsidP="00B558B7">
            <w:pPr>
              <w:pStyle w:val="TekstTabeli"/>
            </w:pPr>
            <w:r w:rsidRPr="008C72E5">
              <w:t>148</w:t>
            </w:r>
          </w:p>
        </w:tc>
        <w:tc>
          <w:tcPr>
            <w:tcW w:w="880" w:type="pct"/>
            <w:vAlign w:val="center"/>
          </w:tcPr>
          <w:p w14:paraId="476387D2" w14:textId="77777777" w:rsidR="009F6AC8" w:rsidRPr="008C72E5" w:rsidRDefault="009F6AC8" w:rsidP="00B558B7">
            <w:pPr>
              <w:pStyle w:val="TekstTabeli"/>
            </w:pPr>
            <w:r w:rsidRPr="008C72E5">
              <w:t>Abrams K., Meyers C., Irani T., Baker L.</w:t>
            </w:r>
          </w:p>
        </w:tc>
        <w:tc>
          <w:tcPr>
            <w:tcW w:w="1771" w:type="pct"/>
            <w:vAlign w:val="center"/>
          </w:tcPr>
          <w:p w14:paraId="505E5509" w14:textId="77777777" w:rsidR="009F6AC8" w:rsidRPr="008C72E5" w:rsidRDefault="009F6AC8" w:rsidP="00B558B7">
            <w:pPr>
              <w:pStyle w:val="TekstTabeli"/>
            </w:pPr>
            <w:r w:rsidRPr="008C72E5">
              <w:t>Branding the land grant university: Stakeholders' awareness and perceptions of the tripartite mission</w:t>
            </w:r>
          </w:p>
        </w:tc>
        <w:tc>
          <w:tcPr>
            <w:tcW w:w="2052" w:type="pct"/>
            <w:vAlign w:val="center"/>
          </w:tcPr>
          <w:p w14:paraId="4DF11AA0" w14:textId="77777777" w:rsidR="009F6AC8" w:rsidRPr="008C72E5" w:rsidRDefault="009F6AC8" w:rsidP="00B558B7">
            <w:pPr>
              <w:pStyle w:val="TekstTabeli"/>
            </w:pPr>
            <w:r w:rsidRPr="008C72E5">
              <w:t>(2010) Journal of Extension, 48 (6), pp. 1 - 11, 0</w:t>
            </w:r>
          </w:p>
        </w:tc>
      </w:tr>
      <w:tr w:rsidR="00C4329A" w:rsidRPr="004C10DC" w14:paraId="3F4E0C6B" w14:textId="77777777" w:rsidTr="00C4329A">
        <w:trPr>
          <w:cantSplit/>
        </w:trPr>
        <w:tc>
          <w:tcPr>
            <w:tcW w:w="297" w:type="pct"/>
            <w:vAlign w:val="center"/>
          </w:tcPr>
          <w:p w14:paraId="0AC7FF59" w14:textId="77777777" w:rsidR="009F6AC8" w:rsidRPr="008C72E5" w:rsidRDefault="009F6AC8" w:rsidP="00B558B7">
            <w:pPr>
              <w:pStyle w:val="TekstTabeli"/>
            </w:pPr>
            <w:r w:rsidRPr="008C72E5">
              <w:t>149</w:t>
            </w:r>
          </w:p>
        </w:tc>
        <w:tc>
          <w:tcPr>
            <w:tcW w:w="880" w:type="pct"/>
            <w:vAlign w:val="center"/>
          </w:tcPr>
          <w:p w14:paraId="359BC1CA" w14:textId="0EBAAEBE" w:rsidR="009F6AC8" w:rsidRPr="008C72E5" w:rsidRDefault="009F6AC8" w:rsidP="00B558B7">
            <w:pPr>
              <w:pStyle w:val="TekstTabeli"/>
            </w:pPr>
            <w:r w:rsidRPr="008C72E5">
              <w:t xml:space="preserve">Easterbrook A., Bulk L.Y., Jarus T., Hahn B., </w:t>
            </w:r>
            <w:proofErr w:type="spellStart"/>
            <w:r w:rsidR="00A147A1" w:rsidRPr="008C72E5">
              <w:t>i</w:t>
            </w:r>
            <w:proofErr w:type="spellEnd"/>
            <w:r w:rsidR="00A147A1" w:rsidRPr="008C72E5">
              <w:t> in.</w:t>
            </w:r>
          </w:p>
        </w:tc>
        <w:tc>
          <w:tcPr>
            <w:tcW w:w="1771" w:type="pct"/>
            <w:vAlign w:val="center"/>
          </w:tcPr>
          <w:p w14:paraId="33662EA9" w14:textId="77777777" w:rsidR="009F6AC8" w:rsidRPr="008C72E5" w:rsidRDefault="009F6AC8" w:rsidP="00B558B7">
            <w:pPr>
              <w:pStyle w:val="TekstTabeli"/>
            </w:pPr>
            <w:r w:rsidRPr="008C72E5">
              <w:t>University gatekeepers’ use of the rhetoric of citizenship to relegate the status of students with disabilities in Canada</w:t>
            </w:r>
          </w:p>
        </w:tc>
        <w:tc>
          <w:tcPr>
            <w:tcW w:w="2052" w:type="pct"/>
            <w:vAlign w:val="center"/>
          </w:tcPr>
          <w:p w14:paraId="7218DFC9" w14:textId="77777777" w:rsidR="009F6AC8" w:rsidRPr="008C72E5" w:rsidRDefault="009F6AC8" w:rsidP="00B558B7">
            <w:pPr>
              <w:pStyle w:val="TekstTabeli"/>
            </w:pPr>
            <w:r w:rsidRPr="008C72E5">
              <w:t>(2019) Disability and Society, 34 (1), pp. 1 - 23, DOI: 10.1080/09687599.2018.1505603</w:t>
            </w:r>
          </w:p>
        </w:tc>
      </w:tr>
      <w:tr w:rsidR="00C4329A" w:rsidRPr="004C10DC" w14:paraId="49537200" w14:textId="77777777" w:rsidTr="00C4329A">
        <w:trPr>
          <w:cantSplit/>
        </w:trPr>
        <w:tc>
          <w:tcPr>
            <w:tcW w:w="297" w:type="pct"/>
            <w:vAlign w:val="center"/>
          </w:tcPr>
          <w:p w14:paraId="303F3C04" w14:textId="77777777" w:rsidR="009F6AC8" w:rsidRPr="008C72E5" w:rsidRDefault="009F6AC8" w:rsidP="00B558B7">
            <w:pPr>
              <w:pStyle w:val="TekstTabeli"/>
            </w:pPr>
            <w:r w:rsidRPr="008C72E5">
              <w:lastRenderedPageBreak/>
              <w:t>150</w:t>
            </w:r>
          </w:p>
        </w:tc>
        <w:tc>
          <w:tcPr>
            <w:tcW w:w="880" w:type="pct"/>
            <w:vAlign w:val="center"/>
          </w:tcPr>
          <w:p w14:paraId="04EE2273" w14:textId="77777777" w:rsidR="009F6AC8" w:rsidRPr="008C72E5" w:rsidRDefault="009F6AC8" w:rsidP="00B558B7">
            <w:pPr>
              <w:pStyle w:val="TekstTabeli"/>
            </w:pPr>
            <w:r w:rsidRPr="008C72E5">
              <w:t>Gaughan M., Bozeman B.</w:t>
            </w:r>
          </w:p>
        </w:tc>
        <w:tc>
          <w:tcPr>
            <w:tcW w:w="1771" w:type="pct"/>
            <w:vAlign w:val="center"/>
          </w:tcPr>
          <w:p w14:paraId="3EAC43B5" w14:textId="77777777" w:rsidR="009F6AC8" w:rsidRPr="008C72E5" w:rsidRDefault="009F6AC8" w:rsidP="00B558B7">
            <w:pPr>
              <w:pStyle w:val="TekstTabeli"/>
            </w:pPr>
            <w:r w:rsidRPr="008C72E5">
              <w:t>Institutionalized inequity in the USA: The case of postdoctoral researchers</w:t>
            </w:r>
          </w:p>
        </w:tc>
        <w:tc>
          <w:tcPr>
            <w:tcW w:w="2052" w:type="pct"/>
            <w:vAlign w:val="center"/>
          </w:tcPr>
          <w:p w14:paraId="71AE5DDA" w14:textId="77777777" w:rsidR="009F6AC8" w:rsidRPr="008C72E5" w:rsidRDefault="009F6AC8" w:rsidP="00B558B7">
            <w:pPr>
              <w:pStyle w:val="TekstTabeli"/>
            </w:pPr>
            <w:r w:rsidRPr="008C72E5">
              <w:t>(2019) Science and Public Policy, 46 (3), pp. 358 - 368, DOI: 10.1093/</w:t>
            </w:r>
            <w:proofErr w:type="spellStart"/>
            <w:r w:rsidRPr="008C72E5">
              <w:t>scipol</w:t>
            </w:r>
            <w:proofErr w:type="spellEnd"/>
            <w:r w:rsidRPr="008C72E5">
              <w:t>/scy063</w:t>
            </w:r>
          </w:p>
        </w:tc>
      </w:tr>
      <w:tr w:rsidR="00C4329A" w:rsidRPr="004C10DC" w14:paraId="064619CD" w14:textId="77777777" w:rsidTr="00C4329A">
        <w:trPr>
          <w:cantSplit/>
        </w:trPr>
        <w:tc>
          <w:tcPr>
            <w:tcW w:w="297" w:type="pct"/>
            <w:vAlign w:val="center"/>
          </w:tcPr>
          <w:p w14:paraId="214942F1" w14:textId="77777777" w:rsidR="009F6AC8" w:rsidRPr="008C72E5" w:rsidRDefault="009F6AC8" w:rsidP="00B558B7">
            <w:pPr>
              <w:pStyle w:val="TekstTabeli"/>
            </w:pPr>
            <w:r w:rsidRPr="008C72E5">
              <w:t>151</w:t>
            </w:r>
          </w:p>
        </w:tc>
        <w:tc>
          <w:tcPr>
            <w:tcW w:w="880" w:type="pct"/>
            <w:vAlign w:val="center"/>
          </w:tcPr>
          <w:p w14:paraId="1299E255" w14:textId="77777777" w:rsidR="009F6AC8" w:rsidRPr="008C72E5" w:rsidRDefault="009F6AC8" w:rsidP="00B558B7">
            <w:pPr>
              <w:pStyle w:val="TekstTabeli"/>
            </w:pPr>
            <w:proofErr w:type="spellStart"/>
            <w:r w:rsidRPr="008C72E5">
              <w:t>Kompanets</w:t>
            </w:r>
            <w:proofErr w:type="spellEnd"/>
            <w:r w:rsidRPr="008C72E5">
              <w:t xml:space="preserve"> V., </w:t>
            </w:r>
            <w:proofErr w:type="spellStart"/>
            <w:r w:rsidRPr="008C72E5">
              <w:t>Väätänen</w:t>
            </w:r>
            <w:proofErr w:type="spellEnd"/>
            <w:r w:rsidRPr="008C72E5">
              <w:t xml:space="preserve"> J.</w:t>
            </w:r>
          </w:p>
        </w:tc>
        <w:tc>
          <w:tcPr>
            <w:tcW w:w="1771" w:type="pct"/>
            <w:vAlign w:val="center"/>
          </w:tcPr>
          <w:p w14:paraId="348C94FF" w14:textId="77777777" w:rsidR="009F6AC8" w:rsidRPr="008C72E5" w:rsidRDefault="009F6AC8" w:rsidP="00B558B7">
            <w:pPr>
              <w:pStyle w:val="TekstTabeli"/>
            </w:pPr>
            <w:r w:rsidRPr="008C72E5">
              <w:t xml:space="preserve">Different, yet similar: factors motivating international degree collaboration in higher education. The case of Finnish-Russian double degree </w:t>
            </w:r>
            <w:proofErr w:type="spellStart"/>
            <w:r w:rsidRPr="008C72E5">
              <w:t>programmes</w:t>
            </w:r>
            <w:proofErr w:type="spellEnd"/>
          </w:p>
        </w:tc>
        <w:tc>
          <w:tcPr>
            <w:tcW w:w="2052" w:type="pct"/>
            <w:vAlign w:val="center"/>
          </w:tcPr>
          <w:p w14:paraId="103CC45F" w14:textId="77777777" w:rsidR="009F6AC8" w:rsidRPr="008C72E5" w:rsidRDefault="009F6AC8" w:rsidP="00B558B7">
            <w:pPr>
              <w:pStyle w:val="TekstTabeli"/>
            </w:pPr>
            <w:r w:rsidRPr="008C72E5">
              <w:t>(2019) European Journal of Engineering Education, 44 (3), pp. 379 - 397, DOI: 10.1080/03043797.2018.1520811</w:t>
            </w:r>
          </w:p>
        </w:tc>
      </w:tr>
      <w:tr w:rsidR="00C4329A" w:rsidRPr="004C10DC" w14:paraId="6B5B86F3" w14:textId="77777777" w:rsidTr="00C4329A">
        <w:trPr>
          <w:cantSplit/>
        </w:trPr>
        <w:tc>
          <w:tcPr>
            <w:tcW w:w="297" w:type="pct"/>
            <w:vAlign w:val="center"/>
          </w:tcPr>
          <w:p w14:paraId="4A58842C" w14:textId="77777777" w:rsidR="009F6AC8" w:rsidRPr="008C72E5" w:rsidRDefault="009F6AC8" w:rsidP="00B558B7">
            <w:pPr>
              <w:pStyle w:val="TekstTabeli"/>
            </w:pPr>
            <w:r w:rsidRPr="008C72E5">
              <w:t>152</w:t>
            </w:r>
          </w:p>
        </w:tc>
        <w:tc>
          <w:tcPr>
            <w:tcW w:w="880" w:type="pct"/>
            <w:vAlign w:val="center"/>
          </w:tcPr>
          <w:p w14:paraId="40D35663" w14:textId="77777777" w:rsidR="009F6AC8" w:rsidRPr="008C72E5" w:rsidRDefault="009F6AC8" w:rsidP="00B558B7">
            <w:pPr>
              <w:pStyle w:val="TekstTabeli"/>
            </w:pPr>
            <w:r w:rsidRPr="008C72E5">
              <w:t>Brown S.M.</w:t>
            </w:r>
          </w:p>
        </w:tc>
        <w:tc>
          <w:tcPr>
            <w:tcW w:w="1771" w:type="pct"/>
            <w:vAlign w:val="center"/>
          </w:tcPr>
          <w:p w14:paraId="06A5FBF8" w14:textId="77777777" w:rsidR="009F6AC8" w:rsidRPr="008C72E5" w:rsidRDefault="009F6AC8" w:rsidP="00B558B7">
            <w:pPr>
              <w:pStyle w:val="TekstTabeli"/>
            </w:pPr>
            <w:r w:rsidRPr="008C72E5">
              <w:t>A systemic perspective on higher education in the United Kingdom</w:t>
            </w:r>
          </w:p>
        </w:tc>
        <w:tc>
          <w:tcPr>
            <w:tcW w:w="2052" w:type="pct"/>
            <w:vAlign w:val="center"/>
          </w:tcPr>
          <w:p w14:paraId="28C01111" w14:textId="77777777" w:rsidR="009F6AC8" w:rsidRPr="008C72E5" w:rsidRDefault="009F6AC8" w:rsidP="00B558B7">
            <w:pPr>
              <w:pStyle w:val="TekstTabeli"/>
            </w:pPr>
            <w:r w:rsidRPr="008C72E5">
              <w:t>(1999) Systems Research and Behavioral Science, 16 (2), pp. 157 - 169, DOI: 10.1002/(SICI)1099-1743(199903/04)16:2&lt;157::AID-SRES283&gt;3.0.CO;2-D</w:t>
            </w:r>
          </w:p>
        </w:tc>
      </w:tr>
      <w:tr w:rsidR="00C4329A" w:rsidRPr="004C10DC" w14:paraId="6CCE3BF9" w14:textId="77777777" w:rsidTr="00C4329A">
        <w:trPr>
          <w:cantSplit/>
        </w:trPr>
        <w:tc>
          <w:tcPr>
            <w:tcW w:w="297" w:type="pct"/>
            <w:vAlign w:val="center"/>
          </w:tcPr>
          <w:p w14:paraId="315506F3" w14:textId="77777777" w:rsidR="009F6AC8" w:rsidRPr="008C72E5" w:rsidRDefault="009F6AC8" w:rsidP="00B558B7">
            <w:pPr>
              <w:pStyle w:val="TekstTabeli"/>
            </w:pPr>
            <w:r w:rsidRPr="008C72E5">
              <w:t>153</w:t>
            </w:r>
          </w:p>
        </w:tc>
        <w:tc>
          <w:tcPr>
            <w:tcW w:w="880" w:type="pct"/>
            <w:vAlign w:val="center"/>
          </w:tcPr>
          <w:p w14:paraId="25F856B2" w14:textId="77777777" w:rsidR="009F6AC8" w:rsidRPr="008C72E5" w:rsidRDefault="009F6AC8" w:rsidP="00B558B7">
            <w:pPr>
              <w:pStyle w:val="TekstTabeli"/>
            </w:pPr>
            <w:proofErr w:type="spellStart"/>
            <w:r w:rsidRPr="008C72E5">
              <w:t>Leem</w:t>
            </w:r>
            <w:proofErr w:type="spellEnd"/>
            <w:r w:rsidRPr="008C72E5">
              <w:t xml:space="preserve"> B.</w:t>
            </w:r>
          </w:p>
        </w:tc>
        <w:tc>
          <w:tcPr>
            <w:tcW w:w="1771" w:type="pct"/>
            <w:vAlign w:val="center"/>
          </w:tcPr>
          <w:p w14:paraId="4322A9E7" w14:textId="77777777" w:rsidR="009F6AC8" w:rsidRPr="008C72E5" w:rsidRDefault="009F6AC8" w:rsidP="00B558B7">
            <w:pPr>
              <w:pStyle w:val="TekstTabeli"/>
            </w:pPr>
            <w:r w:rsidRPr="008C72E5">
              <w:t>An effect of value co-creation on student benefits in COVID-19 pandemic</w:t>
            </w:r>
          </w:p>
        </w:tc>
        <w:tc>
          <w:tcPr>
            <w:tcW w:w="2052" w:type="pct"/>
            <w:vAlign w:val="center"/>
          </w:tcPr>
          <w:p w14:paraId="23DCE873" w14:textId="77777777" w:rsidR="009F6AC8" w:rsidRPr="008C72E5" w:rsidRDefault="009F6AC8" w:rsidP="00B558B7">
            <w:pPr>
              <w:pStyle w:val="TekstTabeli"/>
            </w:pPr>
            <w:r w:rsidRPr="008C72E5">
              <w:t>(2021) International Journal of Engineering Business Management, 13, DOI: 10.1177/18479790211058320</w:t>
            </w:r>
          </w:p>
        </w:tc>
      </w:tr>
      <w:tr w:rsidR="00C4329A" w:rsidRPr="004C10DC" w14:paraId="6C7D9F90" w14:textId="77777777" w:rsidTr="00C4329A">
        <w:trPr>
          <w:cantSplit/>
        </w:trPr>
        <w:tc>
          <w:tcPr>
            <w:tcW w:w="297" w:type="pct"/>
            <w:vAlign w:val="center"/>
          </w:tcPr>
          <w:p w14:paraId="3EDFA223" w14:textId="77777777" w:rsidR="009F6AC8" w:rsidRPr="008C72E5" w:rsidRDefault="009F6AC8" w:rsidP="00B558B7">
            <w:pPr>
              <w:pStyle w:val="TekstTabeli"/>
            </w:pPr>
            <w:r w:rsidRPr="008C72E5">
              <w:t>154</w:t>
            </w:r>
          </w:p>
        </w:tc>
        <w:tc>
          <w:tcPr>
            <w:tcW w:w="880" w:type="pct"/>
            <w:vAlign w:val="center"/>
          </w:tcPr>
          <w:p w14:paraId="245BFB19" w14:textId="77777777" w:rsidR="009F6AC8" w:rsidRPr="008C72E5" w:rsidRDefault="009F6AC8" w:rsidP="00B558B7">
            <w:pPr>
              <w:pStyle w:val="TekstTabeli"/>
            </w:pPr>
            <w:r w:rsidRPr="008C72E5">
              <w:t xml:space="preserve">Aver B., </w:t>
            </w:r>
            <w:proofErr w:type="spellStart"/>
            <w:r w:rsidRPr="008C72E5">
              <w:t>Fošner</w:t>
            </w:r>
            <w:proofErr w:type="spellEnd"/>
            <w:r w:rsidRPr="008C72E5">
              <w:t xml:space="preserve"> A., Alfirević N.</w:t>
            </w:r>
          </w:p>
        </w:tc>
        <w:tc>
          <w:tcPr>
            <w:tcW w:w="1771" w:type="pct"/>
            <w:vAlign w:val="center"/>
          </w:tcPr>
          <w:p w14:paraId="77BCB483" w14:textId="77777777" w:rsidR="009F6AC8" w:rsidRPr="008C72E5" w:rsidRDefault="009F6AC8" w:rsidP="00B558B7">
            <w:pPr>
              <w:pStyle w:val="TekstTabeli"/>
            </w:pPr>
            <w:r w:rsidRPr="008C72E5">
              <w:t>Higher education challenges: Developing skills to address contemporary economic and sustainability issues</w:t>
            </w:r>
          </w:p>
        </w:tc>
        <w:tc>
          <w:tcPr>
            <w:tcW w:w="2052" w:type="pct"/>
            <w:vAlign w:val="center"/>
          </w:tcPr>
          <w:p w14:paraId="1D65FBE7" w14:textId="77777777" w:rsidR="009F6AC8" w:rsidRPr="008C72E5" w:rsidRDefault="009F6AC8" w:rsidP="00B558B7">
            <w:pPr>
              <w:pStyle w:val="TekstTabeli"/>
            </w:pPr>
            <w:r w:rsidRPr="008C72E5">
              <w:t>(2021) Sustainability (Switzerland), 13 (22), art. no. 12567, DOI: 10.3390/su132212567</w:t>
            </w:r>
          </w:p>
        </w:tc>
      </w:tr>
      <w:tr w:rsidR="00C4329A" w:rsidRPr="004C10DC" w14:paraId="0E415812" w14:textId="77777777" w:rsidTr="00C4329A">
        <w:trPr>
          <w:cantSplit/>
        </w:trPr>
        <w:tc>
          <w:tcPr>
            <w:tcW w:w="297" w:type="pct"/>
            <w:vAlign w:val="center"/>
          </w:tcPr>
          <w:p w14:paraId="2A5F3E91" w14:textId="77777777" w:rsidR="009F6AC8" w:rsidRPr="008C72E5" w:rsidRDefault="009F6AC8" w:rsidP="00B558B7">
            <w:pPr>
              <w:pStyle w:val="TekstTabeli"/>
            </w:pPr>
            <w:r w:rsidRPr="008C72E5">
              <w:t>155</w:t>
            </w:r>
          </w:p>
        </w:tc>
        <w:tc>
          <w:tcPr>
            <w:tcW w:w="880" w:type="pct"/>
            <w:vAlign w:val="center"/>
          </w:tcPr>
          <w:p w14:paraId="22EFFFD8" w14:textId="77777777" w:rsidR="009F6AC8" w:rsidRPr="008C72E5" w:rsidRDefault="009F6AC8" w:rsidP="00B558B7">
            <w:pPr>
              <w:pStyle w:val="TekstTabeli"/>
            </w:pPr>
            <w:r w:rsidRPr="008C72E5">
              <w:t>Durkin M., Howcroft B., Fairless C.</w:t>
            </w:r>
          </w:p>
        </w:tc>
        <w:tc>
          <w:tcPr>
            <w:tcW w:w="1771" w:type="pct"/>
            <w:vAlign w:val="center"/>
          </w:tcPr>
          <w:p w14:paraId="6C36B9AA" w14:textId="77777777" w:rsidR="009F6AC8" w:rsidRPr="008C72E5" w:rsidRDefault="009F6AC8" w:rsidP="00B558B7">
            <w:pPr>
              <w:pStyle w:val="TekstTabeli"/>
            </w:pPr>
            <w:r w:rsidRPr="008C72E5">
              <w:t>Product development in higher education marketing</w:t>
            </w:r>
          </w:p>
        </w:tc>
        <w:tc>
          <w:tcPr>
            <w:tcW w:w="2052" w:type="pct"/>
            <w:vAlign w:val="center"/>
          </w:tcPr>
          <w:p w14:paraId="0A7D9171" w14:textId="77777777" w:rsidR="009F6AC8" w:rsidRPr="008C72E5" w:rsidRDefault="009F6AC8" w:rsidP="00B558B7">
            <w:pPr>
              <w:pStyle w:val="TekstTabeli"/>
            </w:pPr>
            <w:r w:rsidRPr="008C72E5">
              <w:t>(2016) International Journal of Educational Management, 30 (3), pp. 354 - 369, DOI: 10.1108/IJEM-11-2014-0150</w:t>
            </w:r>
          </w:p>
        </w:tc>
      </w:tr>
      <w:tr w:rsidR="00C4329A" w:rsidRPr="004C10DC" w14:paraId="06CBEE5D" w14:textId="77777777" w:rsidTr="00C4329A">
        <w:trPr>
          <w:cantSplit/>
        </w:trPr>
        <w:tc>
          <w:tcPr>
            <w:tcW w:w="297" w:type="pct"/>
            <w:vAlign w:val="center"/>
          </w:tcPr>
          <w:p w14:paraId="7BDC70F8" w14:textId="77777777" w:rsidR="009F6AC8" w:rsidRPr="008C72E5" w:rsidRDefault="009F6AC8" w:rsidP="00B558B7">
            <w:pPr>
              <w:pStyle w:val="TekstTabeli"/>
            </w:pPr>
            <w:r w:rsidRPr="008C72E5">
              <w:t>156</w:t>
            </w:r>
          </w:p>
        </w:tc>
        <w:tc>
          <w:tcPr>
            <w:tcW w:w="880" w:type="pct"/>
            <w:vAlign w:val="center"/>
          </w:tcPr>
          <w:p w14:paraId="52E6D068" w14:textId="6CC537CB" w:rsidR="009F6AC8" w:rsidRPr="008C72E5" w:rsidRDefault="009F6AC8" w:rsidP="00B558B7">
            <w:pPr>
              <w:pStyle w:val="TekstTabeli"/>
            </w:pPr>
            <w:r w:rsidRPr="008C72E5">
              <w:t xml:space="preserve">Paucar-Caceres A., Cavalcanti-Bandos M.F., Quispe-Prieto S.C., </w:t>
            </w:r>
            <w:proofErr w:type="spellStart"/>
            <w:r w:rsidR="00A147A1" w:rsidRPr="008C72E5">
              <w:t>i</w:t>
            </w:r>
            <w:proofErr w:type="spellEnd"/>
            <w:r w:rsidR="00A147A1" w:rsidRPr="008C72E5">
              <w:t> in.</w:t>
            </w:r>
          </w:p>
        </w:tc>
        <w:tc>
          <w:tcPr>
            <w:tcW w:w="1771" w:type="pct"/>
            <w:vAlign w:val="center"/>
          </w:tcPr>
          <w:p w14:paraId="7BD5F86D" w14:textId="77777777" w:rsidR="009F6AC8" w:rsidRPr="008C72E5" w:rsidRDefault="009F6AC8" w:rsidP="00B558B7">
            <w:pPr>
              <w:pStyle w:val="TekstTabeli"/>
            </w:pPr>
            <w:r w:rsidRPr="008C72E5">
              <w:t>Using soft systems methodology to align community projects with sustainability development in higher education stakeholders' networks in a Brazilian university</w:t>
            </w:r>
          </w:p>
        </w:tc>
        <w:tc>
          <w:tcPr>
            <w:tcW w:w="2052" w:type="pct"/>
            <w:vAlign w:val="center"/>
          </w:tcPr>
          <w:p w14:paraId="5AA854D9" w14:textId="77777777" w:rsidR="009F6AC8" w:rsidRPr="008C72E5" w:rsidRDefault="009F6AC8" w:rsidP="00B558B7">
            <w:pPr>
              <w:pStyle w:val="TekstTabeli"/>
            </w:pPr>
            <w:r w:rsidRPr="008C72E5">
              <w:t>(2022) Systems Research and Behavioral Science, 39 (4), pp. 750 - 764, DOI: 10.1002/sres.2818</w:t>
            </w:r>
          </w:p>
        </w:tc>
      </w:tr>
      <w:tr w:rsidR="00C4329A" w:rsidRPr="004C10DC" w14:paraId="3DCBE3A5" w14:textId="77777777" w:rsidTr="00C4329A">
        <w:trPr>
          <w:cantSplit/>
        </w:trPr>
        <w:tc>
          <w:tcPr>
            <w:tcW w:w="297" w:type="pct"/>
            <w:vAlign w:val="center"/>
          </w:tcPr>
          <w:p w14:paraId="58841DFB" w14:textId="77777777" w:rsidR="009F6AC8" w:rsidRPr="008C72E5" w:rsidRDefault="009F6AC8" w:rsidP="00B558B7">
            <w:pPr>
              <w:pStyle w:val="TekstTabeli"/>
            </w:pPr>
            <w:r w:rsidRPr="008C72E5">
              <w:t>157</w:t>
            </w:r>
          </w:p>
        </w:tc>
        <w:tc>
          <w:tcPr>
            <w:tcW w:w="880" w:type="pct"/>
            <w:vAlign w:val="center"/>
          </w:tcPr>
          <w:p w14:paraId="5F7F08DD" w14:textId="77777777" w:rsidR="009F6AC8" w:rsidRPr="008C72E5" w:rsidRDefault="009F6AC8" w:rsidP="00B558B7">
            <w:pPr>
              <w:pStyle w:val="TekstTabeli"/>
            </w:pPr>
            <w:r w:rsidRPr="008C72E5">
              <w:t>Pilgrim C.</w:t>
            </w:r>
          </w:p>
        </w:tc>
        <w:tc>
          <w:tcPr>
            <w:tcW w:w="1771" w:type="pct"/>
            <w:vAlign w:val="center"/>
          </w:tcPr>
          <w:p w14:paraId="2783E898" w14:textId="77777777" w:rsidR="009F6AC8" w:rsidRPr="008C72E5" w:rsidRDefault="009F6AC8" w:rsidP="00B558B7">
            <w:pPr>
              <w:pStyle w:val="TekstTabeli"/>
            </w:pPr>
            <w:r w:rsidRPr="008C72E5">
              <w:t>Industry and university perspectives of work integrated learning programs in ICT degrees</w:t>
            </w:r>
          </w:p>
        </w:tc>
        <w:tc>
          <w:tcPr>
            <w:tcW w:w="2052" w:type="pct"/>
            <w:vAlign w:val="center"/>
          </w:tcPr>
          <w:p w14:paraId="0A7ECEB0" w14:textId="77777777" w:rsidR="009F6AC8" w:rsidRPr="008C72E5" w:rsidRDefault="009F6AC8" w:rsidP="00B558B7">
            <w:pPr>
              <w:pStyle w:val="TekstTabeli"/>
            </w:pPr>
            <w:r w:rsidRPr="008C72E5">
              <w:t>(2012) ACIS 2012 :  Proceedings of the 23rd Australasian Conference on Information Systems, 0</w:t>
            </w:r>
          </w:p>
        </w:tc>
      </w:tr>
      <w:tr w:rsidR="00C4329A" w:rsidRPr="004C10DC" w14:paraId="1BD9A437" w14:textId="77777777" w:rsidTr="00C4329A">
        <w:trPr>
          <w:cantSplit/>
        </w:trPr>
        <w:tc>
          <w:tcPr>
            <w:tcW w:w="297" w:type="pct"/>
            <w:vAlign w:val="center"/>
          </w:tcPr>
          <w:p w14:paraId="51E90323" w14:textId="77777777" w:rsidR="009F6AC8" w:rsidRPr="008C72E5" w:rsidRDefault="009F6AC8" w:rsidP="00B558B7">
            <w:pPr>
              <w:pStyle w:val="TekstTabeli"/>
            </w:pPr>
            <w:r w:rsidRPr="008C72E5">
              <w:t>158</w:t>
            </w:r>
          </w:p>
        </w:tc>
        <w:tc>
          <w:tcPr>
            <w:tcW w:w="880" w:type="pct"/>
            <w:vAlign w:val="center"/>
          </w:tcPr>
          <w:p w14:paraId="732A3984" w14:textId="77777777" w:rsidR="009F6AC8" w:rsidRPr="008C72E5" w:rsidRDefault="009F6AC8" w:rsidP="00B558B7">
            <w:pPr>
              <w:pStyle w:val="TekstTabeli"/>
            </w:pPr>
            <w:r w:rsidRPr="008C72E5">
              <w:t xml:space="preserve">Žižek S.S., Mulej M., Treven S., </w:t>
            </w:r>
            <w:proofErr w:type="spellStart"/>
            <w:r w:rsidRPr="008C72E5">
              <w:t>Vaner</w:t>
            </w:r>
            <w:proofErr w:type="spellEnd"/>
            <w:r w:rsidRPr="008C72E5">
              <w:t xml:space="preserve"> M.</w:t>
            </w:r>
          </w:p>
        </w:tc>
        <w:tc>
          <w:tcPr>
            <w:tcW w:w="1771" w:type="pct"/>
            <w:vAlign w:val="center"/>
          </w:tcPr>
          <w:p w14:paraId="35ED7B0F" w14:textId="77777777" w:rsidR="009F6AC8" w:rsidRPr="008C72E5" w:rsidRDefault="009F6AC8" w:rsidP="00B558B7">
            <w:pPr>
              <w:pStyle w:val="TekstTabeli"/>
            </w:pPr>
            <w:r w:rsidRPr="008C72E5">
              <w:t>Well-being of all stakeholders in higher education - From knowledge management to knowledge-cum-values management</w:t>
            </w:r>
          </w:p>
        </w:tc>
        <w:tc>
          <w:tcPr>
            <w:tcW w:w="2052" w:type="pct"/>
            <w:vAlign w:val="center"/>
          </w:tcPr>
          <w:p w14:paraId="7296BCE5" w14:textId="77777777" w:rsidR="009F6AC8" w:rsidRPr="008C72E5" w:rsidRDefault="009F6AC8" w:rsidP="00B558B7">
            <w:pPr>
              <w:pStyle w:val="TekstTabeli"/>
            </w:pPr>
            <w:r w:rsidRPr="008C72E5">
              <w:t>(2014) International Journal of Management in Education, 8 (3), pp. 225 - 243, DOI: 10.1504/IJMIE.2014.062958</w:t>
            </w:r>
          </w:p>
        </w:tc>
      </w:tr>
      <w:tr w:rsidR="00C4329A" w:rsidRPr="004C10DC" w14:paraId="5EAD2E9A" w14:textId="77777777" w:rsidTr="00C4329A">
        <w:trPr>
          <w:cantSplit/>
        </w:trPr>
        <w:tc>
          <w:tcPr>
            <w:tcW w:w="297" w:type="pct"/>
            <w:vAlign w:val="center"/>
          </w:tcPr>
          <w:p w14:paraId="077D91C0" w14:textId="77777777" w:rsidR="009F6AC8" w:rsidRPr="008C72E5" w:rsidRDefault="009F6AC8" w:rsidP="00B558B7">
            <w:pPr>
              <w:pStyle w:val="TekstTabeli"/>
            </w:pPr>
            <w:r w:rsidRPr="008C72E5">
              <w:t>159</w:t>
            </w:r>
          </w:p>
        </w:tc>
        <w:tc>
          <w:tcPr>
            <w:tcW w:w="880" w:type="pct"/>
            <w:vAlign w:val="center"/>
          </w:tcPr>
          <w:p w14:paraId="774D15F7" w14:textId="449D40A9" w:rsidR="009F6AC8" w:rsidRPr="008C72E5" w:rsidRDefault="009F6AC8" w:rsidP="00B558B7">
            <w:pPr>
              <w:pStyle w:val="TekstTabeli"/>
            </w:pPr>
            <w:r w:rsidRPr="008C72E5">
              <w:t xml:space="preserve">Tassone V.C., Biemans H.J.A., </w:t>
            </w:r>
            <w:proofErr w:type="spellStart"/>
            <w:r w:rsidR="00A147A1" w:rsidRPr="008C72E5">
              <w:t>i</w:t>
            </w:r>
            <w:proofErr w:type="spellEnd"/>
            <w:r w:rsidR="00A147A1" w:rsidRPr="008C72E5">
              <w:t> in.</w:t>
            </w:r>
          </w:p>
        </w:tc>
        <w:tc>
          <w:tcPr>
            <w:tcW w:w="1771" w:type="pct"/>
            <w:vAlign w:val="center"/>
          </w:tcPr>
          <w:p w14:paraId="63508CCE" w14:textId="77777777" w:rsidR="009F6AC8" w:rsidRPr="008C72E5" w:rsidRDefault="009F6AC8" w:rsidP="00B558B7">
            <w:pPr>
              <w:pStyle w:val="TekstTabeli"/>
            </w:pPr>
            <w:r w:rsidRPr="008C72E5">
              <w:t>Mapping course innovation in higher education: a multi-faceted analytical framework</w:t>
            </w:r>
          </w:p>
        </w:tc>
        <w:tc>
          <w:tcPr>
            <w:tcW w:w="2052" w:type="pct"/>
            <w:vAlign w:val="center"/>
          </w:tcPr>
          <w:p w14:paraId="2436A037" w14:textId="77777777" w:rsidR="009F6AC8" w:rsidRPr="008C72E5" w:rsidRDefault="009F6AC8" w:rsidP="00B558B7">
            <w:pPr>
              <w:pStyle w:val="TekstTabeli"/>
            </w:pPr>
            <w:r w:rsidRPr="008C72E5">
              <w:t>(2022) Higher Education Research and Development, 41 (7), pp. 2458 - 2472, DOI: 10.1080/07294360.2021.1985089</w:t>
            </w:r>
          </w:p>
        </w:tc>
      </w:tr>
      <w:tr w:rsidR="00C4329A" w:rsidRPr="004C10DC" w14:paraId="3250B4ED" w14:textId="77777777" w:rsidTr="00C4329A">
        <w:trPr>
          <w:cantSplit/>
        </w:trPr>
        <w:tc>
          <w:tcPr>
            <w:tcW w:w="297" w:type="pct"/>
            <w:vAlign w:val="center"/>
          </w:tcPr>
          <w:p w14:paraId="34E1B4DE" w14:textId="77777777" w:rsidR="009F6AC8" w:rsidRPr="008C72E5" w:rsidRDefault="009F6AC8" w:rsidP="00B558B7">
            <w:pPr>
              <w:pStyle w:val="TekstTabeli"/>
            </w:pPr>
            <w:r w:rsidRPr="008C72E5">
              <w:t>160</w:t>
            </w:r>
          </w:p>
        </w:tc>
        <w:tc>
          <w:tcPr>
            <w:tcW w:w="880" w:type="pct"/>
            <w:vAlign w:val="center"/>
          </w:tcPr>
          <w:p w14:paraId="51E48A34" w14:textId="77777777" w:rsidR="009F6AC8" w:rsidRPr="008C72E5" w:rsidRDefault="009F6AC8" w:rsidP="00B558B7">
            <w:pPr>
              <w:pStyle w:val="TekstTabeli"/>
            </w:pPr>
            <w:proofErr w:type="spellStart"/>
            <w:r w:rsidRPr="008C72E5">
              <w:t>Kayapinar</w:t>
            </w:r>
            <w:proofErr w:type="spellEnd"/>
            <w:r w:rsidRPr="008C72E5">
              <w:t xml:space="preserve"> Kaya S., Ozdemir Y., Dal M.</w:t>
            </w:r>
          </w:p>
        </w:tc>
        <w:tc>
          <w:tcPr>
            <w:tcW w:w="1771" w:type="pct"/>
            <w:vAlign w:val="center"/>
          </w:tcPr>
          <w:p w14:paraId="4796D9C3" w14:textId="77777777" w:rsidR="009F6AC8" w:rsidRPr="008C72E5" w:rsidRDefault="009F6AC8" w:rsidP="00B558B7">
            <w:pPr>
              <w:pStyle w:val="TekstTabeli"/>
            </w:pPr>
            <w:r w:rsidRPr="008C72E5">
              <w:t xml:space="preserve">“Home-buying </w:t>
            </w:r>
            <w:proofErr w:type="spellStart"/>
            <w:r w:rsidRPr="008C72E5">
              <w:t>behaviour</w:t>
            </w:r>
            <w:proofErr w:type="spellEnd"/>
            <w:r w:rsidRPr="008C72E5">
              <w:t xml:space="preserve"> model of Generation Y in Turkey”</w:t>
            </w:r>
          </w:p>
        </w:tc>
        <w:tc>
          <w:tcPr>
            <w:tcW w:w="2052" w:type="pct"/>
            <w:vAlign w:val="center"/>
          </w:tcPr>
          <w:p w14:paraId="012CE4C3" w14:textId="77777777" w:rsidR="009F6AC8" w:rsidRPr="008C72E5" w:rsidRDefault="009F6AC8" w:rsidP="00B558B7">
            <w:pPr>
              <w:pStyle w:val="TekstTabeli"/>
            </w:pPr>
            <w:r w:rsidRPr="008C72E5">
              <w:t>(2020) International Journal of Housing Markets and Analysis, 13 (5), pp. 713 - 736, DOI: 10.1108/IJHMA-05-2019-0048</w:t>
            </w:r>
          </w:p>
        </w:tc>
      </w:tr>
      <w:tr w:rsidR="00C4329A" w:rsidRPr="004C10DC" w14:paraId="7C150E48" w14:textId="77777777" w:rsidTr="00C4329A">
        <w:trPr>
          <w:cantSplit/>
        </w:trPr>
        <w:tc>
          <w:tcPr>
            <w:tcW w:w="297" w:type="pct"/>
            <w:vAlign w:val="center"/>
          </w:tcPr>
          <w:p w14:paraId="5D39C8C1" w14:textId="77777777" w:rsidR="009F6AC8" w:rsidRPr="008C72E5" w:rsidRDefault="009F6AC8" w:rsidP="00B558B7">
            <w:pPr>
              <w:pStyle w:val="TekstTabeli"/>
            </w:pPr>
            <w:r w:rsidRPr="008C72E5">
              <w:t>161</w:t>
            </w:r>
          </w:p>
        </w:tc>
        <w:tc>
          <w:tcPr>
            <w:tcW w:w="880" w:type="pct"/>
            <w:vAlign w:val="center"/>
          </w:tcPr>
          <w:p w14:paraId="0CD78598" w14:textId="77777777" w:rsidR="009F6AC8" w:rsidRPr="008C72E5" w:rsidRDefault="009F6AC8" w:rsidP="00B558B7">
            <w:pPr>
              <w:pStyle w:val="TekstTabeli"/>
            </w:pPr>
            <w:r w:rsidRPr="008C72E5">
              <w:t>Charles L.H.</w:t>
            </w:r>
          </w:p>
        </w:tc>
        <w:tc>
          <w:tcPr>
            <w:tcW w:w="1771" w:type="pct"/>
            <w:vAlign w:val="center"/>
          </w:tcPr>
          <w:p w14:paraId="432CE28C" w14:textId="77777777" w:rsidR="009F6AC8" w:rsidRPr="008C72E5" w:rsidRDefault="009F6AC8" w:rsidP="00B558B7">
            <w:pPr>
              <w:pStyle w:val="TekstTabeli"/>
            </w:pPr>
            <w:r w:rsidRPr="008C72E5">
              <w:t>Using an information literacy curriculum map as a means of communication and accountability for stakeholders in higher education</w:t>
            </w:r>
          </w:p>
        </w:tc>
        <w:tc>
          <w:tcPr>
            <w:tcW w:w="2052" w:type="pct"/>
            <w:vAlign w:val="center"/>
          </w:tcPr>
          <w:p w14:paraId="2BFBF5E5" w14:textId="77777777" w:rsidR="009F6AC8" w:rsidRPr="008C72E5" w:rsidRDefault="009F6AC8" w:rsidP="00B558B7">
            <w:pPr>
              <w:pStyle w:val="TekstTabeli"/>
            </w:pPr>
            <w:r w:rsidRPr="008C72E5">
              <w:t>(2015) Journal of Information Literacy, 9 (1), pp. 47 - 61, DOI: 10.11645/9.1.1959</w:t>
            </w:r>
          </w:p>
        </w:tc>
      </w:tr>
      <w:tr w:rsidR="00C4329A" w:rsidRPr="004C10DC" w14:paraId="7B7226C1" w14:textId="77777777" w:rsidTr="00C4329A">
        <w:trPr>
          <w:cantSplit/>
        </w:trPr>
        <w:tc>
          <w:tcPr>
            <w:tcW w:w="297" w:type="pct"/>
            <w:vAlign w:val="center"/>
          </w:tcPr>
          <w:p w14:paraId="4ED1D3EB" w14:textId="77777777" w:rsidR="009F6AC8" w:rsidRPr="008C72E5" w:rsidRDefault="009F6AC8" w:rsidP="00B558B7">
            <w:pPr>
              <w:pStyle w:val="TekstTabeli"/>
            </w:pPr>
            <w:r w:rsidRPr="008C72E5">
              <w:t>162</w:t>
            </w:r>
          </w:p>
        </w:tc>
        <w:tc>
          <w:tcPr>
            <w:tcW w:w="880" w:type="pct"/>
            <w:vAlign w:val="center"/>
          </w:tcPr>
          <w:p w14:paraId="62BBD0A3" w14:textId="77777777" w:rsidR="009F6AC8" w:rsidRPr="008C72E5" w:rsidRDefault="009F6AC8" w:rsidP="00B558B7">
            <w:pPr>
              <w:pStyle w:val="TekstTabeli"/>
            </w:pPr>
            <w:r w:rsidRPr="008C72E5">
              <w:t>Nichols M.</w:t>
            </w:r>
          </w:p>
        </w:tc>
        <w:tc>
          <w:tcPr>
            <w:tcW w:w="1771" w:type="pct"/>
            <w:vAlign w:val="center"/>
          </w:tcPr>
          <w:p w14:paraId="5A3FD721" w14:textId="77777777" w:rsidR="009F6AC8" w:rsidRPr="008C72E5" w:rsidRDefault="009F6AC8" w:rsidP="00B558B7">
            <w:pPr>
              <w:pStyle w:val="TekstTabeli"/>
            </w:pPr>
            <w:r w:rsidRPr="008C72E5">
              <w:t>Transforming universities with digital distance education: The future of formal learning</w:t>
            </w:r>
          </w:p>
        </w:tc>
        <w:tc>
          <w:tcPr>
            <w:tcW w:w="2052" w:type="pct"/>
            <w:vAlign w:val="center"/>
          </w:tcPr>
          <w:p w14:paraId="5E2CE5A0" w14:textId="77777777" w:rsidR="009F6AC8" w:rsidRPr="008C72E5" w:rsidRDefault="009F6AC8" w:rsidP="00B558B7">
            <w:pPr>
              <w:pStyle w:val="TekstTabeli"/>
            </w:pPr>
            <w:r w:rsidRPr="008C72E5">
              <w:t>(2020) Transforming Universities with Digital Distance Education: The Future of Formal Learning, pp. 1 - 176, DOI: 10.4324/9780429463952</w:t>
            </w:r>
          </w:p>
        </w:tc>
      </w:tr>
      <w:tr w:rsidR="00C4329A" w:rsidRPr="004C10DC" w14:paraId="07E620AF" w14:textId="77777777" w:rsidTr="00C4329A">
        <w:trPr>
          <w:cantSplit/>
        </w:trPr>
        <w:tc>
          <w:tcPr>
            <w:tcW w:w="297" w:type="pct"/>
            <w:vAlign w:val="center"/>
          </w:tcPr>
          <w:p w14:paraId="6545AF13" w14:textId="77777777" w:rsidR="009F6AC8" w:rsidRPr="008C72E5" w:rsidRDefault="009F6AC8" w:rsidP="00B558B7">
            <w:pPr>
              <w:pStyle w:val="TekstTabeli"/>
            </w:pPr>
            <w:r w:rsidRPr="008C72E5">
              <w:t>163</w:t>
            </w:r>
          </w:p>
        </w:tc>
        <w:tc>
          <w:tcPr>
            <w:tcW w:w="880" w:type="pct"/>
            <w:vAlign w:val="center"/>
          </w:tcPr>
          <w:p w14:paraId="3D5A5A92" w14:textId="77777777" w:rsidR="009F6AC8" w:rsidRPr="00D82766" w:rsidRDefault="009F6AC8" w:rsidP="00B558B7">
            <w:pPr>
              <w:pStyle w:val="TekstTabeli"/>
              <w:rPr>
                <w:lang w:val="pl-PL"/>
              </w:rPr>
            </w:pPr>
            <w:r w:rsidRPr="00D82766">
              <w:rPr>
                <w:lang w:val="pl-PL"/>
              </w:rPr>
              <w:t xml:space="preserve">Zwane Z.P., </w:t>
            </w:r>
            <w:proofErr w:type="spellStart"/>
            <w:r w:rsidRPr="00D82766">
              <w:rPr>
                <w:lang w:val="pl-PL"/>
              </w:rPr>
              <w:t>Mtshali</w:t>
            </w:r>
            <w:proofErr w:type="spellEnd"/>
            <w:r w:rsidRPr="00D82766">
              <w:rPr>
                <w:lang w:val="pl-PL"/>
              </w:rPr>
              <w:t xml:space="preserve"> N.G.</w:t>
            </w:r>
          </w:p>
        </w:tc>
        <w:tc>
          <w:tcPr>
            <w:tcW w:w="1771" w:type="pct"/>
            <w:vAlign w:val="center"/>
          </w:tcPr>
          <w:p w14:paraId="4E5177BE" w14:textId="77777777" w:rsidR="009F6AC8" w:rsidRPr="008C72E5" w:rsidRDefault="009F6AC8" w:rsidP="00B558B7">
            <w:pPr>
              <w:pStyle w:val="TekstTabeli"/>
            </w:pPr>
            <w:r w:rsidRPr="008C72E5">
              <w:t>Positioning public nursing colleges in South African higher education: Stakeholders’ perspectives</w:t>
            </w:r>
          </w:p>
        </w:tc>
        <w:tc>
          <w:tcPr>
            <w:tcW w:w="2052" w:type="pct"/>
            <w:vAlign w:val="center"/>
          </w:tcPr>
          <w:p w14:paraId="266B92A9" w14:textId="77777777" w:rsidR="009F6AC8" w:rsidRPr="008C72E5" w:rsidRDefault="009F6AC8" w:rsidP="00B558B7">
            <w:pPr>
              <w:pStyle w:val="TekstTabeli"/>
            </w:pPr>
            <w:r w:rsidRPr="008C72E5">
              <w:t xml:space="preserve">(2019) </w:t>
            </w:r>
            <w:proofErr w:type="spellStart"/>
            <w:r w:rsidRPr="008C72E5">
              <w:t>Curationis</w:t>
            </w:r>
            <w:proofErr w:type="spellEnd"/>
            <w:r w:rsidRPr="008C72E5">
              <w:t>, 42 (1), art. no. a1885, DOI: 10.4102/curationis.v42i1.1885</w:t>
            </w:r>
          </w:p>
        </w:tc>
      </w:tr>
      <w:tr w:rsidR="00C4329A" w:rsidRPr="004C10DC" w14:paraId="64987CB6" w14:textId="77777777" w:rsidTr="00C4329A">
        <w:trPr>
          <w:cantSplit/>
        </w:trPr>
        <w:tc>
          <w:tcPr>
            <w:tcW w:w="297" w:type="pct"/>
            <w:vAlign w:val="center"/>
          </w:tcPr>
          <w:p w14:paraId="22809166" w14:textId="77777777" w:rsidR="009F6AC8" w:rsidRPr="008C72E5" w:rsidRDefault="009F6AC8" w:rsidP="00B558B7">
            <w:pPr>
              <w:pStyle w:val="TekstTabeli"/>
            </w:pPr>
            <w:r w:rsidRPr="008C72E5">
              <w:t>164</w:t>
            </w:r>
          </w:p>
        </w:tc>
        <w:tc>
          <w:tcPr>
            <w:tcW w:w="880" w:type="pct"/>
            <w:vAlign w:val="center"/>
          </w:tcPr>
          <w:p w14:paraId="3956B5E5" w14:textId="3C4003F5" w:rsidR="009F6AC8" w:rsidRPr="008C72E5" w:rsidRDefault="009F6AC8" w:rsidP="00B558B7">
            <w:pPr>
              <w:pStyle w:val="TekstTabeli"/>
            </w:pPr>
            <w:proofErr w:type="spellStart"/>
            <w:r w:rsidRPr="008C72E5">
              <w:t>Kabanbayeva</w:t>
            </w:r>
            <w:proofErr w:type="spellEnd"/>
            <w:r w:rsidRPr="008C72E5">
              <w:t xml:space="preserve"> G., </w:t>
            </w:r>
            <w:proofErr w:type="spellStart"/>
            <w:r w:rsidRPr="008C72E5">
              <w:t>Gureva</w:t>
            </w:r>
            <w:proofErr w:type="spellEnd"/>
            <w:r w:rsidRPr="008C72E5">
              <w:t xml:space="preserve"> M., </w:t>
            </w:r>
            <w:proofErr w:type="spellStart"/>
            <w:r w:rsidR="00A147A1" w:rsidRPr="008C72E5">
              <w:t>i</w:t>
            </w:r>
            <w:proofErr w:type="spellEnd"/>
            <w:r w:rsidR="00A147A1" w:rsidRPr="008C72E5">
              <w:t> in.</w:t>
            </w:r>
          </w:p>
        </w:tc>
        <w:tc>
          <w:tcPr>
            <w:tcW w:w="1771" w:type="pct"/>
            <w:vAlign w:val="center"/>
          </w:tcPr>
          <w:p w14:paraId="4E8CE2BD" w14:textId="77777777" w:rsidR="009F6AC8" w:rsidRPr="008C72E5" w:rsidRDefault="009F6AC8" w:rsidP="00B558B7">
            <w:pPr>
              <w:pStyle w:val="TekstTabeli"/>
            </w:pPr>
            <w:r w:rsidRPr="008C72E5">
              <w:t>Academic mobility and financial stability: A case of Erasmus student exchange program</w:t>
            </w:r>
          </w:p>
        </w:tc>
        <w:tc>
          <w:tcPr>
            <w:tcW w:w="2052" w:type="pct"/>
            <w:vAlign w:val="center"/>
          </w:tcPr>
          <w:p w14:paraId="0DE3509E" w14:textId="77777777" w:rsidR="009F6AC8" w:rsidRPr="008C72E5" w:rsidRDefault="009F6AC8" w:rsidP="00B558B7">
            <w:pPr>
              <w:pStyle w:val="TekstTabeli"/>
            </w:pPr>
            <w:r w:rsidRPr="008C72E5">
              <w:t>(2019) Journal of International Studies, 12 (1), pp. 324 - 337, DOI: 10.14254/2071-8330.2019/12-1/22</w:t>
            </w:r>
          </w:p>
        </w:tc>
      </w:tr>
      <w:tr w:rsidR="00C4329A" w:rsidRPr="004C10DC" w14:paraId="38BE3FAC" w14:textId="77777777" w:rsidTr="00C4329A">
        <w:trPr>
          <w:cantSplit/>
        </w:trPr>
        <w:tc>
          <w:tcPr>
            <w:tcW w:w="297" w:type="pct"/>
            <w:vAlign w:val="center"/>
          </w:tcPr>
          <w:p w14:paraId="48F53E9D" w14:textId="77777777" w:rsidR="009F6AC8" w:rsidRPr="008C72E5" w:rsidRDefault="009F6AC8" w:rsidP="00B558B7">
            <w:pPr>
              <w:pStyle w:val="TekstTabeli"/>
            </w:pPr>
            <w:r w:rsidRPr="008C72E5">
              <w:lastRenderedPageBreak/>
              <w:t>165</w:t>
            </w:r>
          </w:p>
        </w:tc>
        <w:tc>
          <w:tcPr>
            <w:tcW w:w="880" w:type="pct"/>
            <w:vAlign w:val="center"/>
          </w:tcPr>
          <w:p w14:paraId="036FE77A" w14:textId="77777777" w:rsidR="009F6AC8" w:rsidRPr="008C72E5" w:rsidRDefault="009F6AC8" w:rsidP="00B558B7">
            <w:pPr>
              <w:pStyle w:val="TekstTabeli"/>
            </w:pPr>
            <w:r w:rsidRPr="008C72E5">
              <w:t>Fish A.</w:t>
            </w:r>
          </w:p>
        </w:tc>
        <w:tc>
          <w:tcPr>
            <w:tcW w:w="1771" w:type="pct"/>
            <w:vAlign w:val="center"/>
          </w:tcPr>
          <w:p w14:paraId="770FF002" w14:textId="77777777" w:rsidR="009F6AC8" w:rsidRPr="008C72E5" w:rsidRDefault="009F6AC8" w:rsidP="00B558B7">
            <w:pPr>
              <w:pStyle w:val="TekstTabeli"/>
            </w:pPr>
            <w:r w:rsidRPr="008C72E5">
              <w:t>Reshaping the undergraduate business curriculum and scholarship experiences in Australia to support whole-person outcomes</w:t>
            </w:r>
          </w:p>
        </w:tc>
        <w:tc>
          <w:tcPr>
            <w:tcW w:w="2052" w:type="pct"/>
            <w:vAlign w:val="center"/>
          </w:tcPr>
          <w:p w14:paraId="397781E0" w14:textId="77777777" w:rsidR="009F6AC8" w:rsidRPr="008C72E5" w:rsidRDefault="009F6AC8" w:rsidP="00B558B7">
            <w:pPr>
              <w:pStyle w:val="TekstTabeli"/>
            </w:pPr>
            <w:r w:rsidRPr="008C72E5">
              <w:t>(2013) Asian Education and Development Studies, 2 (1), pp. 53 - 69, DOI: 10.1108/20463161311297635</w:t>
            </w:r>
          </w:p>
        </w:tc>
      </w:tr>
      <w:tr w:rsidR="00C4329A" w:rsidRPr="004C10DC" w14:paraId="5FABD27A" w14:textId="77777777" w:rsidTr="00C4329A">
        <w:trPr>
          <w:cantSplit/>
        </w:trPr>
        <w:tc>
          <w:tcPr>
            <w:tcW w:w="297" w:type="pct"/>
            <w:vAlign w:val="center"/>
          </w:tcPr>
          <w:p w14:paraId="759D8664" w14:textId="77777777" w:rsidR="009F6AC8" w:rsidRPr="008C72E5" w:rsidRDefault="009F6AC8" w:rsidP="00B558B7">
            <w:pPr>
              <w:pStyle w:val="TekstTabeli"/>
            </w:pPr>
            <w:r w:rsidRPr="008C72E5">
              <w:t>166</w:t>
            </w:r>
          </w:p>
        </w:tc>
        <w:tc>
          <w:tcPr>
            <w:tcW w:w="880" w:type="pct"/>
            <w:vAlign w:val="center"/>
          </w:tcPr>
          <w:p w14:paraId="3739B386" w14:textId="77777777" w:rsidR="009F6AC8" w:rsidRPr="008C72E5" w:rsidRDefault="009F6AC8" w:rsidP="00B558B7">
            <w:pPr>
              <w:pStyle w:val="TekstTabeli"/>
            </w:pPr>
            <w:r w:rsidRPr="008C72E5">
              <w:t>Heider J.S.</w:t>
            </w:r>
          </w:p>
        </w:tc>
        <w:tc>
          <w:tcPr>
            <w:tcW w:w="1771" w:type="pct"/>
            <w:vAlign w:val="center"/>
          </w:tcPr>
          <w:p w14:paraId="3BA8E5A2" w14:textId="77777777" w:rsidR="009F6AC8" w:rsidRPr="008C72E5" w:rsidRDefault="009F6AC8" w:rsidP="00B558B7">
            <w:pPr>
              <w:pStyle w:val="TekstTabeli"/>
            </w:pPr>
            <w:r w:rsidRPr="008C72E5">
              <w:t>Using Digital Learning Solutions to Address Higher Education’s Greatest Challenges</w:t>
            </w:r>
          </w:p>
        </w:tc>
        <w:tc>
          <w:tcPr>
            <w:tcW w:w="2052" w:type="pct"/>
            <w:vAlign w:val="center"/>
          </w:tcPr>
          <w:p w14:paraId="597E5C67" w14:textId="77777777" w:rsidR="009F6AC8" w:rsidRPr="008C72E5" w:rsidRDefault="009F6AC8" w:rsidP="00B558B7">
            <w:pPr>
              <w:pStyle w:val="TekstTabeli"/>
            </w:pPr>
            <w:r w:rsidRPr="008C72E5">
              <w:t>(2015) Publishing Research Quarterly, 31 (3), pp. 183 - 189, DOI: 10.1007/s12109-015-9413-8</w:t>
            </w:r>
          </w:p>
        </w:tc>
      </w:tr>
      <w:tr w:rsidR="00C4329A" w:rsidRPr="004C10DC" w14:paraId="4915289E" w14:textId="77777777" w:rsidTr="00C4329A">
        <w:trPr>
          <w:cantSplit/>
        </w:trPr>
        <w:tc>
          <w:tcPr>
            <w:tcW w:w="297" w:type="pct"/>
            <w:vAlign w:val="center"/>
          </w:tcPr>
          <w:p w14:paraId="5DB68436" w14:textId="77777777" w:rsidR="009F6AC8" w:rsidRPr="008C72E5" w:rsidRDefault="009F6AC8" w:rsidP="00B558B7">
            <w:pPr>
              <w:pStyle w:val="TekstTabeli"/>
            </w:pPr>
            <w:r w:rsidRPr="008C72E5">
              <w:t>167</w:t>
            </w:r>
          </w:p>
        </w:tc>
        <w:tc>
          <w:tcPr>
            <w:tcW w:w="880" w:type="pct"/>
            <w:vAlign w:val="center"/>
          </w:tcPr>
          <w:p w14:paraId="3DFAE90E" w14:textId="77777777" w:rsidR="009F6AC8" w:rsidRPr="008C72E5" w:rsidRDefault="009F6AC8" w:rsidP="00B558B7">
            <w:pPr>
              <w:pStyle w:val="TekstTabeli"/>
            </w:pPr>
            <w:r w:rsidRPr="008C72E5">
              <w:t>Girard T., Pinar M.</w:t>
            </w:r>
          </w:p>
        </w:tc>
        <w:tc>
          <w:tcPr>
            <w:tcW w:w="1771" w:type="pct"/>
            <w:vAlign w:val="center"/>
          </w:tcPr>
          <w:p w14:paraId="5DCB84F7" w14:textId="77777777" w:rsidR="009F6AC8" w:rsidRPr="008C72E5" w:rsidRDefault="009F6AC8" w:rsidP="00B558B7">
            <w:pPr>
              <w:pStyle w:val="TekstTabeli"/>
            </w:pPr>
            <w:r w:rsidRPr="008C72E5">
              <w:t>An empirical study of the dynamic relationships between the core and supporting brand equity dimensions in higher education</w:t>
            </w:r>
          </w:p>
        </w:tc>
        <w:tc>
          <w:tcPr>
            <w:tcW w:w="2052" w:type="pct"/>
            <w:vAlign w:val="center"/>
          </w:tcPr>
          <w:p w14:paraId="63B8F17D" w14:textId="77777777" w:rsidR="009F6AC8" w:rsidRPr="008C72E5" w:rsidRDefault="009F6AC8" w:rsidP="00B558B7">
            <w:pPr>
              <w:pStyle w:val="TekstTabeli"/>
            </w:pPr>
            <w:r w:rsidRPr="008C72E5">
              <w:t>(2020) Journal of Applied Research in Higher Education, 13 (3), pp. 710 - 740, DOI: 10.1108/JARHE-04-2020-0097</w:t>
            </w:r>
          </w:p>
        </w:tc>
      </w:tr>
      <w:tr w:rsidR="00C4329A" w:rsidRPr="004C10DC" w14:paraId="1C87E14E" w14:textId="77777777" w:rsidTr="00C4329A">
        <w:trPr>
          <w:cantSplit/>
        </w:trPr>
        <w:tc>
          <w:tcPr>
            <w:tcW w:w="297" w:type="pct"/>
            <w:vAlign w:val="center"/>
          </w:tcPr>
          <w:p w14:paraId="4BC417EE" w14:textId="77777777" w:rsidR="009F6AC8" w:rsidRPr="008C72E5" w:rsidRDefault="009F6AC8" w:rsidP="00B558B7">
            <w:pPr>
              <w:pStyle w:val="TekstTabeli"/>
            </w:pPr>
            <w:r w:rsidRPr="008C72E5">
              <w:t>168</w:t>
            </w:r>
          </w:p>
        </w:tc>
        <w:tc>
          <w:tcPr>
            <w:tcW w:w="880" w:type="pct"/>
            <w:vAlign w:val="center"/>
          </w:tcPr>
          <w:p w14:paraId="3CD6D9D5" w14:textId="77777777" w:rsidR="009F6AC8" w:rsidRPr="008C72E5" w:rsidRDefault="009F6AC8" w:rsidP="00B558B7">
            <w:pPr>
              <w:pStyle w:val="TekstTabeli"/>
            </w:pPr>
            <w:r w:rsidRPr="008C72E5">
              <w:t>Broad M.J., Matthews M., Shephard K.</w:t>
            </w:r>
          </w:p>
        </w:tc>
        <w:tc>
          <w:tcPr>
            <w:tcW w:w="1771" w:type="pct"/>
            <w:vAlign w:val="center"/>
          </w:tcPr>
          <w:p w14:paraId="196F8817" w14:textId="77777777" w:rsidR="009F6AC8" w:rsidRPr="008C72E5" w:rsidRDefault="009F6AC8" w:rsidP="00B558B7">
            <w:pPr>
              <w:pStyle w:val="TekstTabeli"/>
            </w:pPr>
            <w:r w:rsidRPr="008C72E5">
              <w:t>Audit and control of the use of the Internet for learning and teaching: issues for stakeholders in higher education</w:t>
            </w:r>
          </w:p>
        </w:tc>
        <w:tc>
          <w:tcPr>
            <w:tcW w:w="2052" w:type="pct"/>
            <w:vAlign w:val="center"/>
          </w:tcPr>
          <w:p w14:paraId="66C4874F" w14:textId="77777777" w:rsidR="009F6AC8" w:rsidRPr="008C72E5" w:rsidRDefault="009F6AC8" w:rsidP="00B558B7">
            <w:pPr>
              <w:pStyle w:val="TekstTabeli"/>
            </w:pPr>
            <w:r w:rsidRPr="008C72E5">
              <w:t>(2003) Managerial Auditing Journal, 18 (3), pp. 244 - 253, DOI: 10.1108/02686900310469907</w:t>
            </w:r>
          </w:p>
        </w:tc>
      </w:tr>
      <w:tr w:rsidR="00C4329A" w:rsidRPr="004C10DC" w14:paraId="7FDDA4AE" w14:textId="77777777" w:rsidTr="00C4329A">
        <w:trPr>
          <w:cantSplit/>
        </w:trPr>
        <w:tc>
          <w:tcPr>
            <w:tcW w:w="297" w:type="pct"/>
            <w:vAlign w:val="center"/>
          </w:tcPr>
          <w:p w14:paraId="23DB2DA0" w14:textId="77777777" w:rsidR="009F6AC8" w:rsidRPr="008C72E5" w:rsidRDefault="009F6AC8" w:rsidP="00B558B7">
            <w:pPr>
              <w:pStyle w:val="TekstTabeli"/>
            </w:pPr>
            <w:r w:rsidRPr="008C72E5">
              <w:t>169</w:t>
            </w:r>
          </w:p>
        </w:tc>
        <w:tc>
          <w:tcPr>
            <w:tcW w:w="880" w:type="pct"/>
            <w:vAlign w:val="center"/>
          </w:tcPr>
          <w:p w14:paraId="2A72271F" w14:textId="6BE97A08" w:rsidR="009F6AC8" w:rsidRPr="008C72E5" w:rsidRDefault="009F6AC8" w:rsidP="00B558B7">
            <w:pPr>
              <w:pStyle w:val="TekstTabeli"/>
            </w:pPr>
            <w:proofErr w:type="spellStart"/>
            <w:r w:rsidRPr="008C72E5">
              <w:t>Koksharov</w:t>
            </w:r>
            <w:proofErr w:type="spellEnd"/>
            <w:r w:rsidRPr="008C72E5">
              <w:t xml:space="preserve"> V.A., Sandler D.G., Kuznetsov P.D., </w:t>
            </w:r>
            <w:proofErr w:type="spellStart"/>
            <w:r w:rsidR="00A147A1" w:rsidRPr="008C72E5">
              <w:t>i</w:t>
            </w:r>
            <w:proofErr w:type="spellEnd"/>
            <w:r w:rsidR="00A147A1" w:rsidRPr="008C72E5">
              <w:t> in.</w:t>
            </w:r>
          </w:p>
        </w:tc>
        <w:tc>
          <w:tcPr>
            <w:tcW w:w="1771" w:type="pct"/>
            <w:vAlign w:val="center"/>
          </w:tcPr>
          <w:p w14:paraId="78539B7D" w14:textId="77777777" w:rsidR="009F6AC8" w:rsidRPr="008C72E5" w:rsidRDefault="009F6AC8" w:rsidP="00B558B7">
            <w:pPr>
              <w:pStyle w:val="TekstTabeli"/>
            </w:pPr>
            <w:r w:rsidRPr="008C72E5">
              <w:t>The Pandemic as a Challenge to the Development of University Networks in Russia: Differentiation or Collaboration?</w:t>
            </w:r>
          </w:p>
        </w:tc>
        <w:tc>
          <w:tcPr>
            <w:tcW w:w="2052" w:type="pct"/>
            <w:vAlign w:val="center"/>
          </w:tcPr>
          <w:p w14:paraId="3A80F256" w14:textId="77777777" w:rsidR="009F6AC8" w:rsidRPr="008C72E5" w:rsidRDefault="009F6AC8" w:rsidP="00B558B7">
            <w:pPr>
              <w:pStyle w:val="TekstTabeli"/>
            </w:pPr>
            <w:r w:rsidRPr="008C72E5">
              <w:t xml:space="preserve">(2021) </w:t>
            </w:r>
            <w:proofErr w:type="spellStart"/>
            <w:r w:rsidRPr="008C72E5">
              <w:t>Voprosy</w:t>
            </w:r>
            <w:proofErr w:type="spellEnd"/>
            <w:r w:rsidRPr="008C72E5">
              <w:t xml:space="preserve"> </w:t>
            </w:r>
            <w:proofErr w:type="spellStart"/>
            <w:r w:rsidRPr="008C72E5">
              <w:t>Obrazovaniya</w:t>
            </w:r>
            <w:proofErr w:type="spellEnd"/>
            <w:r w:rsidRPr="008C72E5">
              <w:t xml:space="preserve"> / Educational Studies Moscow, 2021 (1), pp. 52 - 73, DOI: 10.17323/1814-9545-2021-1-52-73</w:t>
            </w:r>
          </w:p>
        </w:tc>
      </w:tr>
      <w:tr w:rsidR="00C4329A" w:rsidRPr="004C10DC" w14:paraId="519FBCBC" w14:textId="77777777" w:rsidTr="00C4329A">
        <w:trPr>
          <w:cantSplit/>
        </w:trPr>
        <w:tc>
          <w:tcPr>
            <w:tcW w:w="297" w:type="pct"/>
            <w:vAlign w:val="center"/>
          </w:tcPr>
          <w:p w14:paraId="7503A670" w14:textId="77777777" w:rsidR="009F6AC8" w:rsidRPr="008C72E5" w:rsidRDefault="009F6AC8" w:rsidP="00B558B7">
            <w:pPr>
              <w:pStyle w:val="TekstTabeli"/>
            </w:pPr>
            <w:r w:rsidRPr="008C72E5">
              <w:t>170</w:t>
            </w:r>
          </w:p>
        </w:tc>
        <w:tc>
          <w:tcPr>
            <w:tcW w:w="880" w:type="pct"/>
            <w:vAlign w:val="center"/>
          </w:tcPr>
          <w:p w14:paraId="28150103" w14:textId="77777777" w:rsidR="009F6AC8" w:rsidRPr="008C72E5" w:rsidRDefault="009F6AC8" w:rsidP="00B558B7">
            <w:pPr>
              <w:pStyle w:val="TekstTabeli"/>
            </w:pPr>
            <w:r w:rsidRPr="008C72E5">
              <w:t>Arzola R.</w:t>
            </w:r>
          </w:p>
        </w:tc>
        <w:tc>
          <w:tcPr>
            <w:tcW w:w="1771" w:type="pct"/>
            <w:vAlign w:val="center"/>
          </w:tcPr>
          <w:p w14:paraId="48D4A056" w14:textId="77777777" w:rsidR="009F6AC8" w:rsidRPr="008C72E5" w:rsidRDefault="009F6AC8" w:rsidP="00B558B7">
            <w:pPr>
              <w:pStyle w:val="TekstTabeli"/>
            </w:pPr>
            <w:r w:rsidRPr="008C72E5">
              <w:t>Collaboration between the library and Office of Student Disability Services: Document accessibility in higher education</w:t>
            </w:r>
          </w:p>
        </w:tc>
        <w:tc>
          <w:tcPr>
            <w:tcW w:w="2052" w:type="pct"/>
            <w:vAlign w:val="center"/>
          </w:tcPr>
          <w:p w14:paraId="2017F1B0" w14:textId="77777777" w:rsidR="009F6AC8" w:rsidRPr="008C72E5" w:rsidRDefault="009F6AC8" w:rsidP="00B558B7">
            <w:pPr>
              <w:pStyle w:val="TekstTabeli"/>
            </w:pPr>
            <w:r w:rsidRPr="008C72E5">
              <w:t>(2016) Digital Library Perspectives, 32 (2), pp. 117 - 126, DOI: 10.1108/DLP-09-2015-0016</w:t>
            </w:r>
          </w:p>
        </w:tc>
      </w:tr>
      <w:tr w:rsidR="00C4329A" w:rsidRPr="004C10DC" w14:paraId="6F4283A9" w14:textId="77777777" w:rsidTr="00C4329A">
        <w:trPr>
          <w:cantSplit/>
        </w:trPr>
        <w:tc>
          <w:tcPr>
            <w:tcW w:w="297" w:type="pct"/>
            <w:vAlign w:val="center"/>
          </w:tcPr>
          <w:p w14:paraId="7818634B" w14:textId="77777777" w:rsidR="009F6AC8" w:rsidRPr="008C72E5" w:rsidRDefault="009F6AC8" w:rsidP="00B558B7">
            <w:pPr>
              <w:pStyle w:val="TekstTabeli"/>
            </w:pPr>
            <w:r w:rsidRPr="008C72E5">
              <w:t>171</w:t>
            </w:r>
          </w:p>
        </w:tc>
        <w:tc>
          <w:tcPr>
            <w:tcW w:w="880" w:type="pct"/>
            <w:vAlign w:val="center"/>
          </w:tcPr>
          <w:p w14:paraId="5AA61CC5" w14:textId="77777777" w:rsidR="009F6AC8" w:rsidRPr="008C72E5" w:rsidRDefault="009F6AC8" w:rsidP="00B558B7">
            <w:pPr>
              <w:pStyle w:val="TekstTabeli"/>
            </w:pPr>
            <w:proofErr w:type="spellStart"/>
            <w:r w:rsidRPr="008C72E5">
              <w:t>Alakaleek</w:t>
            </w:r>
            <w:proofErr w:type="spellEnd"/>
            <w:r w:rsidRPr="008C72E5">
              <w:t xml:space="preserve"> W.</w:t>
            </w:r>
          </w:p>
        </w:tc>
        <w:tc>
          <w:tcPr>
            <w:tcW w:w="1771" w:type="pct"/>
            <w:vAlign w:val="center"/>
          </w:tcPr>
          <w:p w14:paraId="31AA9A64" w14:textId="77777777" w:rsidR="009F6AC8" w:rsidRPr="008C72E5" w:rsidRDefault="009F6AC8" w:rsidP="00B558B7">
            <w:pPr>
              <w:pStyle w:val="TekstTabeli"/>
            </w:pPr>
            <w:r w:rsidRPr="008C72E5">
              <w:t>The status of entrepreneurship education in Jordanian universities</w:t>
            </w:r>
          </w:p>
        </w:tc>
        <w:tc>
          <w:tcPr>
            <w:tcW w:w="2052" w:type="pct"/>
            <w:vAlign w:val="center"/>
          </w:tcPr>
          <w:p w14:paraId="78F1CC96" w14:textId="77777777" w:rsidR="009F6AC8" w:rsidRPr="008C72E5" w:rsidRDefault="009F6AC8" w:rsidP="00B558B7">
            <w:pPr>
              <w:pStyle w:val="TekstTabeli"/>
            </w:pPr>
            <w:r w:rsidRPr="008C72E5">
              <w:t>(2019) Education and Training, 61 (2), pp. 169 - 186, DOI: 10.1108/ET-03-2018-0082</w:t>
            </w:r>
          </w:p>
        </w:tc>
      </w:tr>
      <w:tr w:rsidR="00C4329A" w:rsidRPr="004C10DC" w14:paraId="181EF522" w14:textId="77777777" w:rsidTr="00C4329A">
        <w:trPr>
          <w:cantSplit/>
        </w:trPr>
        <w:tc>
          <w:tcPr>
            <w:tcW w:w="297" w:type="pct"/>
            <w:vAlign w:val="center"/>
          </w:tcPr>
          <w:p w14:paraId="65C1DD42" w14:textId="77777777" w:rsidR="009F6AC8" w:rsidRPr="008C72E5" w:rsidRDefault="009F6AC8" w:rsidP="00B558B7">
            <w:pPr>
              <w:pStyle w:val="TekstTabeli"/>
            </w:pPr>
            <w:r w:rsidRPr="008C72E5">
              <w:t>172</w:t>
            </w:r>
          </w:p>
        </w:tc>
        <w:tc>
          <w:tcPr>
            <w:tcW w:w="880" w:type="pct"/>
            <w:vAlign w:val="center"/>
          </w:tcPr>
          <w:p w14:paraId="59521859" w14:textId="57F131F7" w:rsidR="009F6AC8" w:rsidRPr="008C72E5" w:rsidRDefault="009F6AC8" w:rsidP="00B558B7">
            <w:pPr>
              <w:pStyle w:val="TekstTabeli"/>
            </w:pPr>
            <w:proofErr w:type="spellStart"/>
            <w:r w:rsidRPr="008C72E5">
              <w:t>Steghöfer</w:t>
            </w:r>
            <w:proofErr w:type="spellEnd"/>
            <w:r w:rsidRPr="008C72E5">
              <w:t xml:space="preserve"> J.-P., Burden H., Hebig R., </w:t>
            </w:r>
            <w:proofErr w:type="spellStart"/>
            <w:r w:rsidRPr="008C72E5">
              <w:t>Calikli</w:t>
            </w:r>
            <w:proofErr w:type="spellEnd"/>
            <w:r w:rsidRPr="008C72E5">
              <w:t xml:space="preserve"> G., </w:t>
            </w:r>
            <w:proofErr w:type="spellStart"/>
            <w:r w:rsidR="00A147A1" w:rsidRPr="008C72E5">
              <w:t>i</w:t>
            </w:r>
            <w:proofErr w:type="spellEnd"/>
            <w:r w:rsidR="00A147A1" w:rsidRPr="008C72E5">
              <w:t> in.</w:t>
            </w:r>
          </w:p>
        </w:tc>
        <w:tc>
          <w:tcPr>
            <w:tcW w:w="1771" w:type="pct"/>
            <w:vAlign w:val="center"/>
          </w:tcPr>
          <w:p w14:paraId="3D7CF356" w14:textId="77777777" w:rsidR="009F6AC8" w:rsidRPr="008C72E5" w:rsidRDefault="009F6AC8" w:rsidP="00B558B7">
            <w:pPr>
              <w:pStyle w:val="TekstTabeli"/>
            </w:pPr>
            <w:r w:rsidRPr="008C72E5">
              <w:t>Involving external stakeholders in project courses</w:t>
            </w:r>
          </w:p>
        </w:tc>
        <w:tc>
          <w:tcPr>
            <w:tcW w:w="2052" w:type="pct"/>
            <w:vAlign w:val="center"/>
          </w:tcPr>
          <w:p w14:paraId="7D8FFE62" w14:textId="77777777" w:rsidR="009F6AC8" w:rsidRPr="008C72E5" w:rsidRDefault="009F6AC8" w:rsidP="00B558B7">
            <w:pPr>
              <w:pStyle w:val="TekstTabeli"/>
            </w:pPr>
            <w:r w:rsidRPr="008C72E5">
              <w:t>(2018) ACM Transactions on Computing Education, 18 (2), art. no. 8, DOI: 10.1145/3152098</w:t>
            </w:r>
          </w:p>
        </w:tc>
      </w:tr>
      <w:tr w:rsidR="00C4329A" w:rsidRPr="004C10DC" w14:paraId="2CC2F53A" w14:textId="77777777" w:rsidTr="00C4329A">
        <w:trPr>
          <w:cantSplit/>
        </w:trPr>
        <w:tc>
          <w:tcPr>
            <w:tcW w:w="297" w:type="pct"/>
            <w:vAlign w:val="center"/>
          </w:tcPr>
          <w:p w14:paraId="76AED2D2" w14:textId="77777777" w:rsidR="009F6AC8" w:rsidRPr="008C72E5" w:rsidRDefault="009F6AC8" w:rsidP="00B558B7">
            <w:pPr>
              <w:pStyle w:val="TekstTabeli"/>
            </w:pPr>
            <w:r w:rsidRPr="008C72E5">
              <w:t>173</w:t>
            </w:r>
          </w:p>
        </w:tc>
        <w:tc>
          <w:tcPr>
            <w:tcW w:w="880" w:type="pct"/>
            <w:vAlign w:val="center"/>
          </w:tcPr>
          <w:p w14:paraId="2BDAA858" w14:textId="77777777" w:rsidR="009F6AC8" w:rsidRPr="008C72E5" w:rsidRDefault="009F6AC8" w:rsidP="00B558B7">
            <w:pPr>
              <w:pStyle w:val="TekstTabeli"/>
            </w:pPr>
            <w:r w:rsidRPr="008C72E5">
              <w:t>McClung G.W., Werner M.</w:t>
            </w:r>
          </w:p>
        </w:tc>
        <w:tc>
          <w:tcPr>
            <w:tcW w:w="1771" w:type="pct"/>
            <w:vAlign w:val="center"/>
          </w:tcPr>
          <w:p w14:paraId="7E78FABA" w14:textId="77777777" w:rsidR="009F6AC8" w:rsidRPr="008C72E5" w:rsidRDefault="009F6AC8" w:rsidP="00B558B7">
            <w:pPr>
              <w:pStyle w:val="TekstTabeli"/>
            </w:pPr>
            <w:r w:rsidRPr="008C72E5">
              <w:t>A market/value based approach to satisfy stakeholders of higher education</w:t>
            </w:r>
          </w:p>
        </w:tc>
        <w:tc>
          <w:tcPr>
            <w:tcW w:w="2052" w:type="pct"/>
            <w:vAlign w:val="center"/>
          </w:tcPr>
          <w:p w14:paraId="0237ABB5" w14:textId="77777777" w:rsidR="009F6AC8" w:rsidRPr="008C72E5" w:rsidRDefault="009F6AC8" w:rsidP="00B558B7">
            <w:pPr>
              <w:pStyle w:val="TekstTabeli"/>
            </w:pPr>
            <w:r w:rsidRPr="008C72E5">
              <w:t>(2008) Journal of Marketing for Higher Education, 18 (1), pp. 102 - 123, DOI: 10.1080/08841240802100345</w:t>
            </w:r>
          </w:p>
        </w:tc>
      </w:tr>
      <w:tr w:rsidR="00C4329A" w:rsidRPr="004C10DC" w14:paraId="5B522C48" w14:textId="77777777" w:rsidTr="00C4329A">
        <w:trPr>
          <w:cantSplit/>
        </w:trPr>
        <w:tc>
          <w:tcPr>
            <w:tcW w:w="297" w:type="pct"/>
            <w:vAlign w:val="center"/>
          </w:tcPr>
          <w:p w14:paraId="4E468DEF" w14:textId="77777777" w:rsidR="009F6AC8" w:rsidRPr="008C72E5" w:rsidRDefault="009F6AC8" w:rsidP="00B558B7">
            <w:pPr>
              <w:pStyle w:val="TekstTabeli"/>
            </w:pPr>
            <w:r w:rsidRPr="008C72E5">
              <w:t>174</w:t>
            </w:r>
          </w:p>
        </w:tc>
        <w:tc>
          <w:tcPr>
            <w:tcW w:w="880" w:type="pct"/>
            <w:vAlign w:val="center"/>
          </w:tcPr>
          <w:p w14:paraId="03BFEED5" w14:textId="6BB43E4C" w:rsidR="009F6AC8" w:rsidRPr="008C72E5" w:rsidRDefault="009F6AC8" w:rsidP="00B558B7">
            <w:pPr>
              <w:pStyle w:val="TekstTabeli"/>
            </w:pPr>
            <w:proofErr w:type="spellStart"/>
            <w:r w:rsidRPr="008C72E5">
              <w:t>Kuoppakangas</w:t>
            </w:r>
            <w:proofErr w:type="spellEnd"/>
            <w:r w:rsidRPr="008C72E5">
              <w:t xml:space="preserve"> P., Suomi K., Clark P., </w:t>
            </w:r>
            <w:proofErr w:type="spellStart"/>
            <w:r w:rsidR="00A147A1" w:rsidRPr="008C72E5">
              <w:t>i</w:t>
            </w:r>
            <w:proofErr w:type="spellEnd"/>
            <w:r w:rsidR="00A147A1" w:rsidRPr="008C72E5">
              <w:t> in.</w:t>
            </w:r>
          </w:p>
        </w:tc>
        <w:tc>
          <w:tcPr>
            <w:tcW w:w="1771" w:type="pct"/>
            <w:vAlign w:val="center"/>
          </w:tcPr>
          <w:p w14:paraId="753A0F28" w14:textId="77777777" w:rsidR="009F6AC8" w:rsidRPr="008C72E5" w:rsidRDefault="009F6AC8" w:rsidP="00B558B7">
            <w:pPr>
              <w:pStyle w:val="TekstTabeli"/>
            </w:pPr>
            <w:r w:rsidRPr="008C72E5">
              <w:t>Dilemmas in Re-branding a University—“Maybe People Just Don’t Like Change”: Linking Meaningfulness and Mutuality into the Reconciliation</w:t>
            </w:r>
          </w:p>
        </w:tc>
        <w:tc>
          <w:tcPr>
            <w:tcW w:w="2052" w:type="pct"/>
            <w:vAlign w:val="center"/>
          </w:tcPr>
          <w:p w14:paraId="4F64710F" w14:textId="77777777" w:rsidR="009F6AC8" w:rsidRPr="008C72E5" w:rsidRDefault="009F6AC8" w:rsidP="00B558B7">
            <w:pPr>
              <w:pStyle w:val="TekstTabeli"/>
            </w:pPr>
            <w:r w:rsidRPr="008C72E5">
              <w:t>(2020) Corporate Reputation Review, 23 (2), pp. 92 - 105, DOI: 10.1057/s41299-019-00080-2</w:t>
            </w:r>
          </w:p>
        </w:tc>
      </w:tr>
      <w:tr w:rsidR="00C4329A" w:rsidRPr="004C10DC" w14:paraId="1B0F11EC" w14:textId="77777777" w:rsidTr="00C4329A">
        <w:trPr>
          <w:cantSplit/>
        </w:trPr>
        <w:tc>
          <w:tcPr>
            <w:tcW w:w="297" w:type="pct"/>
            <w:vAlign w:val="center"/>
          </w:tcPr>
          <w:p w14:paraId="7A79AC35" w14:textId="77777777" w:rsidR="009F6AC8" w:rsidRPr="008C72E5" w:rsidRDefault="009F6AC8" w:rsidP="00B558B7">
            <w:pPr>
              <w:pStyle w:val="TekstTabeli"/>
            </w:pPr>
            <w:r w:rsidRPr="008C72E5">
              <w:t>175</w:t>
            </w:r>
          </w:p>
        </w:tc>
        <w:tc>
          <w:tcPr>
            <w:tcW w:w="880" w:type="pct"/>
            <w:vAlign w:val="center"/>
          </w:tcPr>
          <w:p w14:paraId="28D0563B" w14:textId="77777777" w:rsidR="009F6AC8" w:rsidRPr="008C72E5" w:rsidRDefault="009F6AC8" w:rsidP="00B558B7">
            <w:pPr>
              <w:pStyle w:val="TekstTabeli"/>
            </w:pPr>
            <w:r w:rsidRPr="008C72E5">
              <w:t>Murray A.L., Ireland A.P.</w:t>
            </w:r>
          </w:p>
        </w:tc>
        <w:tc>
          <w:tcPr>
            <w:tcW w:w="1771" w:type="pct"/>
            <w:vAlign w:val="center"/>
          </w:tcPr>
          <w:p w14:paraId="5B88DB57" w14:textId="77777777" w:rsidR="009F6AC8" w:rsidRPr="008C72E5" w:rsidRDefault="009F6AC8" w:rsidP="00B558B7">
            <w:pPr>
              <w:pStyle w:val="TekstTabeli"/>
            </w:pPr>
            <w:r w:rsidRPr="008C72E5">
              <w:t>Communicating Library Impact on Retention: A Framework for Developing Reciprocal Value Propositions</w:t>
            </w:r>
          </w:p>
        </w:tc>
        <w:tc>
          <w:tcPr>
            <w:tcW w:w="2052" w:type="pct"/>
            <w:vAlign w:val="center"/>
          </w:tcPr>
          <w:p w14:paraId="2C538481" w14:textId="77777777" w:rsidR="009F6AC8" w:rsidRPr="008C72E5" w:rsidRDefault="009F6AC8" w:rsidP="00B558B7">
            <w:pPr>
              <w:pStyle w:val="TekstTabeli"/>
            </w:pPr>
            <w:r w:rsidRPr="008C72E5">
              <w:t>(2017) Journal of Library Administration, 57 (3), pp. 311 - 326, DOI: 10.1080/01930826.2016.1243425</w:t>
            </w:r>
          </w:p>
        </w:tc>
      </w:tr>
      <w:tr w:rsidR="00C4329A" w:rsidRPr="004C10DC" w14:paraId="78B8BA99" w14:textId="77777777" w:rsidTr="00C4329A">
        <w:trPr>
          <w:cantSplit/>
        </w:trPr>
        <w:tc>
          <w:tcPr>
            <w:tcW w:w="297" w:type="pct"/>
            <w:vAlign w:val="center"/>
          </w:tcPr>
          <w:p w14:paraId="2C2F4208" w14:textId="77777777" w:rsidR="009F6AC8" w:rsidRPr="008C72E5" w:rsidRDefault="009F6AC8" w:rsidP="00B558B7">
            <w:pPr>
              <w:pStyle w:val="TekstTabeli"/>
            </w:pPr>
            <w:r w:rsidRPr="008C72E5">
              <w:t>176</w:t>
            </w:r>
          </w:p>
        </w:tc>
        <w:tc>
          <w:tcPr>
            <w:tcW w:w="880" w:type="pct"/>
            <w:vAlign w:val="center"/>
          </w:tcPr>
          <w:p w14:paraId="2C0508B2" w14:textId="6D32F753" w:rsidR="009F6AC8" w:rsidRPr="00D82766" w:rsidRDefault="009F6AC8" w:rsidP="00B558B7">
            <w:pPr>
              <w:pStyle w:val="TekstTabeli"/>
              <w:rPr>
                <w:lang w:val="pl-PL"/>
              </w:rPr>
            </w:pPr>
            <w:proofErr w:type="spellStart"/>
            <w:r w:rsidRPr="00D82766">
              <w:rPr>
                <w:lang w:val="pl-PL"/>
              </w:rPr>
              <w:t>Gozali</w:t>
            </w:r>
            <w:proofErr w:type="spellEnd"/>
            <w:r w:rsidRPr="00D82766">
              <w:rPr>
                <w:lang w:val="pl-PL"/>
              </w:rPr>
              <w:t xml:space="preserve"> L., </w:t>
            </w:r>
            <w:proofErr w:type="spellStart"/>
            <w:r w:rsidRPr="00D82766">
              <w:rPr>
                <w:lang w:val="pl-PL"/>
              </w:rPr>
              <w:t>Masrom</w:t>
            </w:r>
            <w:proofErr w:type="spellEnd"/>
            <w:r w:rsidRPr="00D82766">
              <w:rPr>
                <w:lang w:val="pl-PL"/>
              </w:rPr>
              <w:t xml:space="preserve"> M., </w:t>
            </w:r>
            <w:proofErr w:type="spellStart"/>
            <w:r w:rsidRPr="00D82766">
              <w:rPr>
                <w:lang w:val="pl-PL"/>
              </w:rPr>
              <w:t>Zagloel</w:t>
            </w:r>
            <w:proofErr w:type="spellEnd"/>
            <w:r w:rsidRPr="00D82766">
              <w:rPr>
                <w:lang w:val="pl-PL"/>
              </w:rPr>
              <w:t xml:space="preserve"> T.M., </w:t>
            </w:r>
            <w:r w:rsidR="00A147A1" w:rsidRPr="00D82766">
              <w:rPr>
                <w:lang w:val="pl-PL"/>
              </w:rPr>
              <w:t>i in.</w:t>
            </w:r>
          </w:p>
        </w:tc>
        <w:tc>
          <w:tcPr>
            <w:tcW w:w="1771" w:type="pct"/>
            <w:vAlign w:val="center"/>
          </w:tcPr>
          <w:p w14:paraId="582B5BB2" w14:textId="77777777" w:rsidR="009F6AC8" w:rsidRPr="008C72E5" w:rsidRDefault="009F6AC8" w:rsidP="00B558B7">
            <w:pPr>
              <w:pStyle w:val="TekstTabeli"/>
            </w:pPr>
            <w:r w:rsidRPr="008C72E5">
              <w:t>Critical success and moderating factors effect in Indonesian Public Universities' business incubators</w:t>
            </w:r>
          </w:p>
        </w:tc>
        <w:tc>
          <w:tcPr>
            <w:tcW w:w="2052" w:type="pct"/>
            <w:vAlign w:val="center"/>
          </w:tcPr>
          <w:p w14:paraId="12699D00" w14:textId="77777777" w:rsidR="009F6AC8" w:rsidRPr="008C72E5" w:rsidRDefault="009F6AC8" w:rsidP="00B558B7">
            <w:pPr>
              <w:pStyle w:val="TekstTabeli"/>
            </w:pPr>
            <w:r w:rsidRPr="008C72E5">
              <w:t>(2018) International Journal of Technology, 9 (5), pp. 1049 - 1060, DOI: 10.14716/ijtech.v9i5.1363</w:t>
            </w:r>
          </w:p>
        </w:tc>
      </w:tr>
      <w:tr w:rsidR="00C4329A" w:rsidRPr="004C10DC" w14:paraId="5107D17E" w14:textId="77777777" w:rsidTr="00C4329A">
        <w:trPr>
          <w:cantSplit/>
        </w:trPr>
        <w:tc>
          <w:tcPr>
            <w:tcW w:w="297" w:type="pct"/>
            <w:vAlign w:val="center"/>
          </w:tcPr>
          <w:p w14:paraId="61DB8939" w14:textId="77777777" w:rsidR="009F6AC8" w:rsidRPr="008C72E5" w:rsidRDefault="009F6AC8" w:rsidP="00B558B7">
            <w:pPr>
              <w:pStyle w:val="TekstTabeli"/>
            </w:pPr>
            <w:r w:rsidRPr="008C72E5">
              <w:t>177</w:t>
            </w:r>
          </w:p>
        </w:tc>
        <w:tc>
          <w:tcPr>
            <w:tcW w:w="880" w:type="pct"/>
            <w:vAlign w:val="center"/>
          </w:tcPr>
          <w:p w14:paraId="3E2C4379" w14:textId="77777777" w:rsidR="009F6AC8" w:rsidRPr="008C72E5" w:rsidRDefault="009F6AC8" w:rsidP="00B558B7">
            <w:pPr>
              <w:pStyle w:val="TekstTabeli"/>
            </w:pPr>
            <w:proofErr w:type="spellStart"/>
            <w:r w:rsidRPr="008C72E5">
              <w:t>Rungfamai</w:t>
            </w:r>
            <w:proofErr w:type="spellEnd"/>
            <w:r w:rsidRPr="008C72E5">
              <w:t xml:space="preserve"> K.</w:t>
            </w:r>
          </w:p>
        </w:tc>
        <w:tc>
          <w:tcPr>
            <w:tcW w:w="1771" w:type="pct"/>
            <w:vAlign w:val="center"/>
          </w:tcPr>
          <w:p w14:paraId="432544C9" w14:textId="77777777" w:rsidR="009F6AC8" w:rsidRPr="008C72E5" w:rsidRDefault="009F6AC8" w:rsidP="00B558B7">
            <w:pPr>
              <w:pStyle w:val="TekstTabeli"/>
            </w:pPr>
            <w:r w:rsidRPr="008C72E5">
              <w:t>Research-university governance in Thailand: the case of Chulalongkorn University</w:t>
            </w:r>
          </w:p>
        </w:tc>
        <w:tc>
          <w:tcPr>
            <w:tcW w:w="2052" w:type="pct"/>
            <w:vAlign w:val="center"/>
          </w:tcPr>
          <w:p w14:paraId="07CCA5F8" w14:textId="77777777" w:rsidR="009F6AC8" w:rsidRPr="008C72E5" w:rsidRDefault="009F6AC8" w:rsidP="00B558B7">
            <w:pPr>
              <w:pStyle w:val="TekstTabeli"/>
            </w:pPr>
            <w:r w:rsidRPr="008C72E5">
              <w:t>(2017) Higher Education, 74 (1), pp. 1 - 16, DOI: 10.1007/s10734-016-0024-x</w:t>
            </w:r>
          </w:p>
        </w:tc>
      </w:tr>
      <w:tr w:rsidR="00C4329A" w:rsidRPr="004C10DC" w14:paraId="1E1C7B65" w14:textId="77777777" w:rsidTr="00C4329A">
        <w:trPr>
          <w:cantSplit/>
        </w:trPr>
        <w:tc>
          <w:tcPr>
            <w:tcW w:w="297" w:type="pct"/>
            <w:vAlign w:val="center"/>
          </w:tcPr>
          <w:p w14:paraId="33FCA3AB" w14:textId="77777777" w:rsidR="009F6AC8" w:rsidRPr="008C72E5" w:rsidRDefault="009F6AC8" w:rsidP="00B558B7">
            <w:pPr>
              <w:pStyle w:val="TekstTabeli"/>
            </w:pPr>
            <w:r w:rsidRPr="008C72E5">
              <w:t>178</w:t>
            </w:r>
          </w:p>
        </w:tc>
        <w:tc>
          <w:tcPr>
            <w:tcW w:w="880" w:type="pct"/>
            <w:vAlign w:val="center"/>
          </w:tcPr>
          <w:p w14:paraId="7E1FA93D" w14:textId="77777777" w:rsidR="009F6AC8" w:rsidRPr="008C72E5" w:rsidRDefault="009F6AC8" w:rsidP="00B558B7">
            <w:pPr>
              <w:pStyle w:val="TekstTabeli"/>
            </w:pPr>
            <w:r w:rsidRPr="008C72E5">
              <w:t>Badwan K.</w:t>
            </w:r>
          </w:p>
        </w:tc>
        <w:tc>
          <w:tcPr>
            <w:tcW w:w="1771" w:type="pct"/>
            <w:vAlign w:val="center"/>
          </w:tcPr>
          <w:p w14:paraId="1FAC8C5D" w14:textId="77777777" w:rsidR="009F6AC8" w:rsidRPr="008C72E5" w:rsidRDefault="009F6AC8" w:rsidP="00B558B7">
            <w:pPr>
              <w:pStyle w:val="TekstTabeli"/>
            </w:pPr>
            <w:r w:rsidRPr="008C72E5">
              <w:t>Agency in educational language planning: perspectives from higher education in Tunisia</w:t>
            </w:r>
          </w:p>
        </w:tc>
        <w:tc>
          <w:tcPr>
            <w:tcW w:w="2052" w:type="pct"/>
            <w:vAlign w:val="center"/>
          </w:tcPr>
          <w:p w14:paraId="3991815C" w14:textId="77777777" w:rsidR="009F6AC8" w:rsidRPr="008C72E5" w:rsidRDefault="009F6AC8" w:rsidP="00B558B7">
            <w:pPr>
              <w:pStyle w:val="TekstTabeli"/>
            </w:pPr>
            <w:r w:rsidRPr="008C72E5">
              <w:t>(2021) Current Issues in Language Planning, 22 (1-2), pp. 99 - 116, DOI: 10.1080/14664208.2019.1700056</w:t>
            </w:r>
          </w:p>
        </w:tc>
      </w:tr>
      <w:tr w:rsidR="00C4329A" w:rsidRPr="004C10DC" w14:paraId="7A82EA1C" w14:textId="77777777" w:rsidTr="00C4329A">
        <w:trPr>
          <w:cantSplit/>
        </w:trPr>
        <w:tc>
          <w:tcPr>
            <w:tcW w:w="297" w:type="pct"/>
            <w:vAlign w:val="center"/>
          </w:tcPr>
          <w:p w14:paraId="45B6846B" w14:textId="77777777" w:rsidR="009F6AC8" w:rsidRPr="008C72E5" w:rsidRDefault="009F6AC8" w:rsidP="00B558B7">
            <w:pPr>
              <w:pStyle w:val="TekstTabeli"/>
            </w:pPr>
            <w:r w:rsidRPr="008C72E5">
              <w:t>179</w:t>
            </w:r>
          </w:p>
        </w:tc>
        <w:tc>
          <w:tcPr>
            <w:tcW w:w="880" w:type="pct"/>
            <w:vAlign w:val="center"/>
          </w:tcPr>
          <w:p w14:paraId="0602D597" w14:textId="77777777" w:rsidR="009F6AC8" w:rsidRPr="008C72E5" w:rsidRDefault="009F6AC8" w:rsidP="00B558B7">
            <w:pPr>
              <w:pStyle w:val="TekstTabeli"/>
            </w:pPr>
            <w:r w:rsidRPr="008C72E5">
              <w:t>Abdul Razak A., Murray P.A., Roberts D.</w:t>
            </w:r>
          </w:p>
        </w:tc>
        <w:tc>
          <w:tcPr>
            <w:tcW w:w="1771" w:type="pct"/>
            <w:vAlign w:val="center"/>
          </w:tcPr>
          <w:p w14:paraId="35C8B7BB" w14:textId="77777777" w:rsidR="009F6AC8" w:rsidRPr="008C72E5" w:rsidRDefault="009F6AC8" w:rsidP="00B558B7">
            <w:pPr>
              <w:pStyle w:val="TekstTabeli"/>
            </w:pPr>
            <w:r w:rsidRPr="008C72E5">
              <w:t xml:space="preserve">Open Innovation in Universities: The Relationship Between Innovation and </w:t>
            </w:r>
            <w:proofErr w:type="spellStart"/>
            <w:r w:rsidRPr="008C72E5">
              <w:t>Commercialisation</w:t>
            </w:r>
            <w:proofErr w:type="spellEnd"/>
          </w:p>
        </w:tc>
        <w:tc>
          <w:tcPr>
            <w:tcW w:w="2052" w:type="pct"/>
            <w:vAlign w:val="center"/>
          </w:tcPr>
          <w:p w14:paraId="703D4B69" w14:textId="77777777" w:rsidR="009F6AC8" w:rsidRPr="008C72E5" w:rsidRDefault="009F6AC8" w:rsidP="00B558B7">
            <w:pPr>
              <w:pStyle w:val="TekstTabeli"/>
            </w:pPr>
            <w:r w:rsidRPr="008C72E5">
              <w:t>(2014) Knowledge and Process Management, 21 (4), pp. 260 - 269, DOI: 10.1002/kpm.1444</w:t>
            </w:r>
          </w:p>
        </w:tc>
      </w:tr>
      <w:tr w:rsidR="00C4329A" w:rsidRPr="004C10DC" w14:paraId="66BF0D7D" w14:textId="77777777" w:rsidTr="00C4329A">
        <w:trPr>
          <w:cantSplit/>
        </w:trPr>
        <w:tc>
          <w:tcPr>
            <w:tcW w:w="297" w:type="pct"/>
            <w:vAlign w:val="center"/>
          </w:tcPr>
          <w:p w14:paraId="0B5C34D4" w14:textId="77777777" w:rsidR="009F6AC8" w:rsidRPr="008C72E5" w:rsidRDefault="009F6AC8" w:rsidP="00B558B7">
            <w:pPr>
              <w:pStyle w:val="TekstTabeli"/>
            </w:pPr>
            <w:r w:rsidRPr="008C72E5">
              <w:lastRenderedPageBreak/>
              <w:t>180</w:t>
            </w:r>
          </w:p>
        </w:tc>
        <w:tc>
          <w:tcPr>
            <w:tcW w:w="880" w:type="pct"/>
            <w:vAlign w:val="center"/>
          </w:tcPr>
          <w:p w14:paraId="6B6357D8" w14:textId="77777777" w:rsidR="009F6AC8" w:rsidRPr="008C72E5" w:rsidRDefault="009F6AC8" w:rsidP="00B558B7">
            <w:pPr>
              <w:pStyle w:val="TekstTabeli"/>
            </w:pPr>
            <w:r w:rsidRPr="008C72E5">
              <w:t>White S., Leon M., White S.</w:t>
            </w:r>
          </w:p>
        </w:tc>
        <w:tc>
          <w:tcPr>
            <w:tcW w:w="1771" w:type="pct"/>
            <w:vAlign w:val="center"/>
          </w:tcPr>
          <w:p w14:paraId="5D2DE776" w14:textId="77777777" w:rsidR="009F6AC8" w:rsidRPr="008C72E5" w:rsidRDefault="009F6AC8" w:rsidP="00B558B7">
            <w:pPr>
              <w:pStyle w:val="TekstTabeli"/>
            </w:pPr>
            <w:r w:rsidRPr="008C72E5">
              <w:t xml:space="preserve">MOOCs inside Universities: An analysis of </w:t>
            </w:r>
            <w:proofErr w:type="spellStart"/>
            <w:r w:rsidRPr="008C72E5">
              <w:t>mooc</w:t>
            </w:r>
            <w:proofErr w:type="spellEnd"/>
            <w:r w:rsidRPr="008C72E5">
              <w:t xml:space="preserve"> discourse as represented in </w:t>
            </w:r>
            <w:proofErr w:type="spellStart"/>
            <w:r w:rsidRPr="008C72E5">
              <w:t>he</w:t>
            </w:r>
            <w:proofErr w:type="spellEnd"/>
            <w:r w:rsidRPr="008C72E5">
              <w:t xml:space="preserve"> magazines</w:t>
            </w:r>
          </w:p>
        </w:tc>
        <w:tc>
          <w:tcPr>
            <w:tcW w:w="2052" w:type="pct"/>
            <w:vAlign w:val="center"/>
          </w:tcPr>
          <w:p w14:paraId="45158C95" w14:textId="77777777" w:rsidR="009F6AC8" w:rsidRPr="008C72E5" w:rsidRDefault="009F6AC8" w:rsidP="00B558B7">
            <w:pPr>
              <w:pStyle w:val="TekstTabeli"/>
            </w:pPr>
            <w:r w:rsidRPr="008C72E5">
              <w:t>(2015) CSEDU 2015 - 7th International Conference on Computer Supported Education, Proceedings, 2, pp. 109 - 115, DOI: 10.5220/0005453201090115</w:t>
            </w:r>
          </w:p>
        </w:tc>
      </w:tr>
      <w:tr w:rsidR="00C4329A" w:rsidRPr="008C72E5" w14:paraId="50E09833" w14:textId="77777777" w:rsidTr="00C4329A">
        <w:trPr>
          <w:cantSplit/>
        </w:trPr>
        <w:tc>
          <w:tcPr>
            <w:tcW w:w="297" w:type="pct"/>
            <w:vAlign w:val="center"/>
          </w:tcPr>
          <w:p w14:paraId="4A755AB0" w14:textId="77777777" w:rsidR="009F6AC8" w:rsidRPr="008C72E5" w:rsidRDefault="009F6AC8" w:rsidP="00B558B7">
            <w:pPr>
              <w:pStyle w:val="TekstTabeli"/>
            </w:pPr>
            <w:r w:rsidRPr="008C72E5">
              <w:t>181</w:t>
            </w:r>
          </w:p>
        </w:tc>
        <w:tc>
          <w:tcPr>
            <w:tcW w:w="880" w:type="pct"/>
            <w:vAlign w:val="center"/>
          </w:tcPr>
          <w:p w14:paraId="1324E975" w14:textId="77777777" w:rsidR="009F6AC8" w:rsidRPr="008C72E5" w:rsidRDefault="009F6AC8" w:rsidP="00B558B7">
            <w:pPr>
              <w:pStyle w:val="TekstTabeli"/>
            </w:pPr>
            <w:r w:rsidRPr="008C72E5">
              <w:t>Kezar A., Maxey D.</w:t>
            </w:r>
          </w:p>
        </w:tc>
        <w:tc>
          <w:tcPr>
            <w:tcW w:w="1771" w:type="pct"/>
            <w:vAlign w:val="center"/>
          </w:tcPr>
          <w:p w14:paraId="0A1CE6FA" w14:textId="77777777" w:rsidR="009F6AC8" w:rsidRPr="008C72E5" w:rsidRDefault="009F6AC8" w:rsidP="00B558B7">
            <w:pPr>
              <w:pStyle w:val="TekstTabeli"/>
            </w:pPr>
            <w:r w:rsidRPr="008C72E5">
              <w:t>Understanding key stakeholder belief systems or institutional logics related to non-tenure-track faculty and the changing professoriate</w:t>
            </w:r>
          </w:p>
        </w:tc>
        <w:tc>
          <w:tcPr>
            <w:tcW w:w="2052" w:type="pct"/>
            <w:vAlign w:val="center"/>
          </w:tcPr>
          <w:p w14:paraId="11D5C483" w14:textId="77777777" w:rsidR="009F6AC8" w:rsidRPr="008C72E5" w:rsidRDefault="009F6AC8" w:rsidP="00B558B7">
            <w:pPr>
              <w:pStyle w:val="TekstTabeli"/>
            </w:pPr>
            <w:r w:rsidRPr="008C72E5">
              <w:t>(2014) Teachers College Record, 116 (10), 0</w:t>
            </w:r>
          </w:p>
        </w:tc>
      </w:tr>
      <w:tr w:rsidR="00C4329A" w:rsidRPr="004C10DC" w14:paraId="3D2220D8" w14:textId="77777777" w:rsidTr="00C4329A">
        <w:trPr>
          <w:cantSplit/>
        </w:trPr>
        <w:tc>
          <w:tcPr>
            <w:tcW w:w="297" w:type="pct"/>
            <w:vAlign w:val="center"/>
          </w:tcPr>
          <w:p w14:paraId="533BC8B9" w14:textId="77777777" w:rsidR="009F6AC8" w:rsidRPr="008C72E5" w:rsidRDefault="009F6AC8" w:rsidP="00B558B7">
            <w:pPr>
              <w:pStyle w:val="TekstTabeli"/>
            </w:pPr>
            <w:r w:rsidRPr="008C72E5">
              <w:t>182</w:t>
            </w:r>
          </w:p>
        </w:tc>
        <w:tc>
          <w:tcPr>
            <w:tcW w:w="880" w:type="pct"/>
            <w:vAlign w:val="center"/>
          </w:tcPr>
          <w:p w14:paraId="37904623" w14:textId="77777777" w:rsidR="009F6AC8" w:rsidRPr="008C72E5" w:rsidRDefault="009F6AC8" w:rsidP="00B558B7">
            <w:pPr>
              <w:pStyle w:val="TekstTabeli"/>
            </w:pPr>
            <w:r w:rsidRPr="008C72E5">
              <w:t>Gottwald J., Buch F., Giesecke K.</w:t>
            </w:r>
          </w:p>
        </w:tc>
        <w:tc>
          <w:tcPr>
            <w:tcW w:w="1771" w:type="pct"/>
            <w:vAlign w:val="center"/>
          </w:tcPr>
          <w:p w14:paraId="34DF79E4" w14:textId="77777777" w:rsidR="009F6AC8" w:rsidRPr="008C72E5" w:rsidRDefault="009F6AC8" w:rsidP="00B558B7">
            <w:pPr>
              <w:pStyle w:val="TekstTabeli"/>
            </w:pPr>
            <w:r w:rsidRPr="008C72E5">
              <w:t>Understanding the role of universities in technology transfer in the renewable energy sector in Bolivia</w:t>
            </w:r>
          </w:p>
        </w:tc>
        <w:tc>
          <w:tcPr>
            <w:tcW w:w="2052" w:type="pct"/>
            <w:vAlign w:val="center"/>
          </w:tcPr>
          <w:p w14:paraId="7C53FD1C" w14:textId="77777777" w:rsidR="009F6AC8" w:rsidRPr="008C72E5" w:rsidRDefault="009F6AC8" w:rsidP="00B558B7">
            <w:pPr>
              <w:pStyle w:val="TekstTabeli"/>
            </w:pPr>
            <w:r w:rsidRPr="008C72E5">
              <w:t>(2012) Management of Environmental Quality, 23 (3), pp. 291 - 299, DOI: 10.1108/14777831211217495</w:t>
            </w:r>
          </w:p>
        </w:tc>
      </w:tr>
      <w:tr w:rsidR="00C4329A" w:rsidRPr="004C10DC" w14:paraId="2272E10D" w14:textId="77777777" w:rsidTr="00C4329A">
        <w:trPr>
          <w:cantSplit/>
        </w:trPr>
        <w:tc>
          <w:tcPr>
            <w:tcW w:w="297" w:type="pct"/>
            <w:vAlign w:val="center"/>
          </w:tcPr>
          <w:p w14:paraId="6152DA1B" w14:textId="77777777" w:rsidR="009F6AC8" w:rsidRPr="008C72E5" w:rsidRDefault="009F6AC8" w:rsidP="00B558B7">
            <w:pPr>
              <w:pStyle w:val="TekstTabeli"/>
            </w:pPr>
            <w:r w:rsidRPr="008C72E5">
              <w:t>183</w:t>
            </w:r>
          </w:p>
        </w:tc>
        <w:tc>
          <w:tcPr>
            <w:tcW w:w="880" w:type="pct"/>
            <w:vAlign w:val="center"/>
          </w:tcPr>
          <w:p w14:paraId="42861D44" w14:textId="77777777" w:rsidR="009F6AC8" w:rsidRPr="008C72E5" w:rsidRDefault="009F6AC8" w:rsidP="00B558B7">
            <w:pPr>
              <w:pStyle w:val="TekstTabeli"/>
            </w:pPr>
            <w:r w:rsidRPr="008C72E5">
              <w:t>Roohr K.C., Graf E.A., Liu O.L.</w:t>
            </w:r>
          </w:p>
        </w:tc>
        <w:tc>
          <w:tcPr>
            <w:tcW w:w="1771" w:type="pct"/>
            <w:vAlign w:val="center"/>
          </w:tcPr>
          <w:p w14:paraId="2E1DA347" w14:textId="77777777" w:rsidR="009F6AC8" w:rsidRPr="008C72E5" w:rsidRDefault="009F6AC8" w:rsidP="00B558B7">
            <w:pPr>
              <w:pStyle w:val="TekstTabeli"/>
            </w:pPr>
            <w:r w:rsidRPr="008C72E5">
              <w:t>Assessing Quantitative Literacy in Higher Education: An Overview of Existing Research and Assessments With Recommendations for Next-Generation Assessment</w:t>
            </w:r>
          </w:p>
        </w:tc>
        <w:tc>
          <w:tcPr>
            <w:tcW w:w="2052" w:type="pct"/>
            <w:vAlign w:val="center"/>
          </w:tcPr>
          <w:p w14:paraId="420DB202" w14:textId="77777777" w:rsidR="009F6AC8" w:rsidRPr="008C72E5" w:rsidRDefault="009F6AC8" w:rsidP="00B558B7">
            <w:pPr>
              <w:pStyle w:val="TekstTabeli"/>
            </w:pPr>
            <w:r w:rsidRPr="008C72E5">
              <w:t>(2014) ETS Research Report Series, 2014 (2), pp. 1 - 26, DOI: 10.1002/ets2.12024</w:t>
            </w:r>
          </w:p>
        </w:tc>
      </w:tr>
      <w:tr w:rsidR="00C4329A" w:rsidRPr="004C10DC" w14:paraId="5E4106A9" w14:textId="77777777" w:rsidTr="00C4329A">
        <w:trPr>
          <w:cantSplit/>
        </w:trPr>
        <w:tc>
          <w:tcPr>
            <w:tcW w:w="297" w:type="pct"/>
            <w:vAlign w:val="center"/>
          </w:tcPr>
          <w:p w14:paraId="2C307FE6" w14:textId="77777777" w:rsidR="009F6AC8" w:rsidRPr="008C72E5" w:rsidRDefault="009F6AC8" w:rsidP="00B558B7">
            <w:pPr>
              <w:pStyle w:val="TekstTabeli"/>
            </w:pPr>
            <w:r w:rsidRPr="008C72E5">
              <w:t>184</w:t>
            </w:r>
          </w:p>
        </w:tc>
        <w:tc>
          <w:tcPr>
            <w:tcW w:w="880" w:type="pct"/>
            <w:vAlign w:val="center"/>
          </w:tcPr>
          <w:p w14:paraId="5BA75BAA" w14:textId="77777777" w:rsidR="009F6AC8" w:rsidRPr="008C72E5" w:rsidRDefault="009F6AC8" w:rsidP="00B558B7">
            <w:pPr>
              <w:pStyle w:val="TekstTabeli"/>
            </w:pPr>
            <w:r w:rsidRPr="008C72E5">
              <w:t>Ramlo S.E.</w:t>
            </w:r>
          </w:p>
        </w:tc>
        <w:tc>
          <w:tcPr>
            <w:tcW w:w="1771" w:type="pct"/>
            <w:vAlign w:val="center"/>
          </w:tcPr>
          <w:p w14:paraId="3E74830B" w14:textId="77777777" w:rsidR="009F6AC8" w:rsidRPr="008C72E5" w:rsidRDefault="009F6AC8" w:rsidP="00B558B7">
            <w:pPr>
              <w:pStyle w:val="TekstTabeli"/>
            </w:pPr>
            <w:r w:rsidRPr="008C72E5">
              <w:t>Universities and the COVID-19 Pandemic: Comparing Views about How to Address the Financial Impact</w:t>
            </w:r>
          </w:p>
        </w:tc>
        <w:tc>
          <w:tcPr>
            <w:tcW w:w="2052" w:type="pct"/>
            <w:vAlign w:val="center"/>
          </w:tcPr>
          <w:p w14:paraId="16D40142" w14:textId="77777777" w:rsidR="009F6AC8" w:rsidRPr="008C72E5" w:rsidRDefault="009F6AC8" w:rsidP="00B558B7">
            <w:pPr>
              <w:pStyle w:val="TekstTabeli"/>
            </w:pPr>
            <w:r w:rsidRPr="008C72E5">
              <w:t>(2021) Innovative Higher Education, 46 (6), pp. 777 - 793, DOI: 10.1007/s10755-021-09561-x</w:t>
            </w:r>
          </w:p>
        </w:tc>
      </w:tr>
      <w:tr w:rsidR="00C4329A" w:rsidRPr="004C10DC" w14:paraId="26ECF6D0" w14:textId="77777777" w:rsidTr="00C4329A">
        <w:trPr>
          <w:cantSplit/>
        </w:trPr>
        <w:tc>
          <w:tcPr>
            <w:tcW w:w="297" w:type="pct"/>
            <w:vAlign w:val="center"/>
          </w:tcPr>
          <w:p w14:paraId="7FA95862" w14:textId="77777777" w:rsidR="009F6AC8" w:rsidRPr="008C72E5" w:rsidRDefault="009F6AC8" w:rsidP="00B558B7">
            <w:pPr>
              <w:pStyle w:val="TekstTabeli"/>
            </w:pPr>
            <w:r w:rsidRPr="008C72E5">
              <w:t>185</w:t>
            </w:r>
          </w:p>
        </w:tc>
        <w:tc>
          <w:tcPr>
            <w:tcW w:w="880" w:type="pct"/>
            <w:vAlign w:val="center"/>
          </w:tcPr>
          <w:p w14:paraId="1EB0A363" w14:textId="77777777" w:rsidR="009F6AC8" w:rsidRPr="008C72E5" w:rsidRDefault="009F6AC8" w:rsidP="00B558B7">
            <w:pPr>
              <w:pStyle w:val="TekstTabeli"/>
            </w:pPr>
            <w:r w:rsidRPr="008C72E5">
              <w:t>Kwiek M.</w:t>
            </w:r>
          </w:p>
        </w:tc>
        <w:tc>
          <w:tcPr>
            <w:tcW w:w="1771" w:type="pct"/>
            <w:vAlign w:val="center"/>
          </w:tcPr>
          <w:p w14:paraId="7978C323" w14:textId="77777777" w:rsidR="009F6AC8" w:rsidRPr="008C72E5" w:rsidRDefault="009F6AC8" w:rsidP="00B558B7">
            <w:pPr>
              <w:pStyle w:val="TekstTabeli"/>
            </w:pPr>
            <w:r w:rsidRPr="008C72E5">
              <w:t>The changing attractiveness of European higher education in the next decade: Current developments, future challenges and major policy issues</w:t>
            </w:r>
          </w:p>
        </w:tc>
        <w:tc>
          <w:tcPr>
            <w:tcW w:w="2052" w:type="pct"/>
            <w:vAlign w:val="center"/>
          </w:tcPr>
          <w:p w14:paraId="28E2FC12" w14:textId="77777777" w:rsidR="009F6AC8" w:rsidRPr="008C72E5" w:rsidRDefault="009F6AC8" w:rsidP="00B558B7">
            <w:pPr>
              <w:pStyle w:val="TekstTabeli"/>
            </w:pPr>
            <w:r w:rsidRPr="008C72E5">
              <w:t>(2009) European Educational Research Journal, 8 (2), pp. 218 - 235, DOI: 10.2304/eerj.2009.8.2.218</w:t>
            </w:r>
          </w:p>
        </w:tc>
      </w:tr>
      <w:tr w:rsidR="00C4329A" w:rsidRPr="008C72E5" w14:paraId="7302169C" w14:textId="77777777" w:rsidTr="00C4329A">
        <w:trPr>
          <w:cantSplit/>
        </w:trPr>
        <w:tc>
          <w:tcPr>
            <w:tcW w:w="297" w:type="pct"/>
            <w:vAlign w:val="center"/>
          </w:tcPr>
          <w:p w14:paraId="6BC54CD9" w14:textId="77777777" w:rsidR="009F6AC8" w:rsidRPr="008C72E5" w:rsidRDefault="009F6AC8" w:rsidP="00B558B7">
            <w:pPr>
              <w:pStyle w:val="TekstTabeli"/>
            </w:pPr>
            <w:r w:rsidRPr="008C72E5">
              <w:t>186</w:t>
            </w:r>
          </w:p>
        </w:tc>
        <w:tc>
          <w:tcPr>
            <w:tcW w:w="880" w:type="pct"/>
            <w:vAlign w:val="center"/>
          </w:tcPr>
          <w:p w14:paraId="0B21FF05" w14:textId="055343B1" w:rsidR="009F6AC8" w:rsidRPr="008C72E5" w:rsidRDefault="009F6AC8" w:rsidP="00B558B7">
            <w:pPr>
              <w:pStyle w:val="TekstTabeli"/>
            </w:pPr>
            <w:r w:rsidRPr="008C72E5">
              <w:t xml:space="preserve">Irish M., Kuso S., Simek M., </w:t>
            </w:r>
            <w:proofErr w:type="spellStart"/>
            <w:r w:rsidR="00A147A1" w:rsidRPr="008C72E5">
              <w:t>i</w:t>
            </w:r>
            <w:proofErr w:type="spellEnd"/>
            <w:r w:rsidR="00A147A1" w:rsidRPr="008C72E5">
              <w:t> in.</w:t>
            </w:r>
          </w:p>
        </w:tc>
        <w:tc>
          <w:tcPr>
            <w:tcW w:w="1771" w:type="pct"/>
            <w:vAlign w:val="center"/>
          </w:tcPr>
          <w:p w14:paraId="324122BB" w14:textId="77777777" w:rsidR="009F6AC8" w:rsidRPr="008C72E5" w:rsidRDefault="009F6AC8" w:rsidP="00B558B7">
            <w:pPr>
              <w:pStyle w:val="TekstTabeli"/>
            </w:pPr>
            <w:r w:rsidRPr="008C72E5">
              <w:t xml:space="preserve">Online prevention </w:t>
            </w:r>
            <w:proofErr w:type="spellStart"/>
            <w:r w:rsidRPr="008C72E5">
              <w:t>programmes</w:t>
            </w:r>
            <w:proofErr w:type="spellEnd"/>
            <w:r w:rsidRPr="008C72E5">
              <w:t xml:space="preserve"> for university students: Stakeholder perspectives from six European countries</w:t>
            </w:r>
          </w:p>
        </w:tc>
        <w:tc>
          <w:tcPr>
            <w:tcW w:w="2052" w:type="pct"/>
            <w:vAlign w:val="center"/>
          </w:tcPr>
          <w:p w14:paraId="07DE3774" w14:textId="77777777" w:rsidR="009F6AC8" w:rsidRPr="008C72E5" w:rsidRDefault="009F6AC8" w:rsidP="00B558B7">
            <w:pPr>
              <w:pStyle w:val="TekstTabeli"/>
              <w:rPr>
                <w:lang w:val="pl-PL"/>
              </w:rPr>
            </w:pPr>
            <w:r w:rsidRPr="008C72E5">
              <w:t xml:space="preserve">(2021) European Journal of Public Health, 31, pp. </w:t>
            </w:r>
            <w:r w:rsidRPr="008C72E5">
              <w:rPr>
                <w:lang w:val="pl-PL"/>
              </w:rPr>
              <w:t>I64 - I70, DOI: 10.1093/</w:t>
            </w:r>
            <w:proofErr w:type="spellStart"/>
            <w:r w:rsidRPr="008C72E5">
              <w:rPr>
                <w:lang w:val="pl-PL"/>
              </w:rPr>
              <w:t>eurpub</w:t>
            </w:r>
            <w:proofErr w:type="spellEnd"/>
            <w:r w:rsidRPr="008C72E5">
              <w:rPr>
                <w:lang w:val="pl-PL"/>
              </w:rPr>
              <w:t>/ckab040</w:t>
            </w:r>
          </w:p>
        </w:tc>
      </w:tr>
      <w:tr w:rsidR="00C4329A" w:rsidRPr="004C10DC" w14:paraId="6A6AE832" w14:textId="77777777" w:rsidTr="00C4329A">
        <w:trPr>
          <w:cantSplit/>
        </w:trPr>
        <w:tc>
          <w:tcPr>
            <w:tcW w:w="297" w:type="pct"/>
            <w:vAlign w:val="center"/>
          </w:tcPr>
          <w:p w14:paraId="322A44BA" w14:textId="77777777" w:rsidR="009F6AC8" w:rsidRPr="008C72E5" w:rsidRDefault="009F6AC8" w:rsidP="00B558B7">
            <w:pPr>
              <w:pStyle w:val="TekstTabeli"/>
            </w:pPr>
            <w:r w:rsidRPr="008C72E5">
              <w:t>187</w:t>
            </w:r>
          </w:p>
        </w:tc>
        <w:tc>
          <w:tcPr>
            <w:tcW w:w="880" w:type="pct"/>
            <w:vAlign w:val="center"/>
          </w:tcPr>
          <w:p w14:paraId="1A9B5656" w14:textId="77777777" w:rsidR="009F6AC8" w:rsidRPr="008C72E5" w:rsidRDefault="009F6AC8" w:rsidP="00B558B7">
            <w:pPr>
              <w:pStyle w:val="TekstTabeli"/>
            </w:pPr>
            <w:r w:rsidRPr="008C72E5">
              <w:t xml:space="preserve">Karademir A., Yaman F., </w:t>
            </w:r>
            <w:proofErr w:type="spellStart"/>
            <w:r w:rsidRPr="008C72E5">
              <w:t>Saatçioğlu</w:t>
            </w:r>
            <w:proofErr w:type="spellEnd"/>
            <w:r w:rsidRPr="008C72E5">
              <w:t xml:space="preserve"> Ö.</w:t>
            </w:r>
          </w:p>
        </w:tc>
        <w:tc>
          <w:tcPr>
            <w:tcW w:w="1771" w:type="pct"/>
            <w:vAlign w:val="center"/>
          </w:tcPr>
          <w:p w14:paraId="544BCEA6" w14:textId="77777777" w:rsidR="009F6AC8" w:rsidRPr="008C72E5" w:rsidRDefault="009F6AC8" w:rsidP="00B558B7">
            <w:pPr>
              <w:pStyle w:val="TekstTabeli"/>
            </w:pPr>
            <w:r w:rsidRPr="008C72E5">
              <w:t>Challenges of higher education institutions against COVID-19: The case of Turkey</w:t>
            </w:r>
          </w:p>
        </w:tc>
        <w:tc>
          <w:tcPr>
            <w:tcW w:w="2052" w:type="pct"/>
            <w:vAlign w:val="center"/>
          </w:tcPr>
          <w:p w14:paraId="7B4392FD" w14:textId="77777777" w:rsidR="009F6AC8" w:rsidRPr="008C72E5" w:rsidRDefault="009F6AC8" w:rsidP="00B558B7">
            <w:pPr>
              <w:pStyle w:val="TekstTabeli"/>
            </w:pPr>
            <w:r w:rsidRPr="008C72E5">
              <w:t>(2020) Journal of Pedagogical Research, 4 (4), pp. 453 - 474, DOI: 10.33902/JPR.2020063574</w:t>
            </w:r>
          </w:p>
        </w:tc>
      </w:tr>
      <w:tr w:rsidR="00C4329A" w:rsidRPr="004C10DC" w14:paraId="3ED7B1BB" w14:textId="77777777" w:rsidTr="00C4329A">
        <w:trPr>
          <w:cantSplit/>
        </w:trPr>
        <w:tc>
          <w:tcPr>
            <w:tcW w:w="297" w:type="pct"/>
            <w:vAlign w:val="center"/>
          </w:tcPr>
          <w:p w14:paraId="225AC2C6" w14:textId="77777777" w:rsidR="009F6AC8" w:rsidRPr="008C72E5" w:rsidRDefault="009F6AC8" w:rsidP="00B558B7">
            <w:pPr>
              <w:pStyle w:val="TekstTabeli"/>
            </w:pPr>
            <w:r w:rsidRPr="008C72E5">
              <w:t>188</w:t>
            </w:r>
          </w:p>
        </w:tc>
        <w:tc>
          <w:tcPr>
            <w:tcW w:w="880" w:type="pct"/>
            <w:vAlign w:val="center"/>
          </w:tcPr>
          <w:p w14:paraId="0EEEDC08" w14:textId="77777777" w:rsidR="009F6AC8" w:rsidRPr="008C72E5" w:rsidRDefault="009F6AC8" w:rsidP="00B558B7">
            <w:pPr>
              <w:pStyle w:val="TekstTabeli"/>
            </w:pPr>
            <w:r w:rsidRPr="008C72E5">
              <w:t>Ramírez Y., Tejada Á.</w:t>
            </w:r>
          </w:p>
        </w:tc>
        <w:tc>
          <w:tcPr>
            <w:tcW w:w="1771" w:type="pct"/>
            <w:vAlign w:val="center"/>
          </w:tcPr>
          <w:p w14:paraId="7C7BD7EC" w14:textId="77777777" w:rsidR="009F6AC8" w:rsidRPr="008C72E5" w:rsidRDefault="009F6AC8" w:rsidP="00B558B7">
            <w:pPr>
              <w:pStyle w:val="TekstTabeli"/>
            </w:pPr>
            <w:r w:rsidRPr="008C72E5">
              <w:t>Corporate governance of universities: Improving transparency and accountability</w:t>
            </w:r>
          </w:p>
        </w:tc>
        <w:tc>
          <w:tcPr>
            <w:tcW w:w="2052" w:type="pct"/>
            <w:vAlign w:val="center"/>
          </w:tcPr>
          <w:p w14:paraId="361781B4" w14:textId="77777777" w:rsidR="009F6AC8" w:rsidRPr="008C72E5" w:rsidRDefault="009F6AC8" w:rsidP="00B558B7">
            <w:pPr>
              <w:pStyle w:val="TekstTabeli"/>
            </w:pPr>
            <w:r w:rsidRPr="008C72E5">
              <w:t>(2018) International Journal of Disclosure and Governance, 15 (1), pp. 29 - 39, DOI: 10.1057/s41310-018-0034-2</w:t>
            </w:r>
          </w:p>
        </w:tc>
      </w:tr>
      <w:tr w:rsidR="00C4329A" w:rsidRPr="004C10DC" w14:paraId="49D313A5" w14:textId="77777777" w:rsidTr="00C4329A">
        <w:trPr>
          <w:cantSplit/>
        </w:trPr>
        <w:tc>
          <w:tcPr>
            <w:tcW w:w="297" w:type="pct"/>
            <w:vAlign w:val="center"/>
          </w:tcPr>
          <w:p w14:paraId="73CA1684" w14:textId="77777777" w:rsidR="009F6AC8" w:rsidRPr="008C72E5" w:rsidRDefault="009F6AC8" w:rsidP="00B558B7">
            <w:pPr>
              <w:pStyle w:val="TekstTabeli"/>
            </w:pPr>
            <w:r w:rsidRPr="008C72E5">
              <w:t>189</w:t>
            </w:r>
          </w:p>
        </w:tc>
        <w:tc>
          <w:tcPr>
            <w:tcW w:w="880" w:type="pct"/>
            <w:vAlign w:val="center"/>
          </w:tcPr>
          <w:p w14:paraId="2ACEC003" w14:textId="77777777" w:rsidR="009F6AC8" w:rsidRPr="008C72E5" w:rsidRDefault="009F6AC8" w:rsidP="00B558B7">
            <w:pPr>
              <w:pStyle w:val="TekstTabeli"/>
            </w:pPr>
            <w:r w:rsidRPr="008C72E5">
              <w:t>Jones K.C.</w:t>
            </w:r>
          </w:p>
        </w:tc>
        <w:tc>
          <w:tcPr>
            <w:tcW w:w="1771" w:type="pct"/>
            <w:vAlign w:val="center"/>
          </w:tcPr>
          <w:p w14:paraId="58A908E2" w14:textId="77777777" w:rsidR="009F6AC8" w:rsidRPr="008C72E5" w:rsidRDefault="009F6AC8" w:rsidP="00B558B7">
            <w:pPr>
              <w:pStyle w:val="TekstTabeli"/>
            </w:pPr>
            <w:r w:rsidRPr="008C72E5">
              <w:t>Understanding Transition Experiences of Combat Veterans Attending Community College</w:t>
            </w:r>
          </w:p>
        </w:tc>
        <w:tc>
          <w:tcPr>
            <w:tcW w:w="2052" w:type="pct"/>
            <w:vAlign w:val="center"/>
          </w:tcPr>
          <w:p w14:paraId="67C69F1D" w14:textId="77777777" w:rsidR="009F6AC8" w:rsidRPr="008C72E5" w:rsidRDefault="009F6AC8" w:rsidP="00B558B7">
            <w:pPr>
              <w:pStyle w:val="TekstTabeli"/>
            </w:pPr>
            <w:r w:rsidRPr="008C72E5">
              <w:t>(2017) Community College Journal of Research and Practice, 41 (2), pp. 107 - 123, DOI: 10.1080/10668926.2016.1163298</w:t>
            </w:r>
          </w:p>
        </w:tc>
      </w:tr>
      <w:tr w:rsidR="00C4329A" w:rsidRPr="004C10DC" w14:paraId="0A7D3516" w14:textId="77777777" w:rsidTr="00C4329A">
        <w:trPr>
          <w:cantSplit/>
        </w:trPr>
        <w:tc>
          <w:tcPr>
            <w:tcW w:w="297" w:type="pct"/>
            <w:vAlign w:val="center"/>
          </w:tcPr>
          <w:p w14:paraId="41A5814D" w14:textId="77777777" w:rsidR="009F6AC8" w:rsidRPr="008C72E5" w:rsidRDefault="009F6AC8" w:rsidP="00B558B7">
            <w:pPr>
              <w:pStyle w:val="TekstTabeli"/>
            </w:pPr>
            <w:r w:rsidRPr="008C72E5">
              <w:t>190</w:t>
            </w:r>
          </w:p>
        </w:tc>
        <w:tc>
          <w:tcPr>
            <w:tcW w:w="880" w:type="pct"/>
            <w:vAlign w:val="center"/>
          </w:tcPr>
          <w:p w14:paraId="055E3115" w14:textId="77777777" w:rsidR="009F6AC8" w:rsidRPr="008C72E5" w:rsidRDefault="009F6AC8" w:rsidP="00B558B7">
            <w:pPr>
              <w:pStyle w:val="TekstTabeli"/>
            </w:pPr>
            <w:proofErr w:type="spellStart"/>
            <w:r w:rsidRPr="008C72E5">
              <w:t>Kaçaniku</w:t>
            </w:r>
            <w:proofErr w:type="spellEnd"/>
            <w:r w:rsidRPr="008C72E5">
              <w:t xml:space="preserve"> F.</w:t>
            </w:r>
          </w:p>
        </w:tc>
        <w:tc>
          <w:tcPr>
            <w:tcW w:w="1771" w:type="pct"/>
            <w:vAlign w:val="center"/>
          </w:tcPr>
          <w:p w14:paraId="098D9865" w14:textId="77777777" w:rsidR="009F6AC8" w:rsidRPr="008C72E5" w:rsidRDefault="009F6AC8" w:rsidP="00B558B7">
            <w:pPr>
              <w:pStyle w:val="TekstTabeli"/>
            </w:pPr>
            <w:r w:rsidRPr="008C72E5">
              <w:t>Towards quality assurance and enhancement: the influence of the Bologna Process in Kosovo’s higher education</w:t>
            </w:r>
          </w:p>
        </w:tc>
        <w:tc>
          <w:tcPr>
            <w:tcW w:w="2052" w:type="pct"/>
            <w:vAlign w:val="center"/>
          </w:tcPr>
          <w:p w14:paraId="181C2326" w14:textId="77777777" w:rsidR="009F6AC8" w:rsidRPr="008C72E5" w:rsidRDefault="009F6AC8" w:rsidP="00B558B7">
            <w:pPr>
              <w:pStyle w:val="TekstTabeli"/>
            </w:pPr>
            <w:r w:rsidRPr="008C72E5">
              <w:t>(2020) Quality in Higher Education, 26 (1), pp. 32 - 47, DOI: 10.1080/13538322.2020.1737400</w:t>
            </w:r>
          </w:p>
        </w:tc>
      </w:tr>
      <w:tr w:rsidR="00C4329A" w:rsidRPr="004C10DC" w14:paraId="12D5C1CF" w14:textId="77777777" w:rsidTr="00C4329A">
        <w:trPr>
          <w:cantSplit/>
        </w:trPr>
        <w:tc>
          <w:tcPr>
            <w:tcW w:w="297" w:type="pct"/>
            <w:vAlign w:val="center"/>
          </w:tcPr>
          <w:p w14:paraId="006A3D07" w14:textId="77777777" w:rsidR="009F6AC8" w:rsidRPr="008C72E5" w:rsidRDefault="009F6AC8" w:rsidP="00B558B7">
            <w:pPr>
              <w:pStyle w:val="TekstTabeli"/>
            </w:pPr>
            <w:r w:rsidRPr="008C72E5">
              <w:t>191</w:t>
            </w:r>
          </w:p>
        </w:tc>
        <w:tc>
          <w:tcPr>
            <w:tcW w:w="880" w:type="pct"/>
            <w:vAlign w:val="center"/>
          </w:tcPr>
          <w:p w14:paraId="06B3D338" w14:textId="77777777" w:rsidR="009F6AC8" w:rsidRPr="008C72E5" w:rsidRDefault="009F6AC8" w:rsidP="00B558B7">
            <w:pPr>
              <w:pStyle w:val="TekstTabeli"/>
            </w:pPr>
            <w:r w:rsidRPr="008C72E5">
              <w:t xml:space="preserve">Drakopoulou Dodd S., Jones P., McElwee G., </w:t>
            </w:r>
            <w:proofErr w:type="spellStart"/>
            <w:r w:rsidRPr="008C72E5">
              <w:t>Haddoud</w:t>
            </w:r>
            <w:proofErr w:type="spellEnd"/>
            <w:r w:rsidRPr="008C72E5">
              <w:t xml:space="preserve"> M.</w:t>
            </w:r>
          </w:p>
        </w:tc>
        <w:tc>
          <w:tcPr>
            <w:tcW w:w="1771" w:type="pct"/>
            <w:vAlign w:val="center"/>
          </w:tcPr>
          <w:p w14:paraId="3BBABC20" w14:textId="77777777" w:rsidR="009F6AC8" w:rsidRPr="008C72E5" w:rsidRDefault="009F6AC8" w:rsidP="00B558B7">
            <w:pPr>
              <w:pStyle w:val="TekstTabeli"/>
            </w:pPr>
            <w:r w:rsidRPr="008C72E5">
              <w:t>The price of everything, and the value of nothing? Stories of contribution in entrepreneurship research</w:t>
            </w:r>
          </w:p>
        </w:tc>
        <w:tc>
          <w:tcPr>
            <w:tcW w:w="2052" w:type="pct"/>
            <w:vAlign w:val="center"/>
          </w:tcPr>
          <w:p w14:paraId="05CFE01F" w14:textId="77777777" w:rsidR="009F6AC8" w:rsidRPr="008C72E5" w:rsidRDefault="009F6AC8" w:rsidP="00B558B7">
            <w:pPr>
              <w:pStyle w:val="TekstTabeli"/>
            </w:pPr>
            <w:r w:rsidRPr="008C72E5">
              <w:t>(2016) Journal of Small Business and Enterprise Development, 23 (4), pp. 918 - 938, DOI: 10.1108/JSBED-03-2016-0049</w:t>
            </w:r>
          </w:p>
        </w:tc>
      </w:tr>
      <w:tr w:rsidR="00C4329A" w:rsidRPr="004C10DC" w14:paraId="06AE67A9" w14:textId="77777777" w:rsidTr="00C4329A">
        <w:trPr>
          <w:cantSplit/>
        </w:trPr>
        <w:tc>
          <w:tcPr>
            <w:tcW w:w="297" w:type="pct"/>
            <w:vAlign w:val="center"/>
          </w:tcPr>
          <w:p w14:paraId="2D78CCAF" w14:textId="77777777" w:rsidR="009F6AC8" w:rsidRPr="008C72E5" w:rsidRDefault="009F6AC8" w:rsidP="00B558B7">
            <w:pPr>
              <w:pStyle w:val="TekstTabeli"/>
            </w:pPr>
            <w:r w:rsidRPr="008C72E5">
              <w:t>192</w:t>
            </w:r>
          </w:p>
        </w:tc>
        <w:tc>
          <w:tcPr>
            <w:tcW w:w="880" w:type="pct"/>
            <w:vAlign w:val="center"/>
          </w:tcPr>
          <w:p w14:paraId="0E512F0B" w14:textId="77777777" w:rsidR="009F6AC8" w:rsidRPr="008C72E5" w:rsidRDefault="009F6AC8" w:rsidP="00B558B7">
            <w:pPr>
              <w:pStyle w:val="TekstTabeli"/>
            </w:pPr>
            <w:proofErr w:type="spellStart"/>
            <w:r w:rsidRPr="008C72E5">
              <w:t>Shuqfa</w:t>
            </w:r>
            <w:proofErr w:type="spellEnd"/>
            <w:r w:rsidRPr="008C72E5">
              <w:t xml:space="preserve"> Z., </w:t>
            </w:r>
            <w:proofErr w:type="spellStart"/>
            <w:r w:rsidRPr="008C72E5">
              <w:t>Harous</w:t>
            </w:r>
            <w:proofErr w:type="spellEnd"/>
            <w:r w:rsidRPr="008C72E5">
              <w:t xml:space="preserve"> S.</w:t>
            </w:r>
          </w:p>
        </w:tc>
        <w:tc>
          <w:tcPr>
            <w:tcW w:w="1771" w:type="pct"/>
            <w:vAlign w:val="center"/>
          </w:tcPr>
          <w:p w14:paraId="5B8667D3" w14:textId="77777777" w:rsidR="009F6AC8" w:rsidRPr="008C72E5" w:rsidRDefault="009F6AC8" w:rsidP="00B558B7">
            <w:pPr>
              <w:pStyle w:val="TekstTabeli"/>
            </w:pPr>
            <w:r w:rsidRPr="008C72E5">
              <w:t>Data Mining Techniques Used in Predicting Student Retention in Higher Education: A Survey</w:t>
            </w:r>
          </w:p>
        </w:tc>
        <w:tc>
          <w:tcPr>
            <w:tcW w:w="2052" w:type="pct"/>
            <w:vAlign w:val="center"/>
          </w:tcPr>
          <w:p w14:paraId="4E49F7A6" w14:textId="77777777" w:rsidR="009F6AC8" w:rsidRPr="008C72E5" w:rsidRDefault="009F6AC8" w:rsidP="00B558B7">
            <w:pPr>
              <w:pStyle w:val="TekstTabeli"/>
            </w:pPr>
            <w:r w:rsidRPr="008C72E5">
              <w:t>(2019) 2019 International Conference on Electrical and Computing Technologies and Applications, ICECTA 2019, art. no. 8959789, DOI: 10.1109/ICECTA48151.2019.8959789</w:t>
            </w:r>
          </w:p>
        </w:tc>
      </w:tr>
      <w:tr w:rsidR="00C4329A" w:rsidRPr="004C10DC" w14:paraId="356DD2DD" w14:textId="77777777" w:rsidTr="00C4329A">
        <w:trPr>
          <w:cantSplit/>
        </w:trPr>
        <w:tc>
          <w:tcPr>
            <w:tcW w:w="297" w:type="pct"/>
            <w:vAlign w:val="center"/>
          </w:tcPr>
          <w:p w14:paraId="6BCB7564" w14:textId="77777777" w:rsidR="009F6AC8" w:rsidRPr="008C72E5" w:rsidRDefault="009F6AC8" w:rsidP="00B558B7">
            <w:pPr>
              <w:pStyle w:val="TekstTabeli"/>
            </w:pPr>
            <w:r w:rsidRPr="008C72E5">
              <w:t>193</w:t>
            </w:r>
          </w:p>
        </w:tc>
        <w:tc>
          <w:tcPr>
            <w:tcW w:w="880" w:type="pct"/>
            <w:vAlign w:val="center"/>
          </w:tcPr>
          <w:p w14:paraId="7763639A" w14:textId="77777777" w:rsidR="009F6AC8" w:rsidRPr="008C72E5" w:rsidRDefault="009F6AC8" w:rsidP="00B558B7">
            <w:pPr>
              <w:pStyle w:val="TekstTabeli"/>
            </w:pPr>
            <w:proofErr w:type="spellStart"/>
            <w:r w:rsidRPr="008C72E5">
              <w:t>Labanauskis</w:t>
            </w:r>
            <w:proofErr w:type="spellEnd"/>
            <w:r w:rsidRPr="008C72E5">
              <w:t xml:space="preserve"> R., </w:t>
            </w:r>
            <w:proofErr w:type="spellStart"/>
            <w:r w:rsidRPr="008C72E5">
              <w:t>Ginevičius</w:t>
            </w:r>
            <w:proofErr w:type="spellEnd"/>
            <w:r w:rsidRPr="008C72E5">
              <w:t xml:space="preserve"> R.</w:t>
            </w:r>
          </w:p>
        </w:tc>
        <w:tc>
          <w:tcPr>
            <w:tcW w:w="1771" w:type="pct"/>
            <w:vAlign w:val="center"/>
          </w:tcPr>
          <w:p w14:paraId="3AF108E7" w14:textId="77777777" w:rsidR="009F6AC8" w:rsidRPr="008C72E5" w:rsidRDefault="009F6AC8" w:rsidP="00B558B7">
            <w:pPr>
              <w:pStyle w:val="TekstTabeli"/>
            </w:pPr>
            <w:r w:rsidRPr="008C72E5">
              <w:t>Role of stakeholders leading to development of higher education services</w:t>
            </w:r>
          </w:p>
        </w:tc>
        <w:tc>
          <w:tcPr>
            <w:tcW w:w="2052" w:type="pct"/>
            <w:vAlign w:val="center"/>
          </w:tcPr>
          <w:p w14:paraId="4BEF466E" w14:textId="77777777" w:rsidR="009F6AC8" w:rsidRPr="008C72E5" w:rsidRDefault="009F6AC8" w:rsidP="00B558B7">
            <w:pPr>
              <w:pStyle w:val="TekstTabeli"/>
            </w:pPr>
            <w:r w:rsidRPr="008C72E5">
              <w:t>(2017) Engineering Management in Production and Services, 9 (3), pp. 63 - 75, DOI: 10.1515/emj-2017-0026</w:t>
            </w:r>
          </w:p>
        </w:tc>
      </w:tr>
      <w:tr w:rsidR="00C4329A" w:rsidRPr="004C10DC" w14:paraId="6A682DDA" w14:textId="77777777" w:rsidTr="00C4329A">
        <w:trPr>
          <w:cantSplit/>
        </w:trPr>
        <w:tc>
          <w:tcPr>
            <w:tcW w:w="297" w:type="pct"/>
            <w:vAlign w:val="center"/>
          </w:tcPr>
          <w:p w14:paraId="513F2726" w14:textId="77777777" w:rsidR="009F6AC8" w:rsidRPr="008C72E5" w:rsidRDefault="009F6AC8" w:rsidP="00B558B7">
            <w:pPr>
              <w:pStyle w:val="TekstTabeli"/>
            </w:pPr>
            <w:r w:rsidRPr="008C72E5">
              <w:lastRenderedPageBreak/>
              <w:t>194</w:t>
            </w:r>
          </w:p>
        </w:tc>
        <w:tc>
          <w:tcPr>
            <w:tcW w:w="880" w:type="pct"/>
            <w:vAlign w:val="center"/>
          </w:tcPr>
          <w:p w14:paraId="7ECDC5DA" w14:textId="77777777" w:rsidR="009F6AC8" w:rsidRPr="008C72E5" w:rsidRDefault="009F6AC8" w:rsidP="00B558B7">
            <w:pPr>
              <w:pStyle w:val="TekstTabeli"/>
            </w:pPr>
            <w:proofErr w:type="spellStart"/>
            <w:r w:rsidRPr="008C72E5">
              <w:t>Alhalwaki</w:t>
            </w:r>
            <w:proofErr w:type="spellEnd"/>
            <w:r w:rsidRPr="008C72E5">
              <w:t xml:space="preserve"> H., Hamdan A.M.M.</w:t>
            </w:r>
          </w:p>
        </w:tc>
        <w:tc>
          <w:tcPr>
            <w:tcW w:w="1771" w:type="pct"/>
            <w:vAlign w:val="center"/>
          </w:tcPr>
          <w:p w14:paraId="372C2F5C" w14:textId="77777777" w:rsidR="009F6AC8" w:rsidRPr="008C72E5" w:rsidRDefault="009F6AC8" w:rsidP="00B558B7">
            <w:pPr>
              <w:pStyle w:val="TekstTabeli"/>
            </w:pPr>
            <w:r w:rsidRPr="008C72E5">
              <w:t xml:space="preserve">Factors affecting the implementation of </w:t>
            </w:r>
            <w:proofErr w:type="spellStart"/>
            <w:r w:rsidRPr="008C72E5">
              <w:t>internationalisation</w:t>
            </w:r>
            <w:proofErr w:type="spellEnd"/>
            <w:r w:rsidRPr="008C72E5">
              <w:t xml:space="preserve"> strategies in higher education institutions: Evidence from Bahrain</w:t>
            </w:r>
          </w:p>
        </w:tc>
        <w:tc>
          <w:tcPr>
            <w:tcW w:w="2052" w:type="pct"/>
            <w:vAlign w:val="center"/>
          </w:tcPr>
          <w:p w14:paraId="3521BD4E" w14:textId="77777777" w:rsidR="009F6AC8" w:rsidRPr="008C72E5" w:rsidRDefault="009F6AC8" w:rsidP="00B558B7">
            <w:pPr>
              <w:pStyle w:val="TekstTabeli"/>
            </w:pPr>
            <w:r w:rsidRPr="008C72E5">
              <w:t>(2019) International Journal of Management in Education, 13 (1), pp. 1 - 27, DOI: 10.1504/IJMIE.2019.096474</w:t>
            </w:r>
          </w:p>
        </w:tc>
      </w:tr>
      <w:tr w:rsidR="00C4329A" w:rsidRPr="008C72E5" w14:paraId="06A1D350" w14:textId="77777777" w:rsidTr="00C4329A">
        <w:trPr>
          <w:cantSplit/>
        </w:trPr>
        <w:tc>
          <w:tcPr>
            <w:tcW w:w="297" w:type="pct"/>
            <w:vAlign w:val="center"/>
          </w:tcPr>
          <w:p w14:paraId="39B40034" w14:textId="77777777" w:rsidR="009F6AC8" w:rsidRPr="008C72E5" w:rsidRDefault="009F6AC8" w:rsidP="00B558B7">
            <w:pPr>
              <w:pStyle w:val="TekstTabeli"/>
            </w:pPr>
            <w:r w:rsidRPr="008C72E5">
              <w:t>195</w:t>
            </w:r>
          </w:p>
        </w:tc>
        <w:tc>
          <w:tcPr>
            <w:tcW w:w="880" w:type="pct"/>
            <w:vAlign w:val="center"/>
          </w:tcPr>
          <w:p w14:paraId="497895F8" w14:textId="77777777" w:rsidR="009F6AC8" w:rsidRPr="008C72E5" w:rsidRDefault="009F6AC8" w:rsidP="00B558B7">
            <w:pPr>
              <w:pStyle w:val="TekstTabeli"/>
            </w:pPr>
            <w:r w:rsidRPr="008C72E5">
              <w:t>Lei J., Ashwin C., Brosnan M., Russell A.</w:t>
            </w:r>
          </w:p>
        </w:tc>
        <w:tc>
          <w:tcPr>
            <w:tcW w:w="1771" w:type="pct"/>
            <w:vAlign w:val="center"/>
          </w:tcPr>
          <w:p w14:paraId="321E2515" w14:textId="77777777" w:rsidR="009F6AC8" w:rsidRPr="008C72E5" w:rsidRDefault="009F6AC8" w:rsidP="00B558B7">
            <w:pPr>
              <w:pStyle w:val="TekstTabeli"/>
            </w:pPr>
            <w:r w:rsidRPr="008C72E5">
              <w:t>Differences in anxieties and social networks in a group-matched sample of autistic and typically developing students transitioning to university</w:t>
            </w:r>
          </w:p>
        </w:tc>
        <w:tc>
          <w:tcPr>
            <w:tcW w:w="2052" w:type="pct"/>
            <w:vAlign w:val="center"/>
          </w:tcPr>
          <w:p w14:paraId="4981763D" w14:textId="77777777" w:rsidR="009F6AC8" w:rsidRPr="008C72E5" w:rsidRDefault="009F6AC8" w:rsidP="00B558B7">
            <w:pPr>
              <w:pStyle w:val="TekstTabeli"/>
            </w:pPr>
            <w:r w:rsidRPr="008C72E5">
              <w:t>(2020) Autism, 24 (5), pp. 1138 - 1151, DOI: 10.1177/1362361319894830</w:t>
            </w:r>
          </w:p>
        </w:tc>
      </w:tr>
      <w:tr w:rsidR="00C4329A" w:rsidRPr="004C10DC" w14:paraId="186E4FDC" w14:textId="77777777" w:rsidTr="00C4329A">
        <w:trPr>
          <w:cantSplit/>
        </w:trPr>
        <w:tc>
          <w:tcPr>
            <w:tcW w:w="297" w:type="pct"/>
            <w:vAlign w:val="center"/>
          </w:tcPr>
          <w:p w14:paraId="09344CAD" w14:textId="77777777" w:rsidR="009F6AC8" w:rsidRPr="008C72E5" w:rsidRDefault="009F6AC8" w:rsidP="00B558B7">
            <w:pPr>
              <w:pStyle w:val="TekstTabeli"/>
            </w:pPr>
            <w:r w:rsidRPr="008C72E5">
              <w:t>196</w:t>
            </w:r>
          </w:p>
        </w:tc>
        <w:tc>
          <w:tcPr>
            <w:tcW w:w="880" w:type="pct"/>
            <w:vAlign w:val="center"/>
          </w:tcPr>
          <w:p w14:paraId="366E4D8F" w14:textId="77777777" w:rsidR="009F6AC8" w:rsidRPr="008C72E5" w:rsidRDefault="009F6AC8" w:rsidP="00B558B7">
            <w:pPr>
              <w:pStyle w:val="TekstTabeli"/>
            </w:pPr>
            <w:r w:rsidRPr="008C72E5">
              <w:t>Kusio T., Fiore M.</w:t>
            </w:r>
          </w:p>
        </w:tc>
        <w:tc>
          <w:tcPr>
            <w:tcW w:w="1771" w:type="pct"/>
            <w:vAlign w:val="center"/>
          </w:tcPr>
          <w:p w14:paraId="40A23014" w14:textId="77777777" w:rsidR="009F6AC8" w:rsidRPr="008C72E5" w:rsidRDefault="009F6AC8" w:rsidP="00B558B7">
            <w:pPr>
              <w:pStyle w:val="TekstTabeli"/>
            </w:pPr>
            <w:r w:rsidRPr="008C72E5">
              <w:t>The perception of entrepreneurship culture by internal university stakeholders</w:t>
            </w:r>
          </w:p>
        </w:tc>
        <w:tc>
          <w:tcPr>
            <w:tcW w:w="2052" w:type="pct"/>
            <w:vAlign w:val="center"/>
          </w:tcPr>
          <w:p w14:paraId="291B53E5" w14:textId="77777777" w:rsidR="009F6AC8" w:rsidRPr="008C72E5" w:rsidRDefault="009F6AC8" w:rsidP="00B558B7">
            <w:pPr>
              <w:pStyle w:val="TekstTabeli"/>
            </w:pPr>
            <w:r w:rsidRPr="008C72E5">
              <w:t>(2020) European Business Review, 32 (3), pp. 443 - 457, DOI: 10.1108/EBR-05-2019-0087</w:t>
            </w:r>
          </w:p>
        </w:tc>
      </w:tr>
      <w:tr w:rsidR="00C4329A" w:rsidRPr="004C10DC" w14:paraId="15963221" w14:textId="77777777" w:rsidTr="00C4329A">
        <w:trPr>
          <w:cantSplit/>
        </w:trPr>
        <w:tc>
          <w:tcPr>
            <w:tcW w:w="297" w:type="pct"/>
            <w:vAlign w:val="center"/>
          </w:tcPr>
          <w:p w14:paraId="5AFA7254" w14:textId="77777777" w:rsidR="009F6AC8" w:rsidRPr="008C72E5" w:rsidRDefault="009F6AC8" w:rsidP="00B558B7">
            <w:pPr>
              <w:pStyle w:val="TekstTabeli"/>
            </w:pPr>
            <w:r w:rsidRPr="008C72E5">
              <w:t>197</w:t>
            </w:r>
          </w:p>
        </w:tc>
        <w:tc>
          <w:tcPr>
            <w:tcW w:w="880" w:type="pct"/>
            <w:vAlign w:val="center"/>
          </w:tcPr>
          <w:p w14:paraId="5500DE53" w14:textId="77777777" w:rsidR="009F6AC8" w:rsidRPr="008C72E5" w:rsidRDefault="009F6AC8" w:rsidP="00B558B7">
            <w:pPr>
              <w:pStyle w:val="TekstTabeli"/>
            </w:pPr>
            <w:proofErr w:type="spellStart"/>
            <w:r w:rsidRPr="008C72E5">
              <w:t>McCrohon</w:t>
            </w:r>
            <w:proofErr w:type="spellEnd"/>
            <w:r w:rsidRPr="008C72E5">
              <w:t xml:space="preserve"> M., Nyland B.</w:t>
            </w:r>
          </w:p>
        </w:tc>
        <w:tc>
          <w:tcPr>
            <w:tcW w:w="1771" w:type="pct"/>
            <w:vAlign w:val="center"/>
          </w:tcPr>
          <w:p w14:paraId="1D5DFFE1" w14:textId="77777777" w:rsidR="009F6AC8" w:rsidRPr="008C72E5" w:rsidRDefault="009F6AC8" w:rsidP="00B558B7">
            <w:pPr>
              <w:pStyle w:val="TekstTabeli"/>
            </w:pPr>
            <w:r w:rsidRPr="008C72E5">
              <w:t xml:space="preserve">The perceptions of </w:t>
            </w:r>
            <w:proofErr w:type="spellStart"/>
            <w:r w:rsidRPr="008C72E5">
              <w:t>commoditisation</w:t>
            </w:r>
            <w:proofErr w:type="spellEnd"/>
            <w:r w:rsidRPr="008C72E5">
              <w:t xml:space="preserve"> and </w:t>
            </w:r>
            <w:proofErr w:type="spellStart"/>
            <w:r w:rsidRPr="008C72E5">
              <w:t>internationalisation</w:t>
            </w:r>
            <w:proofErr w:type="spellEnd"/>
            <w:r w:rsidRPr="008C72E5">
              <w:t xml:space="preserve"> of higher education in Australia: an interview study of Chinese international students and their lecturers</w:t>
            </w:r>
          </w:p>
        </w:tc>
        <w:tc>
          <w:tcPr>
            <w:tcW w:w="2052" w:type="pct"/>
            <w:vAlign w:val="center"/>
          </w:tcPr>
          <w:p w14:paraId="3A2E1987" w14:textId="77777777" w:rsidR="009F6AC8" w:rsidRPr="008C72E5" w:rsidRDefault="009F6AC8" w:rsidP="00B558B7">
            <w:pPr>
              <w:pStyle w:val="TekstTabeli"/>
            </w:pPr>
            <w:r w:rsidRPr="008C72E5">
              <w:t>(2018) Asia Pacific Education Review, 19 (1), pp. 17 - 26, DOI: 10.1007/s12564-018-9515-z</w:t>
            </w:r>
          </w:p>
        </w:tc>
      </w:tr>
      <w:tr w:rsidR="00C4329A" w:rsidRPr="004C10DC" w14:paraId="15AF72F1" w14:textId="77777777" w:rsidTr="00C4329A">
        <w:trPr>
          <w:cantSplit/>
        </w:trPr>
        <w:tc>
          <w:tcPr>
            <w:tcW w:w="297" w:type="pct"/>
            <w:vAlign w:val="center"/>
          </w:tcPr>
          <w:p w14:paraId="3E0DC68C" w14:textId="77777777" w:rsidR="009F6AC8" w:rsidRPr="008C72E5" w:rsidRDefault="009F6AC8" w:rsidP="00B558B7">
            <w:pPr>
              <w:pStyle w:val="TekstTabeli"/>
            </w:pPr>
            <w:r w:rsidRPr="008C72E5">
              <w:t>198</w:t>
            </w:r>
          </w:p>
        </w:tc>
        <w:tc>
          <w:tcPr>
            <w:tcW w:w="880" w:type="pct"/>
            <w:vAlign w:val="center"/>
          </w:tcPr>
          <w:p w14:paraId="3186C94B" w14:textId="77777777" w:rsidR="009F6AC8" w:rsidRPr="008C72E5" w:rsidRDefault="009F6AC8" w:rsidP="00B558B7">
            <w:pPr>
              <w:pStyle w:val="TekstTabeli"/>
            </w:pPr>
            <w:r w:rsidRPr="008C72E5">
              <w:t>Adhikari D.R., Shrestha P.</w:t>
            </w:r>
          </w:p>
        </w:tc>
        <w:tc>
          <w:tcPr>
            <w:tcW w:w="1771" w:type="pct"/>
            <w:vAlign w:val="center"/>
          </w:tcPr>
          <w:p w14:paraId="1AE51352" w14:textId="77777777" w:rsidR="009F6AC8" w:rsidRPr="008C72E5" w:rsidRDefault="009F6AC8" w:rsidP="00B558B7">
            <w:pPr>
              <w:pStyle w:val="TekstTabeli"/>
            </w:pPr>
            <w:r w:rsidRPr="008C72E5">
              <w:t>Knowledge management initiatives for achieving sustainable development goal 4.7: higher education institutions’ stakeholder perspectives</w:t>
            </w:r>
          </w:p>
        </w:tc>
        <w:tc>
          <w:tcPr>
            <w:tcW w:w="2052" w:type="pct"/>
            <w:vAlign w:val="center"/>
          </w:tcPr>
          <w:p w14:paraId="6122F8CB" w14:textId="77777777" w:rsidR="009F6AC8" w:rsidRPr="008C72E5" w:rsidRDefault="009F6AC8" w:rsidP="00B558B7">
            <w:pPr>
              <w:pStyle w:val="TekstTabeli"/>
            </w:pPr>
            <w:r w:rsidRPr="008C72E5">
              <w:t>(2023) Journal of Knowledge Management, 27 (4), pp. 1109 - 1139, DOI: 10.1108/JKM-03-2022-0172</w:t>
            </w:r>
          </w:p>
        </w:tc>
      </w:tr>
      <w:tr w:rsidR="00C4329A" w:rsidRPr="004C10DC" w14:paraId="053C3D36" w14:textId="77777777" w:rsidTr="00C4329A">
        <w:trPr>
          <w:cantSplit/>
        </w:trPr>
        <w:tc>
          <w:tcPr>
            <w:tcW w:w="297" w:type="pct"/>
            <w:vAlign w:val="center"/>
          </w:tcPr>
          <w:p w14:paraId="06D9504F" w14:textId="77777777" w:rsidR="009F6AC8" w:rsidRPr="008C72E5" w:rsidRDefault="009F6AC8" w:rsidP="00B558B7">
            <w:pPr>
              <w:pStyle w:val="TekstTabeli"/>
            </w:pPr>
            <w:r w:rsidRPr="008C72E5">
              <w:t>199</w:t>
            </w:r>
          </w:p>
        </w:tc>
        <w:tc>
          <w:tcPr>
            <w:tcW w:w="880" w:type="pct"/>
            <w:vAlign w:val="center"/>
          </w:tcPr>
          <w:p w14:paraId="59EAA87C" w14:textId="77777777" w:rsidR="009F6AC8" w:rsidRPr="00D82766" w:rsidRDefault="009F6AC8" w:rsidP="00B558B7">
            <w:pPr>
              <w:pStyle w:val="TekstTabeli"/>
              <w:rPr>
                <w:lang w:val="pl-PL"/>
              </w:rPr>
            </w:pPr>
            <w:r w:rsidRPr="00D82766">
              <w:rPr>
                <w:lang w:val="pl-PL"/>
              </w:rPr>
              <w:t xml:space="preserve">Simon A., </w:t>
            </w:r>
            <w:proofErr w:type="spellStart"/>
            <w:r w:rsidRPr="00D82766">
              <w:rPr>
                <w:lang w:val="pl-PL"/>
              </w:rPr>
              <w:t>Masinda</w:t>
            </w:r>
            <w:proofErr w:type="spellEnd"/>
            <w:r w:rsidRPr="00D82766">
              <w:rPr>
                <w:lang w:val="pl-PL"/>
              </w:rPr>
              <w:t xml:space="preserve"> S., </w:t>
            </w:r>
            <w:proofErr w:type="spellStart"/>
            <w:r w:rsidRPr="00D82766">
              <w:rPr>
                <w:lang w:val="pl-PL"/>
              </w:rPr>
              <w:t>Zakrajsek</w:t>
            </w:r>
            <w:proofErr w:type="spellEnd"/>
            <w:r w:rsidRPr="00D82766">
              <w:rPr>
                <w:lang w:val="pl-PL"/>
              </w:rPr>
              <w:t xml:space="preserve"> A.</w:t>
            </w:r>
          </w:p>
        </w:tc>
        <w:tc>
          <w:tcPr>
            <w:tcW w:w="1771" w:type="pct"/>
            <w:vAlign w:val="center"/>
          </w:tcPr>
          <w:p w14:paraId="1A4E8952" w14:textId="77777777" w:rsidR="009F6AC8" w:rsidRPr="008C72E5" w:rsidRDefault="009F6AC8" w:rsidP="00B558B7">
            <w:pPr>
              <w:pStyle w:val="TekstTabeli"/>
            </w:pPr>
            <w:r w:rsidRPr="008C72E5">
              <w:t>Age-Friendly University environmental scan: Exploring “age-friendliness” with stakeholders at one regional comprehensive university</w:t>
            </w:r>
          </w:p>
        </w:tc>
        <w:tc>
          <w:tcPr>
            <w:tcW w:w="2052" w:type="pct"/>
            <w:vAlign w:val="center"/>
          </w:tcPr>
          <w:p w14:paraId="51F6D452" w14:textId="77777777" w:rsidR="009F6AC8" w:rsidRPr="008C72E5" w:rsidRDefault="009F6AC8" w:rsidP="00B558B7">
            <w:pPr>
              <w:pStyle w:val="TekstTabeli"/>
            </w:pPr>
            <w:r w:rsidRPr="008C72E5">
              <w:t>(2022) Gerontology and Geriatrics Education, 43 (2), pp. 149 - 162, DOI: 10.1080/02701960.2020.1783259</w:t>
            </w:r>
          </w:p>
        </w:tc>
      </w:tr>
      <w:tr w:rsidR="00C4329A" w:rsidRPr="004C10DC" w14:paraId="14E69001" w14:textId="77777777" w:rsidTr="00C4329A">
        <w:trPr>
          <w:cantSplit/>
        </w:trPr>
        <w:tc>
          <w:tcPr>
            <w:tcW w:w="297" w:type="pct"/>
            <w:vAlign w:val="center"/>
          </w:tcPr>
          <w:p w14:paraId="7304F7E9" w14:textId="77777777" w:rsidR="009F6AC8" w:rsidRPr="008C72E5" w:rsidRDefault="009F6AC8" w:rsidP="00B558B7">
            <w:pPr>
              <w:pStyle w:val="TekstTabeli"/>
            </w:pPr>
            <w:r w:rsidRPr="008C72E5">
              <w:t>200</w:t>
            </w:r>
          </w:p>
        </w:tc>
        <w:tc>
          <w:tcPr>
            <w:tcW w:w="880" w:type="pct"/>
            <w:vAlign w:val="center"/>
          </w:tcPr>
          <w:p w14:paraId="20A7A7CC" w14:textId="77777777" w:rsidR="009F6AC8" w:rsidRPr="008C72E5" w:rsidRDefault="009F6AC8" w:rsidP="00B558B7">
            <w:pPr>
              <w:pStyle w:val="TekstTabeli"/>
            </w:pPr>
            <w:r w:rsidRPr="008C72E5">
              <w:t>Hussain I., Cakir O.</w:t>
            </w:r>
          </w:p>
        </w:tc>
        <w:tc>
          <w:tcPr>
            <w:tcW w:w="1771" w:type="pct"/>
            <w:vAlign w:val="center"/>
          </w:tcPr>
          <w:p w14:paraId="5ADD0437" w14:textId="77777777" w:rsidR="009F6AC8" w:rsidRPr="008C72E5" w:rsidRDefault="009F6AC8" w:rsidP="00B558B7">
            <w:pPr>
              <w:pStyle w:val="TekstTabeli"/>
            </w:pPr>
            <w:r w:rsidRPr="008C72E5">
              <w:t>Blockchain technology in higher education: Prospects, issues, and challenges</w:t>
            </w:r>
          </w:p>
        </w:tc>
        <w:tc>
          <w:tcPr>
            <w:tcW w:w="2052" w:type="pct"/>
            <w:vAlign w:val="center"/>
          </w:tcPr>
          <w:p w14:paraId="6BF79A47" w14:textId="77777777" w:rsidR="009F6AC8" w:rsidRPr="008C72E5" w:rsidRDefault="009F6AC8" w:rsidP="00B558B7">
            <w:pPr>
              <w:pStyle w:val="TekstTabeli"/>
            </w:pPr>
            <w:r w:rsidRPr="008C72E5">
              <w:t>(2019) Blockchain Technology Applications in Education, pp. 97 - 112, DOI: 10.4018/978-1-5225-9478-9.ch005</w:t>
            </w:r>
          </w:p>
        </w:tc>
      </w:tr>
      <w:tr w:rsidR="00C4329A" w:rsidRPr="004C10DC" w14:paraId="0286D8B8" w14:textId="77777777" w:rsidTr="00C4329A">
        <w:trPr>
          <w:cantSplit/>
        </w:trPr>
        <w:tc>
          <w:tcPr>
            <w:tcW w:w="297" w:type="pct"/>
            <w:vAlign w:val="center"/>
          </w:tcPr>
          <w:p w14:paraId="6C2F33BA" w14:textId="77777777" w:rsidR="009F6AC8" w:rsidRPr="008C72E5" w:rsidRDefault="009F6AC8" w:rsidP="00B558B7">
            <w:pPr>
              <w:pStyle w:val="TekstTabeli"/>
            </w:pPr>
            <w:r w:rsidRPr="008C72E5">
              <w:t>201</w:t>
            </w:r>
          </w:p>
        </w:tc>
        <w:tc>
          <w:tcPr>
            <w:tcW w:w="880" w:type="pct"/>
            <w:vAlign w:val="center"/>
          </w:tcPr>
          <w:p w14:paraId="69E05DB4" w14:textId="77777777" w:rsidR="009F6AC8" w:rsidRPr="008C72E5" w:rsidRDefault="009F6AC8" w:rsidP="00B558B7">
            <w:pPr>
              <w:pStyle w:val="TekstTabeli"/>
            </w:pPr>
            <w:r w:rsidRPr="008C72E5">
              <w:t>Sumida Huaman E., Abeita S.</w:t>
            </w:r>
          </w:p>
        </w:tc>
        <w:tc>
          <w:tcPr>
            <w:tcW w:w="1771" w:type="pct"/>
            <w:vAlign w:val="center"/>
          </w:tcPr>
          <w:p w14:paraId="5F77BB66" w14:textId="77777777" w:rsidR="009F6AC8" w:rsidRPr="008C72E5" w:rsidRDefault="009F6AC8" w:rsidP="00B558B7">
            <w:pPr>
              <w:pStyle w:val="TekstTabeli"/>
            </w:pPr>
            <w:r w:rsidRPr="008C72E5">
              <w:t>Indigenous Teachers and Learners: Higher Education and Social Justice</w:t>
            </w:r>
          </w:p>
        </w:tc>
        <w:tc>
          <w:tcPr>
            <w:tcW w:w="2052" w:type="pct"/>
            <w:vAlign w:val="center"/>
          </w:tcPr>
          <w:p w14:paraId="0F5D1F4F" w14:textId="77777777" w:rsidR="009F6AC8" w:rsidRPr="008C72E5" w:rsidRDefault="009F6AC8" w:rsidP="00B558B7">
            <w:pPr>
              <w:pStyle w:val="TekstTabeli"/>
            </w:pPr>
            <w:r w:rsidRPr="008C72E5">
              <w:t>(2018) Anthropology and Education Quarterly, 49 (2), pp. 201 - 209, DOI: 10.1111/aeq.12239</w:t>
            </w:r>
          </w:p>
        </w:tc>
      </w:tr>
      <w:tr w:rsidR="00C4329A" w:rsidRPr="004C10DC" w14:paraId="5297BE79" w14:textId="77777777" w:rsidTr="00C4329A">
        <w:trPr>
          <w:cantSplit/>
        </w:trPr>
        <w:tc>
          <w:tcPr>
            <w:tcW w:w="297" w:type="pct"/>
            <w:vAlign w:val="center"/>
          </w:tcPr>
          <w:p w14:paraId="0A34B51B" w14:textId="77777777" w:rsidR="009F6AC8" w:rsidRPr="008C72E5" w:rsidRDefault="009F6AC8" w:rsidP="00B558B7">
            <w:pPr>
              <w:pStyle w:val="TekstTabeli"/>
            </w:pPr>
            <w:r w:rsidRPr="008C72E5">
              <w:t>202</w:t>
            </w:r>
          </w:p>
        </w:tc>
        <w:tc>
          <w:tcPr>
            <w:tcW w:w="880" w:type="pct"/>
            <w:vAlign w:val="center"/>
          </w:tcPr>
          <w:p w14:paraId="2314915F" w14:textId="77777777" w:rsidR="009F6AC8" w:rsidRPr="00D82766" w:rsidRDefault="009F6AC8" w:rsidP="00B558B7">
            <w:pPr>
              <w:pStyle w:val="TekstTabeli"/>
              <w:rPr>
                <w:lang w:val="pl-PL"/>
              </w:rPr>
            </w:pPr>
            <w:r w:rsidRPr="00D82766">
              <w:rPr>
                <w:lang w:val="pl-PL"/>
              </w:rPr>
              <w:t xml:space="preserve">Lei C.-U., </w:t>
            </w:r>
            <w:proofErr w:type="spellStart"/>
            <w:r w:rsidRPr="00D82766">
              <w:rPr>
                <w:lang w:val="pl-PL"/>
              </w:rPr>
              <w:t>Gonda</w:t>
            </w:r>
            <w:proofErr w:type="spellEnd"/>
            <w:r w:rsidRPr="00D82766">
              <w:rPr>
                <w:lang w:val="pl-PL"/>
              </w:rPr>
              <w:t xml:space="preserve"> D.E.</w:t>
            </w:r>
          </w:p>
        </w:tc>
        <w:tc>
          <w:tcPr>
            <w:tcW w:w="1771" w:type="pct"/>
            <w:vAlign w:val="center"/>
          </w:tcPr>
          <w:p w14:paraId="6719BBB2" w14:textId="77777777" w:rsidR="009F6AC8" w:rsidRPr="008C72E5" w:rsidRDefault="009F6AC8" w:rsidP="00B558B7">
            <w:pPr>
              <w:pStyle w:val="TekstTabeli"/>
            </w:pPr>
            <w:r w:rsidRPr="008C72E5">
              <w:t>Sharing experiences of teaching and learning during COVID-19: Building responsive and resilient curriculum for the next normal</w:t>
            </w:r>
          </w:p>
        </w:tc>
        <w:tc>
          <w:tcPr>
            <w:tcW w:w="2052" w:type="pct"/>
            <w:vAlign w:val="center"/>
          </w:tcPr>
          <w:p w14:paraId="61429695" w14:textId="77777777" w:rsidR="009F6AC8" w:rsidRPr="008C72E5" w:rsidRDefault="009F6AC8" w:rsidP="00B558B7">
            <w:pPr>
              <w:pStyle w:val="TekstTabeli"/>
            </w:pPr>
            <w:r w:rsidRPr="008C72E5">
              <w:t>(2020) Proceedings of 2020 IEEE International Conference on Teaching, Assessment, and Learning for Engineering, TALE 2020, art. no. 9368397, pp. 251 - 257, DOI: 10.1109/TALE48869.2020.9368397</w:t>
            </w:r>
          </w:p>
        </w:tc>
      </w:tr>
      <w:tr w:rsidR="00C4329A" w:rsidRPr="004C10DC" w14:paraId="6B4AD7A3" w14:textId="77777777" w:rsidTr="00C4329A">
        <w:trPr>
          <w:cantSplit/>
        </w:trPr>
        <w:tc>
          <w:tcPr>
            <w:tcW w:w="297" w:type="pct"/>
            <w:vAlign w:val="center"/>
          </w:tcPr>
          <w:p w14:paraId="22731AD3" w14:textId="77777777" w:rsidR="009F6AC8" w:rsidRPr="008C72E5" w:rsidRDefault="009F6AC8" w:rsidP="00B558B7">
            <w:pPr>
              <w:pStyle w:val="TekstTabeli"/>
            </w:pPr>
            <w:r w:rsidRPr="008C72E5">
              <w:t>203</w:t>
            </w:r>
          </w:p>
        </w:tc>
        <w:tc>
          <w:tcPr>
            <w:tcW w:w="880" w:type="pct"/>
            <w:vAlign w:val="center"/>
          </w:tcPr>
          <w:p w14:paraId="34D8D596" w14:textId="77777777" w:rsidR="009F6AC8" w:rsidRPr="008C72E5" w:rsidRDefault="009F6AC8" w:rsidP="00B558B7">
            <w:pPr>
              <w:pStyle w:val="TekstTabeli"/>
            </w:pPr>
            <w:r w:rsidRPr="008C72E5">
              <w:t>Dong F., Hwang Y., Hodgson N.A.</w:t>
            </w:r>
          </w:p>
        </w:tc>
        <w:tc>
          <w:tcPr>
            <w:tcW w:w="1771" w:type="pct"/>
            <w:vAlign w:val="center"/>
          </w:tcPr>
          <w:p w14:paraId="7D86B986" w14:textId="77777777" w:rsidR="009F6AC8" w:rsidRPr="008C72E5" w:rsidRDefault="009F6AC8" w:rsidP="00B558B7">
            <w:pPr>
              <w:pStyle w:val="TekstTabeli"/>
            </w:pPr>
            <w:r w:rsidRPr="008C72E5">
              <w:t>Relationships between racial discrimination, social isolation, and mental health among international Asian graduate students during the COVID-19 pandemic</w:t>
            </w:r>
          </w:p>
        </w:tc>
        <w:tc>
          <w:tcPr>
            <w:tcW w:w="2052" w:type="pct"/>
            <w:vAlign w:val="center"/>
          </w:tcPr>
          <w:p w14:paraId="3488484F" w14:textId="77777777" w:rsidR="009F6AC8" w:rsidRPr="008C72E5" w:rsidRDefault="009F6AC8" w:rsidP="00B558B7">
            <w:pPr>
              <w:pStyle w:val="TekstTabeli"/>
            </w:pPr>
            <w:r w:rsidRPr="008C72E5">
              <w:t>(2022) Journal of American College Health, DOI: 10.1080/07448481.2022.2052076</w:t>
            </w:r>
          </w:p>
        </w:tc>
      </w:tr>
      <w:tr w:rsidR="00C4329A" w:rsidRPr="004C10DC" w14:paraId="024B0209" w14:textId="77777777" w:rsidTr="00C4329A">
        <w:trPr>
          <w:cantSplit/>
        </w:trPr>
        <w:tc>
          <w:tcPr>
            <w:tcW w:w="297" w:type="pct"/>
            <w:vAlign w:val="center"/>
          </w:tcPr>
          <w:p w14:paraId="313F795C" w14:textId="77777777" w:rsidR="009F6AC8" w:rsidRPr="008C72E5" w:rsidRDefault="009F6AC8" w:rsidP="00B558B7">
            <w:pPr>
              <w:pStyle w:val="TekstTabeli"/>
            </w:pPr>
            <w:r w:rsidRPr="008C72E5">
              <w:t>204</w:t>
            </w:r>
          </w:p>
        </w:tc>
        <w:tc>
          <w:tcPr>
            <w:tcW w:w="880" w:type="pct"/>
            <w:vAlign w:val="center"/>
          </w:tcPr>
          <w:p w14:paraId="6B1F7CAF" w14:textId="77777777" w:rsidR="009F6AC8" w:rsidRPr="008C72E5" w:rsidRDefault="009F6AC8" w:rsidP="00B558B7">
            <w:pPr>
              <w:pStyle w:val="TekstTabeli"/>
            </w:pPr>
            <w:r w:rsidRPr="008C72E5">
              <w:t>Ricardo G.Q.</w:t>
            </w:r>
          </w:p>
        </w:tc>
        <w:tc>
          <w:tcPr>
            <w:tcW w:w="1771" w:type="pct"/>
            <w:vAlign w:val="center"/>
          </w:tcPr>
          <w:p w14:paraId="31FF439B" w14:textId="73A74C93" w:rsidR="009F6AC8" w:rsidRPr="008C72E5" w:rsidRDefault="009F6AC8" w:rsidP="00B558B7">
            <w:pPr>
              <w:pStyle w:val="TekstTabeli"/>
            </w:pPr>
            <w:r w:rsidRPr="008C72E5">
              <w:t>Identification of University Stakeholders</w:t>
            </w:r>
          </w:p>
        </w:tc>
        <w:tc>
          <w:tcPr>
            <w:tcW w:w="2052" w:type="pct"/>
            <w:vAlign w:val="center"/>
          </w:tcPr>
          <w:p w14:paraId="28D158DE" w14:textId="77777777" w:rsidR="009F6AC8" w:rsidRPr="008C72E5" w:rsidRDefault="009F6AC8" w:rsidP="00B558B7">
            <w:pPr>
              <w:pStyle w:val="TekstTabeli"/>
            </w:pPr>
            <w:r w:rsidRPr="008C72E5">
              <w:t xml:space="preserve">(2011) </w:t>
            </w:r>
            <w:proofErr w:type="spellStart"/>
            <w:r w:rsidRPr="008C72E5">
              <w:t>Revista</w:t>
            </w:r>
            <w:proofErr w:type="spellEnd"/>
            <w:r w:rsidRPr="008C72E5">
              <w:t xml:space="preserve"> de </w:t>
            </w:r>
            <w:proofErr w:type="spellStart"/>
            <w:r w:rsidRPr="008C72E5">
              <w:t>Ciencias</w:t>
            </w:r>
            <w:proofErr w:type="spellEnd"/>
            <w:r w:rsidRPr="008C72E5">
              <w:t xml:space="preserve"> </w:t>
            </w:r>
            <w:proofErr w:type="spellStart"/>
            <w:r w:rsidRPr="008C72E5">
              <w:t>Sociales</w:t>
            </w:r>
            <w:proofErr w:type="spellEnd"/>
            <w:r w:rsidRPr="008C72E5">
              <w:t>, 17 (3), pp. 486 - 499, 0</w:t>
            </w:r>
          </w:p>
        </w:tc>
      </w:tr>
      <w:tr w:rsidR="00C4329A" w:rsidRPr="004C10DC" w14:paraId="30BD35C7" w14:textId="77777777" w:rsidTr="00C4329A">
        <w:trPr>
          <w:cantSplit/>
        </w:trPr>
        <w:tc>
          <w:tcPr>
            <w:tcW w:w="297" w:type="pct"/>
            <w:vAlign w:val="center"/>
          </w:tcPr>
          <w:p w14:paraId="1299CE64" w14:textId="77777777" w:rsidR="009F6AC8" w:rsidRPr="008C72E5" w:rsidRDefault="009F6AC8" w:rsidP="00B558B7">
            <w:pPr>
              <w:pStyle w:val="TekstTabeli"/>
            </w:pPr>
            <w:r w:rsidRPr="008C72E5">
              <w:t>205</w:t>
            </w:r>
          </w:p>
        </w:tc>
        <w:tc>
          <w:tcPr>
            <w:tcW w:w="880" w:type="pct"/>
            <w:vAlign w:val="center"/>
          </w:tcPr>
          <w:p w14:paraId="318F91DF" w14:textId="77777777" w:rsidR="009F6AC8" w:rsidRPr="008C72E5" w:rsidRDefault="009F6AC8" w:rsidP="00B558B7">
            <w:pPr>
              <w:pStyle w:val="TekstTabeli"/>
            </w:pPr>
            <w:r w:rsidRPr="008C72E5">
              <w:t>Angu P.E.</w:t>
            </w:r>
          </w:p>
        </w:tc>
        <w:tc>
          <w:tcPr>
            <w:tcW w:w="1771" w:type="pct"/>
            <w:vAlign w:val="center"/>
          </w:tcPr>
          <w:p w14:paraId="6BDBE3B0" w14:textId="77777777" w:rsidR="009F6AC8" w:rsidRPr="008C72E5" w:rsidRDefault="009F6AC8" w:rsidP="00B558B7">
            <w:pPr>
              <w:pStyle w:val="TekstTabeli"/>
            </w:pPr>
            <w:r w:rsidRPr="008C72E5">
              <w:t xml:space="preserve">Disrupting western epistemic hegemony in South African Universities: Curriculum </w:t>
            </w:r>
            <w:proofErr w:type="spellStart"/>
            <w:r w:rsidRPr="008C72E5">
              <w:t>decolonisation</w:t>
            </w:r>
            <w:proofErr w:type="spellEnd"/>
            <w:r w:rsidRPr="008C72E5">
              <w:t>, social justice, and agency in post-apartheid South Africa</w:t>
            </w:r>
          </w:p>
        </w:tc>
        <w:tc>
          <w:tcPr>
            <w:tcW w:w="2052" w:type="pct"/>
            <w:vAlign w:val="center"/>
          </w:tcPr>
          <w:p w14:paraId="6DBAC24F" w14:textId="77777777" w:rsidR="009F6AC8" w:rsidRPr="008C72E5" w:rsidRDefault="009F6AC8" w:rsidP="00B558B7">
            <w:pPr>
              <w:pStyle w:val="TekstTabeli"/>
            </w:pPr>
            <w:r w:rsidRPr="008C72E5">
              <w:t>(2018) International Journal of Learner Diversity and Identities, 25 (1-2), pp. 9 - 22, DOI: 10.18848/2327-0128/CGP/v25i01/9-22</w:t>
            </w:r>
          </w:p>
        </w:tc>
      </w:tr>
      <w:tr w:rsidR="00C4329A" w:rsidRPr="004C10DC" w14:paraId="4E11BA3F" w14:textId="77777777" w:rsidTr="00C4329A">
        <w:trPr>
          <w:cantSplit/>
        </w:trPr>
        <w:tc>
          <w:tcPr>
            <w:tcW w:w="297" w:type="pct"/>
            <w:vAlign w:val="center"/>
          </w:tcPr>
          <w:p w14:paraId="65C4EE7B" w14:textId="77777777" w:rsidR="009F6AC8" w:rsidRPr="008C72E5" w:rsidRDefault="009F6AC8" w:rsidP="00B558B7">
            <w:pPr>
              <w:pStyle w:val="TekstTabeli"/>
            </w:pPr>
            <w:r w:rsidRPr="008C72E5">
              <w:t>206</w:t>
            </w:r>
          </w:p>
        </w:tc>
        <w:tc>
          <w:tcPr>
            <w:tcW w:w="880" w:type="pct"/>
            <w:vAlign w:val="center"/>
          </w:tcPr>
          <w:p w14:paraId="4EFDC0B2" w14:textId="37A03FDE" w:rsidR="009F6AC8" w:rsidRPr="008C72E5" w:rsidRDefault="009F6AC8" w:rsidP="00B558B7">
            <w:pPr>
              <w:pStyle w:val="TekstTabeli"/>
            </w:pPr>
            <w:r w:rsidRPr="008C72E5">
              <w:t xml:space="preserve">Maravilla J., </w:t>
            </w:r>
            <w:proofErr w:type="spellStart"/>
            <w:r w:rsidRPr="008C72E5">
              <w:t>Catiwa</w:t>
            </w:r>
            <w:proofErr w:type="spellEnd"/>
            <w:r w:rsidRPr="008C72E5">
              <w:t xml:space="preserve"> J., </w:t>
            </w:r>
            <w:proofErr w:type="spellStart"/>
            <w:r w:rsidRPr="008C72E5">
              <w:t>Guariño</w:t>
            </w:r>
            <w:proofErr w:type="spellEnd"/>
            <w:r w:rsidRPr="008C72E5">
              <w:t xml:space="preserve"> R., </w:t>
            </w:r>
            <w:proofErr w:type="spellStart"/>
            <w:r w:rsidR="00A147A1" w:rsidRPr="008C72E5">
              <w:t>i</w:t>
            </w:r>
            <w:proofErr w:type="spellEnd"/>
            <w:r w:rsidR="00A147A1" w:rsidRPr="008C72E5">
              <w:t> in.</w:t>
            </w:r>
          </w:p>
        </w:tc>
        <w:tc>
          <w:tcPr>
            <w:tcW w:w="1771" w:type="pct"/>
            <w:vAlign w:val="center"/>
          </w:tcPr>
          <w:p w14:paraId="77D64899" w14:textId="77777777" w:rsidR="009F6AC8" w:rsidRPr="008C72E5" w:rsidRDefault="009F6AC8" w:rsidP="00B558B7">
            <w:pPr>
              <w:pStyle w:val="TekstTabeli"/>
            </w:pPr>
            <w:r w:rsidRPr="008C72E5">
              <w:t>Exploring indirect impacts of COVID-19 on local health systems from the perspectives of health workers and higher education stakeholders in the Philippines using a phenomenological approach</w:t>
            </w:r>
          </w:p>
        </w:tc>
        <w:tc>
          <w:tcPr>
            <w:tcW w:w="2052" w:type="pct"/>
            <w:vAlign w:val="center"/>
          </w:tcPr>
          <w:p w14:paraId="72AC10E9" w14:textId="77777777" w:rsidR="009F6AC8" w:rsidRPr="008C72E5" w:rsidRDefault="009F6AC8" w:rsidP="00B558B7">
            <w:pPr>
              <w:pStyle w:val="TekstTabeli"/>
            </w:pPr>
            <w:r w:rsidRPr="008C72E5">
              <w:t>(2023) The Lancet Regional Health - Western Pacific, 30, art. no. 100585, DOI: 10.1016/j.lanwpc.2022.100585</w:t>
            </w:r>
          </w:p>
        </w:tc>
      </w:tr>
      <w:tr w:rsidR="00C4329A" w:rsidRPr="004C10DC" w14:paraId="04ECEBE4" w14:textId="77777777" w:rsidTr="00C4329A">
        <w:trPr>
          <w:cantSplit/>
        </w:trPr>
        <w:tc>
          <w:tcPr>
            <w:tcW w:w="297" w:type="pct"/>
            <w:vAlign w:val="center"/>
          </w:tcPr>
          <w:p w14:paraId="1922E99E" w14:textId="77777777" w:rsidR="009F6AC8" w:rsidRPr="008C72E5" w:rsidRDefault="009F6AC8" w:rsidP="00B558B7">
            <w:pPr>
              <w:pStyle w:val="TekstTabeli"/>
            </w:pPr>
            <w:r w:rsidRPr="008C72E5">
              <w:lastRenderedPageBreak/>
              <w:t>207</w:t>
            </w:r>
          </w:p>
        </w:tc>
        <w:tc>
          <w:tcPr>
            <w:tcW w:w="880" w:type="pct"/>
            <w:vAlign w:val="center"/>
          </w:tcPr>
          <w:p w14:paraId="6B6906FF" w14:textId="77777777" w:rsidR="009F6AC8" w:rsidRPr="008C72E5" w:rsidRDefault="009F6AC8" w:rsidP="00B558B7">
            <w:pPr>
              <w:pStyle w:val="TekstTabeli"/>
            </w:pPr>
            <w:proofErr w:type="spellStart"/>
            <w:r w:rsidRPr="008C72E5">
              <w:t>Adarkwah</w:t>
            </w:r>
            <w:proofErr w:type="spellEnd"/>
            <w:r w:rsidRPr="008C72E5">
              <w:t xml:space="preserve"> M.A., Agyemang E.</w:t>
            </w:r>
          </w:p>
        </w:tc>
        <w:tc>
          <w:tcPr>
            <w:tcW w:w="1771" w:type="pct"/>
            <w:vAlign w:val="center"/>
          </w:tcPr>
          <w:p w14:paraId="373E521C" w14:textId="77777777" w:rsidR="009F6AC8" w:rsidRPr="008C72E5" w:rsidRDefault="009F6AC8" w:rsidP="00B558B7">
            <w:pPr>
              <w:pStyle w:val="TekstTabeli"/>
            </w:pPr>
            <w:r w:rsidRPr="008C72E5">
              <w:t>Forgotten frontline workers in higher education: Aiding Ghana in the COVID-19 recovery process</w:t>
            </w:r>
          </w:p>
        </w:tc>
        <w:tc>
          <w:tcPr>
            <w:tcW w:w="2052" w:type="pct"/>
            <w:vAlign w:val="center"/>
          </w:tcPr>
          <w:p w14:paraId="6CE0BE2E" w14:textId="77777777" w:rsidR="009F6AC8" w:rsidRPr="008C72E5" w:rsidRDefault="009F6AC8" w:rsidP="00B558B7">
            <w:pPr>
              <w:pStyle w:val="TekstTabeli"/>
            </w:pPr>
            <w:r w:rsidRPr="008C72E5">
              <w:t>(2022) Physics and Chemistry of the Earth, 127, art. no. 103202, DOI: 10.1016/j.pce.2022.103202</w:t>
            </w:r>
          </w:p>
        </w:tc>
      </w:tr>
      <w:tr w:rsidR="00C4329A" w:rsidRPr="004C10DC" w14:paraId="2B72AD6C" w14:textId="77777777" w:rsidTr="00C4329A">
        <w:trPr>
          <w:cantSplit/>
        </w:trPr>
        <w:tc>
          <w:tcPr>
            <w:tcW w:w="297" w:type="pct"/>
            <w:vAlign w:val="center"/>
          </w:tcPr>
          <w:p w14:paraId="10224300" w14:textId="77777777" w:rsidR="009F6AC8" w:rsidRPr="008C72E5" w:rsidRDefault="009F6AC8" w:rsidP="00B558B7">
            <w:pPr>
              <w:pStyle w:val="TekstTabeli"/>
            </w:pPr>
            <w:r w:rsidRPr="008C72E5">
              <w:t>208</w:t>
            </w:r>
          </w:p>
        </w:tc>
        <w:tc>
          <w:tcPr>
            <w:tcW w:w="880" w:type="pct"/>
            <w:vAlign w:val="center"/>
          </w:tcPr>
          <w:p w14:paraId="0D71212F" w14:textId="77777777" w:rsidR="009F6AC8" w:rsidRPr="00D82766" w:rsidRDefault="009F6AC8" w:rsidP="00B558B7">
            <w:pPr>
              <w:pStyle w:val="TekstTabeli"/>
              <w:rPr>
                <w:lang w:val="pl-PL"/>
              </w:rPr>
            </w:pPr>
            <w:proofErr w:type="spellStart"/>
            <w:r w:rsidRPr="00D82766">
              <w:rPr>
                <w:lang w:val="pl-PL"/>
              </w:rPr>
              <w:t>Bariu</w:t>
            </w:r>
            <w:proofErr w:type="spellEnd"/>
            <w:r w:rsidRPr="00D82766">
              <w:rPr>
                <w:lang w:val="pl-PL"/>
              </w:rPr>
              <w:t xml:space="preserve"> T., </w:t>
            </w:r>
            <w:proofErr w:type="spellStart"/>
            <w:r w:rsidRPr="00D82766">
              <w:rPr>
                <w:lang w:val="pl-PL"/>
              </w:rPr>
              <w:t>Chun</w:t>
            </w:r>
            <w:proofErr w:type="spellEnd"/>
            <w:r w:rsidRPr="00D82766">
              <w:rPr>
                <w:lang w:val="pl-PL"/>
              </w:rPr>
              <w:t xml:space="preserve"> X., </w:t>
            </w:r>
            <w:proofErr w:type="spellStart"/>
            <w:r w:rsidRPr="00D82766">
              <w:rPr>
                <w:lang w:val="pl-PL"/>
              </w:rPr>
              <w:t>Boudouaia</w:t>
            </w:r>
            <w:proofErr w:type="spellEnd"/>
            <w:r w:rsidRPr="00D82766">
              <w:rPr>
                <w:lang w:val="pl-PL"/>
              </w:rPr>
              <w:t xml:space="preserve"> A.</w:t>
            </w:r>
          </w:p>
        </w:tc>
        <w:tc>
          <w:tcPr>
            <w:tcW w:w="1771" w:type="pct"/>
            <w:vAlign w:val="center"/>
          </w:tcPr>
          <w:p w14:paraId="4812B4CE" w14:textId="77777777" w:rsidR="009F6AC8" w:rsidRPr="008C72E5" w:rsidRDefault="009F6AC8" w:rsidP="00B558B7">
            <w:pPr>
              <w:pStyle w:val="TekstTabeli"/>
            </w:pPr>
            <w:r w:rsidRPr="008C72E5">
              <w:t>Influence of Teachers' Competencies on ICT Implementation in Kenyan Universities</w:t>
            </w:r>
          </w:p>
        </w:tc>
        <w:tc>
          <w:tcPr>
            <w:tcW w:w="2052" w:type="pct"/>
            <w:vAlign w:val="center"/>
          </w:tcPr>
          <w:p w14:paraId="10AF2D89" w14:textId="77777777" w:rsidR="009F6AC8" w:rsidRPr="008C72E5" w:rsidRDefault="009F6AC8" w:rsidP="00B558B7">
            <w:pPr>
              <w:pStyle w:val="TekstTabeli"/>
            </w:pPr>
            <w:r w:rsidRPr="008C72E5">
              <w:t>(2022) Education Research International, 2022, art. no. 1370052, DOI: 10.1155/2022/1370052</w:t>
            </w:r>
          </w:p>
        </w:tc>
      </w:tr>
      <w:tr w:rsidR="00C4329A" w:rsidRPr="004C10DC" w14:paraId="035747E6" w14:textId="77777777" w:rsidTr="00C4329A">
        <w:trPr>
          <w:cantSplit/>
        </w:trPr>
        <w:tc>
          <w:tcPr>
            <w:tcW w:w="297" w:type="pct"/>
            <w:vAlign w:val="center"/>
          </w:tcPr>
          <w:p w14:paraId="6973DB1A" w14:textId="77777777" w:rsidR="009F6AC8" w:rsidRPr="008C72E5" w:rsidRDefault="009F6AC8" w:rsidP="00B558B7">
            <w:pPr>
              <w:pStyle w:val="TekstTabeli"/>
            </w:pPr>
            <w:r w:rsidRPr="008C72E5">
              <w:t>209</w:t>
            </w:r>
          </w:p>
        </w:tc>
        <w:tc>
          <w:tcPr>
            <w:tcW w:w="880" w:type="pct"/>
            <w:vAlign w:val="center"/>
          </w:tcPr>
          <w:p w14:paraId="1CA9709B" w14:textId="6AE4679D" w:rsidR="009F6AC8" w:rsidRPr="008C72E5" w:rsidRDefault="009F6AC8" w:rsidP="00B558B7">
            <w:pPr>
              <w:pStyle w:val="TekstTabeli"/>
            </w:pPr>
            <w:r w:rsidRPr="008C72E5">
              <w:t xml:space="preserve">Secundo G., Mele G., </w:t>
            </w:r>
            <w:proofErr w:type="spellStart"/>
            <w:r w:rsidR="00A147A1" w:rsidRPr="008C72E5">
              <w:t>i</w:t>
            </w:r>
            <w:proofErr w:type="spellEnd"/>
            <w:r w:rsidR="00A147A1" w:rsidRPr="008C72E5">
              <w:t> in.</w:t>
            </w:r>
          </w:p>
        </w:tc>
        <w:tc>
          <w:tcPr>
            <w:tcW w:w="1771" w:type="pct"/>
            <w:vAlign w:val="center"/>
          </w:tcPr>
          <w:p w14:paraId="2B519CF6" w14:textId="77777777" w:rsidR="009F6AC8" w:rsidRPr="008C72E5" w:rsidRDefault="009F6AC8" w:rsidP="00B558B7">
            <w:pPr>
              <w:pStyle w:val="TekstTabeli"/>
            </w:pPr>
            <w:r w:rsidRPr="008C72E5">
              <w:t>University business idea incubation and stakeholders' engagement: closing the gap between theory and practice</w:t>
            </w:r>
          </w:p>
        </w:tc>
        <w:tc>
          <w:tcPr>
            <w:tcW w:w="2052" w:type="pct"/>
            <w:vAlign w:val="center"/>
          </w:tcPr>
          <w:p w14:paraId="74FF5B1C" w14:textId="77777777" w:rsidR="009F6AC8" w:rsidRPr="008C72E5" w:rsidRDefault="009F6AC8" w:rsidP="00B558B7">
            <w:pPr>
              <w:pStyle w:val="TekstTabeli"/>
            </w:pPr>
            <w:r w:rsidRPr="008C72E5">
              <w:t>(2023) European Journal of Innovation Management, 26 (4), pp. 1005 - 1033, DOI: 10.1108/EJIM-08-2021-0435</w:t>
            </w:r>
          </w:p>
        </w:tc>
      </w:tr>
      <w:tr w:rsidR="00C4329A" w:rsidRPr="004C10DC" w14:paraId="00687205" w14:textId="77777777" w:rsidTr="00C4329A">
        <w:trPr>
          <w:cantSplit/>
        </w:trPr>
        <w:tc>
          <w:tcPr>
            <w:tcW w:w="297" w:type="pct"/>
            <w:vAlign w:val="center"/>
          </w:tcPr>
          <w:p w14:paraId="466DE672" w14:textId="77777777" w:rsidR="009F6AC8" w:rsidRPr="008C72E5" w:rsidRDefault="009F6AC8" w:rsidP="00B558B7">
            <w:pPr>
              <w:pStyle w:val="TekstTabeli"/>
            </w:pPr>
            <w:r w:rsidRPr="008C72E5">
              <w:t>210</w:t>
            </w:r>
          </w:p>
        </w:tc>
        <w:tc>
          <w:tcPr>
            <w:tcW w:w="880" w:type="pct"/>
            <w:vAlign w:val="center"/>
          </w:tcPr>
          <w:p w14:paraId="012E7D7B" w14:textId="77777777" w:rsidR="009F6AC8" w:rsidRPr="008C72E5" w:rsidRDefault="009F6AC8" w:rsidP="00B558B7">
            <w:pPr>
              <w:pStyle w:val="TekstTabeli"/>
            </w:pPr>
            <w:r w:rsidRPr="008C72E5">
              <w:t>Machin-Mastromatteo J.D.</w:t>
            </w:r>
          </w:p>
        </w:tc>
        <w:tc>
          <w:tcPr>
            <w:tcW w:w="1771" w:type="pct"/>
            <w:vAlign w:val="center"/>
          </w:tcPr>
          <w:p w14:paraId="6F9097E5" w14:textId="77777777" w:rsidR="009F6AC8" w:rsidRPr="008C72E5" w:rsidRDefault="009F6AC8" w:rsidP="00B558B7">
            <w:pPr>
              <w:pStyle w:val="TekstTabeli"/>
            </w:pPr>
            <w:r w:rsidRPr="008C72E5">
              <w:t>Two years of information culture development for supporting higher education: Initiatives, teacher’s perceptions and future actions</w:t>
            </w:r>
          </w:p>
        </w:tc>
        <w:tc>
          <w:tcPr>
            <w:tcW w:w="2052" w:type="pct"/>
            <w:vAlign w:val="center"/>
          </w:tcPr>
          <w:p w14:paraId="19201F96" w14:textId="77777777" w:rsidR="009F6AC8" w:rsidRPr="008C72E5" w:rsidRDefault="009F6AC8" w:rsidP="00B558B7">
            <w:pPr>
              <w:pStyle w:val="TekstTabeli"/>
            </w:pPr>
            <w:r w:rsidRPr="008C72E5">
              <w:t>(2015) Communications in Computer and Information Science, 552, pp. 517 - 526, DOI: 10.1007/978-3-319-28197-1_52</w:t>
            </w:r>
          </w:p>
        </w:tc>
      </w:tr>
      <w:tr w:rsidR="00C4329A" w:rsidRPr="004C10DC" w14:paraId="5BFF7E09" w14:textId="77777777" w:rsidTr="00C4329A">
        <w:trPr>
          <w:cantSplit/>
        </w:trPr>
        <w:tc>
          <w:tcPr>
            <w:tcW w:w="297" w:type="pct"/>
            <w:vAlign w:val="center"/>
          </w:tcPr>
          <w:p w14:paraId="41EAE9F5" w14:textId="77777777" w:rsidR="009F6AC8" w:rsidRPr="008C72E5" w:rsidRDefault="009F6AC8" w:rsidP="00B558B7">
            <w:pPr>
              <w:pStyle w:val="TekstTabeli"/>
            </w:pPr>
            <w:r w:rsidRPr="008C72E5">
              <w:t>211</w:t>
            </w:r>
          </w:p>
        </w:tc>
        <w:tc>
          <w:tcPr>
            <w:tcW w:w="880" w:type="pct"/>
            <w:vAlign w:val="center"/>
          </w:tcPr>
          <w:p w14:paraId="6C1E2210" w14:textId="77777777" w:rsidR="009F6AC8" w:rsidRPr="008C72E5" w:rsidRDefault="009F6AC8" w:rsidP="00B558B7">
            <w:pPr>
              <w:pStyle w:val="TekstTabeli"/>
            </w:pPr>
            <w:r w:rsidRPr="008C72E5">
              <w:t>Ooi P.C., Khor J.G.</w:t>
            </w:r>
          </w:p>
        </w:tc>
        <w:tc>
          <w:tcPr>
            <w:tcW w:w="1771" w:type="pct"/>
            <w:vAlign w:val="center"/>
          </w:tcPr>
          <w:p w14:paraId="5B0DA1AB" w14:textId="77777777" w:rsidR="009F6AC8" w:rsidRPr="008C72E5" w:rsidRDefault="009F6AC8" w:rsidP="00B558B7">
            <w:pPr>
              <w:pStyle w:val="TekstTabeli"/>
            </w:pPr>
            <w:r w:rsidRPr="008C72E5">
              <w:t>Exploring Perspectives on Need for Extra-Curricular Activities in Engineering Education</w:t>
            </w:r>
          </w:p>
        </w:tc>
        <w:tc>
          <w:tcPr>
            <w:tcW w:w="2052" w:type="pct"/>
            <w:vAlign w:val="center"/>
          </w:tcPr>
          <w:p w14:paraId="34FFFFA7" w14:textId="77777777" w:rsidR="009F6AC8" w:rsidRPr="008C72E5" w:rsidRDefault="009F6AC8" w:rsidP="00B558B7">
            <w:pPr>
              <w:pStyle w:val="TekstTabeli"/>
            </w:pPr>
            <w:r w:rsidRPr="008C72E5">
              <w:t>(2018) Proceedings of the 2018 IEEE 10th International Conference on Engineering Education, ICEED 2018, art. no. 8626972, pp. 1 - 5, DOI: 10.1109/ICEED.2018.8626972</w:t>
            </w:r>
          </w:p>
        </w:tc>
      </w:tr>
      <w:tr w:rsidR="00C4329A" w:rsidRPr="004C10DC" w14:paraId="6CB1F80E" w14:textId="77777777" w:rsidTr="00C4329A">
        <w:trPr>
          <w:cantSplit/>
        </w:trPr>
        <w:tc>
          <w:tcPr>
            <w:tcW w:w="297" w:type="pct"/>
            <w:vAlign w:val="center"/>
          </w:tcPr>
          <w:p w14:paraId="73930D56" w14:textId="77777777" w:rsidR="009F6AC8" w:rsidRPr="008C72E5" w:rsidRDefault="009F6AC8" w:rsidP="00B558B7">
            <w:pPr>
              <w:pStyle w:val="TekstTabeli"/>
            </w:pPr>
            <w:r w:rsidRPr="008C72E5">
              <w:t>212</w:t>
            </w:r>
          </w:p>
        </w:tc>
        <w:tc>
          <w:tcPr>
            <w:tcW w:w="880" w:type="pct"/>
            <w:vAlign w:val="center"/>
          </w:tcPr>
          <w:p w14:paraId="6B7395EC" w14:textId="77777777" w:rsidR="009F6AC8" w:rsidRPr="008C72E5" w:rsidRDefault="009F6AC8" w:rsidP="00B558B7">
            <w:pPr>
              <w:pStyle w:val="TekstTabeli"/>
            </w:pPr>
            <w:r w:rsidRPr="008C72E5">
              <w:t>Delaine D.A., Cardoso J.R., Walther J.</w:t>
            </w:r>
          </w:p>
        </w:tc>
        <w:tc>
          <w:tcPr>
            <w:tcW w:w="1771" w:type="pct"/>
            <w:vAlign w:val="center"/>
          </w:tcPr>
          <w:p w14:paraId="4C4B7E56" w14:textId="77777777" w:rsidR="009F6AC8" w:rsidRPr="008C72E5" w:rsidRDefault="009F6AC8" w:rsidP="00B558B7">
            <w:pPr>
              <w:pStyle w:val="TekstTabeli"/>
            </w:pPr>
            <w:r w:rsidRPr="008C72E5">
              <w:t>An investigation of inter-stakeholder dynamics supportive of STEM, community-based learning</w:t>
            </w:r>
          </w:p>
        </w:tc>
        <w:tc>
          <w:tcPr>
            <w:tcW w:w="2052" w:type="pct"/>
            <w:vAlign w:val="center"/>
          </w:tcPr>
          <w:p w14:paraId="073A8FF9" w14:textId="77777777" w:rsidR="009F6AC8" w:rsidRPr="008C72E5" w:rsidRDefault="009F6AC8" w:rsidP="00B558B7">
            <w:pPr>
              <w:pStyle w:val="TekstTabeli"/>
            </w:pPr>
            <w:r w:rsidRPr="008C72E5">
              <w:t>(2019) International Journal of Engineering Education, 35 (4), pp. 1094 - 1109, 0</w:t>
            </w:r>
          </w:p>
        </w:tc>
      </w:tr>
      <w:tr w:rsidR="00C4329A" w:rsidRPr="004C10DC" w14:paraId="79A6A84E" w14:textId="77777777" w:rsidTr="00C4329A">
        <w:trPr>
          <w:cantSplit/>
        </w:trPr>
        <w:tc>
          <w:tcPr>
            <w:tcW w:w="297" w:type="pct"/>
            <w:vAlign w:val="center"/>
          </w:tcPr>
          <w:p w14:paraId="02861E8F" w14:textId="77777777" w:rsidR="009F6AC8" w:rsidRPr="008C72E5" w:rsidRDefault="009F6AC8" w:rsidP="00B558B7">
            <w:pPr>
              <w:pStyle w:val="TekstTabeli"/>
            </w:pPr>
            <w:r w:rsidRPr="008C72E5">
              <w:t>213</w:t>
            </w:r>
          </w:p>
        </w:tc>
        <w:tc>
          <w:tcPr>
            <w:tcW w:w="880" w:type="pct"/>
            <w:vAlign w:val="center"/>
          </w:tcPr>
          <w:p w14:paraId="6E4F15F5" w14:textId="77777777" w:rsidR="009F6AC8" w:rsidRPr="008C72E5" w:rsidRDefault="009F6AC8" w:rsidP="00B558B7">
            <w:pPr>
              <w:pStyle w:val="TekstTabeli"/>
            </w:pPr>
            <w:r w:rsidRPr="008C72E5">
              <w:t>Nae G., Nae V.</w:t>
            </w:r>
          </w:p>
        </w:tc>
        <w:tc>
          <w:tcPr>
            <w:tcW w:w="1771" w:type="pct"/>
            <w:vAlign w:val="center"/>
          </w:tcPr>
          <w:p w14:paraId="6B0A592E" w14:textId="77777777" w:rsidR="009F6AC8" w:rsidRPr="008C72E5" w:rsidRDefault="009F6AC8" w:rsidP="00B558B7">
            <w:pPr>
              <w:pStyle w:val="TekstTabeli"/>
            </w:pPr>
            <w:r w:rsidRPr="008C72E5">
              <w:t>Building the (Higher)Education Stakeholder: The Realities of Economics in Higher Education</w:t>
            </w:r>
          </w:p>
        </w:tc>
        <w:tc>
          <w:tcPr>
            <w:tcW w:w="2052" w:type="pct"/>
            <w:vAlign w:val="center"/>
          </w:tcPr>
          <w:p w14:paraId="070C3054" w14:textId="77777777" w:rsidR="009F6AC8" w:rsidRPr="008C72E5" w:rsidRDefault="009F6AC8" w:rsidP="00B558B7">
            <w:pPr>
              <w:pStyle w:val="TekstTabeli"/>
            </w:pPr>
            <w:r w:rsidRPr="008C72E5">
              <w:t>(2018) Cultural Psychology of Education, 7, pp. 77 - 96, DOI: 10.1007/978-3-319-96035-7_9</w:t>
            </w:r>
          </w:p>
        </w:tc>
      </w:tr>
      <w:tr w:rsidR="00C4329A" w:rsidRPr="004C10DC" w14:paraId="1E43B6A5" w14:textId="77777777" w:rsidTr="00C4329A">
        <w:trPr>
          <w:cantSplit/>
        </w:trPr>
        <w:tc>
          <w:tcPr>
            <w:tcW w:w="297" w:type="pct"/>
            <w:vAlign w:val="center"/>
          </w:tcPr>
          <w:p w14:paraId="0993B578" w14:textId="77777777" w:rsidR="009F6AC8" w:rsidRPr="008C72E5" w:rsidRDefault="009F6AC8" w:rsidP="00B558B7">
            <w:pPr>
              <w:pStyle w:val="TekstTabeli"/>
            </w:pPr>
            <w:r w:rsidRPr="008C72E5">
              <w:t>214</w:t>
            </w:r>
          </w:p>
        </w:tc>
        <w:tc>
          <w:tcPr>
            <w:tcW w:w="880" w:type="pct"/>
            <w:vAlign w:val="center"/>
          </w:tcPr>
          <w:p w14:paraId="02A57D43" w14:textId="11ACB987" w:rsidR="009F6AC8" w:rsidRPr="008C72E5" w:rsidRDefault="009F6AC8" w:rsidP="00B558B7">
            <w:pPr>
              <w:pStyle w:val="TekstTabeli"/>
            </w:pPr>
            <w:proofErr w:type="spellStart"/>
            <w:r w:rsidRPr="008C72E5">
              <w:t>Linnes</w:t>
            </w:r>
            <w:proofErr w:type="spellEnd"/>
            <w:r w:rsidRPr="008C72E5">
              <w:t xml:space="preserve"> C., Ronzoni G., </w:t>
            </w:r>
            <w:proofErr w:type="spellStart"/>
            <w:r w:rsidR="00A147A1" w:rsidRPr="008C72E5">
              <w:rPr>
                <w:lang w:val="en-GB"/>
              </w:rPr>
              <w:t>i</w:t>
            </w:r>
            <w:proofErr w:type="spellEnd"/>
            <w:r w:rsidR="00A147A1" w:rsidRPr="008C72E5">
              <w:rPr>
                <w:lang w:val="en-GB"/>
              </w:rPr>
              <w:t> in.</w:t>
            </w:r>
          </w:p>
        </w:tc>
        <w:tc>
          <w:tcPr>
            <w:tcW w:w="1771" w:type="pct"/>
            <w:vAlign w:val="center"/>
          </w:tcPr>
          <w:p w14:paraId="21C31D74" w14:textId="77777777" w:rsidR="009F6AC8" w:rsidRPr="008C72E5" w:rsidRDefault="009F6AC8" w:rsidP="00B558B7">
            <w:pPr>
              <w:pStyle w:val="TekstTabeli"/>
            </w:pPr>
            <w:r w:rsidRPr="008C72E5">
              <w:t>Emergency Remote Education and Its Impact on Higher Education: A Temporary or Permanent Shift in Instruction?</w:t>
            </w:r>
          </w:p>
        </w:tc>
        <w:tc>
          <w:tcPr>
            <w:tcW w:w="2052" w:type="pct"/>
            <w:vAlign w:val="center"/>
          </w:tcPr>
          <w:p w14:paraId="554DA1C4" w14:textId="77777777" w:rsidR="009F6AC8" w:rsidRPr="008C72E5" w:rsidRDefault="009F6AC8" w:rsidP="00B558B7">
            <w:pPr>
              <w:pStyle w:val="TekstTabeli"/>
            </w:pPr>
            <w:r w:rsidRPr="008C72E5">
              <w:t>(2022) Education Sciences, 12 (10), art. no. 721, DOI: 10.3390/educsci12100721</w:t>
            </w:r>
          </w:p>
        </w:tc>
      </w:tr>
      <w:tr w:rsidR="00C4329A" w:rsidRPr="004C10DC" w14:paraId="6567A883" w14:textId="77777777" w:rsidTr="00C4329A">
        <w:trPr>
          <w:cantSplit/>
        </w:trPr>
        <w:tc>
          <w:tcPr>
            <w:tcW w:w="297" w:type="pct"/>
            <w:vAlign w:val="center"/>
          </w:tcPr>
          <w:p w14:paraId="26C294A3" w14:textId="77777777" w:rsidR="009F6AC8" w:rsidRPr="008C72E5" w:rsidRDefault="009F6AC8" w:rsidP="00B558B7">
            <w:pPr>
              <w:pStyle w:val="TekstTabeli"/>
            </w:pPr>
            <w:r w:rsidRPr="008C72E5">
              <w:t>215</w:t>
            </w:r>
          </w:p>
        </w:tc>
        <w:tc>
          <w:tcPr>
            <w:tcW w:w="880" w:type="pct"/>
            <w:vAlign w:val="center"/>
          </w:tcPr>
          <w:p w14:paraId="11CCE9A4" w14:textId="7C9DA120" w:rsidR="009F6AC8" w:rsidRPr="008C72E5" w:rsidRDefault="009F6AC8" w:rsidP="00B558B7">
            <w:pPr>
              <w:pStyle w:val="TekstTabeli"/>
            </w:pPr>
            <w:proofErr w:type="spellStart"/>
            <w:r w:rsidRPr="008C72E5">
              <w:t>Narenji</w:t>
            </w:r>
            <w:proofErr w:type="spellEnd"/>
            <w:r w:rsidRPr="008C72E5">
              <w:t xml:space="preserve"> Thani F., Mazari E., </w:t>
            </w:r>
            <w:proofErr w:type="spellStart"/>
            <w:r w:rsidR="00A147A1" w:rsidRPr="008C72E5">
              <w:t>i</w:t>
            </w:r>
            <w:proofErr w:type="spellEnd"/>
            <w:r w:rsidR="00A147A1" w:rsidRPr="008C72E5">
              <w:t> in.</w:t>
            </w:r>
          </w:p>
        </w:tc>
        <w:tc>
          <w:tcPr>
            <w:tcW w:w="1771" w:type="pct"/>
            <w:vAlign w:val="center"/>
          </w:tcPr>
          <w:p w14:paraId="7D2BE36F" w14:textId="77777777" w:rsidR="009F6AC8" w:rsidRPr="008C72E5" w:rsidRDefault="009F6AC8" w:rsidP="00B558B7">
            <w:pPr>
              <w:pStyle w:val="TekstTabeli"/>
            </w:pPr>
            <w:r w:rsidRPr="008C72E5">
              <w:t>The impact of self-development on the tendency toward organizational innovation in higher education institutions with the mediating role of human resource agility</w:t>
            </w:r>
          </w:p>
        </w:tc>
        <w:tc>
          <w:tcPr>
            <w:tcW w:w="2052" w:type="pct"/>
            <w:vAlign w:val="center"/>
          </w:tcPr>
          <w:p w14:paraId="17C115A2" w14:textId="77777777" w:rsidR="009F6AC8" w:rsidRPr="008C72E5" w:rsidRDefault="009F6AC8" w:rsidP="00B558B7">
            <w:pPr>
              <w:pStyle w:val="TekstTabeli"/>
            </w:pPr>
            <w:r w:rsidRPr="008C72E5">
              <w:t>(2022) Journal of Applied Research in Higher Education, 14 (2), pp. 852 - 873, DOI: 10.1108/JARHE-05-2020-0151</w:t>
            </w:r>
          </w:p>
        </w:tc>
      </w:tr>
      <w:tr w:rsidR="00C4329A" w:rsidRPr="008C72E5" w14:paraId="01BE7162" w14:textId="77777777" w:rsidTr="00C4329A">
        <w:trPr>
          <w:cantSplit/>
        </w:trPr>
        <w:tc>
          <w:tcPr>
            <w:tcW w:w="297" w:type="pct"/>
            <w:vAlign w:val="center"/>
          </w:tcPr>
          <w:p w14:paraId="54B8A06D" w14:textId="77777777" w:rsidR="009F6AC8" w:rsidRPr="008C72E5" w:rsidRDefault="009F6AC8" w:rsidP="00B558B7">
            <w:pPr>
              <w:pStyle w:val="TekstTabeli"/>
            </w:pPr>
            <w:r w:rsidRPr="008C72E5">
              <w:t>216</w:t>
            </w:r>
          </w:p>
        </w:tc>
        <w:tc>
          <w:tcPr>
            <w:tcW w:w="880" w:type="pct"/>
            <w:vAlign w:val="center"/>
          </w:tcPr>
          <w:p w14:paraId="49EF5295" w14:textId="77777777" w:rsidR="009F6AC8" w:rsidRPr="008C72E5" w:rsidRDefault="009F6AC8" w:rsidP="00B558B7">
            <w:pPr>
              <w:pStyle w:val="TekstTabeli"/>
            </w:pPr>
            <w:proofErr w:type="spellStart"/>
            <w:r w:rsidRPr="008C72E5">
              <w:t>Simangunsong</w:t>
            </w:r>
            <w:proofErr w:type="spellEnd"/>
            <w:r w:rsidRPr="008C72E5">
              <w:t xml:space="preserve"> E.</w:t>
            </w:r>
          </w:p>
        </w:tc>
        <w:tc>
          <w:tcPr>
            <w:tcW w:w="1771" w:type="pct"/>
            <w:vAlign w:val="center"/>
          </w:tcPr>
          <w:p w14:paraId="7D4007ED" w14:textId="5010FA78" w:rsidR="009F6AC8" w:rsidRPr="008C72E5" w:rsidRDefault="009F6AC8" w:rsidP="00B558B7">
            <w:pPr>
              <w:pStyle w:val="TekstTabeli"/>
            </w:pPr>
            <w:r w:rsidRPr="008C72E5">
              <w:t xml:space="preserve">Factors determining the quality management of higher education: A case study at a business school in Indonesia </w:t>
            </w:r>
          </w:p>
        </w:tc>
        <w:tc>
          <w:tcPr>
            <w:tcW w:w="2052" w:type="pct"/>
            <w:vAlign w:val="center"/>
          </w:tcPr>
          <w:p w14:paraId="1C7CFB39" w14:textId="77777777" w:rsidR="009F6AC8" w:rsidRPr="00D82766" w:rsidRDefault="009F6AC8" w:rsidP="00B558B7">
            <w:pPr>
              <w:pStyle w:val="TekstTabeli"/>
              <w:rPr>
                <w:lang w:val="pl-PL"/>
              </w:rPr>
            </w:pPr>
            <w:r w:rsidRPr="00D82766">
              <w:rPr>
                <w:lang w:val="pl-PL"/>
              </w:rPr>
              <w:t xml:space="preserve">(2019) </w:t>
            </w:r>
            <w:proofErr w:type="spellStart"/>
            <w:r w:rsidRPr="00D82766">
              <w:rPr>
                <w:lang w:val="pl-PL"/>
              </w:rPr>
              <w:t>Cakrawala</w:t>
            </w:r>
            <w:proofErr w:type="spellEnd"/>
            <w:r w:rsidRPr="00D82766">
              <w:rPr>
                <w:lang w:val="pl-PL"/>
              </w:rPr>
              <w:t xml:space="preserve"> </w:t>
            </w:r>
            <w:proofErr w:type="spellStart"/>
            <w:r w:rsidRPr="00D82766">
              <w:rPr>
                <w:lang w:val="pl-PL"/>
              </w:rPr>
              <w:t>Pendidikan</w:t>
            </w:r>
            <w:proofErr w:type="spellEnd"/>
            <w:r w:rsidRPr="00D82766">
              <w:rPr>
                <w:lang w:val="pl-PL"/>
              </w:rPr>
              <w:t>, 38 (2), pp. 215 - 227, DOI: 10.21831/cp.v38i2.19685</w:t>
            </w:r>
          </w:p>
        </w:tc>
      </w:tr>
      <w:tr w:rsidR="00C4329A" w:rsidRPr="004C10DC" w14:paraId="05B23C1F" w14:textId="77777777" w:rsidTr="00C4329A">
        <w:trPr>
          <w:cantSplit/>
        </w:trPr>
        <w:tc>
          <w:tcPr>
            <w:tcW w:w="297" w:type="pct"/>
            <w:vAlign w:val="center"/>
          </w:tcPr>
          <w:p w14:paraId="02106E82" w14:textId="77777777" w:rsidR="009F6AC8" w:rsidRPr="008C72E5" w:rsidRDefault="009F6AC8" w:rsidP="00B558B7">
            <w:pPr>
              <w:pStyle w:val="TekstTabeli"/>
            </w:pPr>
            <w:r w:rsidRPr="008C72E5">
              <w:t>217</w:t>
            </w:r>
          </w:p>
        </w:tc>
        <w:tc>
          <w:tcPr>
            <w:tcW w:w="880" w:type="pct"/>
            <w:vAlign w:val="center"/>
          </w:tcPr>
          <w:p w14:paraId="4B6C23A8" w14:textId="1D253515" w:rsidR="009F6AC8" w:rsidRPr="008C72E5" w:rsidRDefault="009F6AC8" w:rsidP="00B558B7">
            <w:pPr>
              <w:pStyle w:val="TekstTabeli"/>
            </w:pPr>
            <w:proofErr w:type="spellStart"/>
            <w:r w:rsidRPr="008C72E5">
              <w:t>Memmini</w:t>
            </w:r>
            <w:proofErr w:type="spellEnd"/>
            <w:r w:rsidRPr="008C72E5">
              <w:t xml:space="preserve"> A.K., Kinnett-Hopkins D.L., </w:t>
            </w:r>
            <w:proofErr w:type="spellStart"/>
            <w:r w:rsidR="00A147A1" w:rsidRPr="008C72E5">
              <w:t>i</w:t>
            </w:r>
            <w:proofErr w:type="spellEnd"/>
            <w:r w:rsidR="00A147A1" w:rsidRPr="008C72E5">
              <w:t> in.</w:t>
            </w:r>
          </w:p>
        </w:tc>
        <w:tc>
          <w:tcPr>
            <w:tcW w:w="1771" w:type="pct"/>
            <w:vAlign w:val="center"/>
          </w:tcPr>
          <w:p w14:paraId="0EA0B7E0" w14:textId="77777777" w:rsidR="009F6AC8" w:rsidRPr="008C72E5" w:rsidRDefault="009F6AC8" w:rsidP="00B558B7">
            <w:pPr>
              <w:pStyle w:val="TekstTabeli"/>
            </w:pPr>
            <w:r w:rsidRPr="008C72E5">
              <w:t>Considerations for Implementing the Post-Concussion Collegiate Return-to-Learn Protocol in the National Collegiate Athletic Association Power 5 Conferences</w:t>
            </w:r>
          </w:p>
        </w:tc>
        <w:tc>
          <w:tcPr>
            <w:tcW w:w="2052" w:type="pct"/>
            <w:vAlign w:val="center"/>
          </w:tcPr>
          <w:p w14:paraId="46BAC206" w14:textId="77777777" w:rsidR="009F6AC8" w:rsidRPr="008C72E5" w:rsidRDefault="009F6AC8" w:rsidP="00B558B7">
            <w:pPr>
              <w:pStyle w:val="TekstTabeli"/>
            </w:pPr>
            <w:r w:rsidRPr="008C72E5">
              <w:t>(2023) Journal of Head Trauma Rehabilitation, 38 (4), pp. 336 - 347, DOI: 10.1097/HTR.0000000000000862</w:t>
            </w:r>
          </w:p>
        </w:tc>
      </w:tr>
      <w:tr w:rsidR="00C4329A" w:rsidRPr="004C10DC" w14:paraId="258CA904" w14:textId="77777777" w:rsidTr="00C4329A">
        <w:trPr>
          <w:cantSplit/>
        </w:trPr>
        <w:tc>
          <w:tcPr>
            <w:tcW w:w="297" w:type="pct"/>
            <w:vAlign w:val="center"/>
          </w:tcPr>
          <w:p w14:paraId="21B91FDF" w14:textId="77777777" w:rsidR="009F6AC8" w:rsidRPr="008C72E5" w:rsidRDefault="009F6AC8" w:rsidP="00B558B7">
            <w:pPr>
              <w:pStyle w:val="TekstTabeli"/>
            </w:pPr>
            <w:r w:rsidRPr="008C72E5">
              <w:t>218</w:t>
            </w:r>
          </w:p>
        </w:tc>
        <w:tc>
          <w:tcPr>
            <w:tcW w:w="880" w:type="pct"/>
            <w:vAlign w:val="center"/>
          </w:tcPr>
          <w:p w14:paraId="560860BD" w14:textId="77777777" w:rsidR="009F6AC8" w:rsidRPr="00D82766" w:rsidRDefault="009F6AC8" w:rsidP="00B558B7">
            <w:pPr>
              <w:pStyle w:val="TekstTabeli"/>
              <w:rPr>
                <w:lang w:val="pl-PL"/>
              </w:rPr>
            </w:pPr>
            <w:proofErr w:type="spellStart"/>
            <w:r w:rsidRPr="00D82766">
              <w:rPr>
                <w:lang w:val="pl-PL"/>
              </w:rPr>
              <w:t>Jha</w:t>
            </w:r>
            <w:proofErr w:type="spellEnd"/>
            <w:r w:rsidRPr="00D82766">
              <w:rPr>
                <w:lang w:val="pl-PL"/>
              </w:rPr>
              <w:t xml:space="preserve"> S., </w:t>
            </w:r>
            <w:proofErr w:type="spellStart"/>
            <w:r w:rsidRPr="00D82766">
              <w:rPr>
                <w:lang w:val="pl-PL"/>
              </w:rPr>
              <w:t>Jha</w:t>
            </w:r>
            <w:proofErr w:type="spellEnd"/>
            <w:r w:rsidRPr="00D82766">
              <w:rPr>
                <w:lang w:val="pl-PL"/>
              </w:rPr>
              <w:t xml:space="preserve"> M., </w:t>
            </w:r>
            <w:proofErr w:type="spellStart"/>
            <w:r w:rsidRPr="00D82766">
              <w:rPr>
                <w:lang w:val="pl-PL"/>
              </w:rPr>
              <w:t>O'Brien</w:t>
            </w:r>
            <w:proofErr w:type="spellEnd"/>
            <w:r w:rsidRPr="00D82766">
              <w:rPr>
                <w:lang w:val="pl-PL"/>
              </w:rPr>
              <w:t xml:space="preserve"> L.</w:t>
            </w:r>
          </w:p>
        </w:tc>
        <w:tc>
          <w:tcPr>
            <w:tcW w:w="1771" w:type="pct"/>
            <w:vAlign w:val="center"/>
          </w:tcPr>
          <w:p w14:paraId="1A740B61" w14:textId="77777777" w:rsidR="009F6AC8" w:rsidRPr="008C72E5" w:rsidRDefault="009F6AC8" w:rsidP="00B558B7">
            <w:pPr>
              <w:pStyle w:val="TekstTabeli"/>
            </w:pPr>
            <w:r w:rsidRPr="008C72E5">
              <w:t>A Step towards Big Data Architecture for Higher Education Analytics</w:t>
            </w:r>
          </w:p>
        </w:tc>
        <w:tc>
          <w:tcPr>
            <w:tcW w:w="2052" w:type="pct"/>
            <w:vAlign w:val="center"/>
          </w:tcPr>
          <w:p w14:paraId="70E53E1C" w14:textId="77777777" w:rsidR="009F6AC8" w:rsidRPr="008C72E5" w:rsidRDefault="009F6AC8" w:rsidP="00B558B7">
            <w:pPr>
              <w:pStyle w:val="TekstTabeli"/>
            </w:pPr>
            <w:r w:rsidRPr="008C72E5">
              <w:t>(2018) Proceedings - 2018 5th Asia-Pacific World Congress on Computer Science and Engineering, APWC on CSE 2018, art. no. 8853675, pp. 178 - 183, DOI: 10.1109/APWConCSE.2018.00036</w:t>
            </w:r>
          </w:p>
        </w:tc>
      </w:tr>
      <w:tr w:rsidR="00C4329A" w:rsidRPr="004C10DC" w14:paraId="3CA740CC" w14:textId="77777777" w:rsidTr="00C4329A">
        <w:trPr>
          <w:cantSplit/>
        </w:trPr>
        <w:tc>
          <w:tcPr>
            <w:tcW w:w="297" w:type="pct"/>
            <w:vAlign w:val="center"/>
          </w:tcPr>
          <w:p w14:paraId="203CC736" w14:textId="77777777" w:rsidR="009F6AC8" w:rsidRPr="008C72E5" w:rsidRDefault="009F6AC8" w:rsidP="00B558B7">
            <w:pPr>
              <w:pStyle w:val="TekstTabeli"/>
            </w:pPr>
            <w:r w:rsidRPr="008C72E5">
              <w:t>219</w:t>
            </w:r>
          </w:p>
        </w:tc>
        <w:tc>
          <w:tcPr>
            <w:tcW w:w="880" w:type="pct"/>
            <w:vAlign w:val="center"/>
          </w:tcPr>
          <w:p w14:paraId="56B32467" w14:textId="77777777" w:rsidR="009F6AC8" w:rsidRPr="008C72E5" w:rsidRDefault="009F6AC8" w:rsidP="00B558B7">
            <w:pPr>
              <w:pStyle w:val="TekstTabeli"/>
            </w:pPr>
            <w:r w:rsidRPr="008C72E5">
              <w:t>Han S.</w:t>
            </w:r>
          </w:p>
        </w:tc>
        <w:tc>
          <w:tcPr>
            <w:tcW w:w="1771" w:type="pct"/>
            <w:vAlign w:val="center"/>
          </w:tcPr>
          <w:p w14:paraId="31886FB1" w14:textId="77777777" w:rsidR="009F6AC8" w:rsidRPr="008C72E5" w:rsidRDefault="009F6AC8" w:rsidP="00B558B7">
            <w:pPr>
              <w:pStyle w:val="TekstTabeli"/>
            </w:pPr>
            <w:r w:rsidRPr="008C72E5">
              <w:t>Experimental governance in China’s higher education: stakeholder’s interpretations, interactions and strategic actions</w:t>
            </w:r>
          </w:p>
        </w:tc>
        <w:tc>
          <w:tcPr>
            <w:tcW w:w="2052" w:type="pct"/>
            <w:vAlign w:val="center"/>
          </w:tcPr>
          <w:p w14:paraId="5A319ED5" w14:textId="77777777" w:rsidR="009F6AC8" w:rsidRPr="008C72E5" w:rsidRDefault="009F6AC8" w:rsidP="00B558B7">
            <w:pPr>
              <w:pStyle w:val="TekstTabeli"/>
            </w:pPr>
            <w:r w:rsidRPr="008C72E5">
              <w:t>(2022) Studies in Higher Education, 47 (1), pp. 13 - 25, DOI: 10.1080/03075079.2020.1725876</w:t>
            </w:r>
          </w:p>
        </w:tc>
      </w:tr>
      <w:tr w:rsidR="00C4329A" w:rsidRPr="004C10DC" w14:paraId="413DC6CB" w14:textId="77777777" w:rsidTr="00C4329A">
        <w:trPr>
          <w:cantSplit/>
        </w:trPr>
        <w:tc>
          <w:tcPr>
            <w:tcW w:w="297" w:type="pct"/>
            <w:vAlign w:val="center"/>
          </w:tcPr>
          <w:p w14:paraId="776DAFC4" w14:textId="77777777" w:rsidR="009F6AC8" w:rsidRPr="008C72E5" w:rsidRDefault="009F6AC8" w:rsidP="00B558B7">
            <w:pPr>
              <w:pStyle w:val="TekstTabeli"/>
            </w:pPr>
            <w:r w:rsidRPr="008C72E5">
              <w:lastRenderedPageBreak/>
              <w:t>220</w:t>
            </w:r>
          </w:p>
        </w:tc>
        <w:tc>
          <w:tcPr>
            <w:tcW w:w="880" w:type="pct"/>
            <w:vAlign w:val="center"/>
          </w:tcPr>
          <w:p w14:paraId="45FCF45B" w14:textId="4C13E394" w:rsidR="009F6AC8" w:rsidRPr="008C72E5" w:rsidRDefault="009F6AC8" w:rsidP="00B558B7">
            <w:pPr>
              <w:pStyle w:val="TekstTabeli"/>
            </w:pPr>
            <w:r w:rsidRPr="008C72E5">
              <w:t xml:space="preserve">Edelman A., Taylor J., </w:t>
            </w:r>
            <w:proofErr w:type="spellStart"/>
            <w:r w:rsidR="00A147A1" w:rsidRPr="008C72E5">
              <w:t>i</w:t>
            </w:r>
            <w:proofErr w:type="spellEnd"/>
            <w:r w:rsidR="00A147A1" w:rsidRPr="008C72E5">
              <w:t> in.</w:t>
            </w:r>
          </w:p>
        </w:tc>
        <w:tc>
          <w:tcPr>
            <w:tcW w:w="1771" w:type="pct"/>
            <w:vAlign w:val="center"/>
          </w:tcPr>
          <w:p w14:paraId="14370E2B" w14:textId="77777777" w:rsidR="009F6AC8" w:rsidRPr="008C72E5" w:rsidRDefault="009F6AC8" w:rsidP="00B558B7">
            <w:pPr>
              <w:pStyle w:val="TekstTabeli"/>
            </w:pPr>
            <w:r w:rsidRPr="008C72E5">
              <w:t xml:space="preserve">“‘Academic’ is a dirty word”: Intended impact pathways of an emerging academic health </w:t>
            </w:r>
            <w:proofErr w:type="spellStart"/>
            <w:r w:rsidRPr="008C72E5">
              <w:t>centre</w:t>
            </w:r>
            <w:proofErr w:type="spellEnd"/>
            <w:r w:rsidRPr="008C72E5">
              <w:t xml:space="preserve"> in tropical regional Australia</w:t>
            </w:r>
          </w:p>
        </w:tc>
        <w:tc>
          <w:tcPr>
            <w:tcW w:w="2052" w:type="pct"/>
            <w:vAlign w:val="center"/>
          </w:tcPr>
          <w:p w14:paraId="1F27498F" w14:textId="77777777" w:rsidR="009F6AC8" w:rsidRPr="008C72E5" w:rsidRDefault="009F6AC8" w:rsidP="00B558B7">
            <w:pPr>
              <w:pStyle w:val="TekstTabeli"/>
            </w:pPr>
            <w:r w:rsidRPr="008C72E5">
              <w:t>(2019) International Journal of Health Planning and Management, 34 (1), pp. e661 - e678, DOI: 10.1002/hpm.2681</w:t>
            </w:r>
          </w:p>
        </w:tc>
      </w:tr>
      <w:tr w:rsidR="00C4329A" w:rsidRPr="004C10DC" w14:paraId="6F974542" w14:textId="77777777" w:rsidTr="00C4329A">
        <w:trPr>
          <w:cantSplit/>
        </w:trPr>
        <w:tc>
          <w:tcPr>
            <w:tcW w:w="297" w:type="pct"/>
            <w:vAlign w:val="center"/>
          </w:tcPr>
          <w:p w14:paraId="7A003D66" w14:textId="77777777" w:rsidR="009F6AC8" w:rsidRPr="008C72E5" w:rsidRDefault="009F6AC8" w:rsidP="00B558B7">
            <w:pPr>
              <w:pStyle w:val="TekstTabeli"/>
            </w:pPr>
            <w:r w:rsidRPr="008C72E5">
              <w:t>221</w:t>
            </w:r>
          </w:p>
        </w:tc>
        <w:tc>
          <w:tcPr>
            <w:tcW w:w="880" w:type="pct"/>
            <w:vAlign w:val="center"/>
          </w:tcPr>
          <w:p w14:paraId="76406238" w14:textId="0C31CBE1" w:rsidR="009F6AC8" w:rsidRPr="008C72E5" w:rsidRDefault="009F6AC8" w:rsidP="00B558B7">
            <w:pPr>
              <w:pStyle w:val="TekstTabeli"/>
            </w:pPr>
            <w:r w:rsidRPr="008C72E5">
              <w:t xml:space="preserve">Thomas D., Moore R., </w:t>
            </w:r>
            <w:proofErr w:type="spellStart"/>
            <w:r w:rsidR="00A147A1" w:rsidRPr="008C72E5">
              <w:t>i</w:t>
            </w:r>
            <w:proofErr w:type="spellEnd"/>
            <w:r w:rsidR="00A147A1" w:rsidRPr="008C72E5">
              <w:t> in.</w:t>
            </w:r>
          </w:p>
        </w:tc>
        <w:tc>
          <w:tcPr>
            <w:tcW w:w="1771" w:type="pct"/>
            <w:vAlign w:val="center"/>
          </w:tcPr>
          <w:p w14:paraId="1F04FB67" w14:textId="77777777" w:rsidR="009F6AC8" w:rsidRPr="008C72E5" w:rsidRDefault="009F6AC8" w:rsidP="00B558B7">
            <w:pPr>
              <w:pStyle w:val="TekstTabeli"/>
            </w:pPr>
            <w:r w:rsidRPr="008C72E5">
              <w:t>Elaborating a framework for communicating assessment aims in higher education</w:t>
            </w:r>
          </w:p>
        </w:tc>
        <w:tc>
          <w:tcPr>
            <w:tcW w:w="2052" w:type="pct"/>
            <w:vAlign w:val="center"/>
          </w:tcPr>
          <w:p w14:paraId="1D2D580A" w14:textId="77777777" w:rsidR="009F6AC8" w:rsidRPr="008C72E5" w:rsidRDefault="009F6AC8" w:rsidP="00B558B7">
            <w:pPr>
              <w:pStyle w:val="TekstTabeli"/>
            </w:pPr>
            <w:r w:rsidRPr="008C72E5">
              <w:t>(2019) Assessment and Evaluation in Higher Education, 44 (4), pp. 546 - 564, DOI: 10.1080/02602938.2018.1522615</w:t>
            </w:r>
          </w:p>
        </w:tc>
      </w:tr>
      <w:tr w:rsidR="00C4329A" w:rsidRPr="004C10DC" w14:paraId="4FB4F48D" w14:textId="77777777" w:rsidTr="00C4329A">
        <w:trPr>
          <w:cantSplit/>
        </w:trPr>
        <w:tc>
          <w:tcPr>
            <w:tcW w:w="297" w:type="pct"/>
            <w:vAlign w:val="center"/>
          </w:tcPr>
          <w:p w14:paraId="1948D5B6" w14:textId="77777777" w:rsidR="009F6AC8" w:rsidRPr="008C72E5" w:rsidRDefault="009F6AC8" w:rsidP="00B558B7">
            <w:pPr>
              <w:pStyle w:val="TekstTabeli"/>
            </w:pPr>
            <w:r w:rsidRPr="008C72E5">
              <w:t>222</w:t>
            </w:r>
          </w:p>
        </w:tc>
        <w:tc>
          <w:tcPr>
            <w:tcW w:w="880" w:type="pct"/>
            <w:vAlign w:val="center"/>
          </w:tcPr>
          <w:p w14:paraId="1A3B6DC7" w14:textId="77777777" w:rsidR="009F6AC8" w:rsidRPr="008C72E5" w:rsidRDefault="009F6AC8" w:rsidP="00B558B7">
            <w:pPr>
              <w:pStyle w:val="TekstTabeli"/>
            </w:pPr>
            <w:proofErr w:type="spellStart"/>
            <w:r w:rsidRPr="008C72E5">
              <w:t>Saurbier</w:t>
            </w:r>
            <w:proofErr w:type="spellEnd"/>
            <w:r w:rsidRPr="008C72E5">
              <w:t xml:space="preserve"> A.</w:t>
            </w:r>
          </w:p>
        </w:tc>
        <w:tc>
          <w:tcPr>
            <w:tcW w:w="1771" w:type="pct"/>
            <w:vAlign w:val="center"/>
          </w:tcPr>
          <w:p w14:paraId="74EF29C8" w14:textId="77777777" w:rsidR="009F6AC8" w:rsidRPr="008C72E5" w:rsidRDefault="009F6AC8" w:rsidP="00B558B7">
            <w:pPr>
              <w:pStyle w:val="TekstTabeli"/>
            </w:pPr>
            <w:r w:rsidRPr="008C72E5">
              <w:t xml:space="preserve">Modelling the stakeholder environment and decision process in the </w:t>
            </w:r>
            <w:proofErr w:type="spellStart"/>
            <w:r w:rsidRPr="008C72E5">
              <w:t>u.S.</w:t>
            </w:r>
            <w:proofErr w:type="spellEnd"/>
            <w:r w:rsidRPr="008C72E5">
              <w:t xml:space="preserve"> higher education system</w:t>
            </w:r>
          </w:p>
        </w:tc>
        <w:tc>
          <w:tcPr>
            <w:tcW w:w="2052" w:type="pct"/>
            <w:vAlign w:val="center"/>
          </w:tcPr>
          <w:p w14:paraId="1622CA3B" w14:textId="77777777" w:rsidR="009F6AC8" w:rsidRPr="008C72E5" w:rsidRDefault="009F6AC8" w:rsidP="00B558B7">
            <w:pPr>
              <w:pStyle w:val="TekstTabeli"/>
            </w:pPr>
            <w:r w:rsidRPr="008C72E5">
              <w:t>(2021) Business, Management and Economics Engineering, 19 (1), pp. 131 - 149, DOI: 10.3846/bmee.2021.12629</w:t>
            </w:r>
          </w:p>
        </w:tc>
      </w:tr>
      <w:tr w:rsidR="00C4329A" w:rsidRPr="004C10DC" w14:paraId="7C39770E" w14:textId="77777777" w:rsidTr="00C4329A">
        <w:trPr>
          <w:cantSplit/>
        </w:trPr>
        <w:tc>
          <w:tcPr>
            <w:tcW w:w="297" w:type="pct"/>
            <w:vAlign w:val="center"/>
          </w:tcPr>
          <w:p w14:paraId="6C16AB1F" w14:textId="77777777" w:rsidR="009F6AC8" w:rsidRPr="008C72E5" w:rsidRDefault="009F6AC8" w:rsidP="00B558B7">
            <w:pPr>
              <w:pStyle w:val="TekstTabeli"/>
            </w:pPr>
            <w:r w:rsidRPr="008C72E5">
              <w:t>223</w:t>
            </w:r>
          </w:p>
        </w:tc>
        <w:tc>
          <w:tcPr>
            <w:tcW w:w="880" w:type="pct"/>
            <w:vAlign w:val="center"/>
          </w:tcPr>
          <w:p w14:paraId="3CAFC5AA" w14:textId="77777777" w:rsidR="009F6AC8" w:rsidRPr="008C72E5" w:rsidRDefault="009F6AC8" w:rsidP="00B558B7">
            <w:pPr>
              <w:pStyle w:val="TekstTabeli"/>
            </w:pPr>
            <w:r w:rsidRPr="008C72E5">
              <w:t>Menaker B.E., Barry A.E., Howell S.M.</w:t>
            </w:r>
          </w:p>
        </w:tc>
        <w:tc>
          <w:tcPr>
            <w:tcW w:w="1771" w:type="pct"/>
            <w:vAlign w:val="center"/>
          </w:tcPr>
          <w:p w14:paraId="3E3ED8E9" w14:textId="77777777" w:rsidR="009F6AC8" w:rsidRPr="008C72E5" w:rsidRDefault="009F6AC8" w:rsidP="00B558B7">
            <w:pPr>
              <w:pStyle w:val="TekstTabeli"/>
            </w:pPr>
            <w:r w:rsidRPr="008C72E5">
              <w:t>Identifying the Influence of Opponent Ranking and Game Characteristics on Alcohol-Related Stadium Ejections</w:t>
            </w:r>
          </w:p>
        </w:tc>
        <w:tc>
          <w:tcPr>
            <w:tcW w:w="2052" w:type="pct"/>
            <w:vAlign w:val="center"/>
          </w:tcPr>
          <w:p w14:paraId="0C14276F" w14:textId="77777777" w:rsidR="009F6AC8" w:rsidRPr="008C72E5" w:rsidRDefault="009F6AC8" w:rsidP="00B558B7">
            <w:pPr>
              <w:pStyle w:val="TekstTabeli"/>
            </w:pPr>
            <w:r w:rsidRPr="008C72E5">
              <w:t>(2018) Journal of Primary Prevention, 39 (2), pp. 117 - 128, DOI: 10.1007/s10935-018-0504-0</w:t>
            </w:r>
          </w:p>
        </w:tc>
      </w:tr>
      <w:tr w:rsidR="00C4329A" w:rsidRPr="004C10DC" w14:paraId="6D9C84B1" w14:textId="77777777" w:rsidTr="00C4329A">
        <w:trPr>
          <w:cantSplit/>
        </w:trPr>
        <w:tc>
          <w:tcPr>
            <w:tcW w:w="297" w:type="pct"/>
            <w:vAlign w:val="center"/>
          </w:tcPr>
          <w:p w14:paraId="43995AF5" w14:textId="77777777" w:rsidR="009F6AC8" w:rsidRPr="008C72E5" w:rsidRDefault="009F6AC8" w:rsidP="00B558B7">
            <w:pPr>
              <w:pStyle w:val="TekstTabeli"/>
            </w:pPr>
            <w:r w:rsidRPr="008C72E5">
              <w:t>224</w:t>
            </w:r>
          </w:p>
        </w:tc>
        <w:tc>
          <w:tcPr>
            <w:tcW w:w="880" w:type="pct"/>
            <w:vAlign w:val="center"/>
          </w:tcPr>
          <w:p w14:paraId="6D43410B" w14:textId="77777777" w:rsidR="009F6AC8" w:rsidRPr="008C72E5" w:rsidRDefault="009F6AC8" w:rsidP="00B558B7">
            <w:pPr>
              <w:pStyle w:val="TekstTabeli"/>
            </w:pPr>
            <w:proofErr w:type="spellStart"/>
            <w:r w:rsidRPr="008C72E5">
              <w:t>Oleksiyenko</w:t>
            </w:r>
            <w:proofErr w:type="spellEnd"/>
            <w:r w:rsidRPr="008C72E5">
              <w:t xml:space="preserve"> A., </w:t>
            </w:r>
            <w:proofErr w:type="spellStart"/>
            <w:r w:rsidRPr="008C72E5">
              <w:t>Shchepetylnykova</w:t>
            </w:r>
            <w:proofErr w:type="spellEnd"/>
            <w:r w:rsidRPr="008C72E5">
              <w:t xml:space="preserve"> I., </w:t>
            </w:r>
            <w:proofErr w:type="spellStart"/>
            <w:r w:rsidRPr="008C72E5">
              <w:t>Furiv</w:t>
            </w:r>
            <w:proofErr w:type="spellEnd"/>
            <w:r w:rsidRPr="008C72E5">
              <w:t xml:space="preserve"> U.</w:t>
            </w:r>
          </w:p>
        </w:tc>
        <w:tc>
          <w:tcPr>
            <w:tcW w:w="1771" w:type="pct"/>
            <w:vAlign w:val="center"/>
          </w:tcPr>
          <w:p w14:paraId="48232D3F" w14:textId="77777777" w:rsidR="009F6AC8" w:rsidRPr="008C72E5" w:rsidRDefault="009F6AC8" w:rsidP="00B558B7">
            <w:pPr>
              <w:pStyle w:val="TekstTabeli"/>
            </w:pPr>
            <w:r w:rsidRPr="008C72E5">
              <w:t>Internationalization of higher education in tumultuous times: transformative powers and problems in embattled Ukraine</w:t>
            </w:r>
          </w:p>
        </w:tc>
        <w:tc>
          <w:tcPr>
            <w:tcW w:w="2052" w:type="pct"/>
            <w:vAlign w:val="center"/>
          </w:tcPr>
          <w:p w14:paraId="088B933F" w14:textId="77777777" w:rsidR="009F6AC8" w:rsidRPr="008C72E5" w:rsidRDefault="009F6AC8" w:rsidP="00B558B7">
            <w:pPr>
              <w:pStyle w:val="TekstTabeli"/>
            </w:pPr>
            <w:r w:rsidRPr="008C72E5">
              <w:t>(2023) Higher Education Research and Development, 42 (5), pp. 1103 - 1118, DOI: 10.1080/07294360.2023.2193727</w:t>
            </w:r>
          </w:p>
        </w:tc>
      </w:tr>
      <w:tr w:rsidR="00C4329A" w:rsidRPr="004C10DC" w14:paraId="7B9653A1" w14:textId="77777777" w:rsidTr="00C4329A">
        <w:trPr>
          <w:cantSplit/>
        </w:trPr>
        <w:tc>
          <w:tcPr>
            <w:tcW w:w="297" w:type="pct"/>
            <w:vAlign w:val="center"/>
          </w:tcPr>
          <w:p w14:paraId="289B6BF8" w14:textId="77777777" w:rsidR="009F6AC8" w:rsidRPr="008C72E5" w:rsidRDefault="009F6AC8" w:rsidP="00B558B7">
            <w:pPr>
              <w:pStyle w:val="TekstTabeli"/>
            </w:pPr>
            <w:r w:rsidRPr="008C72E5">
              <w:t>225</w:t>
            </w:r>
          </w:p>
        </w:tc>
        <w:tc>
          <w:tcPr>
            <w:tcW w:w="880" w:type="pct"/>
            <w:vAlign w:val="center"/>
          </w:tcPr>
          <w:p w14:paraId="6D89D1B2" w14:textId="77777777" w:rsidR="009F6AC8" w:rsidRPr="008C72E5" w:rsidRDefault="009F6AC8" w:rsidP="00B558B7">
            <w:pPr>
              <w:pStyle w:val="TekstTabeli"/>
            </w:pPr>
            <w:r w:rsidRPr="008C72E5">
              <w:t>Zhuang T., Zhou H.</w:t>
            </w:r>
          </w:p>
        </w:tc>
        <w:tc>
          <w:tcPr>
            <w:tcW w:w="1771" w:type="pct"/>
            <w:vAlign w:val="center"/>
          </w:tcPr>
          <w:p w14:paraId="5B3E9A3D" w14:textId="77777777" w:rsidR="009F6AC8" w:rsidRPr="008C72E5" w:rsidRDefault="009F6AC8" w:rsidP="00B558B7">
            <w:pPr>
              <w:pStyle w:val="TekstTabeli"/>
            </w:pPr>
            <w:r w:rsidRPr="008C72E5">
              <w:t>Developing a synergistic approach to engineering education: China’s national policies on university–industry educational collaboration</w:t>
            </w:r>
          </w:p>
        </w:tc>
        <w:tc>
          <w:tcPr>
            <w:tcW w:w="2052" w:type="pct"/>
            <w:vAlign w:val="center"/>
          </w:tcPr>
          <w:p w14:paraId="0BB00AAD" w14:textId="77777777" w:rsidR="009F6AC8" w:rsidRPr="008C72E5" w:rsidRDefault="009F6AC8" w:rsidP="00B558B7">
            <w:pPr>
              <w:pStyle w:val="TekstTabeli"/>
            </w:pPr>
            <w:r w:rsidRPr="008C72E5">
              <w:t>(2023) Asia Pacific Education Review, 24 (1), pp. 145 - 165, DOI: 10.1007/s12564-022-09743-y</w:t>
            </w:r>
          </w:p>
        </w:tc>
      </w:tr>
      <w:tr w:rsidR="00C4329A" w:rsidRPr="004C10DC" w14:paraId="1F28FF70" w14:textId="77777777" w:rsidTr="00C4329A">
        <w:trPr>
          <w:cantSplit/>
        </w:trPr>
        <w:tc>
          <w:tcPr>
            <w:tcW w:w="297" w:type="pct"/>
            <w:vAlign w:val="center"/>
          </w:tcPr>
          <w:p w14:paraId="51133DF3" w14:textId="77777777" w:rsidR="009F6AC8" w:rsidRPr="008C72E5" w:rsidRDefault="009F6AC8" w:rsidP="00B558B7">
            <w:pPr>
              <w:pStyle w:val="TekstTabeli"/>
            </w:pPr>
            <w:r w:rsidRPr="008C72E5">
              <w:t>226</w:t>
            </w:r>
          </w:p>
        </w:tc>
        <w:tc>
          <w:tcPr>
            <w:tcW w:w="880" w:type="pct"/>
            <w:vAlign w:val="center"/>
          </w:tcPr>
          <w:p w14:paraId="6A3C73DC" w14:textId="77777777" w:rsidR="009F6AC8" w:rsidRPr="008C72E5" w:rsidRDefault="009F6AC8" w:rsidP="00B558B7">
            <w:pPr>
              <w:pStyle w:val="TekstTabeli"/>
            </w:pPr>
            <w:proofErr w:type="spellStart"/>
            <w:r w:rsidRPr="008C72E5">
              <w:t>Shenderova</w:t>
            </w:r>
            <w:proofErr w:type="spellEnd"/>
            <w:r w:rsidRPr="008C72E5">
              <w:t xml:space="preserve"> S.</w:t>
            </w:r>
          </w:p>
        </w:tc>
        <w:tc>
          <w:tcPr>
            <w:tcW w:w="1771" w:type="pct"/>
            <w:vAlign w:val="center"/>
          </w:tcPr>
          <w:p w14:paraId="2C359DEF" w14:textId="77777777" w:rsidR="009F6AC8" w:rsidRPr="008C72E5" w:rsidRDefault="009F6AC8" w:rsidP="00B558B7">
            <w:pPr>
              <w:pStyle w:val="TekstTabeli"/>
            </w:pPr>
            <w:r w:rsidRPr="008C72E5">
              <w:t>Permanent uncertainty as normality? Finnish-Russian double degrees in the post-Crimea world</w:t>
            </w:r>
          </w:p>
        </w:tc>
        <w:tc>
          <w:tcPr>
            <w:tcW w:w="2052" w:type="pct"/>
            <w:vAlign w:val="center"/>
          </w:tcPr>
          <w:p w14:paraId="1FF89997" w14:textId="77777777" w:rsidR="009F6AC8" w:rsidRPr="008C72E5" w:rsidRDefault="009F6AC8" w:rsidP="00B558B7">
            <w:pPr>
              <w:pStyle w:val="TekstTabeli"/>
            </w:pPr>
            <w:r w:rsidRPr="008C72E5">
              <w:t>(2018) Journal of Higher Education Policy and Management, 40 (6), pp. 611 - 628, DOI: 10.1080/1360080X.2018.1529134</w:t>
            </w:r>
          </w:p>
        </w:tc>
      </w:tr>
      <w:tr w:rsidR="00C4329A" w:rsidRPr="008C72E5" w14:paraId="5FA5F665" w14:textId="77777777" w:rsidTr="00C4329A">
        <w:trPr>
          <w:cantSplit/>
        </w:trPr>
        <w:tc>
          <w:tcPr>
            <w:tcW w:w="297" w:type="pct"/>
            <w:vAlign w:val="center"/>
          </w:tcPr>
          <w:p w14:paraId="02DC2D67" w14:textId="77777777" w:rsidR="009F6AC8" w:rsidRPr="008C72E5" w:rsidRDefault="009F6AC8" w:rsidP="00B558B7">
            <w:pPr>
              <w:pStyle w:val="TekstTabeli"/>
            </w:pPr>
            <w:r w:rsidRPr="008C72E5">
              <w:t>227</w:t>
            </w:r>
          </w:p>
        </w:tc>
        <w:tc>
          <w:tcPr>
            <w:tcW w:w="880" w:type="pct"/>
            <w:vAlign w:val="center"/>
          </w:tcPr>
          <w:p w14:paraId="53C6875B" w14:textId="77777777" w:rsidR="009F6AC8" w:rsidRPr="008C72E5" w:rsidRDefault="009F6AC8" w:rsidP="00B558B7">
            <w:pPr>
              <w:pStyle w:val="TekstTabeli"/>
            </w:pPr>
            <w:r w:rsidRPr="008C72E5">
              <w:t>Farnell T., Kovač V.</w:t>
            </w:r>
          </w:p>
        </w:tc>
        <w:tc>
          <w:tcPr>
            <w:tcW w:w="1771" w:type="pct"/>
            <w:vAlign w:val="center"/>
          </w:tcPr>
          <w:p w14:paraId="02439E15" w14:textId="3A46FAD1" w:rsidR="009F6AC8" w:rsidRPr="008C72E5" w:rsidRDefault="009F6AC8" w:rsidP="00B558B7">
            <w:pPr>
              <w:pStyle w:val="TekstTabeli"/>
            </w:pPr>
            <w:r w:rsidRPr="008C72E5">
              <w:t xml:space="preserve">Removing inequities in higher education: Towards a Croatian policy for widening participation </w:t>
            </w:r>
          </w:p>
        </w:tc>
        <w:tc>
          <w:tcPr>
            <w:tcW w:w="2052" w:type="pct"/>
            <w:vAlign w:val="center"/>
          </w:tcPr>
          <w:p w14:paraId="771444F2" w14:textId="77777777" w:rsidR="009F6AC8" w:rsidRPr="00D82766" w:rsidRDefault="009F6AC8" w:rsidP="00B558B7">
            <w:pPr>
              <w:pStyle w:val="TekstTabeli"/>
              <w:rPr>
                <w:lang w:val="pl-PL"/>
              </w:rPr>
            </w:pPr>
            <w:r w:rsidRPr="00D82766">
              <w:rPr>
                <w:lang w:val="pl-PL"/>
              </w:rPr>
              <w:t xml:space="preserve">(2010) </w:t>
            </w:r>
            <w:proofErr w:type="spellStart"/>
            <w:r w:rsidRPr="00D82766">
              <w:rPr>
                <w:lang w:val="pl-PL"/>
              </w:rPr>
              <w:t>Revija</w:t>
            </w:r>
            <w:proofErr w:type="spellEnd"/>
            <w:r w:rsidRPr="00D82766">
              <w:rPr>
                <w:lang w:val="pl-PL"/>
              </w:rPr>
              <w:t xml:space="preserve"> Za </w:t>
            </w:r>
            <w:proofErr w:type="spellStart"/>
            <w:r w:rsidRPr="00D82766">
              <w:rPr>
                <w:lang w:val="pl-PL"/>
              </w:rPr>
              <w:t>Socijalnu</w:t>
            </w:r>
            <w:proofErr w:type="spellEnd"/>
            <w:r w:rsidRPr="00D82766">
              <w:rPr>
                <w:lang w:val="pl-PL"/>
              </w:rPr>
              <w:t xml:space="preserve"> </w:t>
            </w:r>
            <w:proofErr w:type="spellStart"/>
            <w:r w:rsidRPr="00D82766">
              <w:rPr>
                <w:lang w:val="pl-PL"/>
              </w:rPr>
              <w:t>Politiku</w:t>
            </w:r>
            <w:proofErr w:type="spellEnd"/>
            <w:r w:rsidRPr="00D82766">
              <w:rPr>
                <w:lang w:val="pl-PL"/>
              </w:rPr>
              <w:t>, 17 (2), pp. 257 - 275, DOI: 10.3935/rsp.v17i2.916</w:t>
            </w:r>
          </w:p>
        </w:tc>
      </w:tr>
      <w:tr w:rsidR="00C4329A" w:rsidRPr="004C10DC" w14:paraId="637C9F5C" w14:textId="77777777" w:rsidTr="00C4329A">
        <w:trPr>
          <w:cantSplit/>
        </w:trPr>
        <w:tc>
          <w:tcPr>
            <w:tcW w:w="297" w:type="pct"/>
            <w:vAlign w:val="center"/>
          </w:tcPr>
          <w:p w14:paraId="7CEA629F" w14:textId="77777777" w:rsidR="009F6AC8" w:rsidRPr="008C72E5" w:rsidRDefault="009F6AC8" w:rsidP="00B558B7">
            <w:pPr>
              <w:pStyle w:val="TekstTabeli"/>
            </w:pPr>
            <w:r w:rsidRPr="008C72E5">
              <w:t>228</w:t>
            </w:r>
          </w:p>
        </w:tc>
        <w:tc>
          <w:tcPr>
            <w:tcW w:w="880" w:type="pct"/>
            <w:vAlign w:val="center"/>
          </w:tcPr>
          <w:p w14:paraId="46D6571C" w14:textId="77777777" w:rsidR="009F6AC8" w:rsidRPr="008C72E5" w:rsidRDefault="009F6AC8" w:rsidP="00B558B7">
            <w:pPr>
              <w:pStyle w:val="TekstTabeli"/>
            </w:pPr>
            <w:proofErr w:type="spellStart"/>
            <w:r w:rsidRPr="008C72E5">
              <w:t>Pangarso</w:t>
            </w:r>
            <w:proofErr w:type="spellEnd"/>
            <w:r w:rsidRPr="008C72E5">
              <w:t xml:space="preserve"> A., </w:t>
            </w:r>
            <w:proofErr w:type="spellStart"/>
            <w:r w:rsidRPr="008C72E5">
              <w:t>Setyorini</w:t>
            </w:r>
            <w:proofErr w:type="spellEnd"/>
            <w:r w:rsidRPr="008C72E5">
              <w:t xml:space="preserve"> R.</w:t>
            </w:r>
          </w:p>
        </w:tc>
        <w:tc>
          <w:tcPr>
            <w:tcW w:w="1771" w:type="pct"/>
            <w:vAlign w:val="center"/>
          </w:tcPr>
          <w:p w14:paraId="27D8B600" w14:textId="77777777" w:rsidR="009F6AC8" w:rsidRPr="008C72E5" w:rsidRDefault="009F6AC8" w:rsidP="00B558B7">
            <w:pPr>
              <w:pStyle w:val="TekstTabeli"/>
            </w:pPr>
            <w:r w:rsidRPr="008C72E5">
              <w:t xml:space="preserve">The drivers of E-learning satisfaction during the early COVID-19 pandemic: empirical evidence from an </w:t>
            </w:r>
            <w:proofErr w:type="spellStart"/>
            <w:r w:rsidRPr="008C72E5">
              <w:t>indonesian</w:t>
            </w:r>
            <w:proofErr w:type="spellEnd"/>
            <w:r w:rsidRPr="008C72E5">
              <w:t xml:space="preserve"> private university</w:t>
            </w:r>
          </w:p>
        </w:tc>
        <w:tc>
          <w:tcPr>
            <w:tcW w:w="2052" w:type="pct"/>
            <w:vAlign w:val="center"/>
          </w:tcPr>
          <w:p w14:paraId="3FCAD5E6" w14:textId="77777777" w:rsidR="009F6AC8" w:rsidRPr="008C72E5" w:rsidRDefault="009F6AC8" w:rsidP="00B558B7">
            <w:pPr>
              <w:pStyle w:val="TekstTabeli"/>
            </w:pPr>
            <w:r w:rsidRPr="008C72E5">
              <w:t>(2023) Cogent Education, 10 (1), art. no. 2149226, DOI: 10.1080/2331186X.2022.2149226</w:t>
            </w:r>
          </w:p>
        </w:tc>
      </w:tr>
      <w:tr w:rsidR="00C4329A" w:rsidRPr="004C10DC" w14:paraId="1AFEE646" w14:textId="77777777" w:rsidTr="00C4329A">
        <w:trPr>
          <w:cantSplit/>
        </w:trPr>
        <w:tc>
          <w:tcPr>
            <w:tcW w:w="297" w:type="pct"/>
            <w:vAlign w:val="center"/>
          </w:tcPr>
          <w:p w14:paraId="3EFA7F36" w14:textId="77777777" w:rsidR="009F6AC8" w:rsidRPr="008C72E5" w:rsidRDefault="009F6AC8" w:rsidP="00B558B7">
            <w:pPr>
              <w:pStyle w:val="TekstTabeli"/>
            </w:pPr>
            <w:r w:rsidRPr="008C72E5">
              <w:t>229</w:t>
            </w:r>
          </w:p>
        </w:tc>
        <w:tc>
          <w:tcPr>
            <w:tcW w:w="880" w:type="pct"/>
            <w:vAlign w:val="center"/>
          </w:tcPr>
          <w:p w14:paraId="2AEF1EF3" w14:textId="77777777" w:rsidR="009F6AC8" w:rsidRPr="008C72E5" w:rsidRDefault="009F6AC8" w:rsidP="00B558B7">
            <w:pPr>
              <w:pStyle w:val="TekstTabeli"/>
            </w:pPr>
            <w:proofErr w:type="spellStart"/>
            <w:r w:rsidRPr="008C72E5">
              <w:t>Godonoga</w:t>
            </w:r>
            <w:proofErr w:type="spellEnd"/>
            <w:r w:rsidRPr="008C72E5">
              <w:t xml:space="preserve"> A., Sporn B.</w:t>
            </w:r>
          </w:p>
        </w:tc>
        <w:tc>
          <w:tcPr>
            <w:tcW w:w="1771" w:type="pct"/>
            <w:vAlign w:val="center"/>
          </w:tcPr>
          <w:p w14:paraId="32830C12" w14:textId="77777777" w:rsidR="009F6AC8" w:rsidRPr="008C72E5" w:rsidRDefault="009F6AC8" w:rsidP="00B558B7">
            <w:pPr>
              <w:pStyle w:val="TekstTabeli"/>
            </w:pPr>
            <w:r w:rsidRPr="008C72E5">
              <w:t xml:space="preserve">The </w:t>
            </w:r>
            <w:proofErr w:type="spellStart"/>
            <w:r w:rsidRPr="008C72E5">
              <w:t>conceptualisation</w:t>
            </w:r>
            <w:proofErr w:type="spellEnd"/>
            <w:r w:rsidRPr="008C72E5">
              <w:t xml:space="preserve"> of socially responsible universities in higher education research: a systematic literature review</w:t>
            </w:r>
          </w:p>
        </w:tc>
        <w:tc>
          <w:tcPr>
            <w:tcW w:w="2052" w:type="pct"/>
            <w:vAlign w:val="center"/>
          </w:tcPr>
          <w:p w14:paraId="6872E66E" w14:textId="77777777" w:rsidR="009F6AC8" w:rsidRPr="008C72E5" w:rsidRDefault="009F6AC8" w:rsidP="00B558B7">
            <w:pPr>
              <w:pStyle w:val="TekstTabeli"/>
            </w:pPr>
            <w:r w:rsidRPr="008C72E5">
              <w:t>(2023) Studies in Higher Education, 48 (3), pp. 445 - 459, DOI: 10.1080/03075079.2022.2145462</w:t>
            </w:r>
          </w:p>
        </w:tc>
      </w:tr>
      <w:tr w:rsidR="00C4329A" w:rsidRPr="004C10DC" w14:paraId="422405B4" w14:textId="77777777" w:rsidTr="00C4329A">
        <w:trPr>
          <w:cantSplit/>
        </w:trPr>
        <w:tc>
          <w:tcPr>
            <w:tcW w:w="297" w:type="pct"/>
            <w:vAlign w:val="center"/>
          </w:tcPr>
          <w:p w14:paraId="3FD4DCE1" w14:textId="77777777" w:rsidR="009F6AC8" w:rsidRPr="008C72E5" w:rsidRDefault="009F6AC8" w:rsidP="00B558B7">
            <w:pPr>
              <w:pStyle w:val="TekstTabeli"/>
            </w:pPr>
            <w:r w:rsidRPr="008C72E5">
              <w:t>230</w:t>
            </w:r>
          </w:p>
        </w:tc>
        <w:tc>
          <w:tcPr>
            <w:tcW w:w="880" w:type="pct"/>
            <w:vAlign w:val="center"/>
          </w:tcPr>
          <w:p w14:paraId="642A6839" w14:textId="26377C34" w:rsidR="009F6AC8" w:rsidRPr="008C72E5" w:rsidRDefault="009F6AC8" w:rsidP="00B558B7">
            <w:pPr>
              <w:pStyle w:val="TekstTabeli"/>
            </w:pPr>
            <w:proofErr w:type="spellStart"/>
            <w:r w:rsidRPr="008C72E5">
              <w:t>Bulmann</w:t>
            </w:r>
            <w:proofErr w:type="spellEnd"/>
            <w:r w:rsidRPr="008C72E5">
              <w:t xml:space="preserve"> U.B.U., </w:t>
            </w:r>
            <w:proofErr w:type="spellStart"/>
            <w:r w:rsidRPr="008C72E5">
              <w:t>Bornhöft</w:t>
            </w:r>
            <w:proofErr w:type="spellEnd"/>
            <w:r w:rsidRPr="008C72E5">
              <w:t xml:space="preserve"> S.B.S., </w:t>
            </w:r>
            <w:proofErr w:type="spellStart"/>
            <w:r w:rsidR="00A147A1" w:rsidRPr="008C72E5">
              <w:t>i</w:t>
            </w:r>
            <w:proofErr w:type="spellEnd"/>
            <w:r w:rsidR="00A147A1" w:rsidRPr="008C72E5">
              <w:t> in.</w:t>
            </w:r>
          </w:p>
        </w:tc>
        <w:tc>
          <w:tcPr>
            <w:tcW w:w="1771" w:type="pct"/>
            <w:vAlign w:val="center"/>
          </w:tcPr>
          <w:p w14:paraId="49ED2D4C" w14:textId="77777777" w:rsidR="009F6AC8" w:rsidRPr="008C72E5" w:rsidRDefault="009F6AC8" w:rsidP="00B558B7">
            <w:pPr>
              <w:pStyle w:val="TekstTabeli"/>
            </w:pPr>
            <w:r w:rsidRPr="008C72E5">
              <w:t xml:space="preserve">Combining research and teaching in engineering. Creating a pedagogical qualification </w:t>
            </w:r>
            <w:proofErr w:type="spellStart"/>
            <w:r w:rsidRPr="008C72E5">
              <w:t>programme</w:t>
            </w:r>
            <w:proofErr w:type="spellEnd"/>
            <w:r w:rsidRPr="008C72E5">
              <w:t xml:space="preserve"> on research-based learning for early stage researchers</w:t>
            </w:r>
          </w:p>
        </w:tc>
        <w:tc>
          <w:tcPr>
            <w:tcW w:w="2052" w:type="pct"/>
            <w:vAlign w:val="center"/>
          </w:tcPr>
          <w:p w14:paraId="2AEF873D" w14:textId="77777777" w:rsidR="009F6AC8" w:rsidRPr="008C72E5" w:rsidRDefault="009F6AC8" w:rsidP="00B558B7">
            <w:pPr>
              <w:pStyle w:val="TekstTabeli"/>
            </w:pPr>
            <w:r w:rsidRPr="008C72E5">
              <w:t>(2019) Proceedings of the 46th SEFI Annual Conference 2018: Creativity, Innovation and Entrepreneurship for Engineering Education Excellence, pp. 97 - 105, 0</w:t>
            </w:r>
          </w:p>
        </w:tc>
      </w:tr>
      <w:tr w:rsidR="00C4329A" w:rsidRPr="004C10DC" w14:paraId="2A073403" w14:textId="77777777" w:rsidTr="00C4329A">
        <w:trPr>
          <w:cantSplit/>
        </w:trPr>
        <w:tc>
          <w:tcPr>
            <w:tcW w:w="297" w:type="pct"/>
            <w:vAlign w:val="center"/>
          </w:tcPr>
          <w:p w14:paraId="7AFB9C5C" w14:textId="77777777" w:rsidR="009F6AC8" w:rsidRPr="008C72E5" w:rsidRDefault="009F6AC8" w:rsidP="00B558B7">
            <w:pPr>
              <w:pStyle w:val="TekstTabeli"/>
            </w:pPr>
            <w:r w:rsidRPr="008C72E5">
              <w:t>231</w:t>
            </w:r>
          </w:p>
        </w:tc>
        <w:tc>
          <w:tcPr>
            <w:tcW w:w="880" w:type="pct"/>
            <w:vAlign w:val="center"/>
          </w:tcPr>
          <w:p w14:paraId="21AA6AB0" w14:textId="77777777" w:rsidR="009F6AC8" w:rsidRPr="008C72E5" w:rsidRDefault="009F6AC8" w:rsidP="00B558B7">
            <w:pPr>
              <w:pStyle w:val="TekstTabeli"/>
            </w:pPr>
            <w:r w:rsidRPr="008C72E5">
              <w:t>Leon R.A., Vega B.E.</w:t>
            </w:r>
          </w:p>
        </w:tc>
        <w:tc>
          <w:tcPr>
            <w:tcW w:w="1771" w:type="pct"/>
            <w:vAlign w:val="center"/>
          </w:tcPr>
          <w:p w14:paraId="21CB9FC1" w14:textId="77777777" w:rsidR="009F6AC8" w:rsidRPr="008C72E5" w:rsidRDefault="009F6AC8" w:rsidP="00B558B7">
            <w:pPr>
              <w:pStyle w:val="TekstTabeli"/>
            </w:pPr>
            <w:r w:rsidRPr="008C72E5">
              <w:t>Perceptions of State-Regulated Reform: Desire, Dedication, and Uncertainty in Policy Implementation</w:t>
            </w:r>
          </w:p>
        </w:tc>
        <w:tc>
          <w:tcPr>
            <w:tcW w:w="2052" w:type="pct"/>
            <w:vAlign w:val="center"/>
          </w:tcPr>
          <w:p w14:paraId="1BBC8356" w14:textId="77777777" w:rsidR="009F6AC8" w:rsidRPr="008C72E5" w:rsidRDefault="009F6AC8" w:rsidP="00B558B7">
            <w:pPr>
              <w:pStyle w:val="TekstTabeli"/>
            </w:pPr>
            <w:r w:rsidRPr="008C72E5">
              <w:t>(2021) Higher Education Policy, 34 (3), pp. 622 - 642, DOI: 10.1057/s41307-019-00154-0</w:t>
            </w:r>
          </w:p>
        </w:tc>
      </w:tr>
      <w:tr w:rsidR="00C4329A" w:rsidRPr="004C10DC" w14:paraId="0678C662" w14:textId="77777777" w:rsidTr="00C4329A">
        <w:trPr>
          <w:cantSplit/>
        </w:trPr>
        <w:tc>
          <w:tcPr>
            <w:tcW w:w="297" w:type="pct"/>
            <w:vAlign w:val="center"/>
          </w:tcPr>
          <w:p w14:paraId="716332A6" w14:textId="77777777" w:rsidR="009F6AC8" w:rsidRPr="008C72E5" w:rsidRDefault="009F6AC8" w:rsidP="00B558B7">
            <w:pPr>
              <w:pStyle w:val="TekstTabeli"/>
            </w:pPr>
            <w:r w:rsidRPr="008C72E5">
              <w:t>232</w:t>
            </w:r>
          </w:p>
        </w:tc>
        <w:tc>
          <w:tcPr>
            <w:tcW w:w="880" w:type="pct"/>
            <w:vAlign w:val="center"/>
          </w:tcPr>
          <w:p w14:paraId="059B092A" w14:textId="77777777" w:rsidR="009F6AC8" w:rsidRPr="008C72E5" w:rsidRDefault="009F6AC8" w:rsidP="00B558B7">
            <w:pPr>
              <w:pStyle w:val="TekstTabeli"/>
            </w:pPr>
            <w:proofErr w:type="spellStart"/>
            <w:r w:rsidRPr="008C72E5">
              <w:t>Córcoles</w:t>
            </w:r>
            <w:proofErr w:type="spellEnd"/>
            <w:r w:rsidRPr="008C72E5">
              <w:t xml:space="preserve"> Y.R., Lizano M.M.</w:t>
            </w:r>
          </w:p>
        </w:tc>
        <w:tc>
          <w:tcPr>
            <w:tcW w:w="1771" w:type="pct"/>
            <w:vAlign w:val="center"/>
          </w:tcPr>
          <w:p w14:paraId="27BB314E" w14:textId="08798DF1" w:rsidR="009F6AC8" w:rsidRPr="008C72E5" w:rsidRDefault="009F6AC8" w:rsidP="00B558B7">
            <w:pPr>
              <w:pStyle w:val="TekstTabeli"/>
            </w:pPr>
            <w:r w:rsidRPr="008C72E5">
              <w:t xml:space="preserve">Characterization of Spanish Universities behavior in relation to the disclosure of intangibles </w:t>
            </w:r>
          </w:p>
        </w:tc>
        <w:tc>
          <w:tcPr>
            <w:tcW w:w="2052" w:type="pct"/>
            <w:vAlign w:val="center"/>
          </w:tcPr>
          <w:p w14:paraId="535F34C8" w14:textId="77777777" w:rsidR="009F6AC8" w:rsidRPr="008C72E5" w:rsidRDefault="009F6AC8" w:rsidP="00B558B7">
            <w:pPr>
              <w:pStyle w:val="TekstTabeli"/>
            </w:pPr>
            <w:r w:rsidRPr="008C72E5">
              <w:t xml:space="preserve">(2013) </w:t>
            </w:r>
            <w:proofErr w:type="spellStart"/>
            <w:r w:rsidRPr="008C72E5">
              <w:t>Revista</w:t>
            </w:r>
            <w:proofErr w:type="spellEnd"/>
            <w:r w:rsidRPr="008C72E5">
              <w:t xml:space="preserve"> de </w:t>
            </w:r>
            <w:proofErr w:type="spellStart"/>
            <w:r w:rsidRPr="008C72E5">
              <w:t>Estudios</w:t>
            </w:r>
            <w:proofErr w:type="spellEnd"/>
            <w:r w:rsidRPr="008C72E5">
              <w:t xml:space="preserve"> </w:t>
            </w:r>
            <w:proofErr w:type="spellStart"/>
            <w:r w:rsidRPr="008C72E5">
              <w:t>Regionales</w:t>
            </w:r>
            <w:proofErr w:type="spellEnd"/>
            <w:r w:rsidRPr="008C72E5">
              <w:t>, (97), pp. 15 - 49, 0</w:t>
            </w:r>
          </w:p>
        </w:tc>
      </w:tr>
      <w:tr w:rsidR="00C4329A" w:rsidRPr="004C10DC" w14:paraId="3F2394BF" w14:textId="77777777" w:rsidTr="00C4329A">
        <w:trPr>
          <w:cantSplit/>
        </w:trPr>
        <w:tc>
          <w:tcPr>
            <w:tcW w:w="297" w:type="pct"/>
            <w:vAlign w:val="center"/>
          </w:tcPr>
          <w:p w14:paraId="625F5C64" w14:textId="77777777" w:rsidR="009F6AC8" w:rsidRPr="008C72E5" w:rsidRDefault="009F6AC8" w:rsidP="00B558B7">
            <w:pPr>
              <w:pStyle w:val="TekstTabeli"/>
            </w:pPr>
            <w:r w:rsidRPr="008C72E5">
              <w:t>233</w:t>
            </w:r>
          </w:p>
        </w:tc>
        <w:tc>
          <w:tcPr>
            <w:tcW w:w="880" w:type="pct"/>
            <w:vAlign w:val="center"/>
          </w:tcPr>
          <w:p w14:paraId="7F684A68" w14:textId="77777777" w:rsidR="009F6AC8" w:rsidRPr="008C72E5" w:rsidRDefault="009F6AC8" w:rsidP="00B558B7">
            <w:pPr>
              <w:pStyle w:val="TekstTabeli"/>
            </w:pPr>
            <w:r w:rsidRPr="008C72E5">
              <w:t>Chakraborty A., Singh M.P., Roy M.</w:t>
            </w:r>
          </w:p>
        </w:tc>
        <w:tc>
          <w:tcPr>
            <w:tcW w:w="1771" w:type="pct"/>
            <w:vAlign w:val="center"/>
          </w:tcPr>
          <w:p w14:paraId="5EFB6F11" w14:textId="77777777" w:rsidR="009F6AC8" w:rsidRPr="008C72E5" w:rsidRDefault="009F6AC8" w:rsidP="00B558B7">
            <w:pPr>
              <w:pStyle w:val="TekstTabeli"/>
            </w:pPr>
            <w:r w:rsidRPr="008C72E5">
              <w:t>Engaging stakeholders in the process of sustainability integration in higher education institutions: A systematic review</w:t>
            </w:r>
          </w:p>
        </w:tc>
        <w:tc>
          <w:tcPr>
            <w:tcW w:w="2052" w:type="pct"/>
            <w:vAlign w:val="center"/>
          </w:tcPr>
          <w:p w14:paraId="6EE0BF9B" w14:textId="77777777" w:rsidR="009F6AC8" w:rsidRPr="008C72E5" w:rsidRDefault="009F6AC8" w:rsidP="00B558B7">
            <w:pPr>
              <w:pStyle w:val="TekstTabeli"/>
            </w:pPr>
            <w:r w:rsidRPr="008C72E5">
              <w:t>(2019) International Journal of Sustainable Development, 22 (3-4), pp. 186 - 220, DOI: 10.1504/IJSD.2019.105330</w:t>
            </w:r>
          </w:p>
        </w:tc>
      </w:tr>
      <w:tr w:rsidR="00C4329A" w:rsidRPr="004C10DC" w14:paraId="419015F7" w14:textId="77777777" w:rsidTr="00C4329A">
        <w:trPr>
          <w:cantSplit/>
        </w:trPr>
        <w:tc>
          <w:tcPr>
            <w:tcW w:w="297" w:type="pct"/>
            <w:vAlign w:val="center"/>
          </w:tcPr>
          <w:p w14:paraId="530E2B8B" w14:textId="77777777" w:rsidR="009F6AC8" w:rsidRPr="008C72E5" w:rsidRDefault="009F6AC8" w:rsidP="00B558B7">
            <w:pPr>
              <w:pStyle w:val="TekstTabeli"/>
            </w:pPr>
            <w:r w:rsidRPr="008C72E5">
              <w:t>234</w:t>
            </w:r>
          </w:p>
        </w:tc>
        <w:tc>
          <w:tcPr>
            <w:tcW w:w="880" w:type="pct"/>
            <w:vAlign w:val="center"/>
          </w:tcPr>
          <w:p w14:paraId="61A94A43" w14:textId="77777777" w:rsidR="009F6AC8" w:rsidRPr="008C72E5" w:rsidRDefault="009F6AC8" w:rsidP="00B558B7">
            <w:pPr>
              <w:pStyle w:val="TekstTabeli"/>
            </w:pPr>
            <w:proofErr w:type="spellStart"/>
            <w:r w:rsidRPr="008C72E5">
              <w:t>Ćukušić</w:t>
            </w:r>
            <w:proofErr w:type="spellEnd"/>
            <w:r w:rsidRPr="008C72E5">
              <w:t xml:space="preserve"> M., </w:t>
            </w:r>
            <w:proofErr w:type="spellStart"/>
            <w:r w:rsidRPr="008C72E5">
              <w:t>Garača</w:t>
            </w:r>
            <w:proofErr w:type="spellEnd"/>
            <w:r w:rsidRPr="008C72E5">
              <w:t xml:space="preserve"> Z., </w:t>
            </w:r>
            <w:proofErr w:type="spellStart"/>
            <w:r w:rsidRPr="008C72E5">
              <w:t>Jadrić</w:t>
            </w:r>
            <w:proofErr w:type="spellEnd"/>
            <w:r w:rsidRPr="008C72E5">
              <w:t xml:space="preserve"> M.</w:t>
            </w:r>
          </w:p>
        </w:tc>
        <w:tc>
          <w:tcPr>
            <w:tcW w:w="1771" w:type="pct"/>
            <w:vAlign w:val="center"/>
          </w:tcPr>
          <w:p w14:paraId="3692D338" w14:textId="52E925F0" w:rsidR="009F6AC8" w:rsidRPr="008C72E5" w:rsidRDefault="009F6AC8" w:rsidP="00B558B7">
            <w:pPr>
              <w:pStyle w:val="TekstTabeli"/>
            </w:pPr>
            <w:r w:rsidRPr="008C72E5">
              <w:t>Determinants and performance indicators of higher education institutions in Croatia</w:t>
            </w:r>
          </w:p>
        </w:tc>
        <w:tc>
          <w:tcPr>
            <w:tcW w:w="2052" w:type="pct"/>
            <w:vAlign w:val="center"/>
          </w:tcPr>
          <w:p w14:paraId="39BDCDE1" w14:textId="77777777" w:rsidR="009F6AC8" w:rsidRPr="008C72E5" w:rsidRDefault="009F6AC8" w:rsidP="00B558B7">
            <w:pPr>
              <w:pStyle w:val="TekstTabeli"/>
            </w:pPr>
            <w:r w:rsidRPr="008C72E5">
              <w:t xml:space="preserve">(2014) </w:t>
            </w:r>
            <w:proofErr w:type="spellStart"/>
            <w:r w:rsidRPr="008C72E5">
              <w:t>Drustvena</w:t>
            </w:r>
            <w:proofErr w:type="spellEnd"/>
            <w:r w:rsidRPr="008C72E5">
              <w:t xml:space="preserve"> </w:t>
            </w:r>
            <w:proofErr w:type="spellStart"/>
            <w:r w:rsidRPr="008C72E5">
              <w:t>Istrazivanja</w:t>
            </w:r>
            <w:proofErr w:type="spellEnd"/>
            <w:r w:rsidRPr="008C72E5">
              <w:t>, 23 (2), pp. 233 - 257, DOI: 10.5559/di.23.2.02</w:t>
            </w:r>
          </w:p>
        </w:tc>
      </w:tr>
      <w:tr w:rsidR="00C4329A" w:rsidRPr="008C72E5" w14:paraId="18CA29CD" w14:textId="77777777" w:rsidTr="00C4329A">
        <w:trPr>
          <w:cantSplit/>
        </w:trPr>
        <w:tc>
          <w:tcPr>
            <w:tcW w:w="297" w:type="pct"/>
            <w:vAlign w:val="center"/>
          </w:tcPr>
          <w:p w14:paraId="4FA78DC8" w14:textId="77777777" w:rsidR="009F6AC8" w:rsidRPr="008C72E5" w:rsidRDefault="009F6AC8" w:rsidP="00B558B7">
            <w:pPr>
              <w:pStyle w:val="TekstTabeli"/>
            </w:pPr>
            <w:r w:rsidRPr="008C72E5">
              <w:lastRenderedPageBreak/>
              <w:t>235</w:t>
            </w:r>
          </w:p>
        </w:tc>
        <w:tc>
          <w:tcPr>
            <w:tcW w:w="880" w:type="pct"/>
            <w:vAlign w:val="center"/>
          </w:tcPr>
          <w:p w14:paraId="69F6FE75" w14:textId="3EF56DAD" w:rsidR="009F6AC8" w:rsidRPr="008C72E5" w:rsidRDefault="009F6AC8" w:rsidP="00B558B7">
            <w:pPr>
              <w:pStyle w:val="TekstTabeli"/>
            </w:pPr>
            <w:r w:rsidRPr="008C72E5">
              <w:t xml:space="preserve">Baradaran </w:t>
            </w:r>
            <w:proofErr w:type="spellStart"/>
            <w:r w:rsidRPr="008C72E5">
              <w:t>Ghahfarokhi</w:t>
            </w:r>
            <w:proofErr w:type="spellEnd"/>
            <w:r w:rsidRPr="008C72E5">
              <w:t xml:space="preserve"> M., </w:t>
            </w:r>
            <w:proofErr w:type="spellStart"/>
            <w:r w:rsidRPr="008C72E5">
              <w:t>Mohaghar</w:t>
            </w:r>
            <w:proofErr w:type="spellEnd"/>
            <w:r w:rsidRPr="008C72E5">
              <w:t xml:space="preserve"> A., </w:t>
            </w:r>
            <w:proofErr w:type="spellStart"/>
            <w:r w:rsidR="00A147A1" w:rsidRPr="008C72E5">
              <w:t>i</w:t>
            </w:r>
            <w:proofErr w:type="spellEnd"/>
            <w:r w:rsidR="00A147A1" w:rsidRPr="008C72E5">
              <w:t> in.</w:t>
            </w:r>
          </w:p>
        </w:tc>
        <w:tc>
          <w:tcPr>
            <w:tcW w:w="1771" w:type="pct"/>
            <w:vAlign w:val="center"/>
          </w:tcPr>
          <w:p w14:paraId="438CAF50" w14:textId="77777777" w:rsidR="009F6AC8" w:rsidRPr="008C72E5" w:rsidRDefault="009F6AC8" w:rsidP="00B558B7">
            <w:pPr>
              <w:pStyle w:val="TekstTabeli"/>
            </w:pPr>
            <w:r w:rsidRPr="008C72E5">
              <w:t>The futures of the University of Tehran using causal layered analysis</w:t>
            </w:r>
          </w:p>
        </w:tc>
        <w:tc>
          <w:tcPr>
            <w:tcW w:w="2052" w:type="pct"/>
            <w:vAlign w:val="center"/>
          </w:tcPr>
          <w:p w14:paraId="072E5D9E" w14:textId="77777777" w:rsidR="009F6AC8" w:rsidRPr="008C72E5" w:rsidRDefault="009F6AC8" w:rsidP="00B558B7">
            <w:pPr>
              <w:pStyle w:val="TekstTabeli"/>
            </w:pPr>
            <w:r w:rsidRPr="008C72E5">
              <w:t>(2018) Foresight, 20 (4), pp. 393 - 415, DOI: 10.1108/FS-01-2018-0001</w:t>
            </w:r>
          </w:p>
        </w:tc>
      </w:tr>
      <w:tr w:rsidR="00C4329A" w:rsidRPr="004C10DC" w14:paraId="551EF679" w14:textId="77777777" w:rsidTr="00C4329A">
        <w:trPr>
          <w:cantSplit/>
        </w:trPr>
        <w:tc>
          <w:tcPr>
            <w:tcW w:w="297" w:type="pct"/>
            <w:vAlign w:val="center"/>
          </w:tcPr>
          <w:p w14:paraId="1EB2682E" w14:textId="77777777" w:rsidR="009F6AC8" w:rsidRPr="008C72E5" w:rsidRDefault="009F6AC8" w:rsidP="00B558B7">
            <w:pPr>
              <w:pStyle w:val="TekstTabeli"/>
            </w:pPr>
            <w:r w:rsidRPr="008C72E5">
              <w:t>236</w:t>
            </w:r>
          </w:p>
        </w:tc>
        <w:tc>
          <w:tcPr>
            <w:tcW w:w="880" w:type="pct"/>
            <w:vAlign w:val="center"/>
          </w:tcPr>
          <w:p w14:paraId="3D5363DC" w14:textId="77777777" w:rsidR="009F6AC8" w:rsidRPr="008C72E5" w:rsidRDefault="009F6AC8" w:rsidP="00B558B7">
            <w:pPr>
              <w:pStyle w:val="TekstTabeli"/>
            </w:pPr>
            <w:r w:rsidRPr="008C72E5">
              <w:t>Toledo A.</w:t>
            </w:r>
          </w:p>
        </w:tc>
        <w:tc>
          <w:tcPr>
            <w:tcW w:w="1771" w:type="pct"/>
            <w:vAlign w:val="center"/>
          </w:tcPr>
          <w:p w14:paraId="432ABCC6" w14:textId="0C14792E" w:rsidR="009F6AC8" w:rsidRPr="008C72E5" w:rsidRDefault="009F6AC8" w:rsidP="00B558B7">
            <w:pPr>
              <w:pStyle w:val="TekstTabeli"/>
            </w:pPr>
            <w:r w:rsidRPr="008C72E5">
              <w:t xml:space="preserve">Open access and OER in </w:t>
            </w:r>
            <w:r w:rsidR="00E61495" w:rsidRPr="008C72E5">
              <w:t>Latin America</w:t>
            </w:r>
            <w:r w:rsidRPr="008C72E5">
              <w:t xml:space="preserve">: A survey of the policy landscape in </w:t>
            </w:r>
            <w:r w:rsidR="00E61495" w:rsidRPr="008C72E5">
              <w:t>Chile</w:t>
            </w:r>
            <w:r w:rsidRPr="008C72E5">
              <w:t xml:space="preserve">, </w:t>
            </w:r>
            <w:r w:rsidR="00E61495" w:rsidRPr="008C72E5">
              <w:t xml:space="preserve">Colombia </w:t>
            </w:r>
            <w:r w:rsidRPr="008C72E5">
              <w:t xml:space="preserve">and </w:t>
            </w:r>
            <w:r w:rsidR="00E61495" w:rsidRPr="008C72E5">
              <w:t>Uruguay</w:t>
            </w:r>
          </w:p>
        </w:tc>
        <w:tc>
          <w:tcPr>
            <w:tcW w:w="2052" w:type="pct"/>
            <w:vAlign w:val="center"/>
          </w:tcPr>
          <w:p w14:paraId="5998C734" w14:textId="77777777" w:rsidR="009F6AC8" w:rsidRPr="008C72E5" w:rsidRDefault="009F6AC8" w:rsidP="00B558B7">
            <w:pPr>
              <w:pStyle w:val="TekstTabeli"/>
            </w:pPr>
            <w:r w:rsidRPr="008C72E5">
              <w:t>(2017) Adoption and Impact of OER in the Global South, pp. 121 - 141, DOI: 10.5281/zenodo.1005330</w:t>
            </w:r>
          </w:p>
        </w:tc>
      </w:tr>
      <w:tr w:rsidR="00C4329A" w:rsidRPr="004C10DC" w14:paraId="431ABEB5" w14:textId="77777777" w:rsidTr="00C4329A">
        <w:trPr>
          <w:cantSplit/>
        </w:trPr>
        <w:tc>
          <w:tcPr>
            <w:tcW w:w="297" w:type="pct"/>
            <w:vAlign w:val="center"/>
          </w:tcPr>
          <w:p w14:paraId="1FE25EF8" w14:textId="77777777" w:rsidR="009F6AC8" w:rsidRPr="008C72E5" w:rsidRDefault="009F6AC8" w:rsidP="00B558B7">
            <w:pPr>
              <w:pStyle w:val="TekstTabeli"/>
            </w:pPr>
            <w:r w:rsidRPr="008C72E5">
              <w:t>237</w:t>
            </w:r>
          </w:p>
        </w:tc>
        <w:tc>
          <w:tcPr>
            <w:tcW w:w="880" w:type="pct"/>
            <w:vAlign w:val="center"/>
          </w:tcPr>
          <w:p w14:paraId="4A620FDB" w14:textId="77777777" w:rsidR="009F6AC8" w:rsidRPr="008C72E5" w:rsidRDefault="009F6AC8" w:rsidP="00B558B7">
            <w:pPr>
              <w:pStyle w:val="TekstTabeli"/>
            </w:pPr>
            <w:r w:rsidRPr="008C72E5">
              <w:t xml:space="preserve">Huang P.B., Yang C.-C., </w:t>
            </w:r>
            <w:proofErr w:type="spellStart"/>
            <w:r w:rsidRPr="008C72E5">
              <w:t>Inderawati</w:t>
            </w:r>
            <w:proofErr w:type="spellEnd"/>
            <w:r w:rsidRPr="008C72E5">
              <w:t xml:space="preserve"> M.M.W., </w:t>
            </w:r>
            <w:proofErr w:type="spellStart"/>
            <w:r w:rsidRPr="008C72E5">
              <w:t>Sukwadi</w:t>
            </w:r>
            <w:proofErr w:type="spellEnd"/>
            <w:r w:rsidRPr="008C72E5">
              <w:t xml:space="preserve"> R.</w:t>
            </w:r>
          </w:p>
        </w:tc>
        <w:tc>
          <w:tcPr>
            <w:tcW w:w="1771" w:type="pct"/>
            <w:vAlign w:val="center"/>
          </w:tcPr>
          <w:p w14:paraId="2F073481" w14:textId="77777777" w:rsidR="009F6AC8" w:rsidRPr="008C72E5" w:rsidRDefault="009F6AC8" w:rsidP="00B558B7">
            <w:pPr>
              <w:pStyle w:val="TekstTabeli"/>
            </w:pPr>
            <w:r w:rsidRPr="008C72E5">
              <w:t>Using Modified Delphi Study to Develop Instrument for ESG Implementation: A Case Study at an Indonesian Higher Education Institution</w:t>
            </w:r>
          </w:p>
        </w:tc>
        <w:tc>
          <w:tcPr>
            <w:tcW w:w="2052" w:type="pct"/>
            <w:vAlign w:val="center"/>
          </w:tcPr>
          <w:p w14:paraId="4275FA93" w14:textId="77777777" w:rsidR="009F6AC8" w:rsidRPr="008C72E5" w:rsidRDefault="009F6AC8" w:rsidP="00B558B7">
            <w:pPr>
              <w:pStyle w:val="TekstTabeli"/>
            </w:pPr>
            <w:r w:rsidRPr="008C72E5">
              <w:t>(2022) Sustainability (Switzerland), 14 (19), art. no. 12623, DOI: 10.3390/su141912623</w:t>
            </w:r>
          </w:p>
        </w:tc>
      </w:tr>
      <w:tr w:rsidR="00C4329A" w:rsidRPr="004C10DC" w14:paraId="4C843DDF" w14:textId="77777777" w:rsidTr="00C4329A">
        <w:trPr>
          <w:cantSplit/>
        </w:trPr>
        <w:tc>
          <w:tcPr>
            <w:tcW w:w="297" w:type="pct"/>
            <w:vAlign w:val="center"/>
          </w:tcPr>
          <w:p w14:paraId="7412EF68" w14:textId="77777777" w:rsidR="009F6AC8" w:rsidRPr="008C72E5" w:rsidRDefault="009F6AC8" w:rsidP="00B558B7">
            <w:pPr>
              <w:pStyle w:val="TekstTabeli"/>
            </w:pPr>
            <w:r w:rsidRPr="008C72E5">
              <w:t>238</w:t>
            </w:r>
          </w:p>
        </w:tc>
        <w:tc>
          <w:tcPr>
            <w:tcW w:w="880" w:type="pct"/>
            <w:vAlign w:val="center"/>
          </w:tcPr>
          <w:p w14:paraId="157757D4" w14:textId="77777777" w:rsidR="009F6AC8" w:rsidRPr="008C72E5" w:rsidRDefault="009F6AC8" w:rsidP="00B558B7">
            <w:pPr>
              <w:pStyle w:val="TekstTabeli"/>
            </w:pPr>
            <w:r w:rsidRPr="008C72E5">
              <w:t>Garrett S.D., Williams M.S., Carr A.M.</w:t>
            </w:r>
          </w:p>
        </w:tc>
        <w:tc>
          <w:tcPr>
            <w:tcW w:w="1771" w:type="pct"/>
            <w:vAlign w:val="center"/>
          </w:tcPr>
          <w:p w14:paraId="1E711AFD" w14:textId="77777777" w:rsidR="009F6AC8" w:rsidRPr="008C72E5" w:rsidRDefault="009F6AC8" w:rsidP="00B558B7">
            <w:pPr>
              <w:pStyle w:val="TekstTabeli"/>
            </w:pPr>
            <w:r w:rsidRPr="008C72E5">
              <w:t>Finding Their Way: Exploring the Experiences of Tenured Black Women Faculty</w:t>
            </w:r>
          </w:p>
        </w:tc>
        <w:tc>
          <w:tcPr>
            <w:tcW w:w="2052" w:type="pct"/>
            <w:vAlign w:val="center"/>
          </w:tcPr>
          <w:p w14:paraId="74250D83" w14:textId="77777777" w:rsidR="009F6AC8" w:rsidRPr="008C72E5" w:rsidRDefault="009F6AC8" w:rsidP="00B558B7">
            <w:pPr>
              <w:pStyle w:val="TekstTabeli"/>
            </w:pPr>
            <w:r w:rsidRPr="008C72E5">
              <w:t>(2022) Journal of Diversity in Higher Education, DOI: 10.1037/dhe0000213</w:t>
            </w:r>
          </w:p>
        </w:tc>
      </w:tr>
      <w:tr w:rsidR="00C4329A" w:rsidRPr="004C10DC" w14:paraId="03FB0C6D" w14:textId="77777777" w:rsidTr="00C4329A">
        <w:trPr>
          <w:cantSplit/>
        </w:trPr>
        <w:tc>
          <w:tcPr>
            <w:tcW w:w="297" w:type="pct"/>
            <w:vAlign w:val="center"/>
          </w:tcPr>
          <w:p w14:paraId="0846616B" w14:textId="77777777" w:rsidR="009F6AC8" w:rsidRPr="008C72E5" w:rsidRDefault="009F6AC8" w:rsidP="00B558B7">
            <w:pPr>
              <w:pStyle w:val="TekstTabeli"/>
            </w:pPr>
            <w:r w:rsidRPr="008C72E5">
              <w:t>239</w:t>
            </w:r>
          </w:p>
        </w:tc>
        <w:tc>
          <w:tcPr>
            <w:tcW w:w="880" w:type="pct"/>
            <w:vAlign w:val="center"/>
          </w:tcPr>
          <w:p w14:paraId="0F13EB57" w14:textId="77777777" w:rsidR="009F6AC8" w:rsidRPr="008C72E5" w:rsidRDefault="009F6AC8" w:rsidP="00B558B7">
            <w:pPr>
              <w:pStyle w:val="TekstTabeli"/>
            </w:pPr>
            <w:r w:rsidRPr="008C72E5">
              <w:t>Jackman P.C., Sanderson R., Jacobs L.</w:t>
            </w:r>
          </w:p>
        </w:tc>
        <w:tc>
          <w:tcPr>
            <w:tcW w:w="1771" w:type="pct"/>
            <w:vAlign w:val="center"/>
          </w:tcPr>
          <w:p w14:paraId="0A381531" w14:textId="77777777" w:rsidR="009F6AC8" w:rsidRPr="008C72E5" w:rsidRDefault="009F6AC8" w:rsidP="00B558B7">
            <w:pPr>
              <w:pStyle w:val="TekstTabeli"/>
            </w:pPr>
            <w:r w:rsidRPr="008C72E5">
              <w:t>Developing inductions to support mental health and wellbeing in doctoral researchers: findings from a qualitative co-design study with doctoral researchers and university stakeholders</w:t>
            </w:r>
          </w:p>
        </w:tc>
        <w:tc>
          <w:tcPr>
            <w:tcW w:w="2052" w:type="pct"/>
            <w:vAlign w:val="center"/>
          </w:tcPr>
          <w:p w14:paraId="2491AF33" w14:textId="77777777" w:rsidR="009F6AC8" w:rsidRPr="008C72E5" w:rsidRDefault="009F6AC8" w:rsidP="00B558B7">
            <w:pPr>
              <w:pStyle w:val="TekstTabeli"/>
            </w:pPr>
            <w:r w:rsidRPr="008C72E5">
              <w:t>(2023) European Journal of Higher Education, 13 (1), pp. 62 - 79, DOI: 10.1080/21568235.2021.1992293</w:t>
            </w:r>
          </w:p>
        </w:tc>
      </w:tr>
      <w:tr w:rsidR="00C4329A" w:rsidRPr="004C10DC" w14:paraId="6F12D146" w14:textId="77777777" w:rsidTr="00C4329A">
        <w:trPr>
          <w:cantSplit/>
        </w:trPr>
        <w:tc>
          <w:tcPr>
            <w:tcW w:w="297" w:type="pct"/>
            <w:vAlign w:val="center"/>
          </w:tcPr>
          <w:p w14:paraId="51185D5B" w14:textId="77777777" w:rsidR="009F6AC8" w:rsidRPr="008C72E5" w:rsidRDefault="009F6AC8" w:rsidP="00B558B7">
            <w:pPr>
              <w:pStyle w:val="TekstTabeli"/>
            </w:pPr>
            <w:r w:rsidRPr="008C72E5">
              <w:t>240</w:t>
            </w:r>
          </w:p>
        </w:tc>
        <w:tc>
          <w:tcPr>
            <w:tcW w:w="880" w:type="pct"/>
            <w:vAlign w:val="center"/>
          </w:tcPr>
          <w:p w14:paraId="2EC248E5" w14:textId="77777777" w:rsidR="009F6AC8" w:rsidRPr="008C72E5" w:rsidRDefault="009F6AC8" w:rsidP="00B558B7">
            <w:pPr>
              <w:pStyle w:val="TekstTabeli"/>
            </w:pPr>
            <w:r w:rsidRPr="008C72E5">
              <w:t>Cronin G.M., Barnett J.L., Edge M.K., Hemsworth P.H.</w:t>
            </w:r>
          </w:p>
        </w:tc>
        <w:tc>
          <w:tcPr>
            <w:tcW w:w="1771" w:type="pct"/>
            <w:vAlign w:val="center"/>
          </w:tcPr>
          <w:p w14:paraId="6E73550D" w14:textId="77777777" w:rsidR="009F6AC8" w:rsidRPr="008C72E5" w:rsidRDefault="009F6AC8" w:rsidP="00B558B7">
            <w:pPr>
              <w:pStyle w:val="TekstTabeli"/>
            </w:pPr>
            <w:r w:rsidRPr="008C72E5">
              <w:t>Identifying animal welfare issues for sheep in Australia</w:t>
            </w:r>
          </w:p>
        </w:tc>
        <w:tc>
          <w:tcPr>
            <w:tcW w:w="2052" w:type="pct"/>
            <w:vAlign w:val="center"/>
          </w:tcPr>
          <w:p w14:paraId="5992C816" w14:textId="77777777" w:rsidR="009F6AC8" w:rsidRPr="008C72E5" w:rsidRDefault="009F6AC8" w:rsidP="00B558B7">
            <w:pPr>
              <w:pStyle w:val="TekstTabeli"/>
            </w:pPr>
            <w:r w:rsidRPr="008C72E5">
              <w:t>(2002) International Journal of Sheep and Wool Science, 50 (4), pp. 534 - 540, 0</w:t>
            </w:r>
          </w:p>
        </w:tc>
      </w:tr>
      <w:tr w:rsidR="00C4329A" w:rsidRPr="004C10DC" w14:paraId="7F18B4B4" w14:textId="77777777" w:rsidTr="00C4329A">
        <w:trPr>
          <w:cantSplit/>
        </w:trPr>
        <w:tc>
          <w:tcPr>
            <w:tcW w:w="297" w:type="pct"/>
            <w:vAlign w:val="center"/>
          </w:tcPr>
          <w:p w14:paraId="3FF3701A" w14:textId="77777777" w:rsidR="009F6AC8" w:rsidRPr="008C72E5" w:rsidRDefault="009F6AC8" w:rsidP="00B558B7">
            <w:pPr>
              <w:pStyle w:val="TekstTabeli"/>
            </w:pPr>
            <w:r w:rsidRPr="008C72E5">
              <w:t>241</w:t>
            </w:r>
          </w:p>
        </w:tc>
        <w:tc>
          <w:tcPr>
            <w:tcW w:w="880" w:type="pct"/>
            <w:vAlign w:val="center"/>
          </w:tcPr>
          <w:p w14:paraId="79207114" w14:textId="77777777" w:rsidR="009F6AC8" w:rsidRPr="008C72E5" w:rsidRDefault="009F6AC8" w:rsidP="00B558B7">
            <w:pPr>
              <w:pStyle w:val="TekstTabeli"/>
            </w:pPr>
            <w:proofErr w:type="spellStart"/>
            <w:r w:rsidRPr="008C72E5">
              <w:t>Benneworth</w:t>
            </w:r>
            <w:proofErr w:type="spellEnd"/>
            <w:r w:rsidRPr="008C72E5">
              <w:t xml:space="preserve"> P., Dauncey H.</w:t>
            </w:r>
          </w:p>
        </w:tc>
        <w:tc>
          <w:tcPr>
            <w:tcW w:w="1771" w:type="pct"/>
            <w:vAlign w:val="center"/>
          </w:tcPr>
          <w:p w14:paraId="6C9F1216" w14:textId="77777777" w:rsidR="009F6AC8" w:rsidRPr="008C72E5" w:rsidRDefault="009F6AC8" w:rsidP="00B558B7">
            <w:pPr>
              <w:pStyle w:val="TekstTabeli"/>
            </w:pPr>
            <w:r w:rsidRPr="008C72E5">
              <w:t xml:space="preserve">Cultural policy, creative clusters and the complexity of higher education: notes from the case of </w:t>
            </w:r>
            <w:proofErr w:type="spellStart"/>
            <w:r w:rsidRPr="008C72E5">
              <w:t>Enjmin</w:t>
            </w:r>
            <w:proofErr w:type="spellEnd"/>
            <w:r w:rsidRPr="008C72E5">
              <w:t xml:space="preserve"> in Angoulême, France</w:t>
            </w:r>
          </w:p>
        </w:tc>
        <w:tc>
          <w:tcPr>
            <w:tcW w:w="2052" w:type="pct"/>
            <w:vAlign w:val="center"/>
          </w:tcPr>
          <w:p w14:paraId="2D85BFB8" w14:textId="77777777" w:rsidR="009F6AC8" w:rsidRPr="008C72E5" w:rsidRDefault="009F6AC8" w:rsidP="00B558B7">
            <w:pPr>
              <w:pStyle w:val="TekstTabeli"/>
            </w:pPr>
            <w:r w:rsidRPr="008C72E5">
              <w:t>(2016) International Journal of Cultural Policy, 22 (1), pp. 80 - 99, DOI: 10.1080/10286632.2015.1101083</w:t>
            </w:r>
          </w:p>
        </w:tc>
      </w:tr>
      <w:tr w:rsidR="00C4329A" w:rsidRPr="008C72E5" w14:paraId="7CDBB224" w14:textId="77777777" w:rsidTr="00C4329A">
        <w:trPr>
          <w:cantSplit/>
        </w:trPr>
        <w:tc>
          <w:tcPr>
            <w:tcW w:w="297" w:type="pct"/>
            <w:vAlign w:val="center"/>
          </w:tcPr>
          <w:p w14:paraId="71D96CCD" w14:textId="77777777" w:rsidR="009F6AC8" w:rsidRPr="008C72E5" w:rsidRDefault="009F6AC8" w:rsidP="00B558B7">
            <w:pPr>
              <w:pStyle w:val="TekstTabeli"/>
            </w:pPr>
            <w:r w:rsidRPr="008C72E5">
              <w:t>242</w:t>
            </w:r>
          </w:p>
        </w:tc>
        <w:tc>
          <w:tcPr>
            <w:tcW w:w="880" w:type="pct"/>
            <w:vAlign w:val="center"/>
          </w:tcPr>
          <w:p w14:paraId="3D2FE7CA" w14:textId="77777777" w:rsidR="009F6AC8" w:rsidRPr="008C72E5" w:rsidRDefault="009F6AC8" w:rsidP="00B558B7">
            <w:pPr>
              <w:pStyle w:val="TekstTabeli"/>
            </w:pPr>
            <w:r w:rsidRPr="008C72E5">
              <w:t xml:space="preserve">Pashkov M.V., </w:t>
            </w:r>
            <w:proofErr w:type="spellStart"/>
            <w:r w:rsidRPr="008C72E5">
              <w:t>Pashkova</w:t>
            </w:r>
            <w:proofErr w:type="spellEnd"/>
            <w:r w:rsidRPr="008C72E5">
              <w:t xml:space="preserve"> V.M.</w:t>
            </w:r>
          </w:p>
        </w:tc>
        <w:tc>
          <w:tcPr>
            <w:tcW w:w="1771" w:type="pct"/>
            <w:vAlign w:val="center"/>
          </w:tcPr>
          <w:p w14:paraId="71DBF8D6" w14:textId="77777777" w:rsidR="009F6AC8" w:rsidRPr="008C72E5" w:rsidRDefault="009F6AC8" w:rsidP="00B558B7">
            <w:pPr>
              <w:pStyle w:val="TekstTabeli"/>
            </w:pPr>
            <w:r w:rsidRPr="008C72E5">
              <w:t>Problems and Risks of Digitalization in Higher Education</w:t>
            </w:r>
          </w:p>
        </w:tc>
        <w:tc>
          <w:tcPr>
            <w:tcW w:w="2052" w:type="pct"/>
            <w:vAlign w:val="center"/>
          </w:tcPr>
          <w:p w14:paraId="1EE61C63" w14:textId="77777777" w:rsidR="009F6AC8" w:rsidRPr="00D82766" w:rsidRDefault="009F6AC8" w:rsidP="00B558B7">
            <w:pPr>
              <w:pStyle w:val="TekstTabeli"/>
              <w:rPr>
                <w:lang w:val="pl-PL"/>
              </w:rPr>
            </w:pPr>
            <w:r w:rsidRPr="00D82766">
              <w:rPr>
                <w:lang w:val="pl-PL"/>
              </w:rPr>
              <w:t xml:space="preserve">(2022) </w:t>
            </w:r>
            <w:proofErr w:type="spellStart"/>
            <w:r w:rsidRPr="00D82766">
              <w:rPr>
                <w:lang w:val="pl-PL"/>
              </w:rPr>
              <w:t>Vysshee</w:t>
            </w:r>
            <w:proofErr w:type="spellEnd"/>
            <w:r w:rsidRPr="00D82766">
              <w:rPr>
                <w:lang w:val="pl-PL"/>
              </w:rPr>
              <w:t xml:space="preserve"> </w:t>
            </w:r>
            <w:proofErr w:type="spellStart"/>
            <w:r w:rsidRPr="00D82766">
              <w:rPr>
                <w:lang w:val="pl-PL"/>
              </w:rPr>
              <w:t>Obrazovanie</w:t>
            </w:r>
            <w:proofErr w:type="spellEnd"/>
            <w:r w:rsidRPr="00D82766">
              <w:rPr>
                <w:lang w:val="pl-PL"/>
              </w:rPr>
              <w:t xml:space="preserve"> v </w:t>
            </w:r>
            <w:proofErr w:type="spellStart"/>
            <w:r w:rsidRPr="00D82766">
              <w:rPr>
                <w:lang w:val="pl-PL"/>
              </w:rPr>
              <w:t>Rossii</w:t>
            </w:r>
            <w:proofErr w:type="spellEnd"/>
            <w:r w:rsidRPr="00D82766">
              <w:rPr>
                <w:lang w:val="pl-PL"/>
              </w:rPr>
              <w:t>, 31 (3), pp. 40 - 53, DOI: 10.31992/0869-3617-2022-31-22-3-40-57</w:t>
            </w:r>
          </w:p>
        </w:tc>
      </w:tr>
      <w:tr w:rsidR="00C4329A" w:rsidRPr="004C10DC" w14:paraId="66D50B23" w14:textId="77777777" w:rsidTr="00C4329A">
        <w:trPr>
          <w:cantSplit/>
        </w:trPr>
        <w:tc>
          <w:tcPr>
            <w:tcW w:w="297" w:type="pct"/>
            <w:vAlign w:val="center"/>
          </w:tcPr>
          <w:p w14:paraId="134E076B" w14:textId="77777777" w:rsidR="009F6AC8" w:rsidRPr="008C72E5" w:rsidRDefault="009F6AC8" w:rsidP="00B558B7">
            <w:pPr>
              <w:pStyle w:val="TekstTabeli"/>
            </w:pPr>
            <w:r w:rsidRPr="008C72E5">
              <w:t>243</w:t>
            </w:r>
          </w:p>
        </w:tc>
        <w:tc>
          <w:tcPr>
            <w:tcW w:w="880" w:type="pct"/>
            <w:vAlign w:val="center"/>
          </w:tcPr>
          <w:p w14:paraId="337F3C8F" w14:textId="77777777" w:rsidR="009F6AC8" w:rsidRPr="008C72E5" w:rsidRDefault="009F6AC8" w:rsidP="00B558B7">
            <w:pPr>
              <w:pStyle w:val="TekstTabeli"/>
            </w:pPr>
            <w:r w:rsidRPr="008C72E5">
              <w:t>Teixeira P.</w:t>
            </w:r>
          </w:p>
        </w:tc>
        <w:tc>
          <w:tcPr>
            <w:tcW w:w="1771" w:type="pct"/>
            <w:vAlign w:val="center"/>
          </w:tcPr>
          <w:p w14:paraId="334305A1" w14:textId="77777777" w:rsidR="009F6AC8" w:rsidRPr="008C72E5" w:rsidRDefault="009F6AC8" w:rsidP="00B558B7">
            <w:pPr>
              <w:pStyle w:val="TekstTabeli"/>
            </w:pPr>
            <w:r w:rsidRPr="008C72E5">
              <w:t>Two continents divided by the same trends? reflections about marketization, competition, and inequality in European higher education</w:t>
            </w:r>
          </w:p>
        </w:tc>
        <w:tc>
          <w:tcPr>
            <w:tcW w:w="2052" w:type="pct"/>
            <w:vAlign w:val="center"/>
          </w:tcPr>
          <w:p w14:paraId="2D3BB680" w14:textId="77777777" w:rsidR="009F6AC8" w:rsidRPr="008C72E5" w:rsidRDefault="009F6AC8" w:rsidP="00B558B7">
            <w:pPr>
              <w:pStyle w:val="TekstTabeli"/>
            </w:pPr>
            <w:r w:rsidRPr="008C72E5">
              <w:t>(2016) Research in the Sociology of Organizations, 46, pp. 489 - 508, DOI: 10.1108/S0733-558X20160000046016</w:t>
            </w:r>
          </w:p>
        </w:tc>
      </w:tr>
      <w:tr w:rsidR="00C4329A" w:rsidRPr="004C10DC" w14:paraId="15F97883" w14:textId="77777777" w:rsidTr="00C4329A">
        <w:trPr>
          <w:cantSplit/>
        </w:trPr>
        <w:tc>
          <w:tcPr>
            <w:tcW w:w="297" w:type="pct"/>
            <w:vAlign w:val="center"/>
          </w:tcPr>
          <w:p w14:paraId="1619383A" w14:textId="77777777" w:rsidR="009F6AC8" w:rsidRPr="008C72E5" w:rsidRDefault="009F6AC8" w:rsidP="00B558B7">
            <w:pPr>
              <w:pStyle w:val="TekstTabeli"/>
            </w:pPr>
            <w:r w:rsidRPr="008C72E5">
              <w:t>244</w:t>
            </w:r>
          </w:p>
        </w:tc>
        <w:tc>
          <w:tcPr>
            <w:tcW w:w="880" w:type="pct"/>
            <w:vAlign w:val="center"/>
          </w:tcPr>
          <w:p w14:paraId="608EBBDF" w14:textId="68971793" w:rsidR="009F6AC8" w:rsidRPr="008C72E5" w:rsidRDefault="009F6AC8" w:rsidP="00B558B7">
            <w:pPr>
              <w:pStyle w:val="TekstTabeli"/>
            </w:pPr>
            <w:r w:rsidRPr="008C72E5">
              <w:t xml:space="preserve">Thompson H.G., Whitaker K.M., </w:t>
            </w:r>
            <w:proofErr w:type="spellStart"/>
            <w:r w:rsidR="00A147A1" w:rsidRPr="008C72E5">
              <w:t>i</w:t>
            </w:r>
            <w:proofErr w:type="spellEnd"/>
            <w:r w:rsidR="00A147A1" w:rsidRPr="008C72E5">
              <w:t> in.</w:t>
            </w:r>
          </w:p>
        </w:tc>
        <w:tc>
          <w:tcPr>
            <w:tcW w:w="1771" w:type="pct"/>
            <w:vAlign w:val="center"/>
          </w:tcPr>
          <w:p w14:paraId="5ECA39B2" w14:textId="77777777" w:rsidR="009F6AC8" w:rsidRPr="008C72E5" w:rsidRDefault="009F6AC8" w:rsidP="00B558B7">
            <w:pPr>
              <w:pStyle w:val="TekstTabeli"/>
            </w:pPr>
            <w:r w:rsidRPr="008C72E5">
              <w:t>University stakeholders largely unaware and unsupportive of university pouring rights contracts with companies supplying sugar-sweetened beverages</w:t>
            </w:r>
          </w:p>
        </w:tc>
        <w:tc>
          <w:tcPr>
            <w:tcW w:w="2052" w:type="pct"/>
            <w:vAlign w:val="center"/>
          </w:tcPr>
          <w:p w14:paraId="0F1439C8" w14:textId="77777777" w:rsidR="009F6AC8" w:rsidRPr="008C72E5" w:rsidRDefault="009F6AC8" w:rsidP="00B558B7">
            <w:pPr>
              <w:pStyle w:val="TekstTabeli"/>
            </w:pPr>
            <w:r w:rsidRPr="008C72E5">
              <w:t>(2023) Journal of American College Health, 71 (2), pp. 403 - 410, DOI: 10.1080/07448481.2021.1891920</w:t>
            </w:r>
          </w:p>
        </w:tc>
      </w:tr>
      <w:tr w:rsidR="00C4329A" w:rsidRPr="004C10DC" w14:paraId="3C4D644B" w14:textId="77777777" w:rsidTr="00C4329A">
        <w:trPr>
          <w:cantSplit/>
        </w:trPr>
        <w:tc>
          <w:tcPr>
            <w:tcW w:w="297" w:type="pct"/>
            <w:vAlign w:val="center"/>
          </w:tcPr>
          <w:p w14:paraId="1E90FEAD" w14:textId="77777777" w:rsidR="009F6AC8" w:rsidRPr="008C72E5" w:rsidRDefault="009F6AC8" w:rsidP="00B558B7">
            <w:pPr>
              <w:pStyle w:val="TekstTabeli"/>
            </w:pPr>
            <w:r w:rsidRPr="008C72E5">
              <w:t>245</w:t>
            </w:r>
          </w:p>
        </w:tc>
        <w:tc>
          <w:tcPr>
            <w:tcW w:w="880" w:type="pct"/>
            <w:vAlign w:val="center"/>
          </w:tcPr>
          <w:p w14:paraId="3B86F875" w14:textId="77777777" w:rsidR="009F6AC8" w:rsidRPr="008C72E5" w:rsidRDefault="009F6AC8" w:rsidP="00B558B7">
            <w:pPr>
              <w:pStyle w:val="TekstTabeli"/>
            </w:pPr>
            <w:r w:rsidRPr="008C72E5">
              <w:t xml:space="preserve">A. </w:t>
            </w:r>
            <w:proofErr w:type="spellStart"/>
            <w:r w:rsidRPr="008C72E5">
              <w:t>Gattamorta</w:t>
            </w:r>
            <w:proofErr w:type="spellEnd"/>
            <w:r w:rsidRPr="008C72E5">
              <w:t xml:space="preserve"> K., Salerno J.P., Roman Laporte R.</w:t>
            </w:r>
          </w:p>
        </w:tc>
        <w:tc>
          <w:tcPr>
            <w:tcW w:w="1771" w:type="pct"/>
            <w:vAlign w:val="center"/>
          </w:tcPr>
          <w:p w14:paraId="43F67087" w14:textId="77777777" w:rsidR="009F6AC8" w:rsidRPr="008C72E5" w:rsidRDefault="009F6AC8" w:rsidP="00B558B7">
            <w:pPr>
              <w:pStyle w:val="TekstTabeli"/>
            </w:pPr>
            <w:r w:rsidRPr="008C72E5">
              <w:t>Family Rejection during COVID-19: Effects on Sexual and Gender Minority Stress and Mental Health among LGBTQ University Students</w:t>
            </w:r>
          </w:p>
        </w:tc>
        <w:tc>
          <w:tcPr>
            <w:tcW w:w="2052" w:type="pct"/>
            <w:vAlign w:val="center"/>
          </w:tcPr>
          <w:p w14:paraId="6047C495" w14:textId="77777777" w:rsidR="009F6AC8" w:rsidRPr="008C72E5" w:rsidRDefault="009F6AC8" w:rsidP="00B558B7">
            <w:pPr>
              <w:pStyle w:val="TekstTabeli"/>
            </w:pPr>
            <w:r w:rsidRPr="008C72E5">
              <w:t>(2022) LGBTQ+ Family: An Interdisciplinary Journal, 18 (4), pp. 305 - 318, DOI: 10.1080/27703371.2022.2083041</w:t>
            </w:r>
          </w:p>
        </w:tc>
      </w:tr>
      <w:tr w:rsidR="00C4329A" w:rsidRPr="004C10DC" w14:paraId="59EFC21C" w14:textId="77777777" w:rsidTr="00C4329A">
        <w:trPr>
          <w:cantSplit/>
        </w:trPr>
        <w:tc>
          <w:tcPr>
            <w:tcW w:w="297" w:type="pct"/>
            <w:vAlign w:val="center"/>
          </w:tcPr>
          <w:p w14:paraId="000D54C3" w14:textId="77777777" w:rsidR="009F6AC8" w:rsidRPr="008C72E5" w:rsidRDefault="009F6AC8" w:rsidP="00B558B7">
            <w:pPr>
              <w:pStyle w:val="TekstTabeli"/>
            </w:pPr>
            <w:r w:rsidRPr="008C72E5">
              <w:t>246</w:t>
            </w:r>
          </w:p>
        </w:tc>
        <w:tc>
          <w:tcPr>
            <w:tcW w:w="880" w:type="pct"/>
            <w:vAlign w:val="center"/>
          </w:tcPr>
          <w:p w14:paraId="1A796335" w14:textId="77777777" w:rsidR="009F6AC8" w:rsidRPr="008C72E5" w:rsidRDefault="009F6AC8" w:rsidP="00B558B7">
            <w:pPr>
              <w:pStyle w:val="TekstTabeli"/>
            </w:pPr>
            <w:r w:rsidRPr="008C72E5">
              <w:t>Tahsildar N.</w:t>
            </w:r>
          </w:p>
        </w:tc>
        <w:tc>
          <w:tcPr>
            <w:tcW w:w="1771" w:type="pct"/>
            <w:vAlign w:val="center"/>
          </w:tcPr>
          <w:p w14:paraId="3DDF9BBB" w14:textId="77777777" w:rsidR="009F6AC8" w:rsidRPr="008C72E5" w:rsidRDefault="009F6AC8" w:rsidP="00B558B7">
            <w:pPr>
              <w:pStyle w:val="TekstTabeli"/>
            </w:pPr>
            <w:r w:rsidRPr="008C72E5">
              <w:t>Dean leadership efficacy and the faculty teaching and research efficacy: a case study at Herat University, Afghanistan</w:t>
            </w:r>
          </w:p>
        </w:tc>
        <w:tc>
          <w:tcPr>
            <w:tcW w:w="2052" w:type="pct"/>
            <w:vAlign w:val="center"/>
          </w:tcPr>
          <w:p w14:paraId="46663443" w14:textId="77777777" w:rsidR="009F6AC8" w:rsidRPr="008C72E5" w:rsidRDefault="009F6AC8" w:rsidP="00B558B7">
            <w:pPr>
              <w:pStyle w:val="TekstTabeli"/>
            </w:pPr>
            <w:r w:rsidRPr="008C72E5">
              <w:t>(2021) International Journal of Leadership in Education, DOI: 10.1080/13603124.2021.1926546</w:t>
            </w:r>
          </w:p>
        </w:tc>
      </w:tr>
      <w:tr w:rsidR="00C4329A" w:rsidRPr="008C72E5" w14:paraId="0C42E42C" w14:textId="77777777" w:rsidTr="00C4329A">
        <w:trPr>
          <w:cantSplit/>
        </w:trPr>
        <w:tc>
          <w:tcPr>
            <w:tcW w:w="297" w:type="pct"/>
            <w:vAlign w:val="center"/>
          </w:tcPr>
          <w:p w14:paraId="5DF688DB" w14:textId="77777777" w:rsidR="009F6AC8" w:rsidRPr="008C72E5" w:rsidRDefault="009F6AC8" w:rsidP="00B558B7">
            <w:pPr>
              <w:pStyle w:val="TekstTabeli"/>
            </w:pPr>
            <w:r w:rsidRPr="008C72E5">
              <w:t>247</w:t>
            </w:r>
          </w:p>
        </w:tc>
        <w:tc>
          <w:tcPr>
            <w:tcW w:w="880" w:type="pct"/>
            <w:vAlign w:val="center"/>
          </w:tcPr>
          <w:p w14:paraId="55ED2DD9" w14:textId="76BE4325" w:rsidR="009F6AC8" w:rsidRPr="008C72E5" w:rsidRDefault="009F6AC8" w:rsidP="00B558B7">
            <w:pPr>
              <w:pStyle w:val="TekstTabeli"/>
            </w:pPr>
            <w:proofErr w:type="spellStart"/>
            <w:r w:rsidRPr="008C72E5">
              <w:t>Pendall</w:t>
            </w:r>
            <w:proofErr w:type="spellEnd"/>
            <w:r w:rsidRPr="008C72E5">
              <w:t xml:space="preserve"> R., Prochaska N., </w:t>
            </w:r>
            <w:proofErr w:type="spellStart"/>
            <w:r w:rsidR="00A147A1" w:rsidRPr="008C72E5">
              <w:t>i</w:t>
            </w:r>
            <w:proofErr w:type="spellEnd"/>
            <w:r w:rsidR="00A147A1" w:rsidRPr="008C72E5">
              <w:t> in.</w:t>
            </w:r>
          </w:p>
        </w:tc>
        <w:tc>
          <w:tcPr>
            <w:tcW w:w="1771" w:type="pct"/>
            <w:vAlign w:val="center"/>
          </w:tcPr>
          <w:p w14:paraId="0704B414" w14:textId="77777777" w:rsidR="009F6AC8" w:rsidRPr="008C72E5" w:rsidRDefault="009F6AC8" w:rsidP="00B558B7">
            <w:pPr>
              <w:pStyle w:val="TekstTabeli"/>
            </w:pPr>
            <w:r w:rsidRPr="008C72E5">
              <w:t>A New Skyline for Champaign: An Urban Dormitory Transformed</w:t>
            </w:r>
          </w:p>
        </w:tc>
        <w:tc>
          <w:tcPr>
            <w:tcW w:w="2052" w:type="pct"/>
            <w:vAlign w:val="center"/>
          </w:tcPr>
          <w:p w14:paraId="5A7D195D" w14:textId="77777777" w:rsidR="009F6AC8" w:rsidRPr="008C72E5" w:rsidRDefault="009F6AC8" w:rsidP="00B558B7">
            <w:pPr>
              <w:pStyle w:val="TekstTabeli"/>
            </w:pPr>
            <w:r w:rsidRPr="008C72E5">
              <w:t>(2022) Housing Policy Debate, DOI: 10.1080/10511482.2022.2124532</w:t>
            </w:r>
          </w:p>
        </w:tc>
      </w:tr>
      <w:tr w:rsidR="00C4329A" w:rsidRPr="004C10DC" w14:paraId="1F5A2FF8" w14:textId="77777777" w:rsidTr="00C4329A">
        <w:trPr>
          <w:cantSplit/>
        </w:trPr>
        <w:tc>
          <w:tcPr>
            <w:tcW w:w="297" w:type="pct"/>
            <w:vAlign w:val="center"/>
          </w:tcPr>
          <w:p w14:paraId="7D382839" w14:textId="77777777" w:rsidR="009F6AC8" w:rsidRPr="008C72E5" w:rsidRDefault="009F6AC8" w:rsidP="00B558B7">
            <w:pPr>
              <w:pStyle w:val="TekstTabeli"/>
            </w:pPr>
            <w:r w:rsidRPr="008C72E5">
              <w:lastRenderedPageBreak/>
              <w:t>248</w:t>
            </w:r>
          </w:p>
        </w:tc>
        <w:tc>
          <w:tcPr>
            <w:tcW w:w="880" w:type="pct"/>
            <w:vAlign w:val="center"/>
          </w:tcPr>
          <w:p w14:paraId="6E6C1468" w14:textId="77777777" w:rsidR="009F6AC8" w:rsidRPr="008C72E5" w:rsidRDefault="009F6AC8" w:rsidP="00B558B7">
            <w:pPr>
              <w:pStyle w:val="TekstTabeli"/>
            </w:pPr>
            <w:r w:rsidRPr="008C72E5">
              <w:t xml:space="preserve">Scruggs R., </w:t>
            </w:r>
            <w:proofErr w:type="spellStart"/>
            <w:r w:rsidRPr="008C72E5">
              <w:t>Broglia</w:t>
            </w:r>
            <w:proofErr w:type="spellEnd"/>
            <w:r w:rsidRPr="008C72E5">
              <w:t xml:space="preserve"> E., </w:t>
            </w:r>
            <w:proofErr w:type="spellStart"/>
            <w:r w:rsidRPr="008C72E5">
              <w:t>Barkham</w:t>
            </w:r>
            <w:proofErr w:type="spellEnd"/>
            <w:r w:rsidRPr="008C72E5">
              <w:t xml:space="preserve"> M., Duncan C.</w:t>
            </w:r>
          </w:p>
        </w:tc>
        <w:tc>
          <w:tcPr>
            <w:tcW w:w="1771" w:type="pct"/>
            <w:vAlign w:val="center"/>
          </w:tcPr>
          <w:p w14:paraId="4357C3CE" w14:textId="77777777" w:rsidR="009F6AC8" w:rsidRPr="008C72E5" w:rsidRDefault="009F6AC8" w:rsidP="00B558B7">
            <w:pPr>
              <w:pStyle w:val="TekstTabeli"/>
            </w:pPr>
            <w:r w:rsidRPr="008C72E5">
              <w:t>The impact of psychological distress and university counselling on academic outcomes: Analysis of a routine practice-based dataset</w:t>
            </w:r>
          </w:p>
        </w:tc>
        <w:tc>
          <w:tcPr>
            <w:tcW w:w="2052" w:type="pct"/>
            <w:vAlign w:val="center"/>
          </w:tcPr>
          <w:p w14:paraId="18FF9094" w14:textId="77777777" w:rsidR="009F6AC8" w:rsidRPr="008C72E5" w:rsidRDefault="009F6AC8" w:rsidP="00B558B7">
            <w:pPr>
              <w:pStyle w:val="TekstTabeli"/>
            </w:pPr>
            <w:r w:rsidRPr="008C72E5">
              <w:t>(2023) Counselling and Psychotherapy Research, 23 (3), pp. 781 - 789, DOI: 10.1002/capr.12640</w:t>
            </w:r>
          </w:p>
        </w:tc>
      </w:tr>
      <w:tr w:rsidR="00C4329A" w:rsidRPr="004C10DC" w14:paraId="075EA1FF" w14:textId="77777777" w:rsidTr="00C4329A">
        <w:trPr>
          <w:cantSplit/>
        </w:trPr>
        <w:tc>
          <w:tcPr>
            <w:tcW w:w="297" w:type="pct"/>
            <w:vAlign w:val="center"/>
          </w:tcPr>
          <w:p w14:paraId="61EF0B64" w14:textId="77777777" w:rsidR="009F6AC8" w:rsidRPr="008C72E5" w:rsidRDefault="009F6AC8" w:rsidP="00B558B7">
            <w:pPr>
              <w:pStyle w:val="TekstTabeli"/>
            </w:pPr>
            <w:r w:rsidRPr="008C72E5">
              <w:t>249</w:t>
            </w:r>
          </w:p>
        </w:tc>
        <w:tc>
          <w:tcPr>
            <w:tcW w:w="880" w:type="pct"/>
            <w:vAlign w:val="center"/>
          </w:tcPr>
          <w:p w14:paraId="2A94F46A" w14:textId="77777777" w:rsidR="009F6AC8" w:rsidRPr="008C72E5" w:rsidRDefault="009F6AC8" w:rsidP="00B558B7">
            <w:pPr>
              <w:pStyle w:val="TekstTabeli"/>
            </w:pPr>
            <w:proofErr w:type="spellStart"/>
            <w:r w:rsidRPr="008C72E5">
              <w:t>Vitchenko</w:t>
            </w:r>
            <w:proofErr w:type="spellEnd"/>
            <w:r w:rsidRPr="008C72E5">
              <w:t xml:space="preserve"> O.</w:t>
            </w:r>
          </w:p>
        </w:tc>
        <w:tc>
          <w:tcPr>
            <w:tcW w:w="1771" w:type="pct"/>
            <w:vAlign w:val="center"/>
          </w:tcPr>
          <w:p w14:paraId="2F714E5E" w14:textId="77777777" w:rsidR="009F6AC8" w:rsidRPr="008C72E5" w:rsidRDefault="009F6AC8" w:rsidP="00B558B7">
            <w:pPr>
              <w:pStyle w:val="TekstTabeli"/>
            </w:pPr>
            <w:r w:rsidRPr="008C72E5">
              <w:t>Introducing CLIL in Kazakhstan: Researching beliefs and perceptions of university stakeholders</w:t>
            </w:r>
          </w:p>
        </w:tc>
        <w:tc>
          <w:tcPr>
            <w:tcW w:w="2052" w:type="pct"/>
            <w:vAlign w:val="center"/>
          </w:tcPr>
          <w:p w14:paraId="28D8270B" w14:textId="77777777" w:rsidR="009F6AC8" w:rsidRPr="008C72E5" w:rsidRDefault="009F6AC8" w:rsidP="00B558B7">
            <w:pPr>
              <w:pStyle w:val="TekstTabeli"/>
            </w:pPr>
            <w:r w:rsidRPr="008C72E5">
              <w:t>(2017) Electronic Journal of Foreign Language Teaching, 14 (1), pp. 102 - 116, 0</w:t>
            </w:r>
          </w:p>
        </w:tc>
      </w:tr>
      <w:tr w:rsidR="00C4329A" w:rsidRPr="004C10DC" w14:paraId="49C66E29" w14:textId="77777777" w:rsidTr="00C4329A">
        <w:trPr>
          <w:cantSplit/>
        </w:trPr>
        <w:tc>
          <w:tcPr>
            <w:tcW w:w="297" w:type="pct"/>
            <w:vAlign w:val="center"/>
          </w:tcPr>
          <w:p w14:paraId="547974AC" w14:textId="77777777" w:rsidR="009F6AC8" w:rsidRPr="008C72E5" w:rsidRDefault="009F6AC8" w:rsidP="00B558B7">
            <w:pPr>
              <w:pStyle w:val="TekstTabeli"/>
            </w:pPr>
            <w:r w:rsidRPr="008C72E5">
              <w:t>250</w:t>
            </w:r>
          </w:p>
        </w:tc>
        <w:tc>
          <w:tcPr>
            <w:tcW w:w="880" w:type="pct"/>
            <w:vAlign w:val="center"/>
          </w:tcPr>
          <w:p w14:paraId="527DDDCC" w14:textId="77777777" w:rsidR="009F6AC8" w:rsidRPr="00D82766" w:rsidRDefault="009F6AC8" w:rsidP="00B558B7">
            <w:pPr>
              <w:pStyle w:val="TekstTabeli"/>
              <w:rPr>
                <w:lang w:val="pl-PL"/>
              </w:rPr>
            </w:pPr>
            <w:proofErr w:type="spellStart"/>
            <w:r w:rsidRPr="00D82766">
              <w:rPr>
                <w:lang w:val="pl-PL"/>
              </w:rPr>
              <w:t>Prasad</w:t>
            </w:r>
            <w:proofErr w:type="spellEnd"/>
            <w:r w:rsidRPr="00D82766">
              <w:rPr>
                <w:lang w:val="pl-PL"/>
              </w:rPr>
              <w:t xml:space="preserve"> S., </w:t>
            </w:r>
            <w:proofErr w:type="spellStart"/>
            <w:r w:rsidRPr="00D82766">
              <w:rPr>
                <w:lang w:val="pl-PL"/>
              </w:rPr>
              <w:t>Bhat</w:t>
            </w:r>
            <w:proofErr w:type="spellEnd"/>
            <w:r w:rsidRPr="00D82766">
              <w:rPr>
                <w:lang w:val="pl-PL"/>
              </w:rPr>
              <w:t xml:space="preserve"> R.S.</w:t>
            </w:r>
          </w:p>
        </w:tc>
        <w:tc>
          <w:tcPr>
            <w:tcW w:w="1771" w:type="pct"/>
            <w:vAlign w:val="center"/>
          </w:tcPr>
          <w:p w14:paraId="41B2C9DB" w14:textId="77777777" w:rsidR="009F6AC8" w:rsidRPr="008C72E5" w:rsidRDefault="009F6AC8" w:rsidP="00B558B7">
            <w:pPr>
              <w:pStyle w:val="TekstTabeli"/>
            </w:pPr>
            <w:r w:rsidRPr="008C72E5">
              <w:t>India industry-university collaboration - A novel approach combining technology, innovation, and entrepreneurship</w:t>
            </w:r>
          </w:p>
        </w:tc>
        <w:tc>
          <w:tcPr>
            <w:tcW w:w="2052" w:type="pct"/>
            <w:vAlign w:val="center"/>
          </w:tcPr>
          <w:p w14:paraId="02F69BDF" w14:textId="77777777" w:rsidR="009F6AC8" w:rsidRPr="008C72E5" w:rsidRDefault="009F6AC8" w:rsidP="00B558B7">
            <w:pPr>
              <w:pStyle w:val="TekstTabeli"/>
            </w:pPr>
            <w:r w:rsidRPr="008C72E5">
              <w:t>(2021) IEEE Global Engineering Education Conference, EDUCON, 2021-April, art. no. 9454090, pp. 373 - 380, DOI: 10.1109/EDUCON46332.2021.9454090</w:t>
            </w:r>
          </w:p>
        </w:tc>
      </w:tr>
      <w:tr w:rsidR="00C4329A" w:rsidRPr="004C10DC" w14:paraId="0A89A623" w14:textId="77777777" w:rsidTr="00C4329A">
        <w:trPr>
          <w:cantSplit/>
        </w:trPr>
        <w:tc>
          <w:tcPr>
            <w:tcW w:w="297" w:type="pct"/>
            <w:vAlign w:val="center"/>
          </w:tcPr>
          <w:p w14:paraId="5C7D04EB" w14:textId="77777777" w:rsidR="009F6AC8" w:rsidRPr="008C72E5" w:rsidRDefault="009F6AC8" w:rsidP="00B558B7">
            <w:pPr>
              <w:pStyle w:val="TekstTabeli"/>
            </w:pPr>
            <w:r w:rsidRPr="008C72E5">
              <w:t>251</w:t>
            </w:r>
          </w:p>
        </w:tc>
        <w:tc>
          <w:tcPr>
            <w:tcW w:w="880" w:type="pct"/>
            <w:vAlign w:val="center"/>
          </w:tcPr>
          <w:p w14:paraId="43329D0A" w14:textId="77777777" w:rsidR="009F6AC8" w:rsidRPr="008C72E5" w:rsidRDefault="009F6AC8" w:rsidP="00B558B7">
            <w:pPr>
              <w:pStyle w:val="TekstTabeli"/>
            </w:pPr>
            <w:r w:rsidRPr="008C72E5">
              <w:t>Donawa A.M.</w:t>
            </w:r>
          </w:p>
        </w:tc>
        <w:tc>
          <w:tcPr>
            <w:tcW w:w="1771" w:type="pct"/>
            <w:vAlign w:val="center"/>
          </w:tcPr>
          <w:p w14:paraId="07BF512B" w14:textId="77777777" w:rsidR="009F6AC8" w:rsidRPr="008C72E5" w:rsidRDefault="009F6AC8" w:rsidP="00B558B7">
            <w:pPr>
              <w:pStyle w:val="TekstTabeli"/>
            </w:pPr>
            <w:r w:rsidRPr="008C72E5">
              <w:t>The impact of critical thinking instruction on minority engineering students at a public urban higher education institution</w:t>
            </w:r>
          </w:p>
        </w:tc>
        <w:tc>
          <w:tcPr>
            <w:tcW w:w="2052" w:type="pct"/>
            <w:vAlign w:val="center"/>
          </w:tcPr>
          <w:p w14:paraId="51998B81" w14:textId="77777777" w:rsidR="009F6AC8" w:rsidRPr="008C72E5" w:rsidRDefault="009F6AC8" w:rsidP="00B558B7">
            <w:pPr>
              <w:pStyle w:val="TekstTabeli"/>
            </w:pPr>
            <w:r w:rsidRPr="008C72E5">
              <w:t>(2011) ASEE Annual Conference and Exposition, Conference Proceedings, 0</w:t>
            </w:r>
          </w:p>
        </w:tc>
      </w:tr>
      <w:tr w:rsidR="00C4329A" w:rsidRPr="004C10DC" w14:paraId="6E618F18" w14:textId="77777777" w:rsidTr="00C4329A">
        <w:trPr>
          <w:cantSplit/>
        </w:trPr>
        <w:tc>
          <w:tcPr>
            <w:tcW w:w="297" w:type="pct"/>
            <w:vAlign w:val="center"/>
          </w:tcPr>
          <w:p w14:paraId="5DB7511F" w14:textId="77777777" w:rsidR="009F6AC8" w:rsidRPr="008C72E5" w:rsidRDefault="009F6AC8" w:rsidP="00B558B7">
            <w:pPr>
              <w:pStyle w:val="TekstTabeli"/>
            </w:pPr>
            <w:r w:rsidRPr="008C72E5">
              <w:t>252</w:t>
            </w:r>
          </w:p>
        </w:tc>
        <w:tc>
          <w:tcPr>
            <w:tcW w:w="880" w:type="pct"/>
            <w:vAlign w:val="center"/>
          </w:tcPr>
          <w:p w14:paraId="5CB00C3E" w14:textId="77777777" w:rsidR="009F6AC8" w:rsidRPr="008C72E5" w:rsidRDefault="009F6AC8" w:rsidP="00B558B7">
            <w:pPr>
              <w:pStyle w:val="TekstTabeli"/>
            </w:pPr>
            <w:r w:rsidRPr="008C72E5">
              <w:t>Dostilio L.D.</w:t>
            </w:r>
          </w:p>
        </w:tc>
        <w:tc>
          <w:tcPr>
            <w:tcW w:w="1771" w:type="pct"/>
            <w:vAlign w:val="center"/>
          </w:tcPr>
          <w:p w14:paraId="68D29BA2" w14:textId="77777777" w:rsidR="009F6AC8" w:rsidRPr="008C72E5" w:rsidRDefault="009F6AC8" w:rsidP="00B558B7">
            <w:pPr>
              <w:pStyle w:val="TekstTabeli"/>
            </w:pPr>
            <w:r w:rsidRPr="008C72E5">
              <w:t>The professionalization of community engagement: Associations and professional staff</w:t>
            </w:r>
          </w:p>
        </w:tc>
        <w:tc>
          <w:tcPr>
            <w:tcW w:w="2052" w:type="pct"/>
            <w:vAlign w:val="center"/>
          </w:tcPr>
          <w:p w14:paraId="72A99261" w14:textId="77777777" w:rsidR="009F6AC8" w:rsidRPr="008C72E5" w:rsidRDefault="009F6AC8" w:rsidP="00B558B7">
            <w:pPr>
              <w:pStyle w:val="TekstTabeli"/>
            </w:pPr>
            <w:r w:rsidRPr="008C72E5">
              <w:t>(2017) The Cambridge Handbook of Service Learning and Community Engagement, pp. 370 - 384, DOI: 10.1017/9781316650011.036</w:t>
            </w:r>
          </w:p>
        </w:tc>
      </w:tr>
      <w:tr w:rsidR="00C4329A" w:rsidRPr="004C10DC" w14:paraId="40886F9E" w14:textId="77777777" w:rsidTr="00C4329A">
        <w:trPr>
          <w:cantSplit/>
        </w:trPr>
        <w:tc>
          <w:tcPr>
            <w:tcW w:w="297" w:type="pct"/>
            <w:vAlign w:val="center"/>
          </w:tcPr>
          <w:p w14:paraId="2FBB6F4D" w14:textId="77777777" w:rsidR="009F6AC8" w:rsidRPr="008C72E5" w:rsidRDefault="009F6AC8" w:rsidP="00B558B7">
            <w:pPr>
              <w:pStyle w:val="TekstTabeli"/>
            </w:pPr>
            <w:r w:rsidRPr="008C72E5">
              <w:t>253</w:t>
            </w:r>
          </w:p>
        </w:tc>
        <w:tc>
          <w:tcPr>
            <w:tcW w:w="880" w:type="pct"/>
            <w:vAlign w:val="center"/>
          </w:tcPr>
          <w:p w14:paraId="44A99FE2" w14:textId="20E69474" w:rsidR="009F6AC8" w:rsidRPr="008C72E5" w:rsidRDefault="009F6AC8" w:rsidP="00B558B7">
            <w:pPr>
              <w:pStyle w:val="TekstTabeli"/>
            </w:pPr>
            <w:r w:rsidRPr="008C72E5">
              <w:t xml:space="preserve">Jing F., </w:t>
            </w:r>
            <w:proofErr w:type="spellStart"/>
            <w:r w:rsidRPr="008C72E5">
              <w:t>Chakpitak</w:t>
            </w:r>
            <w:proofErr w:type="spellEnd"/>
            <w:r w:rsidRPr="008C72E5">
              <w:t xml:space="preserve"> N., Goldsmith P., </w:t>
            </w:r>
            <w:proofErr w:type="spellStart"/>
            <w:r w:rsidR="00A147A1" w:rsidRPr="008C72E5">
              <w:t>i</w:t>
            </w:r>
            <w:proofErr w:type="spellEnd"/>
            <w:r w:rsidR="00A147A1" w:rsidRPr="008C72E5">
              <w:t> in.</w:t>
            </w:r>
          </w:p>
        </w:tc>
        <w:tc>
          <w:tcPr>
            <w:tcW w:w="1771" w:type="pct"/>
            <w:vAlign w:val="center"/>
          </w:tcPr>
          <w:p w14:paraId="3A6782CF" w14:textId="77777777" w:rsidR="009F6AC8" w:rsidRPr="008C72E5" w:rsidRDefault="009F6AC8" w:rsidP="00B558B7">
            <w:pPr>
              <w:pStyle w:val="TekstTabeli"/>
            </w:pPr>
            <w:r w:rsidRPr="008C72E5">
              <w:t>Creating a knowledge supply chain for e-tourism curriculum design: Integrating knowledge management and supply chain management</w:t>
            </w:r>
          </w:p>
        </w:tc>
        <w:tc>
          <w:tcPr>
            <w:tcW w:w="2052" w:type="pct"/>
            <w:vAlign w:val="center"/>
          </w:tcPr>
          <w:p w14:paraId="301213A5" w14:textId="77777777" w:rsidR="009F6AC8" w:rsidRPr="008C72E5" w:rsidRDefault="009F6AC8" w:rsidP="00B558B7">
            <w:pPr>
              <w:pStyle w:val="TekstTabeli"/>
            </w:pPr>
            <w:r w:rsidRPr="008C72E5">
              <w:t>(2012) International Journal of Knowledge Management, 8 (4), pp. 71 - 94, DOI: 10.4018/jkm.2012100104</w:t>
            </w:r>
          </w:p>
        </w:tc>
      </w:tr>
      <w:tr w:rsidR="00C4329A" w:rsidRPr="004C10DC" w14:paraId="6E4B8F19" w14:textId="77777777" w:rsidTr="00C4329A">
        <w:trPr>
          <w:cantSplit/>
        </w:trPr>
        <w:tc>
          <w:tcPr>
            <w:tcW w:w="297" w:type="pct"/>
            <w:vAlign w:val="center"/>
          </w:tcPr>
          <w:p w14:paraId="4D2ECF99" w14:textId="77777777" w:rsidR="009F6AC8" w:rsidRPr="008C72E5" w:rsidRDefault="009F6AC8" w:rsidP="00B558B7">
            <w:pPr>
              <w:pStyle w:val="TekstTabeli"/>
            </w:pPr>
            <w:r w:rsidRPr="008C72E5">
              <w:t>254</w:t>
            </w:r>
          </w:p>
        </w:tc>
        <w:tc>
          <w:tcPr>
            <w:tcW w:w="880" w:type="pct"/>
            <w:vAlign w:val="center"/>
          </w:tcPr>
          <w:p w14:paraId="17DEFA33" w14:textId="77777777" w:rsidR="009F6AC8" w:rsidRPr="008C72E5" w:rsidRDefault="009F6AC8" w:rsidP="00B558B7">
            <w:pPr>
              <w:pStyle w:val="TekstTabeli"/>
            </w:pPr>
            <w:r w:rsidRPr="008C72E5">
              <w:t>Alabi A.O.</w:t>
            </w:r>
          </w:p>
        </w:tc>
        <w:tc>
          <w:tcPr>
            <w:tcW w:w="1771" w:type="pct"/>
            <w:vAlign w:val="center"/>
          </w:tcPr>
          <w:p w14:paraId="6031334B" w14:textId="77777777" w:rsidR="009F6AC8" w:rsidRPr="008C72E5" w:rsidRDefault="009F6AC8" w:rsidP="00B558B7">
            <w:pPr>
              <w:pStyle w:val="TekstTabeli"/>
            </w:pPr>
            <w:r w:rsidRPr="008C72E5">
              <w:t>Bridging the Great Divide: Librarian-faculty Collaboration in Selected Higher Institutions in Lagos State Nigeria</w:t>
            </w:r>
          </w:p>
        </w:tc>
        <w:tc>
          <w:tcPr>
            <w:tcW w:w="2052" w:type="pct"/>
            <w:vAlign w:val="center"/>
          </w:tcPr>
          <w:p w14:paraId="5A89A9FF" w14:textId="77777777" w:rsidR="009F6AC8" w:rsidRPr="008C72E5" w:rsidRDefault="009F6AC8" w:rsidP="00B558B7">
            <w:pPr>
              <w:pStyle w:val="TekstTabeli"/>
            </w:pPr>
            <w:r w:rsidRPr="008C72E5">
              <w:t>(2018) Journal of Academic Librarianship, 44 (4), pp. 459 - 467, DOI: 10.1016/j.acalib.2018.05.004</w:t>
            </w:r>
          </w:p>
        </w:tc>
      </w:tr>
      <w:tr w:rsidR="00C4329A" w:rsidRPr="004C10DC" w14:paraId="6F0C70B1" w14:textId="77777777" w:rsidTr="00C4329A">
        <w:trPr>
          <w:cantSplit/>
        </w:trPr>
        <w:tc>
          <w:tcPr>
            <w:tcW w:w="297" w:type="pct"/>
            <w:vAlign w:val="center"/>
          </w:tcPr>
          <w:p w14:paraId="63BDAEC3" w14:textId="77777777" w:rsidR="009F6AC8" w:rsidRPr="008C72E5" w:rsidRDefault="009F6AC8" w:rsidP="00B558B7">
            <w:pPr>
              <w:pStyle w:val="TekstTabeli"/>
            </w:pPr>
            <w:r w:rsidRPr="008C72E5">
              <w:t>255</w:t>
            </w:r>
          </w:p>
        </w:tc>
        <w:tc>
          <w:tcPr>
            <w:tcW w:w="880" w:type="pct"/>
            <w:vAlign w:val="center"/>
          </w:tcPr>
          <w:p w14:paraId="7EE65244" w14:textId="77777777" w:rsidR="009F6AC8" w:rsidRPr="008C72E5" w:rsidRDefault="009F6AC8" w:rsidP="00B558B7">
            <w:pPr>
              <w:pStyle w:val="TekstTabeli"/>
            </w:pPr>
            <w:r w:rsidRPr="008C72E5">
              <w:t>Vickers E., Morris R.</w:t>
            </w:r>
          </w:p>
        </w:tc>
        <w:tc>
          <w:tcPr>
            <w:tcW w:w="1771" w:type="pct"/>
            <w:vAlign w:val="center"/>
          </w:tcPr>
          <w:p w14:paraId="64EEFC54" w14:textId="77777777" w:rsidR="009F6AC8" w:rsidRPr="008C72E5" w:rsidRDefault="009F6AC8" w:rsidP="00B558B7">
            <w:pPr>
              <w:pStyle w:val="TekstTabeli"/>
            </w:pPr>
            <w:r w:rsidRPr="008C72E5">
              <w:t>Pathway decisions during the student-athlete transition out of university in the United Kingdom</w:t>
            </w:r>
          </w:p>
        </w:tc>
        <w:tc>
          <w:tcPr>
            <w:tcW w:w="2052" w:type="pct"/>
            <w:vAlign w:val="center"/>
          </w:tcPr>
          <w:p w14:paraId="3F5305A5" w14:textId="77777777" w:rsidR="009F6AC8" w:rsidRPr="008C72E5" w:rsidRDefault="009F6AC8" w:rsidP="00B558B7">
            <w:pPr>
              <w:pStyle w:val="TekstTabeli"/>
            </w:pPr>
            <w:r w:rsidRPr="008C72E5">
              <w:t>(2022) Journal of Applied Sport Psychology, 34 (4), pp. 803 - 824, DOI: 10.1080/10413200.2021.1884918</w:t>
            </w:r>
          </w:p>
        </w:tc>
      </w:tr>
      <w:tr w:rsidR="00C4329A" w:rsidRPr="004C10DC" w14:paraId="0898007E" w14:textId="77777777" w:rsidTr="00C4329A">
        <w:trPr>
          <w:cantSplit/>
        </w:trPr>
        <w:tc>
          <w:tcPr>
            <w:tcW w:w="297" w:type="pct"/>
            <w:vAlign w:val="center"/>
          </w:tcPr>
          <w:p w14:paraId="4B4C29C4" w14:textId="77777777" w:rsidR="009F6AC8" w:rsidRPr="008C72E5" w:rsidRDefault="009F6AC8" w:rsidP="00B558B7">
            <w:pPr>
              <w:pStyle w:val="TekstTabeli"/>
            </w:pPr>
            <w:r w:rsidRPr="008C72E5">
              <w:t>256</w:t>
            </w:r>
          </w:p>
        </w:tc>
        <w:tc>
          <w:tcPr>
            <w:tcW w:w="880" w:type="pct"/>
            <w:vAlign w:val="center"/>
          </w:tcPr>
          <w:p w14:paraId="43EB1A98" w14:textId="77777777" w:rsidR="009F6AC8" w:rsidRPr="008C72E5" w:rsidRDefault="009F6AC8" w:rsidP="00B558B7">
            <w:pPr>
              <w:pStyle w:val="TekstTabeli"/>
            </w:pPr>
            <w:r w:rsidRPr="008C72E5">
              <w:t>Lowe K., Ehrenfeucht R.</w:t>
            </w:r>
          </w:p>
        </w:tc>
        <w:tc>
          <w:tcPr>
            <w:tcW w:w="1771" w:type="pct"/>
            <w:vAlign w:val="center"/>
          </w:tcPr>
          <w:p w14:paraId="2D68239E" w14:textId="77777777" w:rsidR="009F6AC8" w:rsidRPr="008C72E5" w:rsidRDefault="009F6AC8" w:rsidP="00B558B7">
            <w:pPr>
              <w:pStyle w:val="TekstTabeli"/>
            </w:pPr>
            <w:r w:rsidRPr="008C72E5">
              <w:t>Derailed Values: Planning Education, External Funding, and Environmental Justice in New Orleans Rail Planning</w:t>
            </w:r>
          </w:p>
        </w:tc>
        <w:tc>
          <w:tcPr>
            <w:tcW w:w="2052" w:type="pct"/>
            <w:vAlign w:val="center"/>
          </w:tcPr>
          <w:p w14:paraId="0F2B3B8B" w14:textId="77777777" w:rsidR="009F6AC8" w:rsidRPr="008C72E5" w:rsidRDefault="009F6AC8" w:rsidP="00B558B7">
            <w:pPr>
              <w:pStyle w:val="TekstTabeli"/>
            </w:pPr>
            <w:r w:rsidRPr="008C72E5">
              <w:t>(2018) Journal of Planning Education and Research, 38 (4), pp. 477 - 489, DOI: 10.1177/0739456X17712810</w:t>
            </w:r>
          </w:p>
        </w:tc>
      </w:tr>
      <w:tr w:rsidR="00C4329A" w:rsidRPr="004C10DC" w14:paraId="6C63A6A4" w14:textId="77777777" w:rsidTr="00C4329A">
        <w:trPr>
          <w:cantSplit/>
        </w:trPr>
        <w:tc>
          <w:tcPr>
            <w:tcW w:w="297" w:type="pct"/>
            <w:vAlign w:val="center"/>
          </w:tcPr>
          <w:p w14:paraId="4A578FB4" w14:textId="77777777" w:rsidR="009F6AC8" w:rsidRPr="008C72E5" w:rsidRDefault="009F6AC8" w:rsidP="00B558B7">
            <w:pPr>
              <w:pStyle w:val="TekstTabeli"/>
            </w:pPr>
            <w:r w:rsidRPr="008C72E5">
              <w:t>257</w:t>
            </w:r>
          </w:p>
        </w:tc>
        <w:tc>
          <w:tcPr>
            <w:tcW w:w="880" w:type="pct"/>
            <w:vAlign w:val="center"/>
          </w:tcPr>
          <w:p w14:paraId="1C30D37F" w14:textId="77777777" w:rsidR="009F6AC8" w:rsidRPr="008C72E5" w:rsidRDefault="009F6AC8" w:rsidP="00B558B7">
            <w:pPr>
              <w:pStyle w:val="TekstTabeli"/>
            </w:pPr>
            <w:r w:rsidRPr="008C72E5">
              <w:t>Barkas L.A., Armstrong P.-A.</w:t>
            </w:r>
          </w:p>
        </w:tc>
        <w:tc>
          <w:tcPr>
            <w:tcW w:w="1771" w:type="pct"/>
            <w:vAlign w:val="center"/>
          </w:tcPr>
          <w:p w14:paraId="182E6038" w14:textId="77777777" w:rsidR="009F6AC8" w:rsidRPr="008C72E5" w:rsidRDefault="009F6AC8" w:rsidP="00B558B7">
            <w:pPr>
              <w:pStyle w:val="TekstTabeli"/>
            </w:pPr>
            <w:r w:rsidRPr="008C72E5">
              <w:t>The price of knowledge and the wisdom of innocence: A difficult journey through the employability discourse in higher education</w:t>
            </w:r>
          </w:p>
        </w:tc>
        <w:tc>
          <w:tcPr>
            <w:tcW w:w="2052" w:type="pct"/>
            <w:vAlign w:val="center"/>
          </w:tcPr>
          <w:p w14:paraId="462DF6D8" w14:textId="77777777" w:rsidR="009F6AC8" w:rsidRPr="008C72E5" w:rsidRDefault="009F6AC8" w:rsidP="00B558B7">
            <w:pPr>
              <w:pStyle w:val="TekstTabeli"/>
            </w:pPr>
            <w:r w:rsidRPr="008C72E5">
              <w:t>(2022) Industry and Higher Education, 36 (1), pp. 51 - 62, DOI: 10.1177/09504222211016293</w:t>
            </w:r>
          </w:p>
        </w:tc>
      </w:tr>
      <w:tr w:rsidR="00C4329A" w:rsidRPr="004C10DC" w14:paraId="37B719BF" w14:textId="77777777" w:rsidTr="00C4329A">
        <w:trPr>
          <w:cantSplit/>
        </w:trPr>
        <w:tc>
          <w:tcPr>
            <w:tcW w:w="297" w:type="pct"/>
            <w:vAlign w:val="center"/>
          </w:tcPr>
          <w:p w14:paraId="45FCCA2E" w14:textId="77777777" w:rsidR="009F6AC8" w:rsidRPr="008C72E5" w:rsidRDefault="009F6AC8" w:rsidP="00B558B7">
            <w:pPr>
              <w:pStyle w:val="TekstTabeli"/>
            </w:pPr>
            <w:r w:rsidRPr="008C72E5">
              <w:t>258</w:t>
            </w:r>
          </w:p>
        </w:tc>
        <w:tc>
          <w:tcPr>
            <w:tcW w:w="880" w:type="pct"/>
            <w:vAlign w:val="center"/>
          </w:tcPr>
          <w:p w14:paraId="0DE51012" w14:textId="77777777" w:rsidR="009F6AC8" w:rsidRPr="008C72E5" w:rsidRDefault="009F6AC8" w:rsidP="00B558B7">
            <w:pPr>
              <w:pStyle w:val="TekstTabeli"/>
            </w:pPr>
            <w:r w:rsidRPr="008C72E5">
              <w:t>Xing D., Bolden B.</w:t>
            </w:r>
          </w:p>
        </w:tc>
        <w:tc>
          <w:tcPr>
            <w:tcW w:w="1771" w:type="pct"/>
            <w:vAlign w:val="center"/>
          </w:tcPr>
          <w:p w14:paraId="27A62F59" w14:textId="77777777" w:rsidR="009F6AC8" w:rsidRPr="008C72E5" w:rsidRDefault="009F6AC8" w:rsidP="00B558B7">
            <w:pPr>
              <w:pStyle w:val="TekstTabeli"/>
            </w:pPr>
            <w:r w:rsidRPr="008C72E5">
              <w:t>Learning at half capacity: The academic acculturation reality experienced by Chinese international students</w:t>
            </w:r>
          </w:p>
        </w:tc>
        <w:tc>
          <w:tcPr>
            <w:tcW w:w="2052" w:type="pct"/>
            <w:vAlign w:val="center"/>
          </w:tcPr>
          <w:p w14:paraId="2D7334A3" w14:textId="77777777" w:rsidR="009F6AC8" w:rsidRPr="008C72E5" w:rsidRDefault="009F6AC8" w:rsidP="00B558B7">
            <w:pPr>
              <w:pStyle w:val="TekstTabeli"/>
            </w:pPr>
            <w:r w:rsidRPr="008C72E5">
              <w:t>(2020) Multidisciplinary Perspectives on International Student Experience in Canadian Higher Education, pp. 41 - 61, DOI: 10.4018/978-1-7998-5030-4.ch003</w:t>
            </w:r>
          </w:p>
        </w:tc>
      </w:tr>
      <w:tr w:rsidR="00C4329A" w:rsidRPr="004C10DC" w14:paraId="72CAB993" w14:textId="77777777" w:rsidTr="00C4329A">
        <w:trPr>
          <w:cantSplit/>
        </w:trPr>
        <w:tc>
          <w:tcPr>
            <w:tcW w:w="297" w:type="pct"/>
            <w:vAlign w:val="center"/>
          </w:tcPr>
          <w:p w14:paraId="066387A3" w14:textId="77777777" w:rsidR="009F6AC8" w:rsidRPr="008C72E5" w:rsidRDefault="009F6AC8" w:rsidP="00B558B7">
            <w:pPr>
              <w:pStyle w:val="TekstTabeli"/>
            </w:pPr>
            <w:r w:rsidRPr="008C72E5">
              <w:t>259</w:t>
            </w:r>
          </w:p>
        </w:tc>
        <w:tc>
          <w:tcPr>
            <w:tcW w:w="880" w:type="pct"/>
            <w:vAlign w:val="center"/>
          </w:tcPr>
          <w:p w14:paraId="33572420" w14:textId="77777777" w:rsidR="009F6AC8" w:rsidRPr="008C72E5" w:rsidRDefault="009F6AC8" w:rsidP="00B558B7">
            <w:pPr>
              <w:pStyle w:val="TekstTabeli"/>
            </w:pPr>
            <w:proofErr w:type="spellStart"/>
            <w:r w:rsidRPr="008C72E5">
              <w:t>Tetřevová</w:t>
            </w:r>
            <w:proofErr w:type="spellEnd"/>
            <w:r w:rsidRPr="008C72E5">
              <w:t xml:space="preserve"> L., </w:t>
            </w:r>
            <w:proofErr w:type="spellStart"/>
            <w:r w:rsidRPr="008C72E5">
              <w:t>Sabolová</w:t>
            </w:r>
            <w:proofErr w:type="spellEnd"/>
            <w:r w:rsidRPr="008C72E5">
              <w:t xml:space="preserve"> V.</w:t>
            </w:r>
          </w:p>
        </w:tc>
        <w:tc>
          <w:tcPr>
            <w:tcW w:w="1771" w:type="pct"/>
            <w:vAlign w:val="center"/>
          </w:tcPr>
          <w:p w14:paraId="3111A409" w14:textId="77777777" w:rsidR="009F6AC8" w:rsidRPr="008C72E5" w:rsidRDefault="009F6AC8" w:rsidP="00B558B7">
            <w:pPr>
              <w:pStyle w:val="TekstTabeli"/>
            </w:pPr>
            <w:r w:rsidRPr="008C72E5">
              <w:t>University stakeholder management</w:t>
            </w:r>
          </w:p>
        </w:tc>
        <w:tc>
          <w:tcPr>
            <w:tcW w:w="2052" w:type="pct"/>
            <w:vAlign w:val="center"/>
          </w:tcPr>
          <w:p w14:paraId="0CCEC0E5" w14:textId="77777777" w:rsidR="009F6AC8" w:rsidRPr="008C72E5" w:rsidRDefault="009F6AC8" w:rsidP="00B558B7">
            <w:pPr>
              <w:pStyle w:val="TekstTabeli"/>
            </w:pPr>
            <w:r w:rsidRPr="008C72E5">
              <w:t>(2010) International Conference on Engineering Education and International Conference on Education and Educational Technologies - Proceedings, pp. 141 - 145, 0</w:t>
            </w:r>
          </w:p>
        </w:tc>
      </w:tr>
      <w:tr w:rsidR="00C4329A" w:rsidRPr="004C10DC" w14:paraId="4E3B4D4E" w14:textId="77777777" w:rsidTr="00C4329A">
        <w:trPr>
          <w:cantSplit/>
        </w:trPr>
        <w:tc>
          <w:tcPr>
            <w:tcW w:w="297" w:type="pct"/>
            <w:vAlign w:val="center"/>
          </w:tcPr>
          <w:p w14:paraId="663E38EE" w14:textId="77777777" w:rsidR="009F6AC8" w:rsidRPr="008C72E5" w:rsidRDefault="009F6AC8" w:rsidP="00B558B7">
            <w:pPr>
              <w:pStyle w:val="TekstTabeli"/>
            </w:pPr>
            <w:r w:rsidRPr="008C72E5">
              <w:t>260</w:t>
            </w:r>
          </w:p>
        </w:tc>
        <w:tc>
          <w:tcPr>
            <w:tcW w:w="880" w:type="pct"/>
            <w:vAlign w:val="center"/>
          </w:tcPr>
          <w:p w14:paraId="7C1AFE77" w14:textId="77777777" w:rsidR="009F6AC8" w:rsidRPr="008C72E5" w:rsidRDefault="009F6AC8" w:rsidP="00B558B7">
            <w:pPr>
              <w:pStyle w:val="TekstTabeli"/>
            </w:pPr>
            <w:r w:rsidRPr="008C72E5">
              <w:t>Kabir M.R.</w:t>
            </w:r>
          </w:p>
        </w:tc>
        <w:tc>
          <w:tcPr>
            <w:tcW w:w="1771" w:type="pct"/>
            <w:vAlign w:val="center"/>
          </w:tcPr>
          <w:p w14:paraId="32A10CAC" w14:textId="5120B60F" w:rsidR="009F6AC8" w:rsidRPr="008C72E5" w:rsidRDefault="009F6AC8" w:rsidP="00B558B7">
            <w:pPr>
              <w:pStyle w:val="TekstTabeli"/>
            </w:pPr>
            <w:r w:rsidRPr="008C72E5">
              <w:t xml:space="preserve">Impact of faculty and student readiness on virtual learning adoption amid Covid-19 </w:t>
            </w:r>
          </w:p>
        </w:tc>
        <w:tc>
          <w:tcPr>
            <w:tcW w:w="2052" w:type="pct"/>
            <w:vAlign w:val="center"/>
          </w:tcPr>
          <w:p w14:paraId="676FFC9F" w14:textId="77777777" w:rsidR="009F6AC8" w:rsidRPr="008C72E5" w:rsidRDefault="009F6AC8" w:rsidP="00B558B7">
            <w:pPr>
              <w:pStyle w:val="TekstTabeli"/>
            </w:pPr>
            <w:r w:rsidRPr="008C72E5">
              <w:t xml:space="preserve">(2020) </w:t>
            </w:r>
            <w:proofErr w:type="spellStart"/>
            <w:r w:rsidRPr="008C72E5">
              <w:t>Revista</w:t>
            </w:r>
            <w:proofErr w:type="spellEnd"/>
            <w:r w:rsidRPr="008C72E5">
              <w:t xml:space="preserve"> Internacional de </w:t>
            </w:r>
            <w:proofErr w:type="spellStart"/>
            <w:r w:rsidRPr="008C72E5">
              <w:t>Educacion</w:t>
            </w:r>
            <w:proofErr w:type="spellEnd"/>
            <w:r w:rsidRPr="008C72E5">
              <w:t xml:space="preserve"> para la Justicia Social, 9 (3), pp. 387 - 414, DOI: 10.15366/RIEJS2020.9.3.021</w:t>
            </w:r>
          </w:p>
        </w:tc>
      </w:tr>
      <w:tr w:rsidR="00C4329A" w:rsidRPr="004C10DC" w14:paraId="6A381CF7" w14:textId="77777777" w:rsidTr="00C4329A">
        <w:trPr>
          <w:cantSplit/>
        </w:trPr>
        <w:tc>
          <w:tcPr>
            <w:tcW w:w="297" w:type="pct"/>
            <w:vAlign w:val="center"/>
          </w:tcPr>
          <w:p w14:paraId="5411989B" w14:textId="77777777" w:rsidR="009F6AC8" w:rsidRPr="008C72E5" w:rsidRDefault="009F6AC8" w:rsidP="00B558B7">
            <w:pPr>
              <w:pStyle w:val="TekstTabeli"/>
            </w:pPr>
            <w:r w:rsidRPr="008C72E5">
              <w:t>261</w:t>
            </w:r>
          </w:p>
        </w:tc>
        <w:tc>
          <w:tcPr>
            <w:tcW w:w="880" w:type="pct"/>
            <w:vAlign w:val="center"/>
          </w:tcPr>
          <w:p w14:paraId="42184208" w14:textId="77777777" w:rsidR="009F6AC8" w:rsidRPr="008C72E5" w:rsidRDefault="009F6AC8" w:rsidP="00B558B7">
            <w:pPr>
              <w:pStyle w:val="TekstTabeli"/>
            </w:pPr>
            <w:proofErr w:type="spellStart"/>
            <w:r w:rsidRPr="008C72E5">
              <w:t>Pevnaya</w:t>
            </w:r>
            <w:proofErr w:type="spellEnd"/>
            <w:r w:rsidRPr="008C72E5">
              <w:t xml:space="preserve"> M.V., </w:t>
            </w:r>
            <w:proofErr w:type="spellStart"/>
            <w:r w:rsidRPr="008C72E5">
              <w:t>Shuklina</w:t>
            </w:r>
            <w:proofErr w:type="spellEnd"/>
            <w:r w:rsidRPr="008C72E5">
              <w:t xml:space="preserve"> E.A.</w:t>
            </w:r>
          </w:p>
        </w:tc>
        <w:tc>
          <w:tcPr>
            <w:tcW w:w="1771" w:type="pct"/>
            <w:vAlign w:val="center"/>
          </w:tcPr>
          <w:p w14:paraId="37AA10F0" w14:textId="77777777" w:rsidR="009F6AC8" w:rsidRPr="008C72E5" w:rsidRDefault="009F6AC8" w:rsidP="00B558B7">
            <w:pPr>
              <w:pStyle w:val="TekstTabeli"/>
            </w:pPr>
            <w:r w:rsidRPr="008C72E5">
              <w:t>Institutional traps of Russia's higher education nonlinear development</w:t>
            </w:r>
          </w:p>
        </w:tc>
        <w:tc>
          <w:tcPr>
            <w:tcW w:w="2052" w:type="pct"/>
            <w:vAlign w:val="center"/>
          </w:tcPr>
          <w:p w14:paraId="12588D79" w14:textId="77777777" w:rsidR="009F6AC8" w:rsidRPr="008C72E5" w:rsidRDefault="009F6AC8" w:rsidP="00B558B7">
            <w:pPr>
              <w:pStyle w:val="TekstTabeli"/>
            </w:pPr>
            <w:r w:rsidRPr="008C72E5">
              <w:t>(2018) Integration of Education, 22 (1), pp. 77 - 90, DOI: 10.15507/1991-9468.090.022.201801.077-090</w:t>
            </w:r>
          </w:p>
        </w:tc>
      </w:tr>
      <w:tr w:rsidR="00C4329A" w:rsidRPr="004C10DC" w14:paraId="39CB899E" w14:textId="77777777" w:rsidTr="00C4329A">
        <w:trPr>
          <w:cantSplit/>
        </w:trPr>
        <w:tc>
          <w:tcPr>
            <w:tcW w:w="297" w:type="pct"/>
            <w:vAlign w:val="center"/>
          </w:tcPr>
          <w:p w14:paraId="05BC30E9" w14:textId="77777777" w:rsidR="009F6AC8" w:rsidRPr="008C72E5" w:rsidRDefault="009F6AC8" w:rsidP="00B558B7">
            <w:pPr>
              <w:pStyle w:val="TekstTabeli"/>
            </w:pPr>
            <w:r w:rsidRPr="008C72E5">
              <w:lastRenderedPageBreak/>
              <w:t>262</w:t>
            </w:r>
          </w:p>
        </w:tc>
        <w:tc>
          <w:tcPr>
            <w:tcW w:w="880" w:type="pct"/>
            <w:vAlign w:val="center"/>
          </w:tcPr>
          <w:p w14:paraId="1FAD13D1" w14:textId="77777777" w:rsidR="009F6AC8" w:rsidRPr="008C72E5" w:rsidRDefault="009F6AC8" w:rsidP="00B558B7">
            <w:pPr>
              <w:pStyle w:val="TekstTabeli"/>
            </w:pPr>
            <w:r w:rsidRPr="008C72E5">
              <w:t>Yusuf F.A.</w:t>
            </w:r>
          </w:p>
        </w:tc>
        <w:tc>
          <w:tcPr>
            <w:tcW w:w="1771" w:type="pct"/>
            <w:vAlign w:val="center"/>
          </w:tcPr>
          <w:p w14:paraId="4DDE031B" w14:textId="08B63520" w:rsidR="009F6AC8" w:rsidRPr="008C72E5" w:rsidRDefault="009F6AC8" w:rsidP="00B558B7">
            <w:pPr>
              <w:pStyle w:val="TekstTabeli"/>
            </w:pPr>
            <w:r w:rsidRPr="008C72E5">
              <w:t xml:space="preserve">The independent campus program for higher education in </w:t>
            </w:r>
            <w:r w:rsidR="00E61495" w:rsidRPr="008C72E5">
              <w:t>Indonesia</w:t>
            </w:r>
            <w:r w:rsidRPr="008C72E5">
              <w:t>: The role of government support and the readiness of institutions, lecturers and students</w:t>
            </w:r>
          </w:p>
        </w:tc>
        <w:tc>
          <w:tcPr>
            <w:tcW w:w="2052" w:type="pct"/>
            <w:vAlign w:val="center"/>
          </w:tcPr>
          <w:p w14:paraId="5929F5E7" w14:textId="77777777" w:rsidR="009F6AC8" w:rsidRPr="008C72E5" w:rsidRDefault="009F6AC8" w:rsidP="00B558B7">
            <w:pPr>
              <w:pStyle w:val="TekstTabeli"/>
            </w:pPr>
            <w:r w:rsidRPr="008C72E5">
              <w:t>(2021) Journal of Social Studies Education Research, 12 (2), pp. 280 - 304, 0</w:t>
            </w:r>
          </w:p>
        </w:tc>
      </w:tr>
      <w:tr w:rsidR="00C4329A" w:rsidRPr="004C10DC" w14:paraId="4326068E" w14:textId="77777777" w:rsidTr="00C4329A">
        <w:trPr>
          <w:cantSplit/>
        </w:trPr>
        <w:tc>
          <w:tcPr>
            <w:tcW w:w="297" w:type="pct"/>
            <w:vAlign w:val="center"/>
          </w:tcPr>
          <w:p w14:paraId="506B3F0D" w14:textId="77777777" w:rsidR="009F6AC8" w:rsidRPr="008C72E5" w:rsidRDefault="009F6AC8" w:rsidP="00B558B7">
            <w:pPr>
              <w:pStyle w:val="TekstTabeli"/>
            </w:pPr>
            <w:r w:rsidRPr="008C72E5">
              <w:t>263</w:t>
            </w:r>
          </w:p>
        </w:tc>
        <w:tc>
          <w:tcPr>
            <w:tcW w:w="880" w:type="pct"/>
            <w:vAlign w:val="center"/>
          </w:tcPr>
          <w:p w14:paraId="3D5EA898" w14:textId="77777777" w:rsidR="009F6AC8" w:rsidRPr="008C72E5" w:rsidRDefault="009F6AC8" w:rsidP="00B558B7">
            <w:pPr>
              <w:pStyle w:val="TekstTabeli"/>
            </w:pPr>
            <w:r w:rsidRPr="008C72E5">
              <w:t>Vargas V.R., Paucar-Caceres A., Haley D.</w:t>
            </w:r>
          </w:p>
        </w:tc>
        <w:tc>
          <w:tcPr>
            <w:tcW w:w="1771" w:type="pct"/>
            <w:vAlign w:val="center"/>
          </w:tcPr>
          <w:p w14:paraId="7376A502" w14:textId="77777777" w:rsidR="009F6AC8" w:rsidRPr="008C72E5" w:rsidRDefault="009F6AC8" w:rsidP="00B558B7">
            <w:pPr>
              <w:pStyle w:val="TekstTabeli"/>
            </w:pPr>
            <w:r w:rsidRPr="008C72E5">
              <w:t>The role of higher education stakeholder networks for sustainable development: A systems perspective</w:t>
            </w:r>
          </w:p>
        </w:tc>
        <w:tc>
          <w:tcPr>
            <w:tcW w:w="2052" w:type="pct"/>
            <w:vAlign w:val="center"/>
          </w:tcPr>
          <w:p w14:paraId="29A53D1B" w14:textId="77777777" w:rsidR="009F6AC8" w:rsidRPr="008C72E5" w:rsidRDefault="009F6AC8" w:rsidP="00B558B7">
            <w:pPr>
              <w:pStyle w:val="TekstTabeli"/>
            </w:pPr>
            <w:r w:rsidRPr="008C72E5">
              <w:t>(2021) World Sustainability Series, pp. 123 - 139, DOI: 10.1007/978-3-030-63399-8_9</w:t>
            </w:r>
          </w:p>
        </w:tc>
      </w:tr>
      <w:tr w:rsidR="00C4329A" w:rsidRPr="004C10DC" w14:paraId="0A0932CB" w14:textId="77777777" w:rsidTr="00C4329A">
        <w:trPr>
          <w:cantSplit/>
        </w:trPr>
        <w:tc>
          <w:tcPr>
            <w:tcW w:w="297" w:type="pct"/>
            <w:vAlign w:val="center"/>
          </w:tcPr>
          <w:p w14:paraId="24D655F2" w14:textId="77777777" w:rsidR="009F6AC8" w:rsidRPr="008C72E5" w:rsidRDefault="009F6AC8" w:rsidP="00B558B7">
            <w:pPr>
              <w:pStyle w:val="TekstTabeli"/>
            </w:pPr>
            <w:r w:rsidRPr="008C72E5">
              <w:t>264</w:t>
            </w:r>
          </w:p>
        </w:tc>
        <w:tc>
          <w:tcPr>
            <w:tcW w:w="880" w:type="pct"/>
            <w:vAlign w:val="center"/>
          </w:tcPr>
          <w:p w14:paraId="4DABEF05" w14:textId="1DD7F084" w:rsidR="009F6AC8" w:rsidRPr="008C72E5" w:rsidRDefault="009F6AC8" w:rsidP="00B558B7">
            <w:pPr>
              <w:pStyle w:val="TekstTabeli"/>
            </w:pPr>
            <w:r w:rsidRPr="008C72E5">
              <w:t xml:space="preserve">Verhoef L., </w:t>
            </w:r>
            <w:proofErr w:type="spellStart"/>
            <w:r w:rsidRPr="008C72E5">
              <w:t>Graamans</w:t>
            </w:r>
            <w:proofErr w:type="spellEnd"/>
            <w:r w:rsidRPr="008C72E5">
              <w:t xml:space="preserve"> L., </w:t>
            </w:r>
            <w:proofErr w:type="spellStart"/>
            <w:r w:rsidRPr="008C72E5">
              <w:t>Gioutsos</w:t>
            </w:r>
            <w:proofErr w:type="spellEnd"/>
            <w:r w:rsidRPr="008C72E5">
              <w:t xml:space="preserve"> D., </w:t>
            </w:r>
            <w:proofErr w:type="spellStart"/>
            <w:r w:rsidR="00A147A1" w:rsidRPr="008C72E5">
              <w:t>i</w:t>
            </w:r>
            <w:proofErr w:type="spellEnd"/>
            <w:r w:rsidR="00A147A1" w:rsidRPr="008C72E5">
              <w:t> in.</w:t>
            </w:r>
          </w:p>
        </w:tc>
        <w:tc>
          <w:tcPr>
            <w:tcW w:w="1771" w:type="pct"/>
            <w:vAlign w:val="center"/>
          </w:tcPr>
          <w:p w14:paraId="57FD5EF1" w14:textId="77777777" w:rsidR="009F6AC8" w:rsidRPr="008C72E5" w:rsidRDefault="009F6AC8" w:rsidP="00B558B7">
            <w:pPr>
              <w:pStyle w:val="TekstTabeli"/>
            </w:pPr>
            <w:proofErr w:type="spellStart"/>
            <w:r w:rsidRPr="008C72E5">
              <w:t>Showhow</w:t>
            </w:r>
            <w:proofErr w:type="spellEnd"/>
            <w:r w:rsidRPr="008C72E5">
              <w:t>: A flexible, structured approach to commit university stakeholders to sustainable development</w:t>
            </w:r>
          </w:p>
        </w:tc>
        <w:tc>
          <w:tcPr>
            <w:tcW w:w="2052" w:type="pct"/>
            <w:vAlign w:val="center"/>
          </w:tcPr>
          <w:p w14:paraId="2E30325F" w14:textId="77777777" w:rsidR="009F6AC8" w:rsidRPr="008C72E5" w:rsidRDefault="009F6AC8" w:rsidP="00B558B7">
            <w:pPr>
              <w:pStyle w:val="TekstTabeli"/>
            </w:pPr>
            <w:r w:rsidRPr="008C72E5">
              <w:t>(2017) World Sustainability Series, pp. 491 - 508, DOI: 10.1007/978-3-319-47877-7_33</w:t>
            </w:r>
          </w:p>
        </w:tc>
      </w:tr>
      <w:tr w:rsidR="00C4329A" w:rsidRPr="004C10DC" w14:paraId="5A0D5242" w14:textId="77777777" w:rsidTr="00C4329A">
        <w:trPr>
          <w:cantSplit/>
        </w:trPr>
        <w:tc>
          <w:tcPr>
            <w:tcW w:w="297" w:type="pct"/>
            <w:vAlign w:val="center"/>
          </w:tcPr>
          <w:p w14:paraId="1DEE45C7" w14:textId="77777777" w:rsidR="009F6AC8" w:rsidRPr="008C72E5" w:rsidRDefault="009F6AC8" w:rsidP="00B558B7">
            <w:pPr>
              <w:pStyle w:val="TekstTabeli"/>
            </w:pPr>
            <w:r w:rsidRPr="008C72E5">
              <w:t>265</w:t>
            </w:r>
          </w:p>
        </w:tc>
        <w:tc>
          <w:tcPr>
            <w:tcW w:w="880" w:type="pct"/>
            <w:vAlign w:val="center"/>
          </w:tcPr>
          <w:p w14:paraId="58F7A754" w14:textId="4D2C9F8F" w:rsidR="009F6AC8" w:rsidRPr="008C72E5" w:rsidRDefault="009F6AC8" w:rsidP="00B558B7">
            <w:pPr>
              <w:pStyle w:val="TekstTabeli"/>
            </w:pPr>
            <w:r w:rsidRPr="008C72E5">
              <w:t xml:space="preserve">Schüller D., </w:t>
            </w:r>
            <w:proofErr w:type="spellStart"/>
            <w:r w:rsidRPr="008C72E5">
              <w:t>Chlebovský</w:t>
            </w:r>
            <w:proofErr w:type="spellEnd"/>
            <w:r w:rsidRPr="008C72E5">
              <w:t xml:space="preserve"> V., </w:t>
            </w:r>
            <w:proofErr w:type="spellStart"/>
            <w:r w:rsidR="00A147A1" w:rsidRPr="008C72E5">
              <w:t>i</w:t>
            </w:r>
            <w:proofErr w:type="spellEnd"/>
            <w:r w:rsidR="00A147A1" w:rsidRPr="008C72E5">
              <w:t> in.</w:t>
            </w:r>
          </w:p>
        </w:tc>
        <w:tc>
          <w:tcPr>
            <w:tcW w:w="1771" w:type="pct"/>
            <w:vAlign w:val="center"/>
          </w:tcPr>
          <w:p w14:paraId="2FDB18A9" w14:textId="77777777" w:rsidR="009F6AC8" w:rsidRPr="008C72E5" w:rsidRDefault="009F6AC8" w:rsidP="00B558B7">
            <w:pPr>
              <w:pStyle w:val="TekstTabeli"/>
            </w:pPr>
            <w:r w:rsidRPr="008C72E5">
              <w:t>The conceptual scheme for managing university stakeholders' satisfaction</w:t>
            </w:r>
          </w:p>
        </w:tc>
        <w:tc>
          <w:tcPr>
            <w:tcW w:w="2052" w:type="pct"/>
            <w:vAlign w:val="center"/>
          </w:tcPr>
          <w:p w14:paraId="034DC864" w14:textId="77777777" w:rsidR="009F6AC8" w:rsidRPr="008C72E5" w:rsidRDefault="009F6AC8" w:rsidP="00B558B7">
            <w:pPr>
              <w:pStyle w:val="TekstTabeli"/>
            </w:pPr>
            <w:r w:rsidRPr="008C72E5">
              <w:t xml:space="preserve">(2014) Acta Universitatis </w:t>
            </w:r>
            <w:proofErr w:type="spellStart"/>
            <w:r w:rsidRPr="008C72E5">
              <w:t>Agriculturae</w:t>
            </w:r>
            <w:proofErr w:type="spellEnd"/>
            <w:r w:rsidRPr="008C72E5">
              <w:t xml:space="preserve"> et </w:t>
            </w:r>
            <w:proofErr w:type="spellStart"/>
            <w:r w:rsidRPr="008C72E5">
              <w:t>Silviculturae</w:t>
            </w:r>
            <w:proofErr w:type="spellEnd"/>
            <w:r w:rsidRPr="008C72E5">
              <w:t xml:space="preserve"> </w:t>
            </w:r>
            <w:proofErr w:type="spellStart"/>
            <w:r w:rsidRPr="008C72E5">
              <w:t>Mendelianae</w:t>
            </w:r>
            <w:proofErr w:type="spellEnd"/>
            <w:r w:rsidRPr="008C72E5">
              <w:t xml:space="preserve"> </w:t>
            </w:r>
            <w:proofErr w:type="spellStart"/>
            <w:r w:rsidRPr="008C72E5">
              <w:t>Brunensis</w:t>
            </w:r>
            <w:proofErr w:type="spellEnd"/>
            <w:r w:rsidRPr="008C72E5">
              <w:t>, 62 (4), pp. 719 - 727, DOI: 10.11118/actaun201462040719</w:t>
            </w:r>
          </w:p>
        </w:tc>
      </w:tr>
      <w:tr w:rsidR="00C4329A" w:rsidRPr="004C10DC" w14:paraId="0B2A5DE4" w14:textId="77777777" w:rsidTr="00C4329A">
        <w:trPr>
          <w:cantSplit/>
        </w:trPr>
        <w:tc>
          <w:tcPr>
            <w:tcW w:w="297" w:type="pct"/>
            <w:vAlign w:val="center"/>
          </w:tcPr>
          <w:p w14:paraId="4C199514" w14:textId="77777777" w:rsidR="009F6AC8" w:rsidRPr="008C72E5" w:rsidRDefault="009F6AC8" w:rsidP="00B558B7">
            <w:pPr>
              <w:pStyle w:val="TekstTabeli"/>
            </w:pPr>
            <w:r w:rsidRPr="008C72E5">
              <w:t>266</w:t>
            </w:r>
          </w:p>
        </w:tc>
        <w:tc>
          <w:tcPr>
            <w:tcW w:w="880" w:type="pct"/>
            <w:vAlign w:val="center"/>
          </w:tcPr>
          <w:p w14:paraId="0C790EB7" w14:textId="77777777" w:rsidR="009F6AC8" w:rsidRPr="008C72E5" w:rsidRDefault="009F6AC8" w:rsidP="00B558B7">
            <w:pPr>
              <w:pStyle w:val="TekstTabeli"/>
            </w:pPr>
            <w:r w:rsidRPr="008C72E5">
              <w:t xml:space="preserve">Addas A., </w:t>
            </w:r>
            <w:proofErr w:type="spellStart"/>
            <w:r w:rsidRPr="008C72E5">
              <w:t>Maghrabi</w:t>
            </w:r>
            <w:proofErr w:type="spellEnd"/>
            <w:r w:rsidRPr="008C72E5">
              <w:t xml:space="preserve"> A.</w:t>
            </w:r>
          </w:p>
        </w:tc>
        <w:tc>
          <w:tcPr>
            <w:tcW w:w="1771" w:type="pct"/>
            <w:vAlign w:val="center"/>
          </w:tcPr>
          <w:p w14:paraId="1B362BEB" w14:textId="77777777" w:rsidR="009F6AC8" w:rsidRPr="008C72E5" w:rsidRDefault="009F6AC8" w:rsidP="00B558B7">
            <w:pPr>
              <w:pStyle w:val="TekstTabeli"/>
            </w:pPr>
            <w:r w:rsidRPr="008C72E5">
              <w:t>Social evaluation of public open space services and their impact on well-being: A micro-scale assessment from a Coastal University</w:t>
            </w:r>
          </w:p>
        </w:tc>
        <w:tc>
          <w:tcPr>
            <w:tcW w:w="2052" w:type="pct"/>
            <w:vAlign w:val="center"/>
          </w:tcPr>
          <w:p w14:paraId="083F9B02" w14:textId="77777777" w:rsidR="009F6AC8" w:rsidRPr="008C72E5" w:rsidRDefault="009F6AC8" w:rsidP="00B558B7">
            <w:pPr>
              <w:pStyle w:val="TekstTabeli"/>
            </w:pPr>
            <w:r w:rsidRPr="008C72E5">
              <w:t>(2021) Sustainability (Switzerland), 13 (8), art. no. 4372, DOI: 10.3390/su13084372</w:t>
            </w:r>
          </w:p>
        </w:tc>
      </w:tr>
      <w:tr w:rsidR="00C4329A" w:rsidRPr="004C10DC" w14:paraId="2B9B1BB3" w14:textId="77777777" w:rsidTr="00C4329A">
        <w:trPr>
          <w:cantSplit/>
        </w:trPr>
        <w:tc>
          <w:tcPr>
            <w:tcW w:w="297" w:type="pct"/>
            <w:vAlign w:val="center"/>
          </w:tcPr>
          <w:p w14:paraId="7360B636" w14:textId="77777777" w:rsidR="009F6AC8" w:rsidRPr="008C72E5" w:rsidRDefault="009F6AC8" w:rsidP="00B558B7">
            <w:pPr>
              <w:pStyle w:val="TekstTabeli"/>
            </w:pPr>
            <w:r w:rsidRPr="008C72E5">
              <w:t>267</w:t>
            </w:r>
          </w:p>
        </w:tc>
        <w:tc>
          <w:tcPr>
            <w:tcW w:w="880" w:type="pct"/>
            <w:vAlign w:val="center"/>
          </w:tcPr>
          <w:p w14:paraId="603B3345" w14:textId="77777777" w:rsidR="009F6AC8" w:rsidRPr="008C72E5" w:rsidRDefault="009F6AC8" w:rsidP="00B558B7">
            <w:pPr>
              <w:pStyle w:val="TekstTabeli"/>
            </w:pPr>
            <w:r w:rsidRPr="008C72E5">
              <w:t>Cook E.J.</w:t>
            </w:r>
          </w:p>
        </w:tc>
        <w:tc>
          <w:tcPr>
            <w:tcW w:w="1771" w:type="pct"/>
            <w:vAlign w:val="center"/>
          </w:tcPr>
          <w:p w14:paraId="5A2ACF6E" w14:textId="77777777" w:rsidR="009F6AC8" w:rsidRPr="008C72E5" w:rsidRDefault="009F6AC8" w:rsidP="00B558B7">
            <w:pPr>
              <w:pStyle w:val="TekstTabeli"/>
            </w:pPr>
            <w:r w:rsidRPr="008C72E5">
              <w:t>Evaluation of work-integrated learning: A realist synthesis and toolkit to enhance university evaluative practices</w:t>
            </w:r>
          </w:p>
        </w:tc>
        <w:tc>
          <w:tcPr>
            <w:tcW w:w="2052" w:type="pct"/>
            <w:vAlign w:val="center"/>
          </w:tcPr>
          <w:p w14:paraId="3764A858" w14:textId="77777777" w:rsidR="009F6AC8" w:rsidRPr="008C72E5" w:rsidRDefault="009F6AC8" w:rsidP="00B558B7">
            <w:pPr>
              <w:pStyle w:val="TekstTabeli"/>
            </w:pPr>
            <w:r w:rsidRPr="008C72E5">
              <w:t>(2021) International Journal of Work-Integrated Learning, 22 (3), pp. 213 - 239, 0</w:t>
            </w:r>
          </w:p>
        </w:tc>
      </w:tr>
      <w:tr w:rsidR="00C4329A" w:rsidRPr="004C10DC" w14:paraId="09B25F30" w14:textId="77777777" w:rsidTr="00C4329A">
        <w:trPr>
          <w:cantSplit/>
        </w:trPr>
        <w:tc>
          <w:tcPr>
            <w:tcW w:w="297" w:type="pct"/>
            <w:vAlign w:val="center"/>
          </w:tcPr>
          <w:p w14:paraId="788272CC" w14:textId="77777777" w:rsidR="009F6AC8" w:rsidRPr="008C72E5" w:rsidRDefault="009F6AC8" w:rsidP="00B558B7">
            <w:pPr>
              <w:pStyle w:val="TekstTabeli"/>
            </w:pPr>
            <w:r w:rsidRPr="008C72E5">
              <w:t>268</w:t>
            </w:r>
          </w:p>
        </w:tc>
        <w:tc>
          <w:tcPr>
            <w:tcW w:w="880" w:type="pct"/>
            <w:vAlign w:val="center"/>
          </w:tcPr>
          <w:p w14:paraId="3F7AF4F8" w14:textId="77777777" w:rsidR="009F6AC8" w:rsidRPr="008C72E5" w:rsidRDefault="009F6AC8" w:rsidP="00B558B7">
            <w:pPr>
              <w:pStyle w:val="TekstTabeli"/>
            </w:pPr>
            <w:r w:rsidRPr="008C72E5">
              <w:t xml:space="preserve">Nguyen T.D., </w:t>
            </w:r>
            <w:proofErr w:type="spellStart"/>
            <w:r w:rsidRPr="008C72E5">
              <w:t>Shirahada</w:t>
            </w:r>
            <w:proofErr w:type="spellEnd"/>
            <w:r w:rsidRPr="008C72E5">
              <w:t xml:space="preserve"> K., Kosaka M.</w:t>
            </w:r>
          </w:p>
        </w:tc>
        <w:tc>
          <w:tcPr>
            <w:tcW w:w="1771" w:type="pct"/>
            <w:vAlign w:val="center"/>
          </w:tcPr>
          <w:p w14:paraId="6B14A77B" w14:textId="77777777" w:rsidR="009F6AC8" w:rsidRPr="008C72E5" w:rsidRDefault="009F6AC8" w:rsidP="00B558B7">
            <w:pPr>
              <w:pStyle w:val="TekstTabeli"/>
            </w:pPr>
            <w:r w:rsidRPr="008C72E5">
              <w:t>A consideration on university branding based on SDL (Service Dominant Logic): The lens of stakeholders' value co-creation</w:t>
            </w:r>
          </w:p>
        </w:tc>
        <w:tc>
          <w:tcPr>
            <w:tcW w:w="2052" w:type="pct"/>
            <w:vAlign w:val="center"/>
          </w:tcPr>
          <w:p w14:paraId="126A0E46" w14:textId="77777777" w:rsidR="009F6AC8" w:rsidRPr="008C72E5" w:rsidRDefault="009F6AC8" w:rsidP="00B558B7">
            <w:pPr>
              <w:pStyle w:val="TekstTabeli"/>
            </w:pPr>
            <w:r w:rsidRPr="008C72E5">
              <w:t>(2012) 2012 9th International Conference on Service Systems and Service Management - Proceedings of ICSSSM'12, art. no. 6252346, pp. 779 - 784, DOI: 10.1109/ICSSSM.2012.6252346</w:t>
            </w:r>
          </w:p>
        </w:tc>
      </w:tr>
      <w:tr w:rsidR="00C4329A" w:rsidRPr="004C10DC" w14:paraId="7E96A778" w14:textId="77777777" w:rsidTr="00C4329A">
        <w:trPr>
          <w:cantSplit/>
        </w:trPr>
        <w:tc>
          <w:tcPr>
            <w:tcW w:w="297" w:type="pct"/>
            <w:vAlign w:val="center"/>
          </w:tcPr>
          <w:p w14:paraId="1AFA5A0E" w14:textId="77777777" w:rsidR="009F6AC8" w:rsidRPr="008C72E5" w:rsidRDefault="009F6AC8" w:rsidP="00B558B7">
            <w:pPr>
              <w:pStyle w:val="TekstTabeli"/>
            </w:pPr>
            <w:r w:rsidRPr="008C72E5">
              <w:t>269</w:t>
            </w:r>
          </w:p>
        </w:tc>
        <w:tc>
          <w:tcPr>
            <w:tcW w:w="880" w:type="pct"/>
            <w:vAlign w:val="center"/>
          </w:tcPr>
          <w:p w14:paraId="115D859C" w14:textId="77777777" w:rsidR="009F6AC8" w:rsidRPr="008C72E5" w:rsidRDefault="009F6AC8" w:rsidP="00B558B7">
            <w:pPr>
              <w:pStyle w:val="TekstTabeli"/>
            </w:pPr>
            <w:proofErr w:type="spellStart"/>
            <w:r w:rsidRPr="008C72E5">
              <w:t>Cavenett</w:t>
            </w:r>
            <w:proofErr w:type="spellEnd"/>
            <w:r w:rsidRPr="008C72E5">
              <w:t xml:space="preserve"> S.</w:t>
            </w:r>
          </w:p>
        </w:tc>
        <w:tc>
          <w:tcPr>
            <w:tcW w:w="1771" w:type="pct"/>
            <w:vAlign w:val="center"/>
          </w:tcPr>
          <w:p w14:paraId="4BDB5FD4" w14:textId="77777777" w:rsidR="009F6AC8" w:rsidRPr="008C72E5" w:rsidRDefault="009F6AC8" w:rsidP="00B558B7">
            <w:pPr>
              <w:pStyle w:val="TekstTabeli"/>
            </w:pPr>
            <w:r w:rsidRPr="008C72E5">
              <w:t>Authentically enhancing the learning and development environment</w:t>
            </w:r>
          </w:p>
        </w:tc>
        <w:tc>
          <w:tcPr>
            <w:tcW w:w="2052" w:type="pct"/>
            <w:vAlign w:val="center"/>
          </w:tcPr>
          <w:p w14:paraId="39F81DA9" w14:textId="77777777" w:rsidR="009F6AC8" w:rsidRPr="008C72E5" w:rsidRDefault="009F6AC8" w:rsidP="00B558B7">
            <w:pPr>
              <w:pStyle w:val="TekstTabeli"/>
            </w:pPr>
            <w:r w:rsidRPr="008C72E5">
              <w:t>(2017) Australasian Journal of Engineering Education, 22 (1), pp. 39 - 53, DOI: 10.1080/22054952.2017.1372031</w:t>
            </w:r>
          </w:p>
        </w:tc>
      </w:tr>
      <w:tr w:rsidR="00C4329A" w:rsidRPr="004C10DC" w14:paraId="105FF814" w14:textId="77777777" w:rsidTr="00C4329A">
        <w:trPr>
          <w:cantSplit/>
        </w:trPr>
        <w:tc>
          <w:tcPr>
            <w:tcW w:w="297" w:type="pct"/>
            <w:vAlign w:val="center"/>
          </w:tcPr>
          <w:p w14:paraId="74A3A6F1" w14:textId="77777777" w:rsidR="009F6AC8" w:rsidRPr="008C72E5" w:rsidRDefault="009F6AC8" w:rsidP="00B558B7">
            <w:pPr>
              <w:pStyle w:val="TekstTabeli"/>
            </w:pPr>
            <w:r w:rsidRPr="008C72E5">
              <w:t>270</w:t>
            </w:r>
          </w:p>
        </w:tc>
        <w:tc>
          <w:tcPr>
            <w:tcW w:w="880" w:type="pct"/>
            <w:vAlign w:val="center"/>
          </w:tcPr>
          <w:p w14:paraId="45487199" w14:textId="77777777" w:rsidR="009F6AC8" w:rsidRPr="008C72E5" w:rsidRDefault="009F6AC8" w:rsidP="00B558B7">
            <w:pPr>
              <w:pStyle w:val="TekstTabeli"/>
            </w:pPr>
            <w:r w:rsidRPr="008C72E5">
              <w:t xml:space="preserve">Parsons L.M., </w:t>
            </w:r>
            <w:proofErr w:type="spellStart"/>
            <w:r w:rsidRPr="008C72E5">
              <w:t>Reitenga</w:t>
            </w:r>
            <w:proofErr w:type="spellEnd"/>
            <w:r w:rsidRPr="008C72E5">
              <w:t xml:space="preserve"> A.L.</w:t>
            </w:r>
          </w:p>
        </w:tc>
        <w:tc>
          <w:tcPr>
            <w:tcW w:w="1771" w:type="pct"/>
            <w:vAlign w:val="center"/>
          </w:tcPr>
          <w:p w14:paraId="073AD2C7" w14:textId="77777777" w:rsidR="009F6AC8" w:rsidRPr="008C72E5" w:rsidRDefault="009F6AC8" w:rsidP="00B558B7">
            <w:pPr>
              <w:pStyle w:val="TekstTabeli"/>
            </w:pPr>
            <w:r w:rsidRPr="008C72E5">
              <w:t>College and university president pay and future performance</w:t>
            </w:r>
          </w:p>
        </w:tc>
        <w:tc>
          <w:tcPr>
            <w:tcW w:w="2052" w:type="pct"/>
            <w:vAlign w:val="center"/>
          </w:tcPr>
          <w:p w14:paraId="76B4C7C0" w14:textId="77777777" w:rsidR="009F6AC8" w:rsidRPr="008C72E5" w:rsidRDefault="009F6AC8" w:rsidP="00B558B7">
            <w:pPr>
              <w:pStyle w:val="TekstTabeli"/>
            </w:pPr>
            <w:r w:rsidRPr="008C72E5">
              <w:t>(2014) Accounting Horizons, 28 (1), pp. 125 - 142, DOI: 10.2308/acch-50660</w:t>
            </w:r>
          </w:p>
        </w:tc>
      </w:tr>
      <w:tr w:rsidR="00C4329A" w:rsidRPr="004C10DC" w14:paraId="2E98E954" w14:textId="77777777" w:rsidTr="00C4329A">
        <w:trPr>
          <w:cantSplit/>
        </w:trPr>
        <w:tc>
          <w:tcPr>
            <w:tcW w:w="297" w:type="pct"/>
            <w:vAlign w:val="center"/>
          </w:tcPr>
          <w:p w14:paraId="4CBCDD53" w14:textId="77777777" w:rsidR="009F6AC8" w:rsidRPr="008C72E5" w:rsidRDefault="009F6AC8" w:rsidP="00B558B7">
            <w:pPr>
              <w:pStyle w:val="TekstTabeli"/>
            </w:pPr>
            <w:r w:rsidRPr="008C72E5">
              <w:t>271</w:t>
            </w:r>
          </w:p>
        </w:tc>
        <w:tc>
          <w:tcPr>
            <w:tcW w:w="880" w:type="pct"/>
            <w:vAlign w:val="center"/>
          </w:tcPr>
          <w:p w14:paraId="04838CA0" w14:textId="77777777" w:rsidR="009F6AC8" w:rsidRPr="008C72E5" w:rsidRDefault="009F6AC8" w:rsidP="00B558B7">
            <w:pPr>
              <w:pStyle w:val="TekstTabeli"/>
            </w:pPr>
            <w:proofErr w:type="spellStart"/>
            <w:r w:rsidRPr="008C72E5">
              <w:t>Kefalaki</w:t>
            </w:r>
            <w:proofErr w:type="spellEnd"/>
            <w:r w:rsidRPr="008C72E5">
              <w:t xml:space="preserve"> M.</w:t>
            </w:r>
          </w:p>
        </w:tc>
        <w:tc>
          <w:tcPr>
            <w:tcW w:w="1771" w:type="pct"/>
            <w:vAlign w:val="center"/>
          </w:tcPr>
          <w:p w14:paraId="45B696F0" w14:textId="77777777" w:rsidR="009F6AC8" w:rsidRPr="008C72E5" w:rsidRDefault="009F6AC8" w:rsidP="00B558B7">
            <w:pPr>
              <w:pStyle w:val="TekstTabeli"/>
            </w:pPr>
            <w:r w:rsidRPr="008C72E5">
              <w:t>Communicating through music: a tool for students’ inspirational development</w:t>
            </w:r>
          </w:p>
        </w:tc>
        <w:tc>
          <w:tcPr>
            <w:tcW w:w="2052" w:type="pct"/>
            <w:vAlign w:val="center"/>
          </w:tcPr>
          <w:p w14:paraId="08C9539A" w14:textId="77777777" w:rsidR="009F6AC8" w:rsidRPr="008C72E5" w:rsidRDefault="009F6AC8" w:rsidP="00B558B7">
            <w:pPr>
              <w:pStyle w:val="TekstTabeli"/>
            </w:pPr>
            <w:r w:rsidRPr="008C72E5">
              <w:t>(2021) Journal of Applied Learning and Teaching, 4 (2), pp. 135 - 141, DOI: 10.37074/jalt.2021.4.2.18</w:t>
            </w:r>
          </w:p>
        </w:tc>
      </w:tr>
      <w:tr w:rsidR="00C4329A" w:rsidRPr="004C10DC" w14:paraId="0E46396E" w14:textId="77777777" w:rsidTr="00C4329A">
        <w:trPr>
          <w:cantSplit/>
        </w:trPr>
        <w:tc>
          <w:tcPr>
            <w:tcW w:w="297" w:type="pct"/>
            <w:vAlign w:val="center"/>
          </w:tcPr>
          <w:p w14:paraId="3B3BFFB3" w14:textId="77777777" w:rsidR="009F6AC8" w:rsidRPr="008C72E5" w:rsidRDefault="009F6AC8" w:rsidP="00B558B7">
            <w:pPr>
              <w:pStyle w:val="TekstTabeli"/>
            </w:pPr>
            <w:r w:rsidRPr="008C72E5">
              <w:t>272</w:t>
            </w:r>
          </w:p>
        </w:tc>
        <w:tc>
          <w:tcPr>
            <w:tcW w:w="880" w:type="pct"/>
            <w:vAlign w:val="center"/>
          </w:tcPr>
          <w:p w14:paraId="07CD5B1C" w14:textId="77777777" w:rsidR="009F6AC8" w:rsidRPr="008C72E5" w:rsidRDefault="009F6AC8" w:rsidP="00B558B7">
            <w:pPr>
              <w:pStyle w:val="TekstTabeli"/>
            </w:pPr>
            <w:r w:rsidRPr="008C72E5">
              <w:t>Li K.C., Ye C.J., Wong B.T.-M.</w:t>
            </w:r>
          </w:p>
        </w:tc>
        <w:tc>
          <w:tcPr>
            <w:tcW w:w="1771" w:type="pct"/>
            <w:vAlign w:val="center"/>
          </w:tcPr>
          <w:p w14:paraId="6C2CF5EB" w14:textId="77777777" w:rsidR="009F6AC8" w:rsidRPr="008C72E5" w:rsidRDefault="009F6AC8" w:rsidP="00B558B7">
            <w:pPr>
              <w:pStyle w:val="TekstTabeli"/>
            </w:pPr>
            <w:r w:rsidRPr="008C72E5">
              <w:t>Status of learning analytics in Asia: Perspectives of higher education stakeholders</w:t>
            </w:r>
          </w:p>
        </w:tc>
        <w:tc>
          <w:tcPr>
            <w:tcW w:w="2052" w:type="pct"/>
            <w:vAlign w:val="center"/>
          </w:tcPr>
          <w:p w14:paraId="13E333C8" w14:textId="77777777" w:rsidR="009F6AC8" w:rsidRPr="008C72E5" w:rsidRDefault="009F6AC8" w:rsidP="00B558B7">
            <w:pPr>
              <w:pStyle w:val="TekstTabeli"/>
            </w:pPr>
            <w:r w:rsidRPr="008C72E5">
              <w:t>(2018) Communications in Computer and Information Science, 843, pp. 267 - 275, DOI: 10.1007/978-981-13-0008-0_25</w:t>
            </w:r>
          </w:p>
        </w:tc>
      </w:tr>
      <w:tr w:rsidR="00C4329A" w:rsidRPr="004C10DC" w14:paraId="4690379F" w14:textId="77777777" w:rsidTr="00C4329A">
        <w:trPr>
          <w:cantSplit/>
        </w:trPr>
        <w:tc>
          <w:tcPr>
            <w:tcW w:w="297" w:type="pct"/>
            <w:vAlign w:val="center"/>
          </w:tcPr>
          <w:p w14:paraId="3715E629" w14:textId="77777777" w:rsidR="009F6AC8" w:rsidRPr="008C72E5" w:rsidRDefault="009F6AC8" w:rsidP="00B558B7">
            <w:pPr>
              <w:pStyle w:val="TekstTabeli"/>
            </w:pPr>
            <w:r w:rsidRPr="008C72E5">
              <w:t>273</w:t>
            </w:r>
          </w:p>
        </w:tc>
        <w:tc>
          <w:tcPr>
            <w:tcW w:w="880" w:type="pct"/>
            <w:vAlign w:val="center"/>
          </w:tcPr>
          <w:p w14:paraId="5E2B8B62" w14:textId="77777777" w:rsidR="009F6AC8" w:rsidRPr="008C72E5" w:rsidRDefault="009F6AC8" w:rsidP="00B558B7">
            <w:pPr>
              <w:pStyle w:val="TekstTabeli"/>
            </w:pPr>
            <w:r w:rsidRPr="008C72E5">
              <w:t>Stokes S.Y., Miller D.</w:t>
            </w:r>
          </w:p>
        </w:tc>
        <w:tc>
          <w:tcPr>
            <w:tcW w:w="1771" w:type="pct"/>
            <w:vAlign w:val="center"/>
          </w:tcPr>
          <w:p w14:paraId="478F1C4C" w14:textId="2353347A" w:rsidR="009F6AC8" w:rsidRPr="008C72E5" w:rsidRDefault="009F6AC8" w:rsidP="00B558B7">
            <w:pPr>
              <w:pStyle w:val="TekstTabeli"/>
            </w:pPr>
            <w:r w:rsidRPr="008C72E5">
              <w:t>Remembering “the black bruins</w:t>
            </w:r>
            <w:r w:rsidR="00E61495" w:rsidRPr="008C72E5">
              <w:rPr>
                <w:rFonts w:ascii="Tahoma" w:hAnsi="Tahoma" w:cs="Tahoma"/>
              </w:rPr>
              <w:t>”</w:t>
            </w:r>
            <w:r w:rsidRPr="008C72E5">
              <w:t xml:space="preserve">? a case study of supporting student activists at </w:t>
            </w:r>
            <w:r w:rsidR="00E61495" w:rsidRPr="008C72E5">
              <w:t>UCLA</w:t>
            </w:r>
          </w:p>
        </w:tc>
        <w:tc>
          <w:tcPr>
            <w:tcW w:w="2052" w:type="pct"/>
            <w:vAlign w:val="center"/>
          </w:tcPr>
          <w:p w14:paraId="583D6673" w14:textId="77777777" w:rsidR="009F6AC8" w:rsidRPr="008C72E5" w:rsidRDefault="009F6AC8" w:rsidP="00B558B7">
            <w:pPr>
              <w:pStyle w:val="TekstTabeli"/>
            </w:pPr>
            <w:r w:rsidRPr="008C72E5">
              <w:t>(2019) Student Activism, Politics, and Campus Climate in Higher Education, pp. 143 - 163, DOI: 10.4324/9780429449178-9</w:t>
            </w:r>
          </w:p>
        </w:tc>
      </w:tr>
      <w:tr w:rsidR="00C4329A" w:rsidRPr="004C10DC" w14:paraId="6100BE4C" w14:textId="77777777" w:rsidTr="00C4329A">
        <w:trPr>
          <w:cantSplit/>
        </w:trPr>
        <w:tc>
          <w:tcPr>
            <w:tcW w:w="297" w:type="pct"/>
            <w:vAlign w:val="center"/>
          </w:tcPr>
          <w:p w14:paraId="25B2B38B" w14:textId="77777777" w:rsidR="009F6AC8" w:rsidRPr="008C72E5" w:rsidRDefault="009F6AC8" w:rsidP="00B558B7">
            <w:pPr>
              <w:pStyle w:val="TekstTabeli"/>
            </w:pPr>
            <w:r w:rsidRPr="008C72E5">
              <w:t>274</w:t>
            </w:r>
          </w:p>
        </w:tc>
        <w:tc>
          <w:tcPr>
            <w:tcW w:w="880" w:type="pct"/>
            <w:vAlign w:val="center"/>
          </w:tcPr>
          <w:p w14:paraId="539E9ABC" w14:textId="77777777" w:rsidR="009F6AC8" w:rsidRPr="008C72E5" w:rsidRDefault="009F6AC8" w:rsidP="00B558B7">
            <w:pPr>
              <w:pStyle w:val="TekstTabeli"/>
            </w:pPr>
            <w:r w:rsidRPr="008C72E5">
              <w:t>Schmitt C.T., Palm S.</w:t>
            </w:r>
          </w:p>
        </w:tc>
        <w:tc>
          <w:tcPr>
            <w:tcW w:w="1771" w:type="pct"/>
            <w:vAlign w:val="center"/>
          </w:tcPr>
          <w:p w14:paraId="06A303D4" w14:textId="77777777" w:rsidR="009F6AC8" w:rsidRPr="008C72E5" w:rsidRDefault="009F6AC8" w:rsidP="00B558B7">
            <w:pPr>
              <w:pStyle w:val="TekstTabeli"/>
            </w:pPr>
            <w:r w:rsidRPr="008C72E5">
              <w:t>Sustainability at German Universities: The University of Hamburg as a Case Study for Sustainability-Oriented Organizational Development</w:t>
            </w:r>
          </w:p>
        </w:tc>
        <w:tc>
          <w:tcPr>
            <w:tcW w:w="2052" w:type="pct"/>
            <w:vAlign w:val="center"/>
          </w:tcPr>
          <w:p w14:paraId="36D69436" w14:textId="77777777" w:rsidR="009F6AC8" w:rsidRPr="008C72E5" w:rsidRDefault="009F6AC8" w:rsidP="00B558B7">
            <w:pPr>
              <w:pStyle w:val="TekstTabeli"/>
            </w:pPr>
            <w:r w:rsidRPr="008C72E5">
              <w:t>(2018) World Sustainability Series, pp. 629 - 645, DOI: 10.1007/978-3-319-63007-6_39</w:t>
            </w:r>
          </w:p>
        </w:tc>
      </w:tr>
      <w:tr w:rsidR="00C4329A" w:rsidRPr="004C10DC" w14:paraId="08351F2D" w14:textId="77777777" w:rsidTr="00C4329A">
        <w:trPr>
          <w:cantSplit/>
        </w:trPr>
        <w:tc>
          <w:tcPr>
            <w:tcW w:w="297" w:type="pct"/>
            <w:vAlign w:val="center"/>
          </w:tcPr>
          <w:p w14:paraId="74914BEA" w14:textId="77777777" w:rsidR="009F6AC8" w:rsidRPr="008C72E5" w:rsidRDefault="009F6AC8" w:rsidP="00B558B7">
            <w:pPr>
              <w:pStyle w:val="TekstTabeli"/>
            </w:pPr>
            <w:r w:rsidRPr="008C72E5">
              <w:t>275</w:t>
            </w:r>
          </w:p>
        </w:tc>
        <w:tc>
          <w:tcPr>
            <w:tcW w:w="880" w:type="pct"/>
            <w:vAlign w:val="center"/>
          </w:tcPr>
          <w:p w14:paraId="051A35D7" w14:textId="796B9D0C" w:rsidR="009F6AC8" w:rsidRPr="008C72E5" w:rsidRDefault="009F6AC8" w:rsidP="00B558B7">
            <w:pPr>
              <w:pStyle w:val="TekstTabeli"/>
            </w:pPr>
            <w:proofErr w:type="spellStart"/>
            <w:r w:rsidRPr="008C72E5">
              <w:t>Peconcillo</w:t>
            </w:r>
            <w:proofErr w:type="spellEnd"/>
            <w:r w:rsidRPr="008C72E5">
              <w:t xml:space="preserve"> L.B., Jr., </w:t>
            </w:r>
            <w:proofErr w:type="spellStart"/>
            <w:r w:rsidRPr="008C72E5">
              <w:t>Peteros</w:t>
            </w:r>
            <w:proofErr w:type="spellEnd"/>
            <w:r w:rsidRPr="008C72E5">
              <w:t xml:space="preserve"> E.D., </w:t>
            </w:r>
            <w:proofErr w:type="spellStart"/>
            <w:r w:rsidR="00A147A1" w:rsidRPr="008C72E5">
              <w:t>i</w:t>
            </w:r>
            <w:proofErr w:type="spellEnd"/>
            <w:r w:rsidR="00A147A1" w:rsidRPr="008C72E5">
              <w:t> in.</w:t>
            </w:r>
          </w:p>
        </w:tc>
        <w:tc>
          <w:tcPr>
            <w:tcW w:w="1771" w:type="pct"/>
            <w:vAlign w:val="center"/>
          </w:tcPr>
          <w:p w14:paraId="599026E3" w14:textId="77777777" w:rsidR="009F6AC8" w:rsidRPr="008C72E5" w:rsidRDefault="009F6AC8" w:rsidP="00B558B7">
            <w:pPr>
              <w:pStyle w:val="TekstTabeli"/>
            </w:pPr>
            <w:r w:rsidRPr="008C72E5">
              <w:t xml:space="preserve">Structuring determinants to level up </w:t>
            </w:r>
            <w:proofErr w:type="spellStart"/>
            <w:r w:rsidRPr="008C72E5">
              <w:t>students</w:t>
            </w:r>
            <w:proofErr w:type="spellEnd"/>
            <w:r w:rsidRPr="008C72E5">
              <w:t xml:space="preserve"> performance</w:t>
            </w:r>
          </w:p>
        </w:tc>
        <w:tc>
          <w:tcPr>
            <w:tcW w:w="2052" w:type="pct"/>
            <w:vAlign w:val="center"/>
          </w:tcPr>
          <w:p w14:paraId="0A30ABA2" w14:textId="77777777" w:rsidR="009F6AC8" w:rsidRPr="008C72E5" w:rsidRDefault="009F6AC8" w:rsidP="00B558B7">
            <w:pPr>
              <w:pStyle w:val="TekstTabeli"/>
            </w:pPr>
            <w:r w:rsidRPr="008C72E5">
              <w:t>(2020) International Journal of Education and Practice, 8 (4), pp. 638 - 651, DOI: 10.18488/journal.61.2020.84.638.651</w:t>
            </w:r>
          </w:p>
        </w:tc>
      </w:tr>
      <w:tr w:rsidR="00C4329A" w:rsidRPr="008C72E5" w14:paraId="7DA4E45C" w14:textId="77777777" w:rsidTr="00C4329A">
        <w:trPr>
          <w:cantSplit/>
        </w:trPr>
        <w:tc>
          <w:tcPr>
            <w:tcW w:w="297" w:type="pct"/>
            <w:vAlign w:val="center"/>
          </w:tcPr>
          <w:p w14:paraId="78F9B319" w14:textId="77777777" w:rsidR="009F6AC8" w:rsidRPr="008C72E5" w:rsidRDefault="009F6AC8" w:rsidP="00B558B7">
            <w:pPr>
              <w:pStyle w:val="TekstTabeli"/>
            </w:pPr>
            <w:r w:rsidRPr="008C72E5">
              <w:lastRenderedPageBreak/>
              <w:t>276</w:t>
            </w:r>
          </w:p>
        </w:tc>
        <w:tc>
          <w:tcPr>
            <w:tcW w:w="880" w:type="pct"/>
            <w:vAlign w:val="center"/>
          </w:tcPr>
          <w:p w14:paraId="1E58B74D" w14:textId="77777777" w:rsidR="009F6AC8" w:rsidRPr="008C72E5" w:rsidRDefault="009F6AC8" w:rsidP="00B558B7">
            <w:pPr>
              <w:pStyle w:val="TekstTabeli"/>
            </w:pPr>
            <w:r w:rsidRPr="008C72E5">
              <w:t>Izaguirre E.R., Montiel D.O.</w:t>
            </w:r>
          </w:p>
        </w:tc>
        <w:tc>
          <w:tcPr>
            <w:tcW w:w="1771" w:type="pct"/>
            <w:vAlign w:val="center"/>
          </w:tcPr>
          <w:p w14:paraId="4C7CCA22" w14:textId="77777777" w:rsidR="009F6AC8" w:rsidRPr="008C72E5" w:rsidRDefault="009F6AC8" w:rsidP="00B558B7">
            <w:pPr>
              <w:pStyle w:val="TekstTabeli"/>
            </w:pPr>
            <w:r w:rsidRPr="008C72E5">
              <w:t>Roaming the Campus: University Stakeholders’ Perceptions of, and Interactions with, Campus Cats and Dogs</w:t>
            </w:r>
          </w:p>
        </w:tc>
        <w:tc>
          <w:tcPr>
            <w:tcW w:w="2052" w:type="pct"/>
            <w:vAlign w:val="center"/>
          </w:tcPr>
          <w:p w14:paraId="6A6346ED" w14:textId="77777777" w:rsidR="009F6AC8" w:rsidRPr="008C72E5" w:rsidRDefault="009F6AC8" w:rsidP="00B558B7">
            <w:pPr>
              <w:pStyle w:val="TekstTabeli"/>
            </w:pPr>
            <w:r w:rsidRPr="008C72E5">
              <w:t xml:space="preserve">(2021) </w:t>
            </w:r>
            <w:proofErr w:type="spellStart"/>
            <w:r w:rsidRPr="008C72E5">
              <w:t>Anthrozoos</w:t>
            </w:r>
            <w:proofErr w:type="spellEnd"/>
            <w:r w:rsidRPr="008C72E5">
              <w:t>, 34 (3), pp. 423 - 439, DOI: 10.1080/08927936.2021.1898213</w:t>
            </w:r>
          </w:p>
        </w:tc>
      </w:tr>
      <w:tr w:rsidR="00C4329A" w:rsidRPr="004C10DC" w14:paraId="740FF56E" w14:textId="77777777" w:rsidTr="00C4329A">
        <w:trPr>
          <w:cantSplit/>
        </w:trPr>
        <w:tc>
          <w:tcPr>
            <w:tcW w:w="297" w:type="pct"/>
            <w:vAlign w:val="center"/>
          </w:tcPr>
          <w:p w14:paraId="39D99DB3" w14:textId="77777777" w:rsidR="009F6AC8" w:rsidRPr="008C72E5" w:rsidRDefault="009F6AC8" w:rsidP="00B558B7">
            <w:pPr>
              <w:pStyle w:val="TekstTabeli"/>
            </w:pPr>
            <w:r w:rsidRPr="008C72E5">
              <w:t>277</w:t>
            </w:r>
          </w:p>
        </w:tc>
        <w:tc>
          <w:tcPr>
            <w:tcW w:w="880" w:type="pct"/>
            <w:vAlign w:val="center"/>
          </w:tcPr>
          <w:p w14:paraId="6C83B4AA" w14:textId="77777777" w:rsidR="009F6AC8" w:rsidRPr="008C72E5" w:rsidRDefault="009F6AC8" w:rsidP="00B558B7">
            <w:pPr>
              <w:pStyle w:val="TekstTabeli"/>
            </w:pPr>
            <w:proofErr w:type="spellStart"/>
            <w:r w:rsidRPr="008C72E5">
              <w:t>Rungfamai</w:t>
            </w:r>
            <w:proofErr w:type="spellEnd"/>
            <w:r w:rsidRPr="008C72E5">
              <w:t xml:space="preserve"> K.</w:t>
            </w:r>
          </w:p>
        </w:tc>
        <w:tc>
          <w:tcPr>
            <w:tcW w:w="1771" w:type="pct"/>
            <w:vAlign w:val="center"/>
          </w:tcPr>
          <w:p w14:paraId="13B6D964" w14:textId="77777777" w:rsidR="009F6AC8" w:rsidRPr="008C72E5" w:rsidRDefault="009F6AC8" w:rsidP="00B558B7">
            <w:pPr>
              <w:pStyle w:val="TekstTabeli"/>
            </w:pPr>
            <w:r w:rsidRPr="008C72E5">
              <w:t>Governance of National Research University in Southeast Asia: the case of Chiang Mai University in Thailand</w:t>
            </w:r>
          </w:p>
        </w:tc>
        <w:tc>
          <w:tcPr>
            <w:tcW w:w="2052" w:type="pct"/>
            <w:vAlign w:val="center"/>
          </w:tcPr>
          <w:p w14:paraId="68BEA013" w14:textId="77777777" w:rsidR="009F6AC8" w:rsidRPr="008C72E5" w:rsidRDefault="009F6AC8" w:rsidP="00B558B7">
            <w:pPr>
              <w:pStyle w:val="TekstTabeli"/>
            </w:pPr>
            <w:r w:rsidRPr="008C72E5">
              <w:t>(2018) Studies in Higher Education, 43 (7), pp. 1268 - 1278, DOI: 10.1080/03075079.2016.1250072</w:t>
            </w:r>
          </w:p>
        </w:tc>
      </w:tr>
      <w:tr w:rsidR="00C4329A" w:rsidRPr="008C72E5" w14:paraId="5E28E8C9" w14:textId="77777777" w:rsidTr="00C4329A">
        <w:trPr>
          <w:cantSplit/>
        </w:trPr>
        <w:tc>
          <w:tcPr>
            <w:tcW w:w="297" w:type="pct"/>
            <w:vAlign w:val="center"/>
          </w:tcPr>
          <w:p w14:paraId="234778D2" w14:textId="77777777" w:rsidR="009F6AC8" w:rsidRPr="008C72E5" w:rsidRDefault="009F6AC8" w:rsidP="00B558B7">
            <w:pPr>
              <w:pStyle w:val="TekstTabeli"/>
            </w:pPr>
            <w:r w:rsidRPr="008C72E5">
              <w:t>278</w:t>
            </w:r>
          </w:p>
        </w:tc>
        <w:tc>
          <w:tcPr>
            <w:tcW w:w="880" w:type="pct"/>
            <w:vAlign w:val="center"/>
          </w:tcPr>
          <w:p w14:paraId="07F2CD82" w14:textId="6797C24B" w:rsidR="009F6AC8" w:rsidRPr="00D82766" w:rsidRDefault="009F6AC8" w:rsidP="00B558B7">
            <w:pPr>
              <w:pStyle w:val="TekstTabeli"/>
              <w:rPr>
                <w:lang w:val="pl-PL"/>
              </w:rPr>
            </w:pPr>
            <w:proofErr w:type="spellStart"/>
            <w:r w:rsidRPr="00D82766">
              <w:rPr>
                <w:lang w:val="pl-PL"/>
              </w:rPr>
              <w:t>Miquelajauregui</w:t>
            </w:r>
            <w:proofErr w:type="spellEnd"/>
            <w:r w:rsidRPr="00D82766">
              <w:rPr>
                <w:lang w:val="pl-PL"/>
              </w:rPr>
              <w:t xml:space="preserve"> Y., </w:t>
            </w:r>
            <w:proofErr w:type="spellStart"/>
            <w:r w:rsidRPr="00D82766">
              <w:rPr>
                <w:lang w:val="pl-PL"/>
              </w:rPr>
              <w:t>Bojórquez-Tapia</w:t>
            </w:r>
            <w:proofErr w:type="spellEnd"/>
            <w:r w:rsidRPr="00D82766">
              <w:rPr>
                <w:lang w:val="pl-PL"/>
              </w:rPr>
              <w:t xml:space="preserve"> L.A., </w:t>
            </w:r>
            <w:r w:rsidR="00A147A1" w:rsidRPr="00D82766">
              <w:rPr>
                <w:lang w:val="pl-PL"/>
              </w:rPr>
              <w:t>i in.</w:t>
            </w:r>
          </w:p>
        </w:tc>
        <w:tc>
          <w:tcPr>
            <w:tcW w:w="1771" w:type="pct"/>
            <w:vAlign w:val="center"/>
          </w:tcPr>
          <w:p w14:paraId="08C2B711" w14:textId="77777777" w:rsidR="009F6AC8" w:rsidRPr="008C72E5" w:rsidRDefault="009F6AC8" w:rsidP="00B558B7">
            <w:pPr>
              <w:pStyle w:val="TekstTabeli"/>
            </w:pPr>
            <w:r w:rsidRPr="008C72E5">
              <w:t>Challenges and opportunities for universities in building adaptive capacities for sustainability: lessons from Mexico, Central America and the Caribbean</w:t>
            </w:r>
          </w:p>
        </w:tc>
        <w:tc>
          <w:tcPr>
            <w:tcW w:w="2052" w:type="pct"/>
            <w:vAlign w:val="center"/>
          </w:tcPr>
          <w:p w14:paraId="30F5BB8D" w14:textId="77777777" w:rsidR="009F6AC8" w:rsidRPr="008C72E5" w:rsidRDefault="009F6AC8" w:rsidP="00B558B7">
            <w:pPr>
              <w:pStyle w:val="TekstTabeli"/>
            </w:pPr>
            <w:r w:rsidRPr="008C72E5">
              <w:t>(2022) Climate Policy, 22 (5), pp. 637 - 651, DOI: 10.1080/14693062.2021.1985422</w:t>
            </w:r>
          </w:p>
        </w:tc>
      </w:tr>
      <w:tr w:rsidR="00C4329A" w:rsidRPr="004C10DC" w14:paraId="6D35F468" w14:textId="77777777" w:rsidTr="00C4329A">
        <w:trPr>
          <w:cantSplit/>
        </w:trPr>
        <w:tc>
          <w:tcPr>
            <w:tcW w:w="297" w:type="pct"/>
            <w:vAlign w:val="center"/>
          </w:tcPr>
          <w:p w14:paraId="62775BAE" w14:textId="77777777" w:rsidR="009F6AC8" w:rsidRPr="008C72E5" w:rsidRDefault="009F6AC8" w:rsidP="00B558B7">
            <w:pPr>
              <w:pStyle w:val="TekstTabeli"/>
            </w:pPr>
            <w:r w:rsidRPr="008C72E5">
              <w:t>279</w:t>
            </w:r>
          </w:p>
        </w:tc>
        <w:tc>
          <w:tcPr>
            <w:tcW w:w="880" w:type="pct"/>
            <w:vAlign w:val="center"/>
          </w:tcPr>
          <w:p w14:paraId="18051B4C" w14:textId="2DDE4FC7" w:rsidR="009F6AC8" w:rsidRPr="008C72E5" w:rsidRDefault="009F6AC8" w:rsidP="00B558B7">
            <w:pPr>
              <w:pStyle w:val="TekstTabeli"/>
            </w:pPr>
            <w:r w:rsidRPr="008C72E5">
              <w:t xml:space="preserve">Quillinan B., McEvoy E., </w:t>
            </w:r>
            <w:proofErr w:type="spellStart"/>
            <w:r w:rsidR="00A147A1" w:rsidRPr="008C72E5">
              <w:t>i</w:t>
            </w:r>
            <w:proofErr w:type="spellEnd"/>
            <w:r w:rsidR="00A147A1" w:rsidRPr="008C72E5">
              <w:t> in.</w:t>
            </w:r>
          </w:p>
        </w:tc>
        <w:tc>
          <w:tcPr>
            <w:tcW w:w="1771" w:type="pct"/>
            <w:vAlign w:val="center"/>
          </w:tcPr>
          <w:p w14:paraId="16F4FA78" w14:textId="77777777" w:rsidR="009F6AC8" w:rsidRPr="008C72E5" w:rsidRDefault="009F6AC8" w:rsidP="00B558B7">
            <w:pPr>
              <w:pStyle w:val="TekstTabeli"/>
            </w:pPr>
            <w:r w:rsidRPr="008C72E5">
              <w:t>Lessons learned from a community engagement initiative within Irish higher education</w:t>
            </w:r>
          </w:p>
        </w:tc>
        <w:tc>
          <w:tcPr>
            <w:tcW w:w="2052" w:type="pct"/>
            <w:vAlign w:val="center"/>
          </w:tcPr>
          <w:p w14:paraId="4F39887D" w14:textId="77777777" w:rsidR="009F6AC8" w:rsidRPr="008C72E5" w:rsidRDefault="009F6AC8" w:rsidP="00B558B7">
            <w:pPr>
              <w:pStyle w:val="TekstTabeli"/>
            </w:pPr>
            <w:r w:rsidRPr="008C72E5">
              <w:t>(2018) Irish Educational Studies, 37 (1), pp. 113 - 126, DOI: 10.1080/03323315.2018.1438913</w:t>
            </w:r>
          </w:p>
        </w:tc>
      </w:tr>
      <w:tr w:rsidR="00C4329A" w:rsidRPr="004C10DC" w14:paraId="20AF924C" w14:textId="77777777" w:rsidTr="00C4329A">
        <w:trPr>
          <w:cantSplit/>
        </w:trPr>
        <w:tc>
          <w:tcPr>
            <w:tcW w:w="297" w:type="pct"/>
            <w:vAlign w:val="center"/>
          </w:tcPr>
          <w:p w14:paraId="49EE212F" w14:textId="77777777" w:rsidR="009F6AC8" w:rsidRPr="008C72E5" w:rsidRDefault="009F6AC8" w:rsidP="00B558B7">
            <w:pPr>
              <w:pStyle w:val="TekstTabeli"/>
            </w:pPr>
            <w:r w:rsidRPr="008C72E5">
              <w:t>280</w:t>
            </w:r>
          </w:p>
        </w:tc>
        <w:tc>
          <w:tcPr>
            <w:tcW w:w="880" w:type="pct"/>
            <w:vAlign w:val="center"/>
          </w:tcPr>
          <w:p w14:paraId="4F7BD506" w14:textId="77777777" w:rsidR="009F6AC8" w:rsidRPr="008C72E5" w:rsidRDefault="009F6AC8" w:rsidP="00B558B7">
            <w:pPr>
              <w:pStyle w:val="TekstTabeli"/>
            </w:pPr>
            <w:r w:rsidRPr="008C72E5">
              <w:t>Almudallal A.W., Muktar S.N., Bakri N.</w:t>
            </w:r>
          </w:p>
        </w:tc>
        <w:tc>
          <w:tcPr>
            <w:tcW w:w="1771" w:type="pct"/>
            <w:vAlign w:val="center"/>
          </w:tcPr>
          <w:p w14:paraId="5CA835EC" w14:textId="77777777" w:rsidR="009F6AC8" w:rsidRPr="008C72E5" w:rsidRDefault="009F6AC8" w:rsidP="00B558B7">
            <w:pPr>
              <w:pStyle w:val="TekstTabeli"/>
            </w:pPr>
            <w:r w:rsidRPr="008C72E5">
              <w:t>Knowledge management in the Palestinian higher education: A research agenda</w:t>
            </w:r>
          </w:p>
        </w:tc>
        <w:tc>
          <w:tcPr>
            <w:tcW w:w="2052" w:type="pct"/>
            <w:vAlign w:val="center"/>
          </w:tcPr>
          <w:p w14:paraId="3C298A68" w14:textId="77777777" w:rsidR="009F6AC8" w:rsidRPr="008C72E5" w:rsidRDefault="009F6AC8" w:rsidP="00B558B7">
            <w:pPr>
              <w:pStyle w:val="TekstTabeli"/>
            </w:pPr>
            <w:r w:rsidRPr="008C72E5">
              <w:t>(2016) International Review of Management and Marketing, 6 (4), pp. 91 - 100, 0</w:t>
            </w:r>
          </w:p>
        </w:tc>
      </w:tr>
      <w:tr w:rsidR="00C4329A" w:rsidRPr="004C10DC" w14:paraId="7380E35C" w14:textId="77777777" w:rsidTr="00C4329A">
        <w:trPr>
          <w:cantSplit/>
        </w:trPr>
        <w:tc>
          <w:tcPr>
            <w:tcW w:w="297" w:type="pct"/>
            <w:vAlign w:val="center"/>
          </w:tcPr>
          <w:p w14:paraId="0A8C3146" w14:textId="77777777" w:rsidR="009F6AC8" w:rsidRPr="008C72E5" w:rsidRDefault="009F6AC8" w:rsidP="00B558B7">
            <w:pPr>
              <w:pStyle w:val="TekstTabeli"/>
            </w:pPr>
            <w:r w:rsidRPr="008C72E5">
              <w:t>281</w:t>
            </w:r>
          </w:p>
        </w:tc>
        <w:tc>
          <w:tcPr>
            <w:tcW w:w="880" w:type="pct"/>
            <w:vAlign w:val="center"/>
          </w:tcPr>
          <w:p w14:paraId="3F4AFEBB" w14:textId="1E14B108" w:rsidR="009F6AC8" w:rsidRPr="008C72E5" w:rsidRDefault="009F6AC8" w:rsidP="00B558B7">
            <w:pPr>
              <w:pStyle w:val="TekstTabeli"/>
            </w:pPr>
            <w:proofErr w:type="spellStart"/>
            <w:r w:rsidRPr="008C72E5">
              <w:t>Alshurafat</w:t>
            </w:r>
            <w:proofErr w:type="spellEnd"/>
            <w:r w:rsidRPr="008C72E5">
              <w:t xml:space="preserve"> H., Al-</w:t>
            </w:r>
            <w:proofErr w:type="spellStart"/>
            <w:r w:rsidRPr="008C72E5">
              <w:t>Msiedeen</w:t>
            </w:r>
            <w:proofErr w:type="spellEnd"/>
            <w:r w:rsidRPr="008C72E5">
              <w:t xml:space="preserve"> J.M., </w:t>
            </w:r>
            <w:proofErr w:type="spellStart"/>
            <w:r w:rsidR="00A147A1" w:rsidRPr="008C72E5">
              <w:t>i</w:t>
            </w:r>
            <w:proofErr w:type="spellEnd"/>
            <w:r w:rsidR="00A147A1" w:rsidRPr="008C72E5">
              <w:t> in.</w:t>
            </w:r>
          </w:p>
        </w:tc>
        <w:tc>
          <w:tcPr>
            <w:tcW w:w="1771" w:type="pct"/>
            <w:vAlign w:val="center"/>
          </w:tcPr>
          <w:p w14:paraId="3B1B1D88" w14:textId="77777777" w:rsidR="009F6AC8" w:rsidRPr="008C72E5" w:rsidRDefault="009F6AC8" w:rsidP="00B558B7">
            <w:pPr>
              <w:pStyle w:val="TekstTabeli"/>
            </w:pPr>
            <w:r w:rsidRPr="008C72E5">
              <w:t>Forensic Accounting Education Within the Australian Universities</w:t>
            </w:r>
          </w:p>
        </w:tc>
        <w:tc>
          <w:tcPr>
            <w:tcW w:w="2052" w:type="pct"/>
            <w:vAlign w:val="center"/>
          </w:tcPr>
          <w:p w14:paraId="1A48BCD4" w14:textId="77777777" w:rsidR="009F6AC8" w:rsidRPr="008C72E5" w:rsidRDefault="009F6AC8" w:rsidP="00B558B7">
            <w:pPr>
              <w:pStyle w:val="TekstTabeli"/>
            </w:pPr>
            <w:r w:rsidRPr="008C72E5">
              <w:t>(2023) Lecture Notes in Networks and Systems, 495 LNNS, pp. 679 - 690, DOI: 10.1007/978-3-031-08954-1_58</w:t>
            </w:r>
          </w:p>
        </w:tc>
      </w:tr>
      <w:tr w:rsidR="00C4329A" w:rsidRPr="004C10DC" w14:paraId="72AEB382" w14:textId="77777777" w:rsidTr="00C4329A">
        <w:trPr>
          <w:cantSplit/>
        </w:trPr>
        <w:tc>
          <w:tcPr>
            <w:tcW w:w="297" w:type="pct"/>
            <w:vAlign w:val="center"/>
          </w:tcPr>
          <w:p w14:paraId="329F322A" w14:textId="77777777" w:rsidR="009F6AC8" w:rsidRPr="008C72E5" w:rsidRDefault="009F6AC8" w:rsidP="00B558B7">
            <w:pPr>
              <w:pStyle w:val="TekstTabeli"/>
            </w:pPr>
            <w:r w:rsidRPr="008C72E5">
              <w:t>282</w:t>
            </w:r>
          </w:p>
        </w:tc>
        <w:tc>
          <w:tcPr>
            <w:tcW w:w="880" w:type="pct"/>
            <w:vAlign w:val="center"/>
          </w:tcPr>
          <w:p w14:paraId="205444E9" w14:textId="77777777" w:rsidR="009F6AC8" w:rsidRPr="008C72E5" w:rsidRDefault="009F6AC8" w:rsidP="00B558B7">
            <w:pPr>
              <w:pStyle w:val="TekstTabeli"/>
            </w:pPr>
            <w:r w:rsidRPr="008C72E5">
              <w:t>Willems J., Bateman D.</w:t>
            </w:r>
          </w:p>
        </w:tc>
        <w:tc>
          <w:tcPr>
            <w:tcW w:w="1771" w:type="pct"/>
            <w:vAlign w:val="center"/>
          </w:tcPr>
          <w:p w14:paraId="5BE45557" w14:textId="77777777" w:rsidR="009F6AC8" w:rsidRPr="008C72E5" w:rsidRDefault="009F6AC8" w:rsidP="00B558B7">
            <w:pPr>
              <w:pStyle w:val="TekstTabeli"/>
            </w:pPr>
            <w:r w:rsidRPr="008C72E5">
              <w:t xml:space="preserve">The potentials and pitfalls of social networking sites such as </w:t>
            </w:r>
            <w:proofErr w:type="spellStart"/>
            <w:r w:rsidRPr="008C72E5">
              <w:t>facebook</w:t>
            </w:r>
            <w:proofErr w:type="spellEnd"/>
            <w:r w:rsidRPr="008C72E5">
              <w:t xml:space="preserve"> in higher education contexts</w:t>
            </w:r>
          </w:p>
        </w:tc>
        <w:tc>
          <w:tcPr>
            <w:tcW w:w="2052" w:type="pct"/>
            <w:vAlign w:val="center"/>
          </w:tcPr>
          <w:p w14:paraId="61AADB5F" w14:textId="77777777" w:rsidR="009F6AC8" w:rsidRPr="008C72E5" w:rsidRDefault="009F6AC8" w:rsidP="00B558B7">
            <w:pPr>
              <w:pStyle w:val="TekstTabeli"/>
            </w:pPr>
            <w:r w:rsidRPr="008C72E5">
              <w:t>(2011) ASCILITE 2011 - The Australasian Society for Computers in Learning in Tertiary Education, pp. 1322 - 1324, 0</w:t>
            </w:r>
          </w:p>
        </w:tc>
      </w:tr>
      <w:tr w:rsidR="00C4329A" w:rsidRPr="004C10DC" w14:paraId="7E70D6EB" w14:textId="77777777" w:rsidTr="00C4329A">
        <w:trPr>
          <w:cantSplit/>
        </w:trPr>
        <w:tc>
          <w:tcPr>
            <w:tcW w:w="297" w:type="pct"/>
            <w:vAlign w:val="center"/>
          </w:tcPr>
          <w:p w14:paraId="332986ED" w14:textId="77777777" w:rsidR="009F6AC8" w:rsidRPr="008C72E5" w:rsidRDefault="009F6AC8" w:rsidP="00B558B7">
            <w:pPr>
              <w:pStyle w:val="TekstTabeli"/>
            </w:pPr>
            <w:r w:rsidRPr="008C72E5">
              <w:t>283</w:t>
            </w:r>
          </w:p>
        </w:tc>
        <w:tc>
          <w:tcPr>
            <w:tcW w:w="880" w:type="pct"/>
            <w:vAlign w:val="center"/>
          </w:tcPr>
          <w:p w14:paraId="5B29FFF2" w14:textId="77777777" w:rsidR="009F6AC8" w:rsidRPr="008C72E5" w:rsidRDefault="009F6AC8" w:rsidP="00B558B7">
            <w:pPr>
              <w:pStyle w:val="TekstTabeli"/>
            </w:pPr>
            <w:r w:rsidRPr="008C72E5">
              <w:t>Nouman N., Umer A.</w:t>
            </w:r>
          </w:p>
        </w:tc>
        <w:tc>
          <w:tcPr>
            <w:tcW w:w="1771" w:type="pct"/>
            <w:vAlign w:val="center"/>
          </w:tcPr>
          <w:p w14:paraId="754CDC8C" w14:textId="77777777" w:rsidR="009F6AC8" w:rsidRPr="008C72E5" w:rsidRDefault="009F6AC8" w:rsidP="00B558B7">
            <w:pPr>
              <w:pStyle w:val="TekstTabeli"/>
            </w:pPr>
            <w:r w:rsidRPr="008C72E5">
              <w:t>Web Navigation and Usability Analysis of Educational Websites in Pakistan</w:t>
            </w:r>
          </w:p>
        </w:tc>
        <w:tc>
          <w:tcPr>
            <w:tcW w:w="2052" w:type="pct"/>
            <w:vAlign w:val="center"/>
          </w:tcPr>
          <w:p w14:paraId="20B5EDCF" w14:textId="77777777" w:rsidR="009F6AC8" w:rsidRPr="008C72E5" w:rsidRDefault="009F6AC8" w:rsidP="00B558B7">
            <w:pPr>
              <w:pStyle w:val="TekstTabeli"/>
            </w:pPr>
            <w:r w:rsidRPr="008C72E5">
              <w:t>(2019) Proceedings - 2019 7th International Conference on Digital Information Processing and Communications, ICDIPC 2019, art. no. 8723704, pp. 57 - 62, DOI: 10.1109/ICDIPC.2019.8723704</w:t>
            </w:r>
          </w:p>
        </w:tc>
      </w:tr>
      <w:tr w:rsidR="00C4329A" w:rsidRPr="004C10DC" w14:paraId="0255699F" w14:textId="77777777" w:rsidTr="00C4329A">
        <w:trPr>
          <w:cantSplit/>
        </w:trPr>
        <w:tc>
          <w:tcPr>
            <w:tcW w:w="297" w:type="pct"/>
            <w:vAlign w:val="center"/>
          </w:tcPr>
          <w:p w14:paraId="49F1E277" w14:textId="77777777" w:rsidR="009F6AC8" w:rsidRPr="008C72E5" w:rsidRDefault="009F6AC8" w:rsidP="00B558B7">
            <w:pPr>
              <w:pStyle w:val="TekstTabeli"/>
            </w:pPr>
            <w:r w:rsidRPr="008C72E5">
              <w:t>284</w:t>
            </w:r>
          </w:p>
        </w:tc>
        <w:tc>
          <w:tcPr>
            <w:tcW w:w="880" w:type="pct"/>
            <w:vAlign w:val="center"/>
          </w:tcPr>
          <w:p w14:paraId="5F89DB0D" w14:textId="7AE665B4" w:rsidR="009F6AC8" w:rsidRPr="008C72E5" w:rsidRDefault="009F6AC8" w:rsidP="00B558B7">
            <w:pPr>
              <w:pStyle w:val="TekstTabeli"/>
            </w:pPr>
            <w:r w:rsidRPr="008C72E5">
              <w:t xml:space="preserve">Osman O., Mey S.S.C., </w:t>
            </w:r>
            <w:proofErr w:type="spellStart"/>
            <w:r w:rsidR="00A147A1" w:rsidRPr="008C72E5">
              <w:t>i</w:t>
            </w:r>
            <w:proofErr w:type="spellEnd"/>
            <w:r w:rsidR="00A147A1" w:rsidRPr="008C72E5">
              <w:t> in.</w:t>
            </w:r>
          </w:p>
        </w:tc>
        <w:tc>
          <w:tcPr>
            <w:tcW w:w="1771" w:type="pct"/>
            <w:vAlign w:val="center"/>
          </w:tcPr>
          <w:p w14:paraId="46A56A2C" w14:textId="77777777" w:rsidR="009F6AC8" w:rsidRPr="008C72E5" w:rsidRDefault="009F6AC8" w:rsidP="00B558B7">
            <w:pPr>
              <w:pStyle w:val="TekstTabeli"/>
            </w:pPr>
            <w:r w:rsidRPr="008C72E5">
              <w:t xml:space="preserve">The role of solution-oriented knowledge transfer </w:t>
            </w:r>
            <w:proofErr w:type="spellStart"/>
            <w:r w:rsidRPr="008C72E5">
              <w:t>programme</w:t>
            </w:r>
            <w:proofErr w:type="spellEnd"/>
            <w:r w:rsidRPr="008C72E5">
              <w:t xml:space="preserve"> and networking in charting a new course in university-stakeholder engagement</w:t>
            </w:r>
          </w:p>
        </w:tc>
        <w:tc>
          <w:tcPr>
            <w:tcW w:w="2052" w:type="pct"/>
            <w:vAlign w:val="center"/>
          </w:tcPr>
          <w:p w14:paraId="52E6FBC4" w14:textId="77777777" w:rsidR="009F6AC8" w:rsidRPr="008C72E5" w:rsidRDefault="009F6AC8" w:rsidP="00B558B7">
            <w:pPr>
              <w:pStyle w:val="TekstTabeli"/>
            </w:pPr>
            <w:r w:rsidRPr="008C72E5">
              <w:t>(2016) World Sustainability Series, pp. 243 - 262, DOI: 10.1007/978-3-319-26734-0_16</w:t>
            </w:r>
          </w:p>
        </w:tc>
      </w:tr>
      <w:tr w:rsidR="00C4329A" w:rsidRPr="008C72E5" w14:paraId="7023D4A8" w14:textId="77777777" w:rsidTr="00C4329A">
        <w:trPr>
          <w:cantSplit/>
        </w:trPr>
        <w:tc>
          <w:tcPr>
            <w:tcW w:w="297" w:type="pct"/>
            <w:vAlign w:val="center"/>
          </w:tcPr>
          <w:p w14:paraId="21C19CF4" w14:textId="77777777" w:rsidR="009F6AC8" w:rsidRPr="008C72E5" w:rsidRDefault="009F6AC8" w:rsidP="00B558B7">
            <w:pPr>
              <w:pStyle w:val="TekstTabeli"/>
            </w:pPr>
            <w:r w:rsidRPr="008C72E5">
              <w:t>285</w:t>
            </w:r>
          </w:p>
        </w:tc>
        <w:tc>
          <w:tcPr>
            <w:tcW w:w="880" w:type="pct"/>
            <w:vAlign w:val="center"/>
          </w:tcPr>
          <w:p w14:paraId="1BAF0C38" w14:textId="77777777" w:rsidR="009F6AC8" w:rsidRPr="008C72E5" w:rsidRDefault="009F6AC8" w:rsidP="00B558B7">
            <w:pPr>
              <w:pStyle w:val="TekstTabeli"/>
            </w:pPr>
            <w:proofErr w:type="spellStart"/>
            <w:r w:rsidRPr="008C72E5">
              <w:t>Siddiki</w:t>
            </w:r>
            <w:proofErr w:type="spellEnd"/>
            <w:r w:rsidRPr="008C72E5">
              <w:t xml:space="preserve"> S., Goel S.</w:t>
            </w:r>
          </w:p>
        </w:tc>
        <w:tc>
          <w:tcPr>
            <w:tcW w:w="1771" w:type="pct"/>
            <w:vAlign w:val="center"/>
          </w:tcPr>
          <w:p w14:paraId="25748714" w14:textId="77777777" w:rsidR="009F6AC8" w:rsidRPr="008C72E5" w:rsidRDefault="009F6AC8" w:rsidP="00B558B7">
            <w:pPr>
              <w:pStyle w:val="TekstTabeli"/>
            </w:pPr>
            <w:r w:rsidRPr="008C72E5">
              <w:t>A stakeholder analysis of U.S. marine aquaculture partnerships</w:t>
            </w:r>
          </w:p>
        </w:tc>
        <w:tc>
          <w:tcPr>
            <w:tcW w:w="2052" w:type="pct"/>
            <w:vAlign w:val="center"/>
          </w:tcPr>
          <w:p w14:paraId="026ECFBA" w14:textId="77777777" w:rsidR="009F6AC8" w:rsidRPr="008C72E5" w:rsidRDefault="009F6AC8" w:rsidP="00B558B7">
            <w:pPr>
              <w:pStyle w:val="TekstTabeli"/>
            </w:pPr>
            <w:r w:rsidRPr="008C72E5">
              <w:t>(2015) Marine Policy, 57, pp. 93 - 102, DOI: 10.1016/j.marpol.2015.03.006</w:t>
            </w:r>
          </w:p>
        </w:tc>
      </w:tr>
      <w:tr w:rsidR="00C4329A" w:rsidRPr="004C10DC" w14:paraId="367C431F" w14:textId="77777777" w:rsidTr="00C4329A">
        <w:trPr>
          <w:cantSplit/>
        </w:trPr>
        <w:tc>
          <w:tcPr>
            <w:tcW w:w="297" w:type="pct"/>
            <w:vAlign w:val="center"/>
          </w:tcPr>
          <w:p w14:paraId="29A212D1" w14:textId="77777777" w:rsidR="009F6AC8" w:rsidRPr="008C72E5" w:rsidRDefault="009F6AC8" w:rsidP="00B558B7">
            <w:pPr>
              <w:pStyle w:val="TekstTabeli"/>
            </w:pPr>
            <w:r w:rsidRPr="008C72E5">
              <w:t>286</w:t>
            </w:r>
          </w:p>
        </w:tc>
        <w:tc>
          <w:tcPr>
            <w:tcW w:w="880" w:type="pct"/>
            <w:vAlign w:val="center"/>
          </w:tcPr>
          <w:p w14:paraId="49B8A7FA" w14:textId="77777777" w:rsidR="009F6AC8" w:rsidRPr="008C72E5" w:rsidRDefault="009F6AC8" w:rsidP="00B558B7">
            <w:pPr>
              <w:pStyle w:val="TekstTabeli"/>
            </w:pPr>
            <w:r w:rsidRPr="008C72E5">
              <w:t>Wells R.S.</w:t>
            </w:r>
          </w:p>
        </w:tc>
        <w:tc>
          <w:tcPr>
            <w:tcW w:w="1771" w:type="pct"/>
            <w:vAlign w:val="center"/>
          </w:tcPr>
          <w:p w14:paraId="4C1109AC" w14:textId="77777777" w:rsidR="009F6AC8" w:rsidRPr="008C72E5" w:rsidRDefault="009F6AC8" w:rsidP="00B558B7">
            <w:pPr>
              <w:pStyle w:val="TekstTabeli"/>
            </w:pPr>
            <w:r w:rsidRPr="008C72E5">
              <w:t>Learning From COVID-19: Unchanging Inequality and Ideology in Higher Education</w:t>
            </w:r>
          </w:p>
        </w:tc>
        <w:tc>
          <w:tcPr>
            <w:tcW w:w="2052" w:type="pct"/>
            <w:vAlign w:val="center"/>
          </w:tcPr>
          <w:p w14:paraId="44ACDBE2" w14:textId="77777777" w:rsidR="009F6AC8" w:rsidRPr="008C72E5" w:rsidRDefault="009F6AC8" w:rsidP="00B558B7">
            <w:pPr>
              <w:pStyle w:val="TekstTabeli"/>
            </w:pPr>
            <w:r w:rsidRPr="008C72E5">
              <w:t>(2023) American Behavioral Scientist, 67 (13), pp. 1655 - 1664, DOI: 10.1177/00027642221118278</w:t>
            </w:r>
          </w:p>
        </w:tc>
      </w:tr>
      <w:tr w:rsidR="00C4329A" w:rsidRPr="004C10DC" w14:paraId="0EF149E5" w14:textId="77777777" w:rsidTr="00C4329A">
        <w:trPr>
          <w:cantSplit/>
        </w:trPr>
        <w:tc>
          <w:tcPr>
            <w:tcW w:w="297" w:type="pct"/>
            <w:vAlign w:val="center"/>
          </w:tcPr>
          <w:p w14:paraId="5827C3D1" w14:textId="77777777" w:rsidR="009F6AC8" w:rsidRPr="008C72E5" w:rsidRDefault="009F6AC8" w:rsidP="00B558B7">
            <w:pPr>
              <w:pStyle w:val="TekstTabeli"/>
            </w:pPr>
            <w:r w:rsidRPr="008C72E5">
              <w:t>287</w:t>
            </w:r>
          </w:p>
        </w:tc>
        <w:tc>
          <w:tcPr>
            <w:tcW w:w="880" w:type="pct"/>
            <w:vAlign w:val="center"/>
          </w:tcPr>
          <w:p w14:paraId="089014AD" w14:textId="2E2E655D" w:rsidR="009F6AC8" w:rsidRPr="008C72E5" w:rsidRDefault="009F6AC8" w:rsidP="00B558B7">
            <w:pPr>
              <w:pStyle w:val="TekstTabeli"/>
            </w:pPr>
            <w:r w:rsidRPr="008C72E5">
              <w:t xml:space="preserve">Moreno-Carmona C., </w:t>
            </w:r>
            <w:proofErr w:type="spellStart"/>
            <w:r w:rsidR="00A147A1" w:rsidRPr="008C72E5">
              <w:t>i</w:t>
            </w:r>
            <w:proofErr w:type="spellEnd"/>
            <w:r w:rsidR="00A147A1" w:rsidRPr="008C72E5">
              <w:t> in.</w:t>
            </w:r>
          </w:p>
        </w:tc>
        <w:tc>
          <w:tcPr>
            <w:tcW w:w="1771" w:type="pct"/>
            <w:vAlign w:val="center"/>
          </w:tcPr>
          <w:p w14:paraId="1A75EBF8" w14:textId="72B755E1" w:rsidR="009F6AC8" w:rsidRPr="008C72E5" w:rsidRDefault="00A147A1" w:rsidP="00B558B7">
            <w:pPr>
              <w:pStyle w:val="TekstTabeli"/>
            </w:pPr>
            <w:r w:rsidRPr="008C72E5">
              <w:t>Are university management teams strategic stakeholders within higher education institutions? A clinical study</w:t>
            </w:r>
          </w:p>
        </w:tc>
        <w:tc>
          <w:tcPr>
            <w:tcW w:w="2052" w:type="pct"/>
            <w:vAlign w:val="center"/>
          </w:tcPr>
          <w:p w14:paraId="38EA48A2" w14:textId="77777777" w:rsidR="009F6AC8" w:rsidRPr="008C72E5" w:rsidRDefault="009F6AC8" w:rsidP="00B558B7">
            <w:pPr>
              <w:pStyle w:val="TekstTabeli"/>
            </w:pPr>
            <w:r w:rsidRPr="008C72E5">
              <w:t>(2022) Economics and Sociology, 15 (1), pp. 141 - 159, DOI: 10.14254/2071-789X.2022/15-1/9</w:t>
            </w:r>
          </w:p>
        </w:tc>
      </w:tr>
      <w:tr w:rsidR="00C4329A" w:rsidRPr="004C10DC" w14:paraId="43D06B5F" w14:textId="77777777" w:rsidTr="00C4329A">
        <w:trPr>
          <w:cantSplit/>
        </w:trPr>
        <w:tc>
          <w:tcPr>
            <w:tcW w:w="297" w:type="pct"/>
            <w:vAlign w:val="center"/>
          </w:tcPr>
          <w:p w14:paraId="59AC7DE7" w14:textId="77777777" w:rsidR="009F6AC8" w:rsidRPr="008C72E5" w:rsidRDefault="009F6AC8" w:rsidP="00B558B7">
            <w:pPr>
              <w:pStyle w:val="TekstTabeli"/>
            </w:pPr>
            <w:r w:rsidRPr="008C72E5">
              <w:t>288</w:t>
            </w:r>
          </w:p>
        </w:tc>
        <w:tc>
          <w:tcPr>
            <w:tcW w:w="880" w:type="pct"/>
            <w:vAlign w:val="center"/>
          </w:tcPr>
          <w:p w14:paraId="4966EB19" w14:textId="3FA49721" w:rsidR="009F6AC8" w:rsidRPr="008C72E5" w:rsidRDefault="009F6AC8" w:rsidP="00B558B7">
            <w:pPr>
              <w:pStyle w:val="TekstTabeli"/>
            </w:pPr>
            <w:r w:rsidRPr="008C72E5">
              <w:t xml:space="preserve">Cherian J., Jacob J., </w:t>
            </w:r>
            <w:proofErr w:type="spellStart"/>
            <w:r w:rsidR="00A147A1" w:rsidRPr="008C72E5">
              <w:t>i</w:t>
            </w:r>
            <w:proofErr w:type="spellEnd"/>
            <w:r w:rsidR="00A147A1" w:rsidRPr="008C72E5">
              <w:t> in.</w:t>
            </w:r>
          </w:p>
        </w:tc>
        <w:tc>
          <w:tcPr>
            <w:tcW w:w="1771" w:type="pct"/>
            <w:vAlign w:val="center"/>
          </w:tcPr>
          <w:p w14:paraId="0C55F24E" w14:textId="77777777" w:rsidR="009F6AC8" w:rsidRPr="008C72E5" w:rsidRDefault="009F6AC8" w:rsidP="00B558B7">
            <w:pPr>
              <w:pStyle w:val="TekstTabeli"/>
            </w:pPr>
            <w:r w:rsidRPr="008C72E5">
              <w:t>Relationship between entry grades and attrition trends in the context of higher education: Implication for open innovation of education policy</w:t>
            </w:r>
          </w:p>
        </w:tc>
        <w:tc>
          <w:tcPr>
            <w:tcW w:w="2052" w:type="pct"/>
            <w:vAlign w:val="center"/>
          </w:tcPr>
          <w:p w14:paraId="583D541B" w14:textId="77777777" w:rsidR="009F6AC8" w:rsidRPr="008C72E5" w:rsidRDefault="009F6AC8" w:rsidP="00B558B7">
            <w:pPr>
              <w:pStyle w:val="TekstTabeli"/>
            </w:pPr>
            <w:r w:rsidRPr="008C72E5">
              <w:t>(2020) Journal of Open Innovation: Technology, Market, and Complexity, 6 (4), art. no. 199, pp. 1 - 17, DOI: 10.3390/joitmc6040199</w:t>
            </w:r>
          </w:p>
        </w:tc>
      </w:tr>
      <w:tr w:rsidR="00C4329A" w:rsidRPr="008C72E5" w14:paraId="28EA8E68" w14:textId="77777777" w:rsidTr="00C4329A">
        <w:trPr>
          <w:cantSplit/>
        </w:trPr>
        <w:tc>
          <w:tcPr>
            <w:tcW w:w="297" w:type="pct"/>
            <w:vAlign w:val="center"/>
          </w:tcPr>
          <w:p w14:paraId="2DB3F401" w14:textId="77777777" w:rsidR="009F6AC8" w:rsidRPr="008C72E5" w:rsidRDefault="009F6AC8" w:rsidP="00B558B7">
            <w:pPr>
              <w:pStyle w:val="TekstTabeli"/>
            </w:pPr>
            <w:r w:rsidRPr="008C72E5">
              <w:t>289</w:t>
            </w:r>
          </w:p>
        </w:tc>
        <w:tc>
          <w:tcPr>
            <w:tcW w:w="880" w:type="pct"/>
            <w:vAlign w:val="center"/>
          </w:tcPr>
          <w:p w14:paraId="6BA491B1" w14:textId="77777777" w:rsidR="009F6AC8" w:rsidRPr="008C72E5" w:rsidRDefault="009F6AC8" w:rsidP="00B558B7">
            <w:pPr>
              <w:pStyle w:val="TekstTabeli"/>
            </w:pPr>
            <w:proofErr w:type="spellStart"/>
            <w:r w:rsidRPr="008C72E5">
              <w:t>Buwule</w:t>
            </w:r>
            <w:proofErr w:type="spellEnd"/>
            <w:r w:rsidRPr="008C72E5">
              <w:t xml:space="preserve"> R.S., </w:t>
            </w:r>
            <w:proofErr w:type="spellStart"/>
            <w:r w:rsidRPr="008C72E5">
              <w:t>Ponelis</w:t>
            </w:r>
            <w:proofErr w:type="spellEnd"/>
            <w:r w:rsidRPr="008C72E5">
              <w:t xml:space="preserve"> S.R.</w:t>
            </w:r>
          </w:p>
        </w:tc>
        <w:tc>
          <w:tcPr>
            <w:tcW w:w="1771" w:type="pct"/>
            <w:vAlign w:val="center"/>
          </w:tcPr>
          <w:p w14:paraId="23763082" w14:textId="77777777" w:rsidR="009F6AC8" w:rsidRPr="008C72E5" w:rsidRDefault="009F6AC8" w:rsidP="00B558B7">
            <w:pPr>
              <w:pStyle w:val="TekstTabeli"/>
            </w:pPr>
            <w:r w:rsidRPr="008C72E5">
              <w:t>Perspectives on university library automation and national development in Uganda</w:t>
            </w:r>
          </w:p>
        </w:tc>
        <w:tc>
          <w:tcPr>
            <w:tcW w:w="2052" w:type="pct"/>
            <w:vAlign w:val="center"/>
          </w:tcPr>
          <w:p w14:paraId="082FB2C9" w14:textId="77777777" w:rsidR="009F6AC8" w:rsidRPr="008C72E5" w:rsidRDefault="009F6AC8" w:rsidP="00B558B7">
            <w:pPr>
              <w:pStyle w:val="TekstTabeli"/>
            </w:pPr>
            <w:r w:rsidRPr="008C72E5">
              <w:t>(2017) IFLA Journal, 43 (3), pp. 256 - 265, DOI: 10.1177/0340035217710539</w:t>
            </w:r>
          </w:p>
        </w:tc>
      </w:tr>
      <w:tr w:rsidR="00C4329A" w:rsidRPr="004C10DC" w14:paraId="66A8F15E" w14:textId="77777777" w:rsidTr="00C4329A">
        <w:trPr>
          <w:cantSplit/>
        </w:trPr>
        <w:tc>
          <w:tcPr>
            <w:tcW w:w="297" w:type="pct"/>
            <w:vAlign w:val="center"/>
          </w:tcPr>
          <w:p w14:paraId="4965E6E6" w14:textId="77777777" w:rsidR="009F6AC8" w:rsidRPr="008C72E5" w:rsidRDefault="009F6AC8" w:rsidP="00B558B7">
            <w:pPr>
              <w:pStyle w:val="TekstTabeli"/>
            </w:pPr>
            <w:r w:rsidRPr="008C72E5">
              <w:t>290</w:t>
            </w:r>
          </w:p>
        </w:tc>
        <w:tc>
          <w:tcPr>
            <w:tcW w:w="880" w:type="pct"/>
            <w:vAlign w:val="center"/>
          </w:tcPr>
          <w:p w14:paraId="6557EB75" w14:textId="77777777" w:rsidR="009F6AC8" w:rsidRPr="008C72E5" w:rsidRDefault="009F6AC8" w:rsidP="00B558B7">
            <w:pPr>
              <w:pStyle w:val="TekstTabeli"/>
            </w:pPr>
            <w:r w:rsidRPr="008C72E5">
              <w:t>Darabi F., Saunders M.N.K., Clark M.</w:t>
            </w:r>
          </w:p>
        </w:tc>
        <w:tc>
          <w:tcPr>
            <w:tcW w:w="1771" w:type="pct"/>
            <w:vAlign w:val="center"/>
          </w:tcPr>
          <w:p w14:paraId="78F0C28A" w14:textId="77777777" w:rsidR="009F6AC8" w:rsidRPr="008C72E5" w:rsidRDefault="009F6AC8" w:rsidP="00B558B7">
            <w:pPr>
              <w:pStyle w:val="TekstTabeli"/>
            </w:pPr>
            <w:r w:rsidRPr="008C72E5">
              <w:t>Trust initiation and development in SME-university collaborations: implications for enabling engaged scholarship</w:t>
            </w:r>
          </w:p>
        </w:tc>
        <w:tc>
          <w:tcPr>
            <w:tcW w:w="2052" w:type="pct"/>
            <w:vAlign w:val="center"/>
          </w:tcPr>
          <w:p w14:paraId="47641C92" w14:textId="77777777" w:rsidR="009F6AC8" w:rsidRPr="008C72E5" w:rsidRDefault="009F6AC8" w:rsidP="00B558B7">
            <w:pPr>
              <w:pStyle w:val="TekstTabeli"/>
            </w:pPr>
            <w:r w:rsidRPr="008C72E5">
              <w:t>(2020) European Journal of Training and Development, 45 (4-5), pp. 320 - 345, DOI: 10.1108/EJTD-04-2020-0068</w:t>
            </w:r>
          </w:p>
        </w:tc>
      </w:tr>
      <w:tr w:rsidR="00C4329A" w:rsidRPr="004C10DC" w14:paraId="0567F01A" w14:textId="77777777" w:rsidTr="00C4329A">
        <w:trPr>
          <w:cantSplit/>
        </w:trPr>
        <w:tc>
          <w:tcPr>
            <w:tcW w:w="297" w:type="pct"/>
            <w:vAlign w:val="center"/>
          </w:tcPr>
          <w:p w14:paraId="7A40854D" w14:textId="77777777" w:rsidR="009F6AC8" w:rsidRPr="008C72E5" w:rsidRDefault="009F6AC8" w:rsidP="00B558B7">
            <w:pPr>
              <w:pStyle w:val="TekstTabeli"/>
            </w:pPr>
            <w:r w:rsidRPr="008C72E5">
              <w:lastRenderedPageBreak/>
              <w:t>291</w:t>
            </w:r>
          </w:p>
        </w:tc>
        <w:tc>
          <w:tcPr>
            <w:tcW w:w="880" w:type="pct"/>
            <w:vAlign w:val="center"/>
          </w:tcPr>
          <w:p w14:paraId="1846D93B" w14:textId="08D49E13" w:rsidR="009F6AC8" w:rsidRPr="008C72E5" w:rsidRDefault="009F6AC8" w:rsidP="00B558B7">
            <w:pPr>
              <w:pStyle w:val="TekstTabeli"/>
            </w:pPr>
            <w:proofErr w:type="spellStart"/>
            <w:r w:rsidRPr="008C72E5">
              <w:t>Hailat</w:t>
            </w:r>
            <w:proofErr w:type="spellEnd"/>
            <w:r w:rsidRPr="008C72E5">
              <w:t xml:space="preserve"> K.Q., </w:t>
            </w:r>
            <w:proofErr w:type="spellStart"/>
            <w:r w:rsidRPr="008C72E5">
              <w:t>Alshreef</w:t>
            </w:r>
            <w:proofErr w:type="spellEnd"/>
            <w:r w:rsidRPr="008C72E5">
              <w:t xml:space="preserve"> A.A., </w:t>
            </w:r>
            <w:proofErr w:type="spellStart"/>
            <w:r w:rsidR="00A147A1" w:rsidRPr="008C72E5">
              <w:t>i</w:t>
            </w:r>
            <w:proofErr w:type="spellEnd"/>
            <w:r w:rsidR="00A147A1" w:rsidRPr="008C72E5">
              <w:t> in.</w:t>
            </w:r>
          </w:p>
        </w:tc>
        <w:tc>
          <w:tcPr>
            <w:tcW w:w="1771" w:type="pct"/>
            <w:vAlign w:val="center"/>
          </w:tcPr>
          <w:p w14:paraId="71086274" w14:textId="77777777" w:rsidR="009F6AC8" w:rsidRPr="008C72E5" w:rsidRDefault="009F6AC8" w:rsidP="00B558B7">
            <w:pPr>
              <w:pStyle w:val="TekstTabeli"/>
            </w:pPr>
            <w:r w:rsidRPr="008C72E5">
              <w:t>Stakeholder approach and the impact of brand image within higher education in the Middle East: Student and staff perspective</w:t>
            </w:r>
          </w:p>
        </w:tc>
        <w:tc>
          <w:tcPr>
            <w:tcW w:w="2052" w:type="pct"/>
            <w:vAlign w:val="center"/>
          </w:tcPr>
          <w:p w14:paraId="69B5FAEB" w14:textId="77777777" w:rsidR="009F6AC8" w:rsidRPr="008C72E5" w:rsidRDefault="009F6AC8" w:rsidP="00B558B7">
            <w:pPr>
              <w:pStyle w:val="TekstTabeli"/>
            </w:pPr>
            <w:r w:rsidRPr="008C72E5">
              <w:t>(2021) Journal of Public Affairs, 21 (1), art. no. e1941, DOI: 10.1002/pa.1941</w:t>
            </w:r>
          </w:p>
        </w:tc>
      </w:tr>
      <w:tr w:rsidR="00C4329A" w:rsidRPr="004C10DC" w14:paraId="611733AA" w14:textId="77777777" w:rsidTr="00C4329A">
        <w:trPr>
          <w:cantSplit/>
        </w:trPr>
        <w:tc>
          <w:tcPr>
            <w:tcW w:w="297" w:type="pct"/>
            <w:vAlign w:val="center"/>
          </w:tcPr>
          <w:p w14:paraId="7F72CA0B" w14:textId="77777777" w:rsidR="009F6AC8" w:rsidRPr="008C72E5" w:rsidRDefault="009F6AC8" w:rsidP="00B558B7">
            <w:pPr>
              <w:pStyle w:val="TekstTabeli"/>
            </w:pPr>
            <w:r w:rsidRPr="008C72E5">
              <w:t>292</w:t>
            </w:r>
          </w:p>
        </w:tc>
        <w:tc>
          <w:tcPr>
            <w:tcW w:w="880" w:type="pct"/>
            <w:vAlign w:val="center"/>
          </w:tcPr>
          <w:p w14:paraId="71BDF577" w14:textId="77777777" w:rsidR="009F6AC8" w:rsidRPr="008C72E5" w:rsidRDefault="009F6AC8" w:rsidP="00B558B7">
            <w:pPr>
              <w:pStyle w:val="TekstTabeli"/>
            </w:pPr>
            <w:r w:rsidRPr="008C72E5">
              <w:t>Geryk M.</w:t>
            </w:r>
          </w:p>
        </w:tc>
        <w:tc>
          <w:tcPr>
            <w:tcW w:w="1771" w:type="pct"/>
            <w:vAlign w:val="center"/>
          </w:tcPr>
          <w:p w14:paraId="1F7EBE9C" w14:textId="77777777" w:rsidR="009F6AC8" w:rsidRPr="008C72E5" w:rsidRDefault="009F6AC8" w:rsidP="00B558B7">
            <w:pPr>
              <w:pStyle w:val="TekstTabeli"/>
            </w:pPr>
            <w:r w:rsidRPr="008C72E5">
              <w:t>The New Trends in Research on Social Responsibility of the University</w:t>
            </w:r>
          </w:p>
        </w:tc>
        <w:tc>
          <w:tcPr>
            <w:tcW w:w="2052" w:type="pct"/>
            <w:vAlign w:val="center"/>
          </w:tcPr>
          <w:p w14:paraId="5C631B32" w14:textId="77777777" w:rsidR="009F6AC8" w:rsidRPr="008C72E5" w:rsidRDefault="009F6AC8" w:rsidP="00B558B7">
            <w:pPr>
              <w:pStyle w:val="TekstTabeli"/>
            </w:pPr>
            <w:r w:rsidRPr="008C72E5">
              <w:t>(2020) Advances in Intelligent Systems and Computing, 961, pp. 304 - 312, DOI: 10.1007/978-3-030-20154-8_28</w:t>
            </w:r>
          </w:p>
        </w:tc>
      </w:tr>
      <w:tr w:rsidR="00C4329A" w:rsidRPr="004C10DC" w14:paraId="4F9FF81E" w14:textId="77777777" w:rsidTr="00C4329A">
        <w:trPr>
          <w:cantSplit/>
        </w:trPr>
        <w:tc>
          <w:tcPr>
            <w:tcW w:w="297" w:type="pct"/>
            <w:vAlign w:val="center"/>
          </w:tcPr>
          <w:p w14:paraId="5225ED2E" w14:textId="77777777" w:rsidR="009F6AC8" w:rsidRPr="008C72E5" w:rsidRDefault="009F6AC8" w:rsidP="00B558B7">
            <w:pPr>
              <w:pStyle w:val="TekstTabeli"/>
            </w:pPr>
            <w:r w:rsidRPr="008C72E5">
              <w:t>293</w:t>
            </w:r>
          </w:p>
        </w:tc>
        <w:tc>
          <w:tcPr>
            <w:tcW w:w="880" w:type="pct"/>
            <w:vAlign w:val="center"/>
          </w:tcPr>
          <w:p w14:paraId="1408D12F" w14:textId="77777777" w:rsidR="009F6AC8" w:rsidRPr="008C72E5" w:rsidRDefault="009F6AC8" w:rsidP="00B558B7">
            <w:pPr>
              <w:pStyle w:val="TekstTabeli"/>
            </w:pPr>
            <w:r w:rsidRPr="008C72E5">
              <w:t>Pavlin S.</w:t>
            </w:r>
          </w:p>
        </w:tc>
        <w:tc>
          <w:tcPr>
            <w:tcW w:w="1771" w:type="pct"/>
            <w:vAlign w:val="center"/>
          </w:tcPr>
          <w:p w14:paraId="314DB8E3" w14:textId="77777777" w:rsidR="009F6AC8" w:rsidRPr="008C72E5" w:rsidRDefault="009F6AC8" w:rsidP="00B558B7">
            <w:pPr>
              <w:pStyle w:val="TekstTabeli"/>
            </w:pPr>
            <w:r w:rsidRPr="008C72E5">
              <w:t>Time to reconsider the strategic role of system(s) for monitoring higher education graduates’ careers?</w:t>
            </w:r>
          </w:p>
        </w:tc>
        <w:tc>
          <w:tcPr>
            <w:tcW w:w="2052" w:type="pct"/>
            <w:vAlign w:val="center"/>
          </w:tcPr>
          <w:p w14:paraId="0DBABAE1" w14:textId="77777777" w:rsidR="009F6AC8" w:rsidRPr="008C72E5" w:rsidRDefault="009F6AC8" w:rsidP="00B558B7">
            <w:pPr>
              <w:pStyle w:val="TekstTabeli"/>
            </w:pPr>
            <w:r w:rsidRPr="008C72E5">
              <w:t>(2019) European Journal of Education, 54 (2), pp. 261 - 272, DOI: 10.1111/ejed.12313</w:t>
            </w:r>
          </w:p>
        </w:tc>
      </w:tr>
      <w:tr w:rsidR="00C4329A" w:rsidRPr="004C10DC" w14:paraId="69A5FF48" w14:textId="77777777" w:rsidTr="00C4329A">
        <w:trPr>
          <w:cantSplit/>
        </w:trPr>
        <w:tc>
          <w:tcPr>
            <w:tcW w:w="297" w:type="pct"/>
            <w:vAlign w:val="center"/>
          </w:tcPr>
          <w:p w14:paraId="46FE8172" w14:textId="77777777" w:rsidR="009F6AC8" w:rsidRPr="008C72E5" w:rsidRDefault="009F6AC8" w:rsidP="00B558B7">
            <w:pPr>
              <w:pStyle w:val="TekstTabeli"/>
            </w:pPr>
            <w:r w:rsidRPr="008C72E5">
              <w:t>294</w:t>
            </w:r>
          </w:p>
        </w:tc>
        <w:tc>
          <w:tcPr>
            <w:tcW w:w="880" w:type="pct"/>
            <w:vAlign w:val="center"/>
          </w:tcPr>
          <w:p w14:paraId="2CB8D77E" w14:textId="77777777" w:rsidR="009F6AC8" w:rsidRPr="008C72E5" w:rsidRDefault="009F6AC8" w:rsidP="00B558B7">
            <w:pPr>
              <w:pStyle w:val="TekstTabeli"/>
            </w:pPr>
            <w:r w:rsidRPr="008C72E5">
              <w:t>Johnson M.</w:t>
            </w:r>
          </w:p>
        </w:tc>
        <w:tc>
          <w:tcPr>
            <w:tcW w:w="1771" w:type="pct"/>
            <w:vAlign w:val="center"/>
          </w:tcPr>
          <w:p w14:paraId="4A2FD7E3" w14:textId="77777777" w:rsidR="009F6AC8" w:rsidRPr="008C72E5" w:rsidRDefault="009F6AC8" w:rsidP="00B558B7">
            <w:pPr>
              <w:pStyle w:val="TekstTabeli"/>
            </w:pPr>
            <w:r w:rsidRPr="008C72E5">
              <w:t>Teaching excellence in the context of business and management education: Perspectives from Australian, British and Canadian universities</w:t>
            </w:r>
          </w:p>
        </w:tc>
        <w:tc>
          <w:tcPr>
            <w:tcW w:w="2052" w:type="pct"/>
            <w:vAlign w:val="center"/>
          </w:tcPr>
          <w:p w14:paraId="2879F483" w14:textId="77777777" w:rsidR="009F6AC8" w:rsidRPr="008C72E5" w:rsidRDefault="009F6AC8" w:rsidP="00B558B7">
            <w:pPr>
              <w:pStyle w:val="TekstTabeli"/>
            </w:pPr>
            <w:r w:rsidRPr="008C72E5">
              <w:t>(2021) International Journal of Management Education, 19 (3), art. no. 100508, DOI: 10.1016/j.ijme.2021.100508</w:t>
            </w:r>
          </w:p>
        </w:tc>
      </w:tr>
      <w:tr w:rsidR="00C4329A" w:rsidRPr="004C10DC" w14:paraId="22A1B6FB" w14:textId="77777777" w:rsidTr="00C4329A">
        <w:trPr>
          <w:cantSplit/>
        </w:trPr>
        <w:tc>
          <w:tcPr>
            <w:tcW w:w="297" w:type="pct"/>
            <w:vAlign w:val="center"/>
          </w:tcPr>
          <w:p w14:paraId="203F681E" w14:textId="77777777" w:rsidR="009F6AC8" w:rsidRPr="008C72E5" w:rsidRDefault="009F6AC8" w:rsidP="00B558B7">
            <w:pPr>
              <w:pStyle w:val="TekstTabeli"/>
            </w:pPr>
            <w:r w:rsidRPr="008C72E5">
              <w:t>295</w:t>
            </w:r>
          </w:p>
        </w:tc>
        <w:tc>
          <w:tcPr>
            <w:tcW w:w="880" w:type="pct"/>
            <w:vAlign w:val="center"/>
          </w:tcPr>
          <w:p w14:paraId="3B89FD26" w14:textId="77777777" w:rsidR="009F6AC8" w:rsidRPr="008C72E5" w:rsidRDefault="009F6AC8" w:rsidP="00B558B7">
            <w:pPr>
              <w:pStyle w:val="TekstTabeli"/>
            </w:pPr>
            <w:r w:rsidRPr="008C72E5">
              <w:t xml:space="preserve">Dobbins M., Horváthová B., </w:t>
            </w:r>
            <w:proofErr w:type="spellStart"/>
            <w:r w:rsidRPr="008C72E5">
              <w:t>Labanino</w:t>
            </w:r>
            <w:proofErr w:type="spellEnd"/>
            <w:r w:rsidRPr="008C72E5">
              <w:t xml:space="preserve"> R.P.</w:t>
            </w:r>
          </w:p>
        </w:tc>
        <w:tc>
          <w:tcPr>
            <w:tcW w:w="1771" w:type="pct"/>
            <w:vAlign w:val="center"/>
          </w:tcPr>
          <w:p w14:paraId="37C161C3" w14:textId="77777777" w:rsidR="009F6AC8" w:rsidRPr="008C72E5" w:rsidRDefault="009F6AC8" w:rsidP="00B558B7">
            <w:pPr>
              <w:pStyle w:val="TekstTabeli"/>
            </w:pPr>
            <w:r w:rsidRPr="008C72E5">
              <w:t>Exploring interest intermediation in Central and Eastern Europe: is higher education different?</w:t>
            </w:r>
          </w:p>
        </w:tc>
        <w:tc>
          <w:tcPr>
            <w:tcW w:w="2052" w:type="pct"/>
            <w:vAlign w:val="center"/>
          </w:tcPr>
          <w:p w14:paraId="10D05035" w14:textId="77777777" w:rsidR="009F6AC8" w:rsidRPr="008C72E5" w:rsidRDefault="009F6AC8" w:rsidP="00B558B7">
            <w:pPr>
              <w:pStyle w:val="TekstTabeli"/>
            </w:pPr>
            <w:r w:rsidRPr="008C72E5">
              <w:t>(2021) Interest Groups and Advocacy, 10 (4), pp. 399 - 429, DOI: 10.1057/s41309-021-00136-x</w:t>
            </w:r>
          </w:p>
        </w:tc>
      </w:tr>
      <w:tr w:rsidR="00C4329A" w:rsidRPr="004C10DC" w14:paraId="7BDF7164" w14:textId="77777777" w:rsidTr="00C4329A">
        <w:trPr>
          <w:cantSplit/>
        </w:trPr>
        <w:tc>
          <w:tcPr>
            <w:tcW w:w="297" w:type="pct"/>
            <w:vAlign w:val="center"/>
          </w:tcPr>
          <w:p w14:paraId="30F577BA" w14:textId="77777777" w:rsidR="009F6AC8" w:rsidRPr="008C72E5" w:rsidRDefault="009F6AC8" w:rsidP="00B558B7">
            <w:pPr>
              <w:pStyle w:val="TekstTabeli"/>
            </w:pPr>
            <w:r w:rsidRPr="008C72E5">
              <w:t>296</w:t>
            </w:r>
          </w:p>
        </w:tc>
        <w:tc>
          <w:tcPr>
            <w:tcW w:w="880" w:type="pct"/>
            <w:vAlign w:val="center"/>
          </w:tcPr>
          <w:p w14:paraId="53FEEB6B" w14:textId="77777777" w:rsidR="009F6AC8" w:rsidRPr="008C72E5" w:rsidRDefault="009F6AC8" w:rsidP="00B558B7">
            <w:pPr>
              <w:pStyle w:val="TekstTabeli"/>
            </w:pPr>
            <w:r w:rsidRPr="008C72E5">
              <w:t>Nicholas J.M., Handley M.H.</w:t>
            </w:r>
          </w:p>
        </w:tc>
        <w:tc>
          <w:tcPr>
            <w:tcW w:w="1771" w:type="pct"/>
            <w:vAlign w:val="center"/>
          </w:tcPr>
          <w:p w14:paraId="759A4155" w14:textId="77777777" w:rsidR="009F6AC8" w:rsidRPr="008C72E5" w:rsidRDefault="009F6AC8" w:rsidP="00B558B7">
            <w:pPr>
              <w:pStyle w:val="TekstTabeli"/>
            </w:pPr>
            <w:r w:rsidRPr="008C72E5">
              <w:t>Employability development in business undergraduates: A qualitative inquiry of recruiter perceptions</w:t>
            </w:r>
          </w:p>
        </w:tc>
        <w:tc>
          <w:tcPr>
            <w:tcW w:w="2052" w:type="pct"/>
            <w:vAlign w:val="center"/>
          </w:tcPr>
          <w:p w14:paraId="39C95570" w14:textId="77777777" w:rsidR="009F6AC8" w:rsidRPr="008C72E5" w:rsidRDefault="009F6AC8" w:rsidP="00B558B7">
            <w:pPr>
              <w:pStyle w:val="TekstTabeli"/>
            </w:pPr>
            <w:r w:rsidRPr="008C72E5">
              <w:t>(2020) Journal of Education for Business, 95 (2), pp. 67 - 72, DOI: 10.1080/08832323.2019.1604483</w:t>
            </w:r>
          </w:p>
        </w:tc>
      </w:tr>
      <w:tr w:rsidR="00C4329A" w:rsidRPr="004C10DC" w14:paraId="6BF69DB3" w14:textId="77777777" w:rsidTr="00C4329A">
        <w:trPr>
          <w:cantSplit/>
        </w:trPr>
        <w:tc>
          <w:tcPr>
            <w:tcW w:w="297" w:type="pct"/>
            <w:vAlign w:val="center"/>
          </w:tcPr>
          <w:p w14:paraId="460E0303" w14:textId="77777777" w:rsidR="009F6AC8" w:rsidRPr="008C72E5" w:rsidRDefault="009F6AC8" w:rsidP="00B558B7">
            <w:pPr>
              <w:pStyle w:val="TekstTabeli"/>
            </w:pPr>
            <w:r w:rsidRPr="008C72E5">
              <w:t>297</w:t>
            </w:r>
          </w:p>
        </w:tc>
        <w:tc>
          <w:tcPr>
            <w:tcW w:w="880" w:type="pct"/>
            <w:vAlign w:val="center"/>
          </w:tcPr>
          <w:p w14:paraId="22966355" w14:textId="77777777" w:rsidR="009F6AC8" w:rsidRPr="008C72E5" w:rsidRDefault="009F6AC8" w:rsidP="00B558B7">
            <w:pPr>
              <w:pStyle w:val="TekstTabeli"/>
            </w:pPr>
            <w:r w:rsidRPr="008C72E5">
              <w:t xml:space="preserve">Makhubu N., </w:t>
            </w:r>
            <w:proofErr w:type="spellStart"/>
            <w:r w:rsidRPr="008C72E5">
              <w:t>Budree</w:t>
            </w:r>
            <w:proofErr w:type="spellEnd"/>
            <w:r w:rsidRPr="008C72E5">
              <w:t xml:space="preserve"> A.</w:t>
            </w:r>
          </w:p>
        </w:tc>
        <w:tc>
          <w:tcPr>
            <w:tcW w:w="1771" w:type="pct"/>
            <w:vAlign w:val="center"/>
          </w:tcPr>
          <w:p w14:paraId="7E6D742A" w14:textId="77777777" w:rsidR="009F6AC8" w:rsidRPr="008C72E5" w:rsidRDefault="009F6AC8" w:rsidP="00B558B7">
            <w:pPr>
              <w:pStyle w:val="TekstTabeli"/>
            </w:pPr>
            <w:r w:rsidRPr="008C72E5">
              <w:t>The Effectiveness of Twitter as a Tertiary Education Stakeholder Communication Tool: A Case of #FeesMustFall in South Africa</w:t>
            </w:r>
          </w:p>
        </w:tc>
        <w:tc>
          <w:tcPr>
            <w:tcW w:w="2052" w:type="pct"/>
            <w:vAlign w:val="center"/>
          </w:tcPr>
          <w:p w14:paraId="480E699E" w14:textId="77777777" w:rsidR="009F6AC8" w:rsidRPr="008C72E5" w:rsidRDefault="009F6AC8" w:rsidP="00B558B7">
            <w:pPr>
              <w:pStyle w:val="TekstTabeli"/>
            </w:pPr>
            <w:r w:rsidRPr="008C72E5">
              <w:t>(2019) Lecture Notes in Computer Science (including subseries Lecture Notes in Artificial Intelligence and Lecture Notes in Bioinformatics), 11578 LNCS, pp. 535 - 555, DOI: 10.1007/978-3-030-21902-4_38</w:t>
            </w:r>
          </w:p>
        </w:tc>
      </w:tr>
      <w:tr w:rsidR="00C4329A" w:rsidRPr="004C10DC" w14:paraId="1673EBAC" w14:textId="77777777" w:rsidTr="00C4329A">
        <w:trPr>
          <w:cantSplit/>
        </w:trPr>
        <w:tc>
          <w:tcPr>
            <w:tcW w:w="297" w:type="pct"/>
            <w:vAlign w:val="center"/>
          </w:tcPr>
          <w:p w14:paraId="6F0CCAEB" w14:textId="77777777" w:rsidR="009F6AC8" w:rsidRPr="008C72E5" w:rsidRDefault="009F6AC8" w:rsidP="00B558B7">
            <w:pPr>
              <w:pStyle w:val="TekstTabeli"/>
            </w:pPr>
            <w:r w:rsidRPr="008C72E5">
              <w:t>298</w:t>
            </w:r>
          </w:p>
        </w:tc>
        <w:tc>
          <w:tcPr>
            <w:tcW w:w="880" w:type="pct"/>
            <w:vAlign w:val="center"/>
          </w:tcPr>
          <w:p w14:paraId="58D192FB" w14:textId="77777777" w:rsidR="009F6AC8" w:rsidRPr="008C72E5" w:rsidRDefault="009F6AC8" w:rsidP="00B558B7">
            <w:pPr>
              <w:pStyle w:val="TekstTabeli"/>
            </w:pPr>
            <w:r w:rsidRPr="008C72E5">
              <w:t>Urrutia M.L., White S., White S.</w:t>
            </w:r>
          </w:p>
        </w:tc>
        <w:tc>
          <w:tcPr>
            <w:tcW w:w="1771" w:type="pct"/>
            <w:vAlign w:val="center"/>
          </w:tcPr>
          <w:p w14:paraId="7B007987" w14:textId="77777777" w:rsidR="009F6AC8" w:rsidRPr="008C72E5" w:rsidRDefault="009F6AC8" w:rsidP="00B558B7">
            <w:pPr>
              <w:pStyle w:val="TekstTabeli"/>
            </w:pPr>
            <w:r w:rsidRPr="008C72E5">
              <w:t>MOOCs in higher education magazines: A content analysis of internal stakeholder perspectives</w:t>
            </w:r>
          </w:p>
        </w:tc>
        <w:tc>
          <w:tcPr>
            <w:tcW w:w="2052" w:type="pct"/>
            <w:vAlign w:val="center"/>
          </w:tcPr>
          <w:p w14:paraId="5C4321C8" w14:textId="77777777" w:rsidR="009F6AC8" w:rsidRPr="008C72E5" w:rsidRDefault="009F6AC8" w:rsidP="00B558B7">
            <w:pPr>
              <w:pStyle w:val="TekstTabeli"/>
            </w:pPr>
            <w:r w:rsidRPr="008C72E5">
              <w:t>(2016) Communications in Computer and Information Science, 583, pp. 395 - 405, DOI: 10.1007/978-3-319-29585-5_23</w:t>
            </w:r>
          </w:p>
        </w:tc>
      </w:tr>
      <w:tr w:rsidR="00C4329A" w:rsidRPr="004C10DC" w14:paraId="3EBF004B" w14:textId="77777777" w:rsidTr="00C4329A">
        <w:trPr>
          <w:cantSplit/>
        </w:trPr>
        <w:tc>
          <w:tcPr>
            <w:tcW w:w="297" w:type="pct"/>
            <w:vAlign w:val="center"/>
          </w:tcPr>
          <w:p w14:paraId="7824DC2E" w14:textId="77777777" w:rsidR="009F6AC8" w:rsidRPr="008C72E5" w:rsidRDefault="009F6AC8" w:rsidP="00B558B7">
            <w:pPr>
              <w:pStyle w:val="TekstTabeli"/>
            </w:pPr>
            <w:r w:rsidRPr="008C72E5">
              <w:t>299</w:t>
            </w:r>
          </w:p>
        </w:tc>
        <w:tc>
          <w:tcPr>
            <w:tcW w:w="880" w:type="pct"/>
            <w:vAlign w:val="center"/>
          </w:tcPr>
          <w:p w14:paraId="391FC17B" w14:textId="48518B40" w:rsidR="009F6AC8" w:rsidRPr="008C72E5" w:rsidRDefault="009F6AC8" w:rsidP="00B558B7">
            <w:pPr>
              <w:pStyle w:val="TekstTabeli"/>
            </w:pPr>
            <w:r w:rsidRPr="008C72E5">
              <w:t xml:space="preserve">Hamza C.A., Robinson K., </w:t>
            </w:r>
            <w:proofErr w:type="spellStart"/>
            <w:r w:rsidRPr="008C72E5">
              <w:t>Hasking</w:t>
            </w:r>
            <w:proofErr w:type="spellEnd"/>
            <w:r w:rsidRPr="008C72E5">
              <w:t xml:space="preserve"> P.A., </w:t>
            </w:r>
            <w:proofErr w:type="spellStart"/>
            <w:r w:rsidR="00A147A1" w:rsidRPr="008C72E5">
              <w:t>i</w:t>
            </w:r>
            <w:proofErr w:type="spellEnd"/>
            <w:r w:rsidR="00A147A1" w:rsidRPr="008C72E5">
              <w:t> in.</w:t>
            </w:r>
          </w:p>
        </w:tc>
        <w:tc>
          <w:tcPr>
            <w:tcW w:w="1771" w:type="pct"/>
            <w:vAlign w:val="center"/>
          </w:tcPr>
          <w:p w14:paraId="124E4D66" w14:textId="77777777" w:rsidR="009F6AC8" w:rsidRPr="008C72E5" w:rsidRDefault="009F6AC8" w:rsidP="00B558B7">
            <w:pPr>
              <w:pStyle w:val="TekstTabeli"/>
            </w:pPr>
            <w:r w:rsidRPr="008C72E5">
              <w:t xml:space="preserve">Educational stakeholders’ attitudes and knowledge about </w:t>
            </w:r>
            <w:proofErr w:type="spellStart"/>
            <w:r w:rsidRPr="008C72E5">
              <w:t>nonsuicidalself</w:t>
            </w:r>
            <w:proofErr w:type="spellEnd"/>
            <w:r w:rsidRPr="008C72E5">
              <w:t>-injury among university students: A cross-national study</w:t>
            </w:r>
          </w:p>
        </w:tc>
        <w:tc>
          <w:tcPr>
            <w:tcW w:w="2052" w:type="pct"/>
            <w:vAlign w:val="center"/>
          </w:tcPr>
          <w:p w14:paraId="60FC00FE" w14:textId="77777777" w:rsidR="009F6AC8" w:rsidRPr="008C72E5" w:rsidRDefault="009F6AC8" w:rsidP="00B558B7">
            <w:pPr>
              <w:pStyle w:val="TekstTabeli"/>
            </w:pPr>
            <w:r w:rsidRPr="008C72E5">
              <w:t>(2023) Journal of American College Health, 71 (7), pp. 2140 - 2150, DOI: 10.1080/07448481.2021.1961782</w:t>
            </w:r>
          </w:p>
        </w:tc>
      </w:tr>
      <w:tr w:rsidR="00C4329A" w:rsidRPr="004C10DC" w14:paraId="5AFB5A28" w14:textId="77777777" w:rsidTr="00C4329A">
        <w:trPr>
          <w:cantSplit/>
        </w:trPr>
        <w:tc>
          <w:tcPr>
            <w:tcW w:w="297" w:type="pct"/>
            <w:vAlign w:val="center"/>
          </w:tcPr>
          <w:p w14:paraId="407B05ED" w14:textId="77777777" w:rsidR="009F6AC8" w:rsidRPr="008C72E5" w:rsidRDefault="009F6AC8" w:rsidP="00B558B7">
            <w:pPr>
              <w:pStyle w:val="TekstTabeli"/>
            </w:pPr>
            <w:r w:rsidRPr="008C72E5">
              <w:t>300</w:t>
            </w:r>
          </w:p>
        </w:tc>
        <w:tc>
          <w:tcPr>
            <w:tcW w:w="880" w:type="pct"/>
            <w:vAlign w:val="center"/>
          </w:tcPr>
          <w:p w14:paraId="4A9F3648" w14:textId="77777777" w:rsidR="009F6AC8" w:rsidRPr="008C72E5" w:rsidRDefault="009F6AC8" w:rsidP="00B558B7">
            <w:pPr>
              <w:pStyle w:val="TekstTabeli"/>
            </w:pPr>
            <w:r w:rsidRPr="008C72E5">
              <w:t>Lukose J., Mammen K.J.</w:t>
            </w:r>
          </w:p>
        </w:tc>
        <w:tc>
          <w:tcPr>
            <w:tcW w:w="1771" w:type="pct"/>
            <w:vAlign w:val="center"/>
          </w:tcPr>
          <w:p w14:paraId="58F2322F" w14:textId="77777777" w:rsidR="009F6AC8" w:rsidRPr="008C72E5" w:rsidRDefault="009F6AC8" w:rsidP="00B558B7">
            <w:pPr>
              <w:pStyle w:val="TekstTabeli"/>
            </w:pPr>
            <w:r w:rsidRPr="008C72E5">
              <w:t>Enhancing academic achievement in an introductory computer programming course through the implementation of guided inquiry-based learning and teaching</w:t>
            </w:r>
          </w:p>
        </w:tc>
        <w:tc>
          <w:tcPr>
            <w:tcW w:w="2052" w:type="pct"/>
            <w:vAlign w:val="center"/>
          </w:tcPr>
          <w:p w14:paraId="5E7C2098" w14:textId="77777777" w:rsidR="009F6AC8" w:rsidRPr="008C72E5" w:rsidRDefault="009F6AC8" w:rsidP="00B558B7">
            <w:pPr>
              <w:pStyle w:val="TekstTabeli"/>
            </w:pPr>
            <w:r w:rsidRPr="008C72E5">
              <w:t>(2018) Asia-Pacific Forum on Science Learning and Teaching, 19 (2), art. no. 16, 0</w:t>
            </w:r>
          </w:p>
        </w:tc>
      </w:tr>
      <w:tr w:rsidR="00C4329A" w:rsidRPr="004C10DC" w14:paraId="60C1C18C" w14:textId="77777777" w:rsidTr="00C4329A">
        <w:trPr>
          <w:cantSplit/>
        </w:trPr>
        <w:tc>
          <w:tcPr>
            <w:tcW w:w="297" w:type="pct"/>
            <w:vAlign w:val="center"/>
          </w:tcPr>
          <w:p w14:paraId="77BEA2CB" w14:textId="77777777" w:rsidR="009F6AC8" w:rsidRPr="008C72E5" w:rsidRDefault="009F6AC8" w:rsidP="00B558B7">
            <w:pPr>
              <w:pStyle w:val="TekstTabeli"/>
            </w:pPr>
            <w:r w:rsidRPr="008C72E5">
              <w:t>301</w:t>
            </w:r>
          </w:p>
        </w:tc>
        <w:tc>
          <w:tcPr>
            <w:tcW w:w="880" w:type="pct"/>
            <w:vAlign w:val="center"/>
          </w:tcPr>
          <w:p w14:paraId="67784605" w14:textId="77777777" w:rsidR="009F6AC8" w:rsidRPr="008C72E5" w:rsidRDefault="009F6AC8" w:rsidP="00B558B7">
            <w:pPr>
              <w:pStyle w:val="TekstTabeli"/>
            </w:pPr>
            <w:r w:rsidRPr="008C72E5">
              <w:t xml:space="preserve">Razak A.N.A., Noordin M.K., </w:t>
            </w:r>
            <w:proofErr w:type="spellStart"/>
            <w:r w:rsidRPr="008C72E5">
              <w:t>Khanan</w:t>
            </w:r>
            <w:proofErr w:type="spellEnd"/>
            <w:r w:rsidRPr="008C72E5">
              <w:t xml:space="preserve"> M.F.A.</w:t>
            </w:r>
          </w:p>
        </w:tc>
        <w:tc>
          <w:tcPr>
            <w:tcW w:w="1771" w:type="pct"/>
            <w:vAlign w:val="center"/>
          </w:tcPr>
          <w:p w14:paraId="0C232CD3" w14:textId="77777777" w:rsidR="009F6AC8" w:rsidRPr="008C72E5" w:rsidRDefault="009F6AC8" w:rsidP="00B558B7">
            <w:pPr>
              <w:pStyle w:val="TekstTabeli"/>
            </w:pPr>
            <w:r w:rsidRPr="008C72E5">
              <w:t>Digital Learning in Technical and Vocational Education and Training (TVET) In Public University, Malaysia</w:t>
            </w:r>
          </w:p>
        </w:tc>
        <w:tc>
          <w:tcPr>
            <w:tcW w:w="2052" w:type="pct"/>
            <w:vAlign w:val="center"/>
          </w:tcPr>
          <w:p w14:paraId="3C7B498F" w14:textId="77777777" w:rsidR="009F6AC8" w:rsidRPr="008C72E5" w:rsidRDefault="009F6AC8" w:rsidP="00B558B7">
            <w:pPr>
              <w:pStyle w:val="TekstTabeli"/>
            </w:pPr>
            <w:r w:rsidRPr="008C72E5">
              <w:t>(2022) Journal of Technical Education and Training, 14 (3), pp. 49 - 59, DOI: 10.30880/jtet.2022.14.03.005</w:t>
            </w:r>
          </w:p>
        </w:tc>
      </w:tr>
      <w:tr w:rsidR="00C4329A" w:rsidRPr="004C10DC" w14:paraId="528BBBA9" w14:textId="77777777" w:rsidTr="00C4329A">
        <w:trPr>
          <w:cantSplit/>
        </w:trPr>
        <w:tc>
          <w:tcPr>
            <w:tcW w:w="297" w:type="pct"/>
            <w:vAlign w:val="center"/>
          </w:tcPr>
          <w:p w14:paraId="042B0675" w14:textId="77777777" w:rsidR="009F6AC8" w:rsidRPr="008C72E5" w:rsidRDefault="009F6AC8" w:rsidP="00B558B7">
            <w:pPr>
              <w:pStyle w:val="TekstTabeli"/>
            </w:pPr>
            <w:r w:rsidRPr="008C72E5">
              <w:t>302</w:t>
            </w:r>
          </w:p>
        </w:tc>
        <w:tc>
          <w:tcPr>
            <w:tcW w:w="880" w:type="pct"/>
            <w:vAlign w:val="center"/>
          </w:tcPr>
          <w:p w14:paraId="01A36DE1" w14:textId="77777777" w:rsidR="009F6AC8" w:rsidRPr="008C72E5" w:rsidRDefault="009F6AC8" w:rsidP="00B558B7">
            <w:pPr>
              <w:pStyle w:val="TekstTabeli"/>
            </w:pPr>
            <w:r w:rsidRPr="008C72E5">
              <w:t xml:space="preserve">Radford J., </w:t>
            </w:r>
            <w:proofErr w:type="spellStart"/>
            <w:r w:rsidRPr="008C72E5">
              <w:t>Holdstock</w:t>
            </w:r>
            <w:proofErr w:type="spellEnd"/>
            <w:r w:rsidRPr="008C72E5">
              <w:t xml:space="preserve"> L.</w:t>
            </w:r>
          </w:p>
        </w:tc>
        <w:tc>
          <w:tcPr>
            <w:tcW w:w="1771" w:type="pct"/>
            <w:vAlign w:val="center"/>
          </w:tcPr>
          <w:p w14:paraId="75BB0D21" w14:textId="77777777" w:rsidR="009F6AC8" w:rsidRPr="008C72E5" w:rsidRDefault="009F6AC8" w:rsidP="00B558B7">
            <w:pPr>
              <w:pStyle w:val="TekstTabeli"/>
            </w:pPr>
            <w:r w:rsidRPr="008C72E5">
              <w:t>Higher education: The views of parents of university students</w:t>
            </w:r>
          </w:p>
        </w:tc>
        <w:tc>
          <w:tcPr>
            <w:tcW w:w="2052" w:type="pct"/>
            <w:vAlign w:val="center"/>
          </w:tcPr>
          <w:p w14:paraId="23F39444" w14:textId="77777777" w:rsidR="009F6AC8" w:rsidRPr="008C72E5" w:rsidRDefault="009F6AC8" w:rsidP="00B558B7">
            <w:pPr>
              <w:pStyle w:val="TekstTabeli"/>
            </w:pPr>
            <w:r w:rsidRPr="008C72E5">
              <w:t>(1996) Journal of Further and Higher Education, 20 (3), pp. 81 - 93, DOI: 10.1080/0309877960200308</w:t>
            </w:r>
          </w:p>
        </w:tc>
      </w:tr>
      <w:tr w:rsidR="00C4329A" w:rsidRPr="004C10DC" w14:paraId="5D486344" w14:textId="77777777" w:rsidTr="00C4329A">
        <w:trPr>
          <w:cantSplit/>
        </w:trPr>
        <w:tc>
          <w:tcPr>
            <w:tcW w:w="297" w:type="pct"/>
            <w:vAlign w:val="center"/>
          </w:tcPr>
          <w:p w14:paraId="55AB1CC2" w14:textId="77777777" w:rsidR="009F6AC8" w:rsidRPr="008C72E5" w:rsidRDefault="009F6AC8" w:rsidP="00B558B7">
            <w:pPr>
              <w:pStyle w:val="TekstTabeli"/>
            </w:pPr>
            <w:r w:rsidRPr="008C72E5">
              <w:t>303</w:t>
            </w:r>
          </w:p>
        </w:tc>
        <w:tc>
          <w:tcPr>
            <w:tcW w:w="880" w:type="pct"/>
            <w:vAlign w:val="center"/>
          </w:tcPr>
          <w:p w14:paraId="207B1A91" w14:textId="134FF24D" w:rsidR="009F6AC8" w:rsidRPr="008C72E5" w:rsidRDefault="009F6AC8" w:rsidP="00B558B7">
            <w:pPr>
              <w:pStyle w:val="TekstTabeli"/>
            </w:pPr>
            <w:proofErr w:type="spellStart"/>
            <w:r w:rsidRPr="008C72E5">
              <w:t>Kucherova</w:t>
            </w:r>
            <w:proofErr w:type="spellEnd"/>
            <w:r w:rsidRPr="008C72E5">
              <w:t xml:space="preserve"> H., </w:t>
            </w:r>
            <w:proofErr w:type="spellStart"/>
            <w:r w:rsidRPr="008C72E5">
              <w:t>Honcharenko</w:t>
            </w:r>
            <w:proofErr w:type="spellEnd"/>
            <w:r w:rsidRPr="008C72E5">
              <w:t xml:space="preserve"> Y., </w:t>
            </w:r>
            <w:proofErr w:type="spellStart"/>
            <w:r w:rsidR="00513290" w:rsidRPr="008C72E5">
              <w:t>i</w:t>
            </w:r>
            <w:proofErr w:type="spellEnd"/>
            <w:r w:rsidR="00513290" w:rsidRPr="008C72E5">
              <w:t> in.</w:t>
            </w:r>
          </w:p>
        </w:tc>
        <w:tc>
          <w:tcPr>
            <w:tcW w:w="1771" w:type="pct"/>
            <w:vAlign w:val="center"/>
          </w:tcPr>
          <w:p w14:paraId="2DB6E938" w14:textId="38FDA9E7" w:rsidR="009F6AC8" w:rsidRPr="008C72E5" w:rsidRDefault="00513290" w:rsidP="00B558B7">
            <w:pPr>
              <w:pStyle w:val="TekstTabeli"/>
            </w:pPr>
            <w:r w:rsidRPr="008C72E5">
              <w:t>Fuzzy logic model of usability of websites of higher education institutions in the context of digitalization of educational services</w:t>
            </w:r>
          </w:p>
        </w:tc>
        <w:tc>
          <w:tcPr>
            <w:tcW w:w="2052" w:type="pct"/>
            <w:vAlign w:val="center"/>
          </w:tcPr>
          <w:p w14:paraId="5D1DDA31" w14:textId="77777777" w:rsidR="009F6AC8" w:rsidRPr="008C72E5" w:rsidRDefault="009F6AC8" w:rsidP="00B558B7">
            <w:pPr>
              <w:pStyle w:val="TekstTabeli"/>
            </w:pPr>
            <w:r w:rsidRPr="008C72E5">
              <w:t>(2021) Neuro-Fuzzy Modeling Techniques in Economics, 10, pp. 119 - 135, DOI: 10.33111/nfmte.2021.119</w:t>
            </w:r>
          </w:p>
        </w:tc>
      </w:tr>
      <w:tr w:rsidR="00C4329A" w:rsidRPr="004C10DC" w14:paraId="56055573" w14:textId="77777777" w:rsidTr="00C4329A">
        <w:trPr>
          <w:cantSplit/>
        </w:trPr>
        <w:tc>
          <w:tcPr>
            <w:tcW w:w="297" w:type="pct"/>
            <w:vAlign w:val="center"/>
          </w:tcPr>
          <w:p w14:paraId="3D14FCE6" w14:textId="77777777" w:rsidR="009F6AC8" w:rsidRPr="008C72E5" w:rsidRDefault="009F6AC8" w:rsidP="00B558B7">
            <w:pPr>
              <w:pStyle w:val="TekstTabeli"/>
            </w:pPr>
            <w:r w:rsidRPr="008C72E5">
              <w:t>304</w:t>
            </w:r>
          </w:p>
        </w:tc>
        <w:tc>
          <w:tcPr>
            <w:tcW w:w="880" w:type="pct"/>
            <w:vAlign w:val="center"/>
          </w:tcPr>
          <w:p w14:paraId="6936CB2F" w14:textId="77777777" w:rsidR="009F6AC8" w:rsidRPr="008C72E5" w:rsidRDefault="009F6AC8" w:rsidP="00B558B7">
            <w:pPr>
              <w:pStyle w:val="TekstTabeli"/>
            </w:pPr>
            <w:r w:rsidRPr="008C72E5">
              <w:t>Teter W.R., Wang L.</w:t>
            </w:r>
          </w:p>
        </w:tc>
        <w:tc>
          <w:tcPr>
            <w:tcW w:w="1771" w:type="pct"/>
            <w:vAlign w:val="center"/>
          </w:tcPr>
          <w:p w14:paraId="761DBCC9" w14:textId="77777777" w:rsidR="009F6AC8" w:rsidRPr="008C72E5" w:rsidRDefault="009F6AC8" w:rsidP="00B558B7">
            <w:pPr>
              <w:pStyle w:val="TekstTabeli"/>
            </w:pPr>
            <w:r w:rsidRPr="008C72E5">
              <w:t>Monitoring implementation of the Tokyo Convention on recognition: a multi-stakeholder approach to the internationalization of higher education in the Asia-Pacific</w:t>
            </w:r>
          </w:p>
        </w:tc>
        <w:tc>
          <w:tcPr>
            <w:tcW w:w="2052" w:type="pct"/>
            <w:vAlign w:val="center"/>
          </w:tcPr>
          <w:p w14:paraId="6DE06EBE" w14:textId="77777777" w:rsidR="009F6AC8" w:rsidRPr="008C72E5" w:rsidRDefault="009F6AC8" w:rsidP="00B558B7">
            <w:pPr>
              <w:pStyle w:val="TekstTabeli"/>
            </w:pPr>
            <w:r w:rsidRPr="008C72E5">
              <w:t>(2021) International Journal of Comparative Education and Development, 23 (3), pp. 157 - 174, DOI: 10.1108/IJCED-10-2020-0075</w:t>
            </w:r>
          </w:p>
        </w:tc>
      </w:tr>
      <w:tr w:rsidR="00C4329A" w:rsidRPr="004C10DC" w14:paraId="0EB57542" w14:textId="77777777" w:rsidTr="00C4329A">
        <w:trPr>
          <w:cantSplit/>
        </w:trPr>
        <w:tc>
          <w:tcPr>
            <w:tcW w:w="297" w:type="pct"/>
            <w:vAlign w:val="center"/>
          </w:tcPr>
          <w:p w14:paraId="25AC024F" w14:textId="77777777" w:rsidR="009F6AC8" w:rsidRPr="008C72E5" w:rsidRDefault="009F6AC8" w:rsidP="00B558B7">
            <w:pPr>
              <w:pStyle w:val="TekstTabeli"/>
            </w:pPr>
            <w:r w:rsidRPr="008C72E5">
              <w:lastRenderedPageBreak/>
              <w:t>305</w:t>
            </w:r>
          </w:p>
        </w:tc>
        <w:tc>
          <w:tcPr>
            <w:tcW w:w="880" w:type="pct"/>
            <w:vAlign w:val="center"/>
          </w:tcPr>
          <w:p w14:paraId="52E148E5" w14:textId="22F8308A" w:rsidR="009F6AC8" w:rsidRPr="008C72E5" w:rsidRDefault="009F6AC8" w:rsidP="00B558B7">
            <w:pPr>
              <w:pStyle w:val="TekstTabeli"/>
            </w:pPr>
            <w:r w:rsidRPr="008C72E5">
              <w:t xml:space="preserve">Munguia N., Perkins K.M., </w:t>
            </w:r>
            <w:proofErr w:type="spellStart"/>
            <w:r w:rsidR="00513290" w:rsidRPr="008C72E5">
              <w:t>i</w:t>
            </w:r>
            <w:proofErr w:type="spellEnd"/>
            <w:r w:rsidR="00513290" w:rsidRPr="008C72E5">
              <w:t> in.</w:t>
            </w:r>
          </w:p>
        </w:tc>
        <w:tc>
          <w:tcPr>
            <w:tcW w:w="1771" w:type="pct"/>
            <w:vAlign w:val="center"/>
          </w:tcPr>
          <w:p w14:paraId="27B65BE0" w14:textId="77777777" w:rsidR="009F6AC8" w:rsidRPr="008C72E5" w:rsidRDefault="009F6AC8" w:rsidP="00B558B7">
            <w:pPr>
              <w:pStyle w:val="TekstTabeli"/>
            </w:pPr>
            <w:r w:rsidRPr="008C72E5">
              <w:t>Beliefs and Concerns About Global Warming Among Higher Education Students</w:t>
            </w:r>
          </w:p>
        </w:tc>
        <w:tc>
          <w:tcPr>
            <w:tcW w:w="2052" w:type="pct"/>
            <w:vAlign w:val="center"/>
          </w:tcPr>
          <w:p w14:paraId="19EF5C52" w14:textId="77777777" w:rsidR="009F6AC8" w:rsidRPr="008C72E5" w:rsidRDefault="009F6AC8" w:rsidP="00B558B7">
            <w:pPr>
              <w:pStyle w:val="TekstTabeli"/>
            </w:pPr>
            <w:r w:rsidRPr="008C72E5">
              <w:t>(2021) Handbook of Climate Change Management: Research, Leadership, Transformation, 5, pp. 3633 - 3654, DOI: 10.1007/978-3-030-57281-5_271</w:t>
            </w:r>
          </w:p>
        </w:tc>
      </w:tr>
      <w:tr w:rsidR="00C4329A" w:rsidRPr="004C10DC" w14:paraId="44BE29FD" w14:textId="77777777" w:rsidTr="00C4329A">
        <w:trPr>
          <w:cantSplit/>
        </w:trPr>
        <w:tc>
          <w:tcPr>
            <w:tcW w:w="297" w:type="pct"/>
            <w:vAlign w:val="center"/>
          </w:tcPr>
          <w:p w14:paraId="626012AE" w14:textId="77777777" w:rsidR="009F6AC8" w:rsidRPr="008C72E5" w:rsidRDefault="009F6AC8" w:rsidP="00B558B7">
            <w:pPr>
              <w:pStyle w:val="TekstTabeli"/>
            </w:pPr>
            <w:r w:rsidRPr="008C72E5">
              <w:t>306</w:t>
            </w:r>
          </w:p>
        </w:tc>
        <w:tc>
          <w:tcPr>
            <w:tcW w:w="880" w:type="pct"/>
            <w:vAlign w:val="center"/>
          </w:tcPr>
          <w:p w14:paraId="1AB995C6" w14:textId="77777777" w:rsidR="009F6AC8" w:rsidRPr="008C72E5" w:rsidRDefault="009F6AC8" w:rsidP="00B558B7">
            <w:pPr>
              <w:pStyle w:val="TekstTabeli"/>
            </w:pPr>
            <w:r w:rsidRPr="008C72E5">
              <w:t>Pantoja M.A., Rodríguez M.P., Carrión A.</w:t>
            </w:r>
          </w:p>
        </w:tc>
        <w:tc>
          <w:tcPr>
            <w:tcW w:w="1771" w:type="pct"/>
            <w:vAlign w:val="center"/>
          </w:tcPr>
          <w:p w14:paraId="5CB38A5F" w14:textId="3DC50475" w:rsidR="009F6AC8" w:rsidRPr="008C72E5" w:rsidRDefault="009F6AC8" w:rsidP="00B558B7">
            <w:pPr>
              <w:pStyle w:val="TekstTabeli"/>
            </w:pPr>
            <w:r w:rsidRPr="008C72E5">
              <w:t xml:space="preserve">Design of a questionnaire to assess university stakeholders attributes from a participative leadership approach </w:t>
            </w:r>
          </w:p>
        </w:tc>
        <w:tc>
          <w:tcPr>
            <w:tcW w:w="2052" w:type="pct"/>
            <w:vAlign w:val="center"/>
          </w:tcPr>
          <w:p w14:paraId="6ED03640" w14:textId="77777777" w:rsidR="009F6AC8" w:rsidRPr="008C72E5" w:rsidRDefault="009F6AC8" w:rsidP="00B558B7">
            <w:pPr>
              <w:pStyle w:val="TekstTabeli"/>
            </w:pPr>
            <w:r w:rsidRPr="008C72E5">
              <w:t xml:space="preserve">(2015) </w:t>
            </w:r>
            <w:proofErr w:type="spellStart"/>
            <w:r w:rsidRPr="008C72E5">
              <w:t>Formacion</w:t>
            </w:r>
            <w:proofErr w:type="spellEnd"/>
            <w:r w:rsidRPr="008C72E5">
              <w:t xml:space="preserve"> </w:t>
            </w:r>
            <w:proofErr w:type="spellStart"/>
            <w:r w:rsidRPr="008C72E5">
              <w:t>Universitaria</w:t>
            </w:r>
            <w:proofErr w:type="spellEnd"/>
            <w:r w:rsidRPr="008C72E5">
              <w:t>, 8 (4), pp. 33 - 44, DOI: 10.4067/S0718-50062015000400005</w:t>
            </w:r>
          </w:p>
        </w:tc>
      </w:tr>
      <w:tr w:rsidR="00C4329A" w:rsidRPr="004C10DC" w14:paraId="41B33352" w14:textId="77777777" w:rsidTr="00C4329A">
        <w:trPr>
          <w:cantSplit/>
        </w:trPr>
        <w:tc>
          <w:tcPr>
            <w:tcW w:w="297" w:type="pct"/>
            <w:vAlign w:val="center"/>
          </w:tcPr>
          <w:p w14:paraId="4E5DA8C0" w14:textId="77777777" w:rsidR="009F6AC8" w:rsidRPr="008C72E5" w:rsidRDefault="009F6AC8" w:rsidP="00B558B7">
            <w:pPr>
              <w:pStyle w:val="TekstTabeli"/>
            </w:pPr>
            <w:r w:rsidRPr="008C72E5">
              <w:t>307</w:t>
            </w:r>
          </w:p>
        </w:tc>
        <w:tc>
          <w:tcPr>
            <w:tcW w:w="880" w:type="pct"/>
            <w:vAlign w:val="center"/>
          </w:tcPr>
          <w:p w14:paraId="7A1F9F6B" w14:textId="77777777" w:rsidR="009F6AC8" w:rsidRPr="008C72E5" w:rsidRDefault="009F6AC8" w:rsidP="00B558B7">
            <w:pPr>
              <w:pStyle w:val="TekstTabeli"/>
            </w:pPr>
            <w:r w:rsidRPr="008C72E5">
              <w:t xml:space="preserve">Nagy M., </w:t>
            </w:r>
            <w:proofErr w:type="spellStart"/>
            <w:r w:rsidRPr="008C72E5">
              <w:t>Molontay</w:t>
            </w:r>
            <w:proofErr w:type="spellEnd"/>
            <w:r w:rsidRPr="008C72E5">
              <w:t xml:space="preserve"> R.</w:t>
            </w:r>
          </w:p>
        </w:tc>
        <w:tc>
          <w:tcPr>
            <w:tcW w:w="1771" w:type="pct"/>
            <w:vAlign w:val="center"/>
          </w:tcPr>
          <w:p w14:paraId="2A33CBA0" w14:textId="77777777" w:rsidR="009F6AC8" w:rsidRPr="008C72E5" w:rsidRDefault="009F6AC8" w:rsidP="00B558B7">
            <w:pPr>
              <w:pStyle w:val="TekstTabeli"/>
            </w:pPr>
            <w:r w:rsidRPr="008C72E5">
              <w:t>Interpretable Dropout Prediction: Towards XAI-Based Personalized Intervention</w:t>
            </w:r>
          </w:p>
        </w:tc>
        <w:tc>
          <w:tcPr>
            <w:tcW w:w="2052" w:type="pct"/>
            <w:vAlign w:val="center"/>
          </w:tcPr>
          <w:p w14:paraId="2017876D" w14:textId="77777777" w:rsidR="009F6AC8" w:rsidRPr="008C72E5" w:rsidRDefault="009F6AC8" w:rsidP="00B558B7">
            <w:pPr>
              <w:pStyle w:val="TekstTabeli"/>
            </w:pPr>
            <w:r w:rsidRPr="008C72E5">
              <w:t>(2023) International Journal of Artificial Intelligence in Education, DOI: 10.1007/s40593-023-00331-8</w:t>
            </w:r>
          </w:p>
        </w:tc>
      </w:tr>
      <w:tr w:rsidR="00C4329A" w:rsidRPr="004C10DC" w14:paraId="19607A95" w14:textId="77777777" w:rsidTr="00C4329A">
        <w:trPr>
          <w:cantSplit/>
        </w:trPr>
        <w:tc>
          <w:tcPr>
            <w:tcW w:w="297" w:type="pct"/>
            <w:vAlign w:val="center"/>
          </w:tcPr>
          <w:p w14:paraId="12C498A6" w14:textId="77777777" w:rsidR="009F6AC8" w:rsidRPr="008C72E5" w:rsidRDefault="009F6AC8" w:rsidP="00B558B7">
            <w:pPr>
              <w:pStyle w:val="TekstTabeli"/>
            </w:pPr>
            <w:r w:rsidRPr="008C72E5">
              <w:t>308</w:t>
            </w:r>
          </w:p>
        </w:tc>
        <w:tc>
          <w:tcPr>
            <w:tcW w:w="880" w:type="pct"/>
            <w:vAlign w:val="center"/>
          </w:tcPr>
          <w:p w14:paraId="1B20D333" w14:textId="0B1211BF" w:rsidR="009F6AC8" w:rsidRPr="008C72E5" w:rsidRDefault="009F6AC8" w:rsidP="00B558B7">
            <w:pPr>
              <w:pStyle w:val="TekstTabeli"/>
            </w:pPr>
            <w:r w:rsidRPr="008C72E5">
              <w:t xml:space="preserve">Demirel B., </w:t>
            </w:r>
            <w:proofErr w:type="spellStart"/>
            <w:r w:rsidRPr="008C72E5">
              <w:t>Bicakcioglu</w:t>
            </w:r>
            <w:proofErr w:type="spellEnd"/>
            <w:r w:rsidRPr="008C72E5">
              <w:t xml:space="preserve"> N., Duman S., </w:t>
            </w:r>
            <w:proofErr w:type="spellStart"/>
            <w:r w:rsidR="00513290" w:rsidRPr="008C72E5">
              <w:t>i</w:t>
            </w:r>
            <w:proofErr w:type="spellEnd"/>
            <w:r w:rsidR="00513290" w:rsidRPr="008C72E5">
              <w:t> in.</w:t>
            </w:r>
          </w:p>
        </w:tc>
        <w:tc>
          <w:tcPr>
            <w:tcW w:w="1771" w:type="pct"/>
            <w:vAlign w:val="center"/>
          </w:tcPr>
          <w:p w14:paraId="55531C86" w14:textId="77777777" w:rsidR="009F6AC8" w:rsidRPr="008C72E5" w:rsidRDefault="009F6AC8" w:rsidP="00B558B7">
            <w:pPr>
              <w:pStyle w:val="TekstTabeli"/>
            </w:pPr>
            <w:r w:rsidRPr="008C72E5">
              <w:t>Understanding and perceptions of climate change: A perspective of university stakeholders</w:t>
            </w:r>
          </w:p>
        </w:tc>
        <w:tc>
          <w:tcPr>
            <w:tcW w:w="2052" w:type="pct"/>
            <w:vAlign w:val="center"/>
          </w:tcPr>
          <w:p w14:paraId="707A2814" w14:textId="77777777" w:rsidR="009F6AC8" w:rsidRPr="008C72E5" w:rsidRDefault="009F6AC8" w:rsidP="00B558B7">
            <w:pPr>
              <w:pStyle w:val="TekstTabeli"/>
            </w:pPr>
            <w:r w:rsidRPr="008C72E5">
              <w:t>(2019) International Journal of Global Warming, 18 (3-4), pp. 385 - 400, DOI: 10.1504/IJGW.2019.101095</w:t>
            </w:r>
          </w:p>
        </w:tc>
      </w:tr>
      <w:tr w:rsidR="00C4329A" w:rsidRPr="004C10DC" w14:paraId="2CB16290" w14:textId="77777777" w:rsidTr="00C4329A">
        <w:trPr>
          <w:cantSplit/>
        </w:trPr>
        <w:tc>
          <w:tcPr>
            <w:tcW w:w="297" w:type="pct"/>
            <w:vAlign w:val="center"/>
          </w:tcPr>
          <w:p w14:paraId="254B6E96" w14:textId="77777777" w:rsidR="009F6AC8" w:rsidRPr="008C72E5" w:rsidRDefault="009F6AC8" w:rsidP="00B558B7">
            <w:pPr>
              <w:pStyle w:val="TekstTabeli"/>
            </w:pPr>
            <w:r w:rsidRPr="008C72E5">
              <w:t>309</w:t>
            </w:r>
          </w:p>
        </w:tc>
        <w:tc>
          <w:tcPr>
            <w:tcW w:w="880" w:type="pct"/>
            <w:vAlign w:val="center"/>
          </w:tcPr>
          <w:p w14:paraId="59DE3CC5" w14:textId="77777777" w:rsidR="009F6AC8" w:rsidRPr="008C72E5" w:rsidRDefault="009F6AC8" w:rsidP="00B558B7">
            <w:pPr>
              <w:pStyle w:val="TekstTabeli"/>
            </w:pPr>
            <w:r w:rsidRPr="008C72E5">
              <w:t>Rayner G., Papakonstantinou T.</w:t>
            </w:r>
          </w:p>
        </w:tc>
        <w:tc>
          <w:tcPr>
            <w:tcW w:w="1771" w:type="pct"/>
            <w:vAlign w:val="center"/>
          </w:tcPr>
          <w:p w14:paraId="3DCE27F6" w14:textId="77777777" w:rsidR="009F6AC8" w:rsidRPr="008C72E5" w:rsidRDefault="009F6AC8" w:rsidP="00B558B7">
            <w:pPr>
              <w:pStyle w:val="TekstTabeli"/>
            </w:pPr>
            <w:r w:rsidRPr="008C72E5">
              <w:t>The Variables that Predict Science Undergraduates’ Timely Degree Completion: a Conceptual Model</w:t>
            </w:r>
          </w:p>
        </w:tc>
        <w:tc>
          <w:tcPr>
            <w:tcW w:w="2052" w:type="pct"/>
            <w:vAlign w:val="center"/>
          </w:tcPr>
          <w:p w14:paraId="28DFCC67" w14:textId="77777777" w:rsidR="009F6AC8" w:rsidRPr="008C72E5" w:rsidRDefault="009F6AC8" w:rsidP="00B558B7">
            <w:pPr>
              <w:pStyle w:val="TekstTabeli"/>
            </w:pPr>
            <w:r w:rsidRPr="008C72E5">
              <w:t>(2023) Research in Science Education, 53 (3), pp. 463 - 476, DOI: 10.1007/s11165-022-10064-8</w:t>
            </w:r>
          </w:p>
        </w:tc>
      </w:tr>
      <w:tr w:rsidR="00C4329A" w:rsidRPr="004C10DC" w14:paraId="6A6DC279" w14:textId="77777777" w:rsidTr="00C4329A">
        <w:trPr>
          <w:cantSplit/>
        </w:trPr>
        <w:tc>
          <w:tcPr>
            <w:tcW w:w="297" w:type="pct"/>
            <w:vAlign w:val="center"/>
          </w:tcPr>
          <w:p w14:paraId="2C1EEB4E" w14:textId="77777777" w:rsidR="009F6AC8" w:rsidRPr="008C72E5" w:rsidRDefault="009F6AC8" w:rsidP="00B558B7">
            <w:pPr>
              <w:pStyle w:val="TekstTabeli"/>
            </w:pPr>
            <w:r w:rsidRPr="008C72E5">
              <w:t>310</w:t>
            </w:r>
          </w:p>
        </w:tc>
        <w:tc>
          <w:tcPr>
            <w:tcW w:w="880" w:type="pct"/>
            <w:vAlign w:val="center"/>
          </w:tcPr>
          <w:p w14:paraId="3935E3A2" w14:textId="2E06BC9E" w:rsidR="009F6AC8" w:rsidRPr="008C72E5" w:rsidRDefault="009F6AC8" w:rsidP="00B558B7">
            <w:pPr>
              <w:pStyle w:val="TekstTabeli"/>
            </w:pPr>
            <w:r w:rsidRPr="008C72E5">
              <w:t xml:space="preserve">Remnant J., Sang K., Myhill K., Calvard T., </w:t>
            </w:r>
            <w:proofErr w:type="spellStart"/>
            <w:r w:rsidR="00513290" w:rsidRPr="008C72E5">
              <w:t>i</w:t>
            </w:r>
            <w:proofErr w:type="spellEnd"/>
            <w:r w:rsidR="00513290" w:rsidRPr="008C72E5">
              <w:t> in.</w:t>
            </w:r>
          </w:p>
        </w:tc>
        <w:tc>
          <w:tcPr>
            <w:tcW w:w="1771" w:type="pct"/>
            <w:vAlign w:val="center"/>
          </w:tcPr>
          <w:p w14:paraId="636A7E96" w14:textId="77777777" w:rsidR="009F6AC8" w:rsidRPr="008C72E5" w:rsidRDefault="009F6AC8" w:rsidP="00B558B7">
            <w:pPr>
              <w:pStyle w:val="TekstTabeli"/>
            </w:pPr>
            <w:r w:rsidRPr="008C72E5">
              <w:t>Working it out: Will the improved management of leaky bodies in the workplace create a dialogue between medical sociology and disability studies?</w:t>
            </w:r>
          </w:p>
        </w:tc>
        <w:tc>
          <w:tcPr>
            <w:tcW w:w="2052" w:type="pct"/>
            <w:vAlign w:val="center"/>
          </w:tcPr>
          <w:p w14:paraId="07873E4D" w14:textId="77777777" w:rsidR="009F6AC8" w:rsidRPr="008C72E5" w:rsidRDefault="009F6AC8" w:rsidP="00B558B7">
            <w:pPr>
              <w:pStyle w:val="TekstTabeli"/>
            </w:pPr>
            <w:r w:rsidRPr="008C72E5">
              <w:t>(2023) Sociology of Health and Illness, 45 (6), pp. 1276 - 1299, DOI: 10.1111/1467-9566.13519</w:t>
            </w:r>
          </w:p>
        </w:tc>
      </w:tr>
      <w:tr w:rsidR="00C4329A" w:rsidRPr="004C10DC" w14:paraId="5E7AF4D6" w14:textId="77777777" w:rsidTr="00C4329A">
        <w:trPr>
          <w:cantSplit/>
        </w:trPr>
        <w:tc>
          <w:tcPr>
            <w:tcW w:w="297" w:type="pct"/>
            <w:vAlign w:val="center"/>
          </w:tcPr>
          <w:p w14:paraId="0FCA8622" w14:textId="77777777" w:rsidR="009F6AC8" w:rsidRPr="008C72E5" w:rsidRDefault="009F6AC8" w:rsidP="00B558B7">
            <w:pPr>
              <w:pStyle w:val="TekstTabeli"/>
            </w:pPr>
            <w:r w:rsidRPr="008C72E5">
              <w:t>311</w:t>
            </w:r>
          </w:p>
        </w:tc>
        <w:tc>
          <w:tcPr>
            <w:tcW w:w="880" w:type="pct"/>
            <w:vAlign w:val="center"/>
          </w:tcPr>
          <w:p w14:paraId="67888896" w14:textId="77777777" w:rsidR="009F6AC8" w:rsidRPr="008C72E5" w:rsidRDefault="009F6AC8" w:rsidP="00B558B7">
            <w:pPr>
              <w:pStyle w:val="TekstTabeli"/>
            </w:pPr>
            <w:proofErr w:type="spellStart"/>
            <w:r w:rsidRPr="008C72E5">
              <w:t>Mampaey</w:t>
            </w:r>
            <w:proofErr w:type="spellEnd"/>
            <w:r w:rsidRPr="008C72E5">
              <w:t xml:space="preserve"> J., Brankovic J., Huisman J.</w:t>
            </w:r>
          </w:p>
        </w:tc>
        <w:tc>
          <w:tcPr>
            <w:tcW w:w="1771" w:type="pct"/>
            <w:vAlign w:val="center"/>
          </w:tcPr>
          <w:p w14:paraId="7BECD235" w14:textId="77777777" w:rsidR="009F6AC8" w:rsidRPr="008C72E5" w:rsidRDefault="009F6AC8" w:rsidP="00B558B7">
            <w:pPr>
              <w:pStyle w:val="TekstTabeli"/>
            </w:pPr>
            <w:r w:rsidRPr="008C72E5">
              <w:t>Inter-institutional differences in defensive stakeholder management in higher education: the case of Serbia</w:t>
            </w:r>
          </w:p>
        </w:tc>
        <w:tc>
          <w:tcPr>
            <w:tcW w:w="2052" w:type="pct"/>
            <w:vAlign w:val="center"/>
          </w:tcPr>
          <w:p w14:paraId="474934CA" w14:textId="77777777" w:rsidR="009F6AC8" w:rsidRPr="008C72E5" w:rsidRDefault="009F6AC8" w:rsidP="00B558B7">
            <w:pPr>
              <w:pStyle w:val="TekstTabeli"/>
            </w:pPr>
            <w:r w:rsidRPr="008C72E5">
              <w:t>(2019) Studies in Higher Education, 44 (6), pp. 978 - 989, DOI: 10.1080/03075079.2017.1405253</w:t>
            </w:r>
          </w:p>
        </w:tc>
      </w:tr>
      <w:tr w:rsidR="00C4329A" w:rsidRPr="004C10DC" w14:paraId="08A79EBE" w14:textId="77777777" w:rsidTr="00C4329A">
        <w:trPr>
          <w:cantSplit/>
        </w:trPr>
        <w:tc>
          <w:tcPr>
            <w:tcW w:w="297" w:type="pct"/>
            <w:vAlign w:val="center"/>
          </w:tcPr>
          <w:p w14:paraId="2E0F8C36" w14:textId="77777777" w:rsidR="009F6AC8" w:rsidRPr="008C72E5" w:rsidRDefault="009F6AC8" w:rsidP="00B558B7">
            <w:pPr>
              <w:pStyle w:val="TekstTabeli"/>
            </w:pPr>
            <w:r w:rsidRPr="008C72E5">
              <w:t>312</w:t>
            </w:r>
          </w:p>
        </w:tc>
        <w:tc>
          <w:tcPr>
            <w:tcW w:w="880" w:type="pct"/>
            <w:vAlign w:val="center"/>
          </w:tcPr>
          <w:p w14:paraId="2582BE9F" w14:textId="77777777" w:rsidR="009F6AC8" w:rsidRPr="00D82766" w:rsidRDefault="009F6AC8" w:rsidP="00B558B7">
            <w:pPr>
              <w:pStyle w:val="TekstTabeli"/>
              <w:rPr>
                <w:lang w:val="pl-PL"/>
              </w:rPr>
            </w:pPr>
            <w:r w:rsidRPr="00D82766">
              <w:rPr>
                <w:lang w:val="pl-PL"/>
              </w:rPr>
              <w:t xml:space="preserve">Pan F., </w:t>
            </w:r>
            <w:proofErr w:type="spellStart"/>
            <w:r w:rsidRPr="00D82766">
              <w:rPr>
                <w:lang w:val="pl-PL"/>
              </w:rPr>
              <w:t>Liu</w:t>
            </w:r>
            <w:proofErr w:type="spellEnd"/>
            <w:r w:rsidRPr="00D82766">
              <w:rPr>
                <w:lang w:val="pl-PL"/>
              </w:rPr>
              <w:t xml:space="preserve"> L., </w:t>
            </w:r>
            <w:proofErr w:type="spellStart"/>
            <w:r w:rsidRPr="00D82766">
              <w:rPr>
                <w:lang w:val="pl-PL"/>
              </w:rPr>
              <w:t>Wang</w:t>
            </w:r>
            <w:proofErr w:type="spellEnd"/>
            <w:r w:rsidRPr="00D82766">
              <w:rPr>
                <w:lang w:val="pl-PL"/>
              </w:rPr>
              <w:t xml:space="preserve"> Z.</w:t>
            </w:r>
          </w:p>
        </w:tc>
        <w:tc>
          <w:tcPr>
            <w:tcW w:w="1771" w:type="pct"/>
            <w:vAlign w:val="center"/>
          </w:tcPr>
          <w:p w14:paraId="23D7ACC9" w14:textId="77777777" w:rsidR="009F6AC8" w:rsidRPr="008C72E5" w:rsidRDefault="009F6AC8" w:rsidP="00B558B7">
            <w:pPr>
              <w:pStyle w:val="TekstTabeli"/>
            </w:pPr>
            <w:r w:rsidRPr="008C72E5">
              <w:t>The Chinese University stakeholder satisfaction survey: Developing a customer-centered self-assessment tool for higher education quality management</w:t>
            </w:r>
          </w:p>
        </w:tc>
        <w:tc>
          <w:tcPr>
            <w:tcW w:w="2052" w:type="pct"/>
            <w:vAlign w:val="center"/>
          </w:tcPr>
          <w:p w14:paraId="240C5863" w14:textId="77777777" w:rsidR="009F6AC8" w:rsidRPr="008C72E5" w:rsidRDefault="009F6AC8" w:rsidP="00B558B7">
            <w:pPr>
              <w:pStyle w:val="TekstTabeli"/>
            </w:pPr>
            <w:r w:rsidRPr="008C72E5">
              <w:t>(2022) Frontiers in Psychology, 13, art. no. 1043417, DOI: 10.3389/fpsyg.2022.1043417</w:t>
            </w:r>
          </w:p>
        </w:tc>
      </w:tr>
      <w:tr w:rsidR="00C4329A" w:rsidRPr="004C10DC" w14:paraId="237C0E0B" w14:textId="77777777" w:rsidTr="00C4329A">
        <w:trPr>
          <w:cantSplit/>
        </w:trPr>
        <w:tc>
          <w:tcPr>
            <w:tcW w:w="297" w:type="pct"/>
            <w:vAlign w:val="center"/>
          </w:tcPr>
          <w:p w14:paraId="21818B29" w14:textId="77777777" w:rsidR="009F6AC8" w:rsidRPr="008C72E5" w:rsidRDefault="009F6AC8" w:rsidP="00B558B7">
            <w:pPr>
              <w:pStyle w:val="TekstTabeli"/>
            </w:pPr>
            <w:r w:rsidRPr="008C72E5">
              <w:t>313</w:t>
            </w:r>
          </w:p>
        </w:tc>
        <w:tc>
          <w:tcPr>
            <w:tcW w:w="880" w:type="pct"/>
            <w:vAlign w:val="center"/>
          </w:tcPr>
          <w:p w14:paraId="01C456DA" w14:textId="77777777" w:rsidR="009F6AC8" w:rsidRPr="008C72E5" w:rsidRDefault="009F6AC8" w:rsidP="00B558B7">
            <w:pPr>
              <w:pStyle w:val="TekstTabeli"/>
            </w:pPr>
            <w:proofErr w:type="spellStart"/>
            <w:r w:rsidRPr="008C72E5">
              <w:t>Varshavskaya</w:t>
            </w:r>
            <w:proofErr w:type="spellEnd"/>
            <w:r w:rsidRPr="008C72E5">
              <w:t xml:space="preserve"> E., </w:t>
            </w:r>
            <w:proofErr w:type="spellStart"/>
            <w:r w:rsidRPr="008C72E5">
              <w:t>Podverbnykh</w:t>
            </w:r>
            <w:proofErr w:type="spellEnd"/>
            <w:r w:rsidRPr="008C72E5">
              <w:t xml:space="preserve"> U.</w:t>
            </w:r>
          </w:p>
        </w:tc>
        <w:tc>
          <w:tcPr>
            <w:tcW w:w="1771" w:type="pct"/>
            <w:vAlign w:val="center"/>
          </w:tcPr>
          <w:p w14:paraId="64448A16" w14:textId="77777777" w:rsidR="009F6AC8" w:rsidRPr="008C72E5" w:rsidRDefault="009F6AC8" w:rsidP="00B558B7">
            <w:pPr>
              <w:pStyle w:val="TekstTabeli"/>
            </w:pPr>
            <w:r w:rsidRPr="008C72E5">
              <w:t>Job search strategies of recent university graduates: prevalence and effectiveness</w:t>
            </w:r>
          </w:p>
        </w:tc>
        <w:tc>
          <w:tcPr>
            <w:tcW w:w="2052" w:type="pct"/>
            <w:vAlign w:val="center"/>
          </w:tcPr>
          <w:p w14:paraId="3472643B" w14:textId="77777777" w:rsidR="009F6AC8" w:rsidRPr="008C72E5" w:rsidRDefault="009F6AC8" w:rsidP="00B558B7">
            <w:pPr>
              <w:pStyle w:val="TekstTabeli"/>
            </w:pPr>
            <w:r w:rsidRPr="008C72E5">
              <w:t>(2021) Education and Training, 63 (1), pp. 135 - 149, DOI: 10.1108/ET-02-2020-0029</w:t>
            </w:r>
          </w:p>
        </w:tc>
      </w:tr>
      <w:tr w:rsidR="00C4329A" w:rsidRPr="004C10DC" w14:paraId="3D5FB2BC" w14:textId="77777777" w:rsidTr="00C4329A">
        <w:trPr>
          <w:cantSplit/>
        </w:trPr>
        <w:tc>
          <w:tcPr>
            <w:tcW w:w="297" w:type="pct"/>
            <w:vAlign w:val="center"/>
          </w:tcPr>
          <w:p w14:paraId="693370F8" w14:textId="77777777" w:rsidR="009F6AC8" w:rsidRPr="008C72E5" w:rsidRDefault="009F6AC8" w:rsidP="00B558B7">
            <w:pPr>
              <w:pStyle w:val="TekstTabeli"/>
            </w:pPr>
            <w:r w:rsidRPr="008C72E5">
              <w:t>314</w:t>
            </w:r>
          </w:p>
        </w:tc>
        <w:tc>
          <w:tcPr>
            <w:tcW w:w="880" w:type="pct"/>
            <w:vAlign w:val="center"/>
          </w:tcPr>
          <w:p w14:paraId="7581C40A" w14:textId="77777777" w:rsidR="009F6AC8" w:rsidRPr="00D82766" w:rsidRDefault="009F6AC8" w:rsidP="00B558B7">
            <w:pPr>
              <w:pStyle w:val="TekstTabeli"/>
              <w:rPr>
                <w:lang w:val="pl-PL"/>
              </w:rPr>
            </w:pPr>
            <w:r w:rsidRPr="00D82766">
              <w:rPr>
                <w:lang w:val="pl-PL"/>
              </w:rPr>
              <w:t>Perez-</w:t>
            </w:r>
            <w:proofErr w:type="spellStart"/>
            <w:r w:rsidRPr="00D82766">
              <w:rPr>
                <w:lang w:val="pl-PL"/>
              </w:rPr>
              <w:t>Encinas</w:t>
            </w:r>
            <w:proofErr w:type="spellEnd"/>
            <w:r w:rsidRPr="00D82766">
              <w:rPr>
                <w:lang w:val="pl-PL"/>
              </w:rPr>
              <w:t xml:space="preserve"> A., Rodriguez-</w:t>
            </w:r>
            <w:proofErr w:type="spellStart"/>
            <w:r w:rsidRPr="00D82766">
              <w:rPr>
                <w:lang w:val="pl-PL"/>
              </w:rPr>
              <w:t>Pomeda</w:t>
            </w:r>
            <w:proofErr w:type="spellEnd"/>
            <w:r w:rsidRPr="00D82766">
              <w:rPr>
                <w:lang w:val="pl-PL"/>
              </w:rPr>
              <w:t xml:space="preserve"> J.</w:t>
            </w:r>
          </w:p>
        </w:tc>
        <w:tc>
          <w:tcPr>
            <w:tcW w:w="1771" w:type="pct"/>
            <w:vAlign w:val="center"/>
          </w:tcPr>
          <w:p w14:paraId="0E4AADB2" w14:textId="77777777" w:rsidR="009F6AC8" w:rsidRPr="008C72E5" w:rsidRDefault="009F6AC8" w:rsidP="00B558B7">
            <w:pPr>
              <w:pStyle w:val="TekstTabeli"/>
            </w:pPr>
            <w:r w:rsidRPr="008C72E5">
              <w:t>Chinese and Indian higher education students go abroad: listening to them to determine what their needs are</w:t>
            </w:r>
          </w:p>
        </w:tc>
        <w:tc>
          <w:tcPr>
            <w:tcW w:w="2052" w:type="pct"/>
            <w:vAlign w:val="center"/>
          </w:tcPr>
          <w:p w14:paraId="61F63518" w14:textId="77777777" w:rsidR="009F6AC8" w:rsidRPr="008C72E5" w:rsidRDefault="009F6AC8" w:rsidP="00B558B7">
            <w:pPr>
              <w:pStyle w:val="TekstTabeli"/>
            </w:pPr>
            <w:r w:rsidRPr="008C72E5">
              <w:t>(2021) Tertiary Education and Management, 27 (4), pp. 313 - 330, DOI: 10.1007/s11233-021-09078-0</w:t>
            </w:r>
          </w:p>
        </w:tc>
      </w:tr>
      <w:tr w:rsidR="00C4329A" w:rsidRPr="004C10DC" w14:paraId="349F546C" w14:textId="77777777" w:rsidTr="00C4329A">
        <w:trPr>
          <w:cantSplit/>
        </w:trPr>
        <w:tc>
          <w:tcPr>
            <w:tcW w:w="297" w:type="pct"/>
            <w:vAlign w:val="center"/>
          </w:tcPr>
          <w:p w14:paraId="1B58A80C" w14:textId="77777777" w:rsidR="009F6AC8" w:rsidRPr="008C72E5" w:rsidRDefault="009F6AC8" w:rsidP="00B558B7">
            <w:pPr>
              <w:pStyle w:val="TekstTabeli"/>
            </w:pPr>
            <w:r w:rsidRPr="008C72E5">
              <w:t>315</w:t>
            </w:r>
          </w:p>
        </w:tc>
        <w:tc>
          <w:tcPr>
            <w:tcW w:w="880" w:type="pct"/>
            <w:vAlign w:val="center"/>
          </w:tcPr>
          <w:p w14:paraId="33338E5B" w14:textId="77777777" w:rsidR="009F6AC8" w:rsidRPr="008C72E5" w:rsidRDefault="009F6AC8" w:rsidP="00B558B7">
            <w:pPr>
              <w:pStyle w:val="TekstTabeli"/>
            </w:pPr>
            <w:r w:rsidRPr="008C72E5">
              <w:t>Charter V.</w:t>
            </w:r>
          </w:p>
        </w:tc>
        <w:tc>
          <w:tcPr>
            <w:tcW w:w="1771" w:type="pct"/>
            <w:vAlign w:val="center"/>
          </w:tcPr>
          <w:p w14:paraId="5BE90329" w14:textId="77777777" w:rsidR="009F6AC8" w:rsidRPr="008C72E5" w:rsidRDefault="009F6AC8" w:rsidP="00B558B7">
            <w:pPr>
              <w:pStyle w:val="TekstTabeli"/>
            </w:pPr>
            <w:r w:rsidRPr="008C72E5">
              <w:t>Engineering Student Perceptions of Their Generic Skills Competency: An Analysis of Differences Amongst Demographics</w:t>
            </w:r>
          </w:p>
        </w:tc>
        <w:tc>
          <w:tcPr>
            <w:tcW w:w="2052" w:type="pct"/>
            <w:vAlign w:val="center"/>
          </w:tcPr>
          <w:p w14:paraId="152B2E63" w14:textId="77777777" w:rsidR="009F6AC8" w:rsidRPr="008C72E5" w:rsidRDefault="009F6AC8" w:rsidP="00B558B7">
            <w:pPr>
              <w:pStyle w:val="TekstTabeli"/>
            </w:pPr>
            <w:r w:rsidRPr="008C72E5">
              <w:t>(2021) ASEE Annual Conference and Exposition, Conference Proceedings, 0</w:t>
            </w:r>
          </w:p>
        </w:tc>
      </w:tr>
      <w:tr w:rsidR="00C4329A" w:rsidRPr="004C10DC" w14:paraId="0707DA80" w14:textId="77777777" w:rsidTr="00C4329A">
        <w:trPr>
          <w:cantSplit/>
        </w:trPr>
        <w:tc>
          <w:tcPr>
            <w:tcW w:w="297" w:type="pct"/>
            <w:vAlign w:val="center"/>
          </w:tcPr>
          <w:p w14:paraId="5F767F83" w14:textId="77777777" w:rsidR="009F6AC8" w:rsidRPr="008C72E5" w:rsidRDefault="009F6AC8" w:rsidP="00B558B7">
            <w:pPr>
              <w:pStyle w:val="TekstTabeli"/>
            </w:pPr>
            <w:r w:rsidRPr="008C72E5">
              <w:t>316</w:t>
            </w:r>
          </w:p>
        </w:tc>
        <w:tc>
          <w:tcPr>
            <w:tcW w:w="880" w:type="pct"/>
            <w:vAlign w:val="center"/>
          </w:tcPr>
          <w:p w14:paraId="60069AFB" w14:textId="77777777" w:rsidR="009F6AC8" w:rsidRPr="00D82766" w:rsidRDefault="009F6AC8" w:rsidP="00B558B7">
            <w:pPr>
              <w:pStyle w:val="TekstTabeli"/>
              <w:rPr>
                <w:lang w:val="pl-PL"/>
              </w:rPr>
            </w:pPr>
            <w:proofErr w:type="spellStart"/>
            <w:r w:rsidRPr="00D82766">
              <w:rPr>
                <w:lang w:val="pl-PL"/>
              </w:rPr>
              <w:t>Kozar</w:t>
            </w:r>
            <w:proofErr w:type="spellEnd"/>
            <w:r w:rsidRPr="00D82766">
              <w:rPr>
                <w:lang w:val="pl-PL"/>
              </w:rPr>
              <w:t xml:space="preserve"> O., </w:t>
            </w:r>
            <w:proofErr w:type="spellStart"/>
            <w:r w:rsidRPr="00D82766">
              <w:rPr>
                <w:lang w:val="pl-PL"/>
              </w:rPr>
              <w:t>Lum</w:t>
            </w:r>
            <w:proofErr w:type="spellEnd"/>
            <w:r w:rsidRPr="00D82766">
              <w:rPr>
                <w:lang w:val="pl-PL"/>
              </w:rPr>
              <w:t xml:space="preserve"> J.F.</w:t>
            </w:r>
          </w:p>
        </w:tc>
        <w:tc>
          <w:tcPr>
            <w:tcW w:w="1771" w:type="pct"/>
            <w:vAlign w:val="center"/>
          </w:tcPr>
          <w:p w14:paraId="78747994" w14:textId="77777777" w:rsidR="009F6AC8" w:rsidRPr="008C72E5" w:rsidRDefault="009F6AC8" w:rsidP="00B558B7">
            <w:pPr>
              <w:pStyle w:val="TekstTabeli"/>
            </w:pPr>
            <w:r w:rsidRPr="008C72E5">
              <w:t>‘They want more of everything’: what university middle managers’ attitudes reveal about support for off-campus doctoral students</w:t>
            </w:r>
          </w:p>
        </w:tc>
        <w:tc>
          <w:tcPr>
            <w:tcW w:w="2052" w:type="pct"/>
            <w:vAlign w:val="center"/>
          </w:tcPr>
          <w:p w14:paraId="27692046" w14:textId="77777777" w:rsidR="009F6AC8" w:rsidRPr="008C72E5" w:rsidRDefault="009F6AC8" w:rsidP="00B558B7">
            <w:pPr>
              <w:pStyle w:val="TekstTabeli"/>
            </w:pPr>
            <w:r w:rsidRPr="008C72E5">
              <w:t>(2017) Higher Education Research and Development, 36 (7), pp. 1448 - 1462, DOI: 10.1080/07294360.2017.1325846</w:t>
            </w:r>
          </w:p>
        </w:tc>
      </w:tr>
      <w:tr w:rsidR="00C4329A" w:rsidRPr="004C10DC" w14:paraId="35D42FD0" w14:textId="77777777" w:rsidTr="00C4329A">
        <w:trPr>
          <w:cantSplit/>
        </w:trPr>
        <w:tc>
          <w:tcPr>
            <w:tcW w:w="297" w:type="pct"/>
            <w:vAlign w:val="center"/>
          </w:tcPr>
          <w:p w14:paraId="53561566" w14:textId="77777777" w:rsidR="009F6AC8" w:rsidRPr="008C72E5" w:rsidRDefault="009F6AC8" w:rsidP="00B558B7">
            <w:pPr>
              <w:pStyle w:val="TekstTabeli"/>
            </w:pPr>
            <w:r w:rsidRPr="008C72E5">
              <w:t>317</w:t>
            </w:r>
          </w:p>
        </w:tc>
        <w:tc>
          <w:tcPr>
            <w:tcW w:w="880" w:type="pct"/>
            <w:vAlign w:val="center"/>
          </w:tcPr>
          <w:p w14:paraId="287FCD09" w14:textId="77777777" w:rsidR="009F6AC8" w:rsidRPr="00D82766" w:rsidRDefault="009F6AC8" w:rsidP="00B558B7">
            <w:pPr>
              <w:pStyle w:val="TekstTabeli"/>
              <w:rPr>
                <w:lang w:val="pl-PL"/>
              </w:rPr>
            </w:pPr>
            <w:proofErr w:type="spellStart"/>
            <w:r w:rsidRPr="00D82766">
              <w:rPr>
                <w:lang w:val="pl-PL"/>
              </w:rPr>
              <w:t>Olaleye</w:t>
            </w:r>
            <w:proofErr w:type="spellEnd"/>
            <w:r w:rsidRPr="00D82766">
              <w:rPr>
                <w:lang w:val="pl-PL"/>
              </w:rPr>
              <w:t xml:space="preserve"> S., </w:t>
            </w:r>
            <w:proofErr w:type="spellStart"/>
            <w:r w:rsidRPr="00D82766">
              <w:rPr>
                <w:lang w:val="pl-PL"/>
              </w:rPr>
              <w:t>Ukpabi</w:t>
            </w:r>
            <w:proofErr w:type="spellEnd"/>
            <w:r w:rsidRPr="00D82766">
              <w:rPr>
                <w:lang w:val="pl-PL"/>
              </w:rPr>
              <w:t xml:space="preserve"> D., </w:t>
            </w:r>
            <w:proofErr w:type="spellStart"/>
            <w:r w:rsidRPr="00D82766">
              <w:rPr>
                <w:lang w:val="pl-PL"/>
              </w:rPr>
              <w:t>Mogaji</w:t>
            </w:r>
            <w:proofErr w:type="spellEnd"/>
            <w:r w:rsidRPr="00D82766">
              <w:rPr>
                <w:lang w:val="pl-PL"/>
              </w:rPr>
              <w:t xml:space="preserve"> E.</w:t>
            </w:r>
          </w:p>
        </w:tc>
        <w:tc>
          <w:tcPr>
            <w:tcW w:w="1771" w:type="pct"/>
            <w:vAlign w:val="center"/>
          </w:tcPr>
          <w:p w14:paraId="49E9AA16" w14:textId="77777777" w:rsidR="009F6AC8" w:rsidRPr="008C72E5" w:rsidRDefault="009F6AC8" w:rsidP="00B558B7">
            <w:pPr>
              <w:pStyle w:val="TekstTabeli"/>
            </w:pPr>
            <w:r w:rsidRPr="008C72E5">
              <w:t xml:space="preserve">Social media for universities’ strategic communication: How </w:t>
            </w:r>
            <w:proofErr w:type="spellStart"/>
            <w:r w:rsidRPr="008C72E5">
              <w:t>nigerian</w:t>
            </w:r>
            <w:proofErr w:type="spellEnd"/>
            <w:r w:rsidRPr="008C72E5">
              <w:t xml:space="preserve"> universities use </w:t>
            </w:r>
            <w:proofErr w:type="spellStart"/>
            <w:r w:rsidRPr="008C72E5">
              <w:t>facebook</w:t>
            </w:r>
            <w:proofErr w:type="spellEnd"/>
          </w:p>
        </w:tc>
        <w:tc>
          <w:tcPr>
            <w:tcW w:w="2052" w:type="pct"/>
            <w:vAlign w:val="center"/>
          </w:tcPr>
          <w:p w14:paraId="242EE356" w14:textId="77777777" w:rsidR="009F6AC8" w:rsidRPr="008C72E5" w:rsidRDefault="009F6AC8" w:rsidP="00B558B7">
            <w:pPr>
              <w:pStyle w:val="TekstTabeli"/>
            </w:pPr>
            <w:r w:rsidRPr="008C72E5">
              <w:t>(2020) Strategic Marketing of Higher Education in Africa, pp. 116 - 135, DOI: 10.4324/9780429320934-9</w:t>
            </w:r>
          </w:p>
        </w:tc>
      </w:tr>
      <w:tr w:rsidR="00C4329A" w:rsidRPr="008C72E5" w14:paraId="259392A7" w14:textId="77777777" w:rsidTr="00C4329A">
        <w:trPr>
          <w:cantSplit/>
        </w:trPr>
        <w:tc>
          <w:tcPr>
            <w:tcW w:w="297" w:type="pct"/>
            <w:vAlign w:val="center"/>
          </w:tcPr>
          <w:p w14:paraId="283B02AD" w14:textId="77777777" w:rsidR="009F6AC8" w:rsidRPr="008C72E5" w:rsidRDefault="009F6AC8" w:rsidP="00B558B7">
            <w:pPr>
              <w:pStyle w:val="TekstTabeli"/>
            </w:pPr>
            <w:r w:rsidRPr="008C72E5">
              <w:t>318</w:t>
            </w:r>
          </w:p>
        </w:tc>
        <w:tc>
          <w:tcPr>
            <w:tcW w:w="880" w:type="pct"/>
            <w:vAlign w:val="center"/>
          </w:tcPr>
          <w:p w14:paraId="7AE25E97" w14:textId="77777777" w:rsidR="009F6AC8" w:rsidRPr="008C72E5" w:rsidRDefault="009F6AC8" w:rsidP="00B558B7">
            <w:pPr>
              <w:pStyle w:val="TekstTabeli"/>
            </w:pPr>
            <w:r w:rsidRPr="008C72E5">
              <w:t>Jones D.R.</w:t>
            </w:r>
          </w:p>
        </w:tc>
        <w:tc>
          <w:tcPr>
            <w:tcW w:w="1771" w:type="pct"/>
            <w:vAlign w:val="center"/>
          </w:tcPr>
          <w:p w14:paraId="5953CC74" w14:textId="77777777" w:rsidR="009F6AC8" w:rsidRPr="008C72E5" w:rsidRDefault="009F6AC8" w:rsidP="00B558B7">
            <w:pPr>
              <w:pStyle w:val="TekstTabeli"/>
            </w:pPr>
            <w:r w:rsidRPr="008C72E5">
              <w:t xml:space="preserve">University sustainability league tables: </w:t>
            </w:r>
            <w:proofErr w:type="spellStart"/>
            <w:r w:rsidRPr="008C72E5">
              <w:t>Institutionalising</w:t>
            </w:r>
            <w:proofErr w:type="spellEnd"/>
            <w:r w:rsidRPr="008C72E5">
              <w:t xml:space="preserve"> 'nature deficit disorder'?</w:t>
            </w:r>
          </w:p>
        </w:tc>
        <w:tc>
          <w:tcPr>
            <w:tcW w:w="2052" w:type="pct"/>
            <w:vAlign w:val="center"/>
          </w:tcPr>
          <w:p w14:paraId="7ED752E2" w14:textId="77777777" w:rsidR="009F6AC8" w:rsidRPr="008C72E5" w:rsidRDefault="009F6AC8" w:rsidP="00B558B7">
            <w:pPr>
              <w:pStyle w:val="TekstTabeli"/>
            </w:pPr>
            <w:r w:rsidRPr="008C72E5">
              <w:t>(2007) Greener Management International, (57), pp. 105 - 131, 0</w:t>
            </w:r>
          </w:p>
        </w:tc>
      </w:tr>
      <w:tr w:rsidR="00C4329A" w:rsidRPr="004C10DC" w14:paraId="1B7F13F1" w14:textId="77777777" w:rsidTr="00C4329A">
        <w:trPr>
          <w:cantSplit/>
        </w:trPr>
        <w:tc>
          <w:tcPr>
            <w:tcW w:w="297" w:type="pct"/>
            <w:vAlign w:val="center"/>
          </w:tcPr>
          <w:p w14:paraId="296DCF89" w14:textId="77777777" w:rsidR="009F6AC8" w:rsidRPr="008C72E5" w:rsidRDefault="009F6AC8" w:rsidP="00B558B7">
            <w:pPr>
              <w:pStyle w:val="TekstTabeli"/>
            </w:pPr>
            <w:r w:rsidRPr="008C72E5">
              <w:t>319</w:t>
            </w:r>
          </w:p>
        </w:tc>
        <w:tc>
          <w:tcPr>
            <w:tcW w:w="880" w:type="pct"/>
            <w:vAlign w:val="center"/>
          </w:tcPr>
          <w:p w14:paraId="74BF7D74" w14:textId="77777777" w:rsidR="009F6AC8" w:rsidRPr="008C72E5" w:rsidRDefault="009F6AC8" w:rsidP="00B558B7">
            <w:pPr>
              <w:pStyle w:val="TekstTabeli"/>
            </w:pPr>
            <w:r w:rsidRPr="008C72E5">
              <w:t>Latham B.</w:t>
            </w:r>
          </w:p>
        </w:tc>
        <w:tc>
          <w:tcPr>
            <w:tcW w:w="1771" w:type="pct"/>
            <w:vAlign w:val="center"/>
          </w:tcPr>
          <w:p w14:paraId="713CBE4E" w14:textId="77777777" w:rsidR="009F6AC8" w:rsidRPr="008C72E5" w:rsidRDefault="009F6AC8" w:rsidP="00B558B7">
            <w:pPr>
              <w:pStyle w:val="TekstTabeli"/>
            </w:pPr>
            <w:r w:rsidRPr="008C72E5">
              <w:t>A perspective on collaborative partnerships to expand campus buy-in for digital collections</w:t>
            </w:r>
          </w:p>
        </w:tc>
        <w:tc>
          <w:tcPr>
            <w:tcW w:w="2052" w:type="pct"/>
            <w:vAlign w:val="center"/>
          </w:tcPr>
          <w:p w14:paraId="425D9738" w14:textId="77777777" w:rsidR="009F6AC8" w:rsidRPr="008C72E5" w:rsidRDefault="009F6AC8" w:rsidP="00B558B7">
            <w:pPr>
              <w:pStyle w:val="TekstTabeli"/>
            </w:pPr>
            <w:r w:rsidRPr="008C72E5">
              <w:t>(2022) Digital Library Perspectives, 38 (4), pp. 521 - 531, DOI: 10.1108/DLP-05-2021-0038</w:t>
            </w:r>
          </w:p>
        </w:tc>
      </w:tr>
      <w:tr w:rsidR="00C4329A" w:rsidRPr="004C10DC" w14:paraId="57C6E7F4" w14:textId="77777777" w:rsidTr="00C4329A">
        <w:trPr>
          <w:cantSplit/>
        </w:trPr>
        <w:tc>
          <w:tcPr>
            <w:tcW w:w="297" w:type="pct"/>
            <w:vAlign w:val="center"/>
          </w:tcPr>
          <w:p w14:paraId="752CBACC" w14:textId="77777777" w:rsidR="009F6AC8" w:rsidRPr="008C72E5" w:rsidRDefault="009F6AC8" w:rsidP="00B558B7">
            <w:pPr>
              <w:pStyle w:val="TekstTabeli"/>
            </w:pPr>
            <w:r w:rsidRPr="008C72E5">
              <w:lastRenderedPageBreak/>
              <w:t>320</w:t>
            </w:r>
          </w:p>
        </w:tc>
        <w:tc>
          <w:tcPr>
            <w:tcW w:w="880" w:type="pct"/>
            <w:vAlign w:val="center"/>
          </w:tcPr>
          <w:p w14:paraId="5007116E" w14:textId="77777777" w:rsidR="009F6AC8" w:rsidRPr="00D82766" w:rsidRDefault="009F6AC8" w:rsidP="00B558B7">
            <w:pPr>
              <w:pStyle w:val="TekstTabeli"/>
              <w:rPr>
                <w:lang w:val="pl-PL"/>
              </w:rPr>
            </w:pPr>
            <w:r w:rsidRPr="00D82766">
              <w:rPr>
                <w:lang w:val="pl-PL"/>
              </w:rPr>
              <w:t xml:space="preserve">Cieciora M., Pietrzak P., </w:t>
            </w:r>
            <w:proofErr w:type="spellStart"/>
            <w:r w:rsidRPr="00D82766">
              <w:rPr>
                <w:lang w:val="pl-PL"/>
              </w:rPr>
              <w:t>Gago</w:t>
            </w:r>
            <w:proofErr w:type="spellEnd"/>
            <w:r w:rsidRPr="00D82766">
              <w:rPr>
                <w:lang w:val="pl-PL"/>
              </w:rPr>
              <w:t xml:space="preserve"> P.</w:t>
            </w:r>
          </w:p>
        </w:tc>
        <w:tc>
          <w:tcPr>
            <w:tcW w:w="1771" w:type="pct"/>
            <w:vAlign w:val="center"/>
          </w:tcPr>
          <w:p w14:paraId="3A348366" w14:textId="77777777" w:rsidR="009F6AC8" w:rsidRPr="008C72E5" w:rsidRDefault="009F6AC8" w:rsidP="00B558B7">
            <w:pPr>
              <w:pStyle w:val="TekstTabeli"/>
            </w:pPr>
            <w:r w:rsidRPr="008C72E5">
              <w:t>University graduates' skills-and-employability evaluation in Poland - A case study of a faculty of management in Warsaw</w:t>
            </w:r>
          </w:p>
        </w:tc>
        <w:tc>
          <w:tcPr>
            <w:tcW w:w="2052" w:type="pct"/>
            <w:vAlign w:val="center"/>
          </w:tcPr>
          <w:p w14:paraId="0BA1C31D" w14:textId="77777777" w:rsidR="009F6AC8" w:rsidRPr="008C72E5" w:rsidRDefault="009F6AC8" w:rsidP="00B558B7">
            <w:pPr>
              <w:pStyle w:val="TekstTabeli"/>
            </w:pPr>
            <w:r w:rsidRPr="008C72E5">
              <w:t>(2021) International Journal of Innovation and Learning, 30 (1), pp. 1 - 18, DOI: 10.1504/IJIL.2021.116565</w:t>
            </w:r>
          </w:p>
        </w:tc>
      </w:tr>
      <w:tr w:rsidR="00C4329A" w:rsidRPr="004C10DC" w14:paraId="689F5259" w14:textId="77777777" w:rsidTr="00C4329A">
        <w:trPr>
          <w:cantSplit/>
        </w:trPr>
        <w:tc>
          <w:tcPr>
            <w:tcW w:w="297" w:type="pct"/>
            <w:vAlign w:val="center"/>
          </w:tcPr>
          <w:p w14:paraId="04BD733B" w14:textId="77777777" w:rsidR="009F6AC8" w:rsidRPr="008C72E5" w:rsidRDefault="009F6AC8" w:rsidP="00B558B7">
            <w:pPr>
              <w:pStyle w:val="TekstTabeli"/>
            </w:pPr>
            <w:r w:rsidRPr="008C72E5">
              <w:t>321</w:t>
            </w:r>
          </w:p>
        </w:tc>
        <w:tc>
          <w:tcPr>
            <w:tcW w:w="880" w:type="pct"/>
            <w:vAlign w:val="center"/>
          </w:tcPr>
          <w:p w14:paraId="72FA4E03" w14:textId="77777777" w:rsidR="009F6AC8" w:rsidRPr="008C72E5" w:rsidRDefault="009F6AC8" w:rsidP="00B558B7">
            <w:pPr>
              <w:pStyle w:val="TekstTabeli"/>
            </w:pPr>
            <w:r w:rsidRPr="008C72E5">
              <w:t>Shan Y.G., Zhang J., Alam M., Hancock P.</w:t>
            </w:r>
          </w:p>
        </w:tc>
        <w:tc>
          <w:tcPr>
            <w:tcW w:w="1771" w:type="pct"/>
            <w:vAlign w:val="center"/>
          </w:tcPr>
          <w:p w14:paraId="078FB00C" w14:textId="77777777" w:rsidR="009F6AC8" w:rsidRPr="008C72E5" w:rsidRDefault="009F6AC8" w:rsidP="00B558B7">
            <w:pPr>
              <w:pStyle w:val="TekstTabeli"/>
            </w:pPr>
            <w:r w:rsidRPr="008C72E5">
              <w:t>Does sustainability reporting promote university ranking? Australian and New Zealand evidence</w:t>
            </w:r>
          </w:p>
        </w:tc>
        <w:tc>
          <w:tcPr>
            <w:tcW w:w="2052" w:type="pct"/>
            <w:vAlign w:val="center"/>
          </w:tcPr>
          <w:p w14:paraId="2E615FA7" w14:textId="77777777" w:rsidR="009F6AC8" w:rsidRPr="008C72E5" w:rsidRDefault="009F6AC8" w:rsidP="00B558B7">
            <w:pPr>
              <w:pStyle w:val="TekstTabeli"/>
            </w:pPr>
            <w:r w:rsidRPr="008C72E5">
              <w:t xml:space="preserve">(2022) </w:t>
            </w:r>
            <w:proofErr w:type="spellStart"/>
            <w:r w:rsidRPr="008C72E5">
              <w:t>Meditari</w:t>
            </w:r>
            <w:proofErr w:type="spellEnd"/>
            <w:r w:rsidRPr="008C72E5">
              <w:t xml:space="preserve"> Accountancy Research, 30 (6), pp. 1393 - 1418, DOI: 10.1108/MEDAR-11-2020-1060</w:t>
            </w:r>
          </w:p>
        </w:tc>
      </w:tr>
      <w:tr w:rsidR="00C4329A" w:rsidRPr="004C10DC" w14:paraId="26E0B2C8" w14:textId="77777777" w:rsidTr="00C4329A">
        <w:trPr>
          <w:cantSplit/>
        </w:trPr>
        <w:tc>
          <w:tcPr>
            <w:tcW w:w="297" w:type="pct"/>
            <w:vAlign w:val="center"/>
          </w:tcPr>
          <w:p w14:paraId="43270184" w14:textId="77777777" w:rsidR="009F6AC8" w:rsidRPr="008C72E5" w:rsidRDefault="009F6AC8" w:rsidP="00B558B7">
            <w:pPr>
              <w:pStyle w:val="TekstTabeli"/>
            </w:pPr>
            <w:r w:rsidRPr="008C72E5">
              <w:t>322</w:t>
            </w:r>
          </w:p>
        </w:tc>
        <w:tc>
          <w:tcPr>
            <w:tcW w:w="880" w:type="pct"/>
            <w:vAlign w:val="center"/>
          </w:tcPr>
          <w:p w14:paraId="4A71EEFB" w14:textId="1A9456A5" w:rsidR="009F6AC8" w:rsidRPr="008C72E5" w:rsidRDefault="009F6AC8" w:rsidP="00B558B7">
            <w:pPr>
              <w:pStyle w:val="TekstTabeli"/>
            </w:pPr>
            <w:r w:rsidRPr="008C72E5">
              <w:t xml:space="preserve">Harlow A.N., Buswell N.T., </w:t>
            </w:r>
            <w:proofErr w:type="spellStart"/>
            <w:r w:rsidR="00513290" w:rsidRPr="008C72E5">
              <w:t>i</w:t>
            </w:r>
            <w:proofErr w:type="spellEnd"/>
            <w:r w:rsidR="00513290" w:rsidRPr="008C72E5">
              <w:t> in.</w:t>
            </w:r>
          </w:p>
        </w:tc>
        <w:tc>
          <w:tcPr>
            <w:tcW w:w="1771" w:type="pct"/>
            <w:vAlign w:val="center"/>
          </w:tcPr>
          <w:p w14:paraId="0FE9FEB5" w14:textId="77777777" w:rsidR="009F6AC8" w:rsidRPr="008C72E5" w:rsidRDefault="009F6AC8" w:rsidP="00B558B7">
            <w:pPr>
              <w:pStyle w:val="TekstTabeli"/>
            </w:pPr>
            <w:r w:rsidRPr="008C72E5">
              <w:t>Stakeholder perspectives on hiring teaching-focused faculty at research-intensive universities</w:t>
            </w:r>
          </w:p>
        </w:tc>
        <w:tc>
          <w:tcPr>
            <w:tcW w:w="2052" w:type="pct"/>
            <w:vAlign w:val="center"/>
          </w:tcPr>
          <w:p w14:paraId="1EDD3255" w14:textId="77777777" w:rsidR="009F6AC8" w:rsidRPr="008C72E5" w:rsidRDefault="009F6AC8" w:rsidP="00B558B7">
            <w:pPr>
              <w:pStyle w:val="TekstTabeli"/>
            </w:pPr>
            <w:r w:rsidRPr="008C72E5">
              <w:t>(2022) International Journal of STEM Education, 9 (1), art. no. 54, DOI: 10.1186/s40594-022-00370-y</w:t>
            </w:r>
          </w:p>
        </w:tc>
      </w:tr>
      <w:tr w:rsidR="00C4329A" w:rsidRPr="004C10DC" w14:paraId="03B8E2C1" w14:textId="77777777" w:rsidTr="00C4329A">
        <w:trPr>
          <w:cantSplit/>
        </w:trPr>
        <w:tc>
          <w:tcPr>
            <w:tcW w:w="297" w:type="pct"/>
            <w:vAlign w:val="center"/>
          </w:tcPr>
          <w:p w14:paraId="15377C93" w14:textId="77777777" w:rsidR="009F6AC8" w:rsidRPr="008C72E5" w:rsidRDefault="009F6AC8" w:rsidP="00B558B7">
            <w:pPr>
              <w:pStyle w:val="TekstTabeli"/>
            </w:pPr>
            <w:r w:rsidRPr="008C72E5">
              <w:t>323</w:t>
            </w:r>
          </w:p>
        </w:tc>
        <w:tc>
          <w:tcPr>
            <w:tcW w:w="880" w:type="pct"/>
            <w:vAlign w:val="center"/>
          </w:tcPr>
          <w:p w14:paraId="0CB2C5AF" w14:textId="77777777" w:rsidR="009F6AC8" w:rsidRPr="008C72E5" w:rsidRDefault="009F6AC8" w:rsidP="00B558B7">
            <w:pPr>
              <w:pStyle w:val="TekstTabeli"/>
            </w:pPr>
            <w:r w:rsidRPr="008C72E5">
              <w:t>Stuart-Buttle R.</w:t>
            </w:r>
          </w:p>
        </w:tc>
        <w:tc>
          <w:tcPr>
            <w:tcW w:w="1771" w:type="pct"/>
            <w:vAlign w:val="center"/>
          </w:tcPr>
          <w:p w14:paraId="4156797B" w14:textId="77777777" w:rsidR="009F6AC8" w:rsidRPr="008C72E5" w:rsidRDefault="009F6AC8" w:rsidP="00B558B7">
            <w:pPr>
              <w:pStyle w:val="TekstTabeli"/>
            </w:pPr>
            <w:r w:rsidRPr="008C72E5">
              <w:t>Higher education, stakeholder interface and teacher formation for church schools</w:t>
            </w:r>
          </w:p>
        </w:tc>
        <w:tc>
          <w:tcPr>
            <w:tcW w:w="2052" w:type="pct"/>
            <w:vAlign w:val="center"/>
          </w:tcPr>
          <w:p w14:paraId="2D7F3249" w14:textId="77777777" w:rsidR="009F6AC8" w:rsidRPr="008C72E5" w:rsidRDefault="009F6AC8" w:rsidP="00B558B7">
            <w:pPr>
              <w:pStyle w:val="TekstTabeli"/>
            </w:pPr>
            <w:r w:rsidRPr="008C72E5">
              <w:t>(2019) International Journal of Christianity and Education, 23 (3), pp. 299 - 311, DOI: 10.1177/2056997119865557</w:t>
            </w:r>
          </w:p>
        </w:tc>
      </w:tr>
      <w:tr w:rsidR="00C4329A" w:rsidRPr="004C10DC" w14:paraId="1FB2532A" w14:textId="77777777" w:rsidTr="00C4329A">
        <w:trPr>
          <w:cantSplit/>
        </w:trPr>
        <w:tc>
          <w:tcPr>
            <w:tcW w:w="297" w:type="pct"/>
            <w:vAlign w:val="center"/>
          </w:tcPr>
          <w:p w14:paraId="66DFBD7C" w14:textId="77777777" w:rsidR="009F6AC8" w:rsidRPr="008C72E5" w:rsidRDefault="009F6AC8" w:rsidP="00B558B7">
            <w:pPr>
              <w:pStyle w:val="TekstTabeli"/>
            </w:pPr>
            <w:r w:rsidRPr="008C72E5">
              <w:t>324</w:t>
            </w:r>
          </w:p>
        </w:tc>
        <w:tc>
          <w:tcPr>
            <w:tcW w:w="880" w:type="pct"/>
            <w:vAlign w:val="center"/>
          </w:tcPr>
          <w:p w14:paraId="307520CE" w14:textId="77777777" w:rsidR="009F6AC8" w:rsidRPr="008C72E5" w:rsidRDefault="009F6AC8" w:rsidP="00B558B7">
            <w:pPr>
              <w:pStyle w:val="TekstTabeli"/>
            </w:pPr>
            <w:r w:rsidRPr="008C72E5">
              <w:t>Bauer U., Sadei C., Soos J., Zunk B.M.</w:t>
            </w:r>
          </w:p>
        </w:tc>
        <w:tc>
          <w:tcPr>
            <w:tcW w:w="1771" w:type="pct"/>
            <w:vAlign w:val="center"/>
          </w:tcPr>
          <w:p w14:paraId="187841C0" w14:textId="77777777" w:rsidR="009F6AC8" w:rsidRPr="008C72E5" w:rsidRDefault="009F6AC8" w:rsidP="00B558B7">
            <w:pPr>
              <w:pStyle w:val="TekstTabeli"/>
            </w:pPr>
            <w:r w:rsidRPr="008C72E5">
              <w:t>Industrial engineering and management in Austria: Comparison of qualification profiles provided by higher education institutions and career paths of graduates</w:t>
            </w:r>
          </w:p>
        </w:tc>
        <w:tc>
          <w:tcPr>
            <w:tcW w:w="2052" w:type="pct"/>
            <w:vAlign w:val="center"/>
          </w:tcPr>
          <w:p w14:paraId="587F1E18" w14:textId="77777777" w:rsidR="009F6AC8" w:rsidRPr="008C72E5" w:rsidRDefault="009F6AC8" w:rsidP="00B558B7">
            <w:pPr>
              <w:pStyle w:val="TekstTabeli"/>
            </w:pPr>
            <w:r w:rsidRPr="008C72E5">
              <w:t>(2014) IIE Annual Conference and Expo 2014, pp. 1658 - 1667, 0</w:t>
            </w:r>
          </w:p>
        </w:tc>
      </w:tr>
      <w:tr w:rsidR="00C4329A" w:rsidRPr="004C10DC" w14:paraId="51F02420" w14:textId="77777777" w:rsidTr="00C4329A">
        <w:trPr>
          <w:cantSplit/>
        </w:trPr>
        <w:tc>
          <w:tcPr>
            <w:tcW w:w="297" w:type="pct"/>
            <w:vAlign w:val="center"/>
          </w:tcPr>
          <w:p w14:paraId="172D40EF" w14:textId="77777777" w:rsidR="009F6AC8" w:rsidRPr="008C72E5" w:rsidRDefault="009F6AC8" w:rsidP="00B558B7">
            <w:pPr>
              <w:pStyle w:val="TekstTabeli"/>
            </w:pPr>
            <w:r w:rsidRPr="008C72E5">
              <w:t>325</w:t>
            </w:r>
          </w:p>
        </w:tc>
        <w:tc>
          <w:tcPr>
            <w:tcW w:w="880" w:type="pct"/>
            <w:vAlign w:val="center"/>
          </w:tcPr>
          <w:p w14:paraId="3E20E006" w14:textId="77777777" w:rsidR="009F6AC8" w:rsidRPr="008C72E5" w:rsidRDefault="009F6AC8" w:rsidP="00B558B7">
            <w:pPr>
              <w:pStyle w:val="TekstTabeli"/>
            </w:pPr>
            <w:r w:rsidRPr="008C72E5">
              <w:t>Askar M.</w:t>
            </w:r>
          </w:p>
        </w:tc>
        <w:tc>
          <w:tcPr>
            <w:tcW w:w="1771" w:type="pct"/>
            <w:vAlign w:val="center"/>
          </w:tcPr>
          <w:p w14:paraId="0E3F1FCC" w14:textId="77777777" w:rsidR="009F6AC8" w:rsidRPr="008C72E5" w:rsidRDefault="009F6AC8" w:rsidP="00B558B7">
            <w:pPr>
              <w:pStyle w:val="TekstTabeli"/>
            </w:pPr>
            <w:r w:rsidRPr="008C72E5">
              <w:t>Faculty target-based engagement assessment statistical model for enhancing performance and education quality</w:t>
            </w:r>
          </w:p>
        </w:tc>
        <w:tc>
          <w:tcPr>
            <w:tcW w:w="2052" w:type="pct"/>
            <w:vAlign w:val="center"/>
          </w:tcPr>
          <w:p w14:paraId="26B391E1" w14:textId="77777777" w:rsidR="009F6AC8" w:rsidRPr="008C72E5" w:rsidRDefault="009F6AC8" w:rsidP="00B558B7">
            <w:pPr>
              <w:pStyle w:val="TekstTabeli"/>
            </w:pPr>
            <w:r w:rsidRPr="008C72E5">
              <w:t>(2019) IAFOR Journal of Education, 7 (2), pp. 27 - 49, DOI: 10.22492/ije.7.2.02</w:t>
            </w:r>
          </w:p>
        </w:tc>
      </w:tr>
      <w:tr w:rsidR="00C4329A" w:rsidRPr="004C10DC" w14:paraId="6E50520B" w14:textId="77777777" w:rsidTr="00C4329A">
        <w:trPr>
          <w:cantSplit/>
        </w:trPr>
        <w:tc>
          <w:tcPr>
            <w:tcW w:w="297" w:type="pct"/>
            <w:vAlign w:val="center"/>
          </w:tcPr>
          <w:p w14:paraId="04A6D318" w14:textId="77777777" w:rsidR="009F6AC8" w:rsidRPr="008C72E5" w:rsidRDefault="009F6AC8" w:rsidP="00B558B7">
            <w:pPr>
              <w:pStyle w:val="TekstTabeli"/>
            </w:pPr>
            <w:r w:rsidRPr="008C72E5">
              <w:t>326</w:t>
            </w:r>
          </w:p>
        </w:tc>
        <w:tc>
          <w:tcPr>
            <w:tcW w:w="880" w:type="pct"/>
            <w:vAlign w:val="center"/>
          </w:tcPr>
          <w:p w14:paraId="0EFCEFAD" w14:textId="29AC21B8" w:rsidR="009F6AC8" w:rsidRPr="008C72E5" w:rsidRDefault="009F6AC8" w:rsidP="00B558B7">
            <w:pPr>
              <w:pStyle w:val="TekstTabeli"/>
            </w:pPr>
            <w:r w:rsidRPr="008C72E5">
              <w:t xml:space="preserve">Bell E., Hunter C., Benitez T., </w:t>
            </w:r>
            <w:proofErr w:type="spellStart"/>
            <w:r w:rsidR="00513290" w:rsidRPr="008C72E5">
              <w:t>i</w:t>
            </w:r>
            <w:proofErr w:type="spellEnd"/>
            <w:r w:rsidR="00513290" w:rsidRPr="008C72E5">
              <w:t> in.</w:t>
            </w:r>
          </w:p>
        </w:tc>
        <w:tc>
          <w:tcPr>
            <w:tcW w:w="1771" w:type="pct"/>
            <w:vAlign w:val="center"/>
          </w:tcPr>
          <w:p w14:paraId="18837CEB" w14:textId="77777777" w:rsidR="009F6AC8" w:rsidRPr="008C72E5" w:rsidRDefault="009F6AC8" w:rsidP="00B558B7">
            <w:pPr>
              <w:pStyle w:val="TekstTabeli"/>
            </w:pPr>
            <w:r w:rsidRPr="008C72E5">
              <w:t>Intervention Strategies and Lessons Learned From a Student-Led Initiative to Support Lactating Women in the University Setting</w:t>
            </w:r>
          </w:p>
        </w:tc>
        <w:tc>
          <w:tcPr>
            <w:tcW w:w="2052" w:type="pct"/>
            <w:vAlign w:val="center"/>
          </w:tcPr>
          <w:p w14:paraId="075BF846" w14:textId="77777777" w:rsidR="009F6AC8" w:rsidRPr="008C72E5" w:rsidRDefault="009F6AC8" w:rsidP="00B558B7">
            <w:pPr>
              <w:pStyle w:val="TekstTabeli"/>
            </w:pPr>
            <w:r w:rsidRPr="008C72E5">
              <w:t>(2022) Health Promotion Practice, 23 (1), pp. 154 - 165, DOI: 10.1177/15248399211004283</w:t>
            </w:r>
          </w:p>
        </w:tc>
      </w:tr>
      <w:tr w:rsidR="00C4329A" w:rsidRPr="008C72E5" w14:paraId="69A5B65F" w14:textId="77777777" w:rsidTr="00C4329A">
        <w:trPr>
          <w:cantSplit/>
        </w:trPr>
        <w:tc>
          <w:tcPr>
            <w:tcW w:w="297" w:type="pct"/>
            <w:vAlign w:val="center"/>
          </w:tcPr>
          <w:p w14:paraId="1A686E2E" w14:textId="77777777" w:rsidR="009F6AC8" w:rsidRPr="008C72E5" w:rsidRDefault="009F6AC8" w:rsidP="00B558B7">
            <w:pPr>
              <w:pStyle w:val="TekstTabeli"/>
            </w:pPr>
            <w:r w:rsidRPr="008C72E5">
              <w:t>327</w:t>
            </w:r>
          </w:p>
        </w:tc>
        <w:tc>
          <w:tcPr>
            <w:tcW w:w="880" w:type="pct"/>
            <w:vAlign w:val="center"/>
          </w:tcPr>
          <w:p w14:paraId="335789B1" w14:textId="77777777" w:rsidR="009F6AC8" w:rsidRPr="008C72E5" w:rsidRDefault="009F6AC8" w:rsidP="00B558B7">
            <w:pPr>
              <w:pStyle w:val="TekstTabeli"/>
            </w:pPr>
            <w:r w:rsidRPr="008C72E5">
              <w:t>Johnson D.R.</w:t>
            </w:r>
          </w:p>
        </w:tc>
        <w:tc>
          <w:tcPr>
            <w:tcW w:w="1771" w:type="pct"/>
            <w:vAlign w:val="center"/>
          </w:tcPr>
          <w:p w14:paraId="404A20DF" w14:textId="77777777" w:rsidR="009F6AC8" w:rsidRPr="008C72E5" w:rsidRDefault="009F6AC8" w:rsidP="00B558B7">
            <w:pPr>
              <w:pStyle w:val="TekstTabeli"/>
            </w:pPr>
            <w:r w:rsidRPr="008C72E5">
              <w:t>Postsecondary Policy Environments in Citizen Legislatures</w:t>
            </w:r>
          </w:p>
        </w:tc>
        <w:tc>
          <w:tcPr>
            <w:tcW w:w="2052" w:type="pct"/>
            <w:vAlign w:val="center"/>
          </w:tcPr>
          <w:p w14:paraId="76DBCF1E" w14:textId="77777777" w:rsidR="009F6AC8" w:rsidRPr="008C72E5" w:rsidRDefault="009F6AC8" w:rsidP="00B558B7">
            <w:pPr>
              <w:pStyle w:val="TekstTabeli"/>
            </w:pPr>
            <w:r w:rsidRPr="008C72E5">
              <w:t>(2023) Educational Policy, DOI: 10.1177/08959048221142050</w:t>
            </w:r>
          </w:p>
        </w:tc>
      </w:tr>
      <w:tr w:rsidR="00C4329A" w:rsidRPr="004C10DC" w14:paraId="20FDD4BF" w14:textId="77777777" w:rsidTr="00C4329A">
        <w:trPr>
          <w:cantSplit/>
        </w:trPr>
        <w:tc>
          <w:tcPr>
            <w:tcW w:w="297" w:type="pct"/>
            <w:vAlign w:val="center"/>
          </w:tcPr>
          <w:p w14:paraId="155239C0" w14:textId="77777777" w:rsidR="009F6AC8" w:rsidRPr="008C72E5" w:rsidRDefault="009F6AC8" w:rsidP="00B558B7">
            <w:pPr>
              <w:pStyle w:val="TekstTabeli"/>
            </w:pPr>
            <w:r w:rsidRPr="008C72E5">
              <w:t>328</w:t>
            </w:r>
          </w:p>
        </w:tc>
        <w:tc>
          <w:tcPr>
            <w:tcW w:w="880" w:type="pct"/>
            <w:vAlign w:val="center"/>
          </w:tcPr>
          <w:p w14:paraId="0E7E290F" w14:textId="77777777" w:rsidR="009F6AC8" w:rsidRPr="008C72E5" w:rsidRDefault="009F6AC8" w:rsidP="00B558B7">
            <w:pPr>
              <w:pStyle w:val="TekstTabeli"/>
            </w:pPr>
            <w:r w:rsidRPr="008C72E5">
              <w:t>Brown K.L., Holguin G., Scott T.H.</w:t>
            </w:r>
          </w:p>
        </w:tc>
        <w:tc>
          <w:tcPr>
            <w:tcW w:w="1771" w:type="pct"/>
            <w:vAlign w:val="center"/>
          </w:tcPr>
          <w:p w14:paraId="18F9E1AB" w14:textId="77777777" w:rsidR="009F6AC8" w:rsidRPr="008C72E5" w:rsidRDefault="009F6AC8" w:rsidP="00B558B7">
            <w:pPr>
              <w:pStyle w:val="TekstTabeli"/>
            </w:pPr>
            <w:r w:rsidRPr="008C72E5">
              <w:t>Emergency management communication on university Web sites: A 7-year study</w:t>
            </w:r>
          </w:p>
        </w:tc>
        <w:tc>
          <w:tcPr>
            <w:tcW w:w="2052" w:type="pct"/>
            <w:vAlign w:val="center"/>
          </w:tcPr>
          <w:p w14:paraId="45531FF5" w14:textId="77777777" w:rsidR="009F6AC8" w:rsidRPr="008C72E5" w:rsidRDefault="009F6AC8" w:rsidP="00B558B7">
            <w:pPr>
              <w:pStyle w:val="TekstTabeli"/>
            </w:pPr>
            <w:r w:rsidRPr="008C72E5">
              <w:t>(2016) Journal of Emergency Management, 14 (4), pp. 259 - 268, DOI: 10.5055/jem.2016.0291</w:t>
            </w:r>
          </w:p>
        </w:tc>
      </w:tr>
      <w:tr w:rsidR="00C4329A" w:rsidRPr="004C10DC" w14:paraId="0986D6DB" w14:textId="77777777" w:rsidTr="00C4329A">
        <w:trPr>
          <w:cantSplit/>
        </w:trPr>
        <w:tc>
          <w:tcPr>
            <w:tcW w:w="297" w:type="pct"/>
            <w:vAlign w:val="center"/>
          </w:tcPr>
          <w:p w14:paraId="44D75597" w14:textId="77777777" w:rsidR="009F6AC8" w:rsidRPr="008C72E5" w:rsidRDefault="009F6AC8" w:rsidP="00B558B7">
            <w:pPr>
              <w:pStyle w:val="TekstTabeli"/>
            </w:pPr>
            <w:r w:rsidRPr="008C72E5">
              <w:t>329</w:t>
            </w:r>
          </w:p>
        </w:tc>
        <w:tc>
          <w:tcPr>
            <w:tcW w:w="880" w:type="pct"/>
            <w:vAlign w:val="center"/>
          </w:tcPr>
          <w:p w14:paraId="13FB5029" w14:textId="77777777" w:rsidR="009F6AC8" w:rsidRPr="008C72E5" w:rsidRDefault="009F6AC8" w:rsidP="00B558B7">
            <w:pPr>
              <w:pStyle w:val="TekstTabeli"/>
            </w:pPr>
            <w:proofErr w:type="spellStart"/>
            <w:r w:rsidRPr="008C72E5">
              <w:t>Kasparkova</w:t>
            </w:r>
            <w:proofErr w:type="spellEnd"/>
            <w:r w:rsidRPr="008C72E5">
              <w:t xml:space="preserve"> A., </w:t>
            </w:r>
            <w:proofErr w:type="spellStart"/>
            <w:r w:rsidRPr="008C72E5">
              <w:t>Rosolova</w:t>
            </w:r>
            <w:proofErr w:type="spellEnd"/>
            <w:r w:rsidRPr="008C72E5">
              <w:t xml:space="preserve"> K.E.</w:t>
            </w:r>
          </w:p>
        </w:tc>
        <w:tc>
          <w:tcPr>
            <w:tcW w:w="1771" w:type="pct"/>
            <w:vAlign w:val="center"/>
          </w:tcPr>
          <w:p w14:paraId="2B3EE141" w14:textId="77777777" w:rsidR="009F6AC8" w:rsidRPr="008C72E5" w:rsidRDefault="009F6AC8" w:rsidP="00B558B7">
            <w:pPr>
              <w:pStyle w:val="TekstTabeli"/>
            </w:pPr>
            <w:r w:rsidRPr="008C72E5">
              <w:t>A Geocaching Game 'Meet Your Editor' as a Teaser for Writing Courses</w:t>
            </w:r>
          </w:p>
        </w:tc>
        <w:tc>
          <w:tcPr>
            <w:tcW w:w="2052" w:type="pct"/>
            <w:vAlign w:val="center"/>
          </w:tcPr>
          <w:p w14:paraId="26544279" w14:textId="77777777" w:rsidR="009F6AC8" w:rsidRPr="008C72E5" w:rsidRDefault="009F6AC8" w:rsidP="00B558B7">
            <w:pPr>
              <w:pStyle w:val="TekstTabeli"/>
            </w:pPr>
            <w:r w:rsidRPr="008C72E5">
              <w:t>(2020) IEEE International Professional Communication Conference, 2020-July, art. no. 9201251, pp. 87 - 91, DOI: 10.1109/ProComm48883.2020.00019</w:t>
            </w:r>
          </w:p>
        </w:tc>
      </w:tr>
      <w:tr w:rsidR="00C4329A" w:rsidRPr="004C10DC" w14:paraId="5B804260" w14:textId="77777777" w:rsidTr="00C4329A">
        <w:trPr>
          <w:cantSplit/>
        </w:trPr>
        <w:tc>
          <w:tcPr>
            <w:tcW w:w="297" w:type="pct"/>
            <w:vAlign w:val="center"/>
          </w:tcPr>
          <w:p w14:paraId="14ED3A32" w14:textId="77777777" w:rsidR="009F6AC8" w:rsidRPr="008C72E5" w:rsidRDefault="009F6AC8" w:rsidP="00B558B7">
            <w:pPr>
              <w:pStyle w:val="TekstTabeli"/>
            </w:pPr>
            <w:r w:rsidRPr="008C72E5">
              <w:t>330</w:t>
            </w:r>
          </w:p>
        </w:tc>
        <w:tc>
          <w:tcPr>
            <w:tcW w:w="880" w:type="pct"/>
            <w:vAlign w:val="center"/>
          </w:tcPr>
          <w:p w14:paraId="6BDE5133" w14:textId="77777777" w:rsidR="009F6AC8" w:rsidRPr="008C72E5" w:rsidRDefault="009F6AC8" w:rsidP="00B558B7">
            <w:pPr>
              <w:pStyle w:val="TekstTabeli"/>
            </w:pPr>
            <w:r w:rsidRPr="008C72E5">
              <w:t>Workman E., Vandenberg P., Crozier M.</w:t>
            </w:r>
          </w:p>
        </w:tc>
        <w:tc>
          <w:tcPr>
            <w:tcW w:w="1771" w:type="pct"/>
            <w:vAlign w:val="center"/>
          </w:tcPr>
          <w:p w14:paraId="4ADE04D7" w14:textId="77777777" w:rsidR="009F6AC8" w:rsidRPr="008C72E5" w:rsidRDefault="009F6AC8" w:rsidP="00B558B7">
            <w:pPr>
              <w:pStyle w:val="TekstTabeli"/>
            </w:pPr>
            <w:r w:rsidRPr="008C72E5">
              <w:t>Drafting Pandemic Policy: Writing and Sudden Institutional Change</w:t>
            </w:r>
          </w:p>
        </w:tc>
        <w:tc>
          <w:tcPr>
            <w:tcW w:w="2052" w:type="pct"/>
            <w:vAlign w:val="center"/>
          </w:tcPr>
          <w:p w14:paraId="426C9AED" w14:textId="77777777" w:rsidR="009F6AC8" w:rsidRPr="008C72E5" w:rsidRDefault="009F6AC8" w:rsidP="00B558B7">
            <w:pPr>
              <w:pStyle w:val="TekstTabeli"/>
            </w:pPr>
            <w:r w:rsidRPr="008C72E5">
              <w:t>(2021) Journal of Business and Technical Communication, 35 (1), pp. 140 - 146, DOI: 10.1177/1050651920959194</w:t>
            </w:r>
          </w:p>
        </w:tc>
      </w:tr>
      <w:tr w:rsidR="00C4329A" w:rsidRPr="004C10DC" w14:paraId="62ACE820" w14:textId="77777777" w:rsidTr="00C4329A">
        <w:trPr>
          <w:cantSplit/>
        </w:trPr>
        <w:tc>
          <w:tcPr>
            <w:tcW w:w="297" w:type="pct"/>
            <w:vAlign w:val="center"/>
          </w:tcPr>
          <w:p w14:paraId="627F3344" w14:textId="77777777" w:rsidR="009F6AC8" w:rsidRPr="008C72E5" w:rsidRDefault="009F6AC8" w:rsidP="00B558B7">
            <w:pPr>
              <w:pStyle w:val="TekstTabeli"/>
            </w:pPr>
            <w:r w:rsidRPr="008C72E5">
              <w:t>331</w:t>
            </w:r>
          </w:p>
        </w:tc>
        <w:tc>
          <w:tcPr>
            <w:tcW w:w="880" w:type="pct"/>
            <w:vAlign w:val="center"/>
          </w:tcPr>
          <w:p w14:paraId="44DEA21A" w14:textId="77777777" w:rsidR="009F6AC8" w:rsidRPr="008C72E5" w:rsidRDefault="009F6AC8" w:rsidP="00B558B7">
            <w:pPr>
              <w:pStyle w:val="TekstTabeli"/>
            </w:pPr>
            <w:r w:rsidRPr="008C72E5">
              <w:t>Hines A.</w:t>
            </w:r>
          </w:p>
        </w:tc>
        <w:tc>
          <w:tcPr>
            <w:tcW w:w="1771" w:type="pct"/>
            <w:vAlign w:val="center"/>
          </w:tcPr>
          <w:p w14:paraId="2BFD9697" w14:textId="77777777" w:rsidR="009F6AC8" w:rsidRPr="008C72E5" w:rsidRDefault="009F6AC8" w:rsidP="00B558B7">
            <w:pPr>
              <w:pStyle w:val="TekstTabeli"/>
            </w:pPr>
            <w:r w:rsidRPr="008C72E5">
              <w:t>Framework foresight for exploring emerging student needs</w:t>
            </w:r>
          </w:p>
        </w:tc>
        <w:tc>
          <w:tcPr>
            <w:tcW w:w="2052" w:type="pct"/>
            <w:vAlign w:val="center"/>
          </w:tcPr>
          <w:p w14:paraId="3A86DBD9" w14:textId="77777777" w:rsidR="009F6AC8" w:rsidRPr="008C72E5" w:rsidRDefault="009F6AC8" w:rsidP="00B558B7">
            <w:pPr>
              <w:pStyle w:val="TekstTabeli"/>
            </w:pPr>
            <w:r w:rsidRPr="008C72E5">
              <w:t>(2017) On the Horizon, 25 (3), pp. 145 - 156, DOI: 10.1108/OTH-03-2017-0013</w:t>
            </w:r>
          </w:p>
        </w:tc>
      </w:tr>
      <w:tr w:rsidR="00C4329A" w:rsidRPr="004C10DC" w14:paraId="7F56F629" w14:textId="77777777" w:rsidTr="00C4329A">
        <w:trPr>
          <w:cantSplit/>
        </w:trPr>
        <w:tc>
          <w:tcPr>
            <w:tcW w:w="297" w:type="pct"/>
            <w:vAlign w:val="center"/>
          </w:tcPr>
          <w:p w14:paraId="1E51FABB" w14:textId="77777777" w:rsidR="009F6AC8" w:rsidRPr="008C72E5" w:rsidRDefault="009F6AC8" w:rsidP="00B558B7">
            <w:pPr>
              <w:pStyle w:val="TekstTabeli"/>
            </w:pPr>
            <w:r w:rsidRPr="008C72E5">
              <w:t>332</w:t>
            </w:r>
          </w:p>
        </w:tc>
        <w:tc>
          <w:tcPr>
            <w:tcW w:w="880" w:type="pct"/>
            <w:vAlign w:val="center"/>
          </w:tcPr>
          <w:p w14:paraId="4A0C8903" w14:textId="648C4E4E" w:rsidR="009F6AC8" w:rsidRPr="008C72E5" w:rsidRDefault="009F6AC8" w:rsidP="00B558B7">
            <w:pPr>
              <w:pStyle w:val="TekstTabeli"/>
            </w:pPr>
            <w:r w:rsidRPr="008C72E5">
              <w:t xml:space="preserve">Gómez-Marcos M.-T., Ruiz-Toledo M., </w:t>
            </w:r>
            <w:proofErr w:type="spellStart"/>
            <w:r w:rsidR="00513290" w:rsidRPr="008C72E5">
              <w:t>i</w:t>
            </w:r>
            <w:proofErr w:type="spellEnd"/>
            <w:r w:rsidR="00513290" w:rsidRPr="008C72E5">
              <w:t> in.</w:t>
            </w:r>
          </w:p>
        </w:tc>
        <w:tc>
          <w:tcPr>
            <w:tcW w:w="1771" w:type="pct"/>
            <w:vAlign w:val="center"/>
          </w:tcPr>
          <w:p w14:paraId="5DF110F4" w14:textId="77777777" w:rsidR="009F6AC8" w:rsidRPr="008C72E5" w:rsidRDefault="009F6AC8" w:rsidP="00B558B7">
            <w:pPr>
              <w:pStyle w:val="TekstTabeli"/>
            </w:pPr>
            <w:r w:rsidRPr="008C72E5">
              <w:t>Multivariate dynamics of Spanish universities in international rankings</w:t>
            </w:r>
          </w:p>
        </w:tc>
        <w:tc>
          <w:tcPr>
            <w:tcW w:w="2052" w:type="pct"/>
            <w:vAlign w:val="center"/>
          </w:tcPr>
          <w:p w14:paraId="04244AD1" w14:textId="77777777" w:rsidR="009F6AC8" w:rsidRPr="008C72E5" w:rsidRDefault="009F6AC8" w:rsidP="00B558B7">
            <w:pPr>
              <w:pStyle w:val="TekstTabeli"/>
            </w:pPr>
            <w:r w:rsidRPr="008C72E5">
              <w:t xml:space="preserve">(2021) </w:t>
            </w:r>
            <w:proofErr w:type="spellStart"/>
            <w:r w:rsidRPr="008C72E5">
              <w:t>Profesional</w:t>
            </w:r>
            <w:proofErr w:type="spellEnd"/>
            <w:r w:rsidRPr="008C72E5">
              <w:t xml:space="preserve"> de la </w:t>
            </w:r>
            <w:proofErr w:type="spellStart"/>
            <w:r w:rsidRPr="008C72E5">
              <w:t>Informacion</w:t>
            </w:r>
            <w:proofErr w:type="spellEnd"/>
            <w:r w:rsidRPr="008C72E5">
              <w:t>, 30 (2), art. no. e300210, DOI: 10.3145/epi.2021.mar.10</w:t>
            </w:r>
          </w:p>
        </w:tc>
      </w:tr>
      <w:tr w:rsidR="00C4329A" w:rsidRPr="004C10DC" w14:paraId="3BC55FE0" w14:textId="77777777" w:rsidTr="00C4329A">
        <w:trPr>
          <w:cantSplit/>
        </w:trPr>
        <w:tc>
          <w:tcPr>
            <w:tcW w:w="297" w:type="pct"/>
            <w:vAlign w:val="center"/>
          </w:tcPr>
          <w:p w14:paraId="462E729D" w14:textId="77777777" w:rsidR="009F6AC8" w:rsidRPr="008C72E5" w:rsidRDefault="009F6AC8" w:rsidP="00B558B7">
            <w:pPr>
              <w:pStyle w:val="TekstTabeli"/>
            </w:pPr>
            <w:r w:rsidRPr="008C72E5">
              <w:t>333</w:t>
            </w:r>
          </w:p>
        </w:tc>
        <w:tc>
          <w:tcPr>
            <w:tcW w:w="880" w:type="pct"/>
            <w:vAlign w:val="center"/>
          </w:tcPr>
          <w:p w14:paraId="7EEFC447" w14:textId="77777777" w:rsidR="009F6AC8" w:rsidRPr="008C72E5" w:rsidRDefault="009F6AC8" w:rsidP="00B558B7">
            <w:pPr>
              <w:pStyle w:val="TekstTabeli"/>
            </w:pPr>
            <w:r w:rsidRPr="008C72E5">
              <w:t>Khan M.A., Ebner N.</w:t>
            </w:r>
          </w:p>
        </w:tc>
        <w:tc>
          <w:tcPr>
            <w:tcW w:w="1771" w:type="pct"/>
            <w:vAlign w:val="center"/>
          </w:tcPr>
          <w:p w14:paraId="4F49D06D" w14:textId="77777777" w:rsidR="009F6AC8" w:rsidRPr="008C72E5" w:rsidRDefault="009F6AC8" w:rsidP="00B558B7">
            <w:pPr>
              <w:pStyle w:val="TekstTabeli"/>
            </w:pPr>
            <w:r w:rsidRPr="008C72E5">
              <w:t>The self-internationalization model (SIM) versus conventional internationalization models (CIMs) of the institutions of higher education: A preliminary insight from management perspectives</w:t>
            </w:r>
          </w:p>
        </w:tc>
        <w:tc>
          <w:tcPr>
            <w:tcW w:w="2052" w:type="pct"/>
            <w:vAlign w:val="center"/>
          </w:tcPr>
          <w:p w14:paraId="5DCDD085" w14:textId="77777777" w:rsidR="009F6AC8" w:rsidRPr="008C72E5" w:rsidRDefault="009F6AC8" w:rsidP="00B558B7">
            <w:pPr>
              <w:pStyle w:val="TekstTabeli"/>
            </w:pPr>
            <w:r w:rsidRPr="008C72E5">
              <w:t>(2018) Journal of Eastern European and Central Asian Research, 5 (1), DOI: 10.15549/jeecar.v5i1.189</w:t>
            </w:r>
          </w:p>
        </w:tc>
      </w:tr>
      <w:tr w:rsidR="00C4329A" w:rsidRPr="004C10DC" w14:paraId="5420DD66" w14:textId="77777777" w:rsidTr="00C4329A">
        <w:trPr>
          <w:cantSplit/>
        </w:trPr>
        <w:tc>
          <w:tcPr>
            <w:tcW w:w="297" w:type="pct"/>
            <w:vAlign w:val="center"/>
          </w:tcPr>
          <w:p w14:paraId="1DFBDAE3" w14:textId="77777777" w:rsidR="009F6AC8" w:rsidRPr="008C72E5" w:rsidRDefault="009F6AC8" w:rsidP="00B558B7">
            <w:pPr>
              <w:pStyle w:val="TekstTabeli"/>
            </w:pPr>
            <w:r w:rsidRPr="008C72E5">
              <w:t>334</w:t>
            </w:r>
          </w:p>
        </w:tc>
        <w:tc>
          <w:tcPr>
            <w:tcW w:w="880" w:type="pct"/>
            <w:vAlign w:val="center"/>
          </w:tcPr>
          <w:p w14:paraId="6208E704" w14:textId="77777777" w:rsidR="009F6AC8" w:rsidRPr="00D82766" w:rsidRDefault="009F6AC8" w:rsidP="00B558B7">
            <w:pPr>
              <w:pStyle w:val="TekstTabeli"/>
              <w:rPr>
                <w:lang w:val="pl-PL"/>
              </w:rPr>
            </w:pPr>
            <w:proofErr w:type="spellStart"/>
            <w:r w:rsidRPr="00D82766">
              <w:rPr>
                <w:lang w:val="pl-PL"/>
              </w:rPr>
              <w:t>Naim</w:t>
            </w:r>
            <w:proofErr w:type="spellEnd"/>
            <w:r w:rsidRPr="00D82766">
              <w:rPr>
                <w:lang w:val="pl-PL"/>
              </w:rPr>
              <w:t xml:space="preserve"> N., Aziz A., </w:t>
            </w:r>
            <w:proofErr w:type="spellStart"/>
            <w:r w:rsidRPr="00D82766">
              <w:rPr>
                <w:lang w:val="pl-PL"/>
              </w:rPr>
              <w:t>Teguh</w:t>
            </w:r>
            <w:proofErr w:type="spellEnd"/>
            <w:r w:rsidRPr="00D82766">
              <w:rPr>
                <w:lang w:val="pl-PL"/>
              </w:rPr>
              <w:t xml:space="preserve"> T.</w:t>
            </w:r>
          </w:p>
        </w:tc>
        <w:tc>
          <w:tcPr>
            <w:tcW w:w="1771" w:type="pct"/>
            <w:vAlign w:val="center"/>
          </w:tcPr>
          <w:p w14:paraId="0A937945" w14:textId="77777777" w:rsidR="009F6AC8" w:rsidRPr="008C72E5" w:rsidRDefault="009F6AC8" w:rsidP="00B558B7">
            <w:pPr>
              <w:pStyle w:val="TekstTabeli"/>
            </w:pPr>
            <w:r w:rsidRPr="008C72E5">
              <w:t xml:space="preserve">Integration of Madrasah </w:t>
            </w:r>
            <w:proofErr w:type="spellStart"/>
            <w:r w:rsidRPr="008C72E5">
              <w:t>diniyah</w:t>
            </w:r>
            <w:proofErr w:type="spellEnd"/>
            <w:r w:rsidRPr="008C72E5">
              <w:t xml:space="preserve"> learning systems for strengthening religious moderation in Indonesian universities</w:t>
            </w:r>
          </w:p>
        </w:tc>
        <w:tc>
          <w:tcPr>
            <w:tcW w:w="2052" w:type="pct"/>
            <w:vAlign w:val="center"/>
          </w:tcPr>
          <w:p w14:paraId="56A0065C" w14:textId="77777777" w:rsidR="009F6AC8" w:rsidRPr="008C72E5" w:rsidRDefault="009F6AC8" w:rsidP="00B558B7">
            <w:pPr>
              <w:pStyle w:val="TekstTabeli"/>
            </w:pPr>
            <w:r w:rsidRPr="008C72E5">
              <w:t>(2022) International Journal of Evaluation and Research in Education, 11 (1), pp. 108 - 119, DOI: 10.11591/ijere.v11i1.22210</w:t>
            </w:r>
          </w:p>
        </w:tc>
      </w:tr>
      <w:tr w:rsidR="00C4329A" w:rsidRPr="004C10DC" w14:paraId="68AB3AE0" w14:textId="77777777" w:rsidTr="00C4329A">
        <w:trPr>
          <w:cantSplit/>
        </w:trPr>
        <w:tc>
          <w:tcPr>
            <w:tcW w:w="297" w:type="pct"/>
            <w:vAlign w:val="center"/>
          </w:tcPr>
          <w:p w14:paraId="0BDA7410" w14:textId="77777777" w:rsidR="009F6AC8" w:rsidRPr="008C72E5" w:rsidRDefault="009F6AC8" w:rsidP="00B558B7">
            <w:pPr>
              <w:pStyle w:val="TekstTabeli"/>
            </w:pPr>
            <w:r w:rsidRPr="008C72E5">
              <w:lastRenderedPageBreak/>
              <w:t>335</w:t>
            </w:r>
          </w:p>
        </w:tc>
        <w:tc>
          <w:tcPr>
            <w:tcW w:w="880" w:type="pct"/>
            <w:vAlign w:val="center"/>
          </w:tcPr>
          <w:p w14:paraId="56A353C4" w14:textId="77777777" w:rsidR="009F6AC8" w:rsidRPr="008C72E5" w:rsidRDefault="009F6AC8" w:rsidP="00B558B7">
            <w:pPr>
              <w:pStyle w:val="TekstTabeli"/>
            </w:pPr>
            <w:r w:rsidRPr="008C72E5">
              <w:t xml:space="preserve">Ulla M.B., </w:t>
            </w:r>
            <w:proofErr w:type="spellStart"/>
            <w:r w:rsidRPr="008C72E5">
              <w:t>Bucol</w:t>
            </w:r>
            <w:proofErr w:type="spellEnd"/>
            <w:r w:rsidRPr="008C72E5">
              <w:t xml:space="preserve"> J.L., Na </w:t>
            </w:r>
            <w:proofErr w:type="spellStart"/>
            <w:r w:rsidRPr="008C72E5">
              <w:t>Ayuthaya</w:t>
            </w:r>
            <w:proofErr w:type="spellEnd"/>
            <w:r w:rsidRPr="008C72E5">
              <w:t xml:space="preserve"> P.D.</w:t>
            </w:r>
          </w:p>
        </w:tc>
        <w:tc>
          <w:tcPr>
            <w:tcW w:w="1771" w:type="pct"/>
            <w:vAlign w:val="center"/>
          </w:tcPr>
          <w:p w14:paraId="52D16AC2" w14:textId="77777777" w:rsidR="009F6AC8" w:rsidRPr="008C72E5" w:rsidRDefault="009F6AC8" w:rsidP="00B558B7">
            <w:pPr>
              <w:pStyle w:val="TekstTabeli"/>
            </w:pPr>
            <w:r w:rsidRPr="008C72E5">
              <w:t>English language curriculum reform strategies: The impact of EMI on students' language proficiency</w:t>
            </w:r>
          </w:p>
        </w:tc>
        <w:tc>
          <w:tcPr>
            <w:tcW w:w="2052" w:type="pct"/>
            <w:vAlign w:val="center"/>
          </w:tcPr>
          <w:p w14:paraId="46F9652D" w14:textId="77777777" w:rsidR="009F6AC8" w:rsidRPr="008C72E5" w:rsidRDefault="009F6AC8" w:rsidP="00B558B7">
            <w:pPr>
              <w:pStyle w:val="TekstTabeli"/>
            </w:pPr>
            <w:r w:rsidRPr="008C72E5">
              <w:t>(2022) Ampersand, 9, art. no. 100101, DOI: 10.1016/j.amper.2022.100101</w:t>
            </w:r>
          </w:p>
        </w:tc>
      </w:tr>
      <w:tr w:rsidR="00C4329A" w:rsidRPr="004C10DC" w14:paraId="78020B4F" w14:textId="77777777" w:rsidTr="00C4329A">
        <w:trPr>
          <w:cantSplit/>
        </w:trPr>
        <w:tc>
          <w:tcPr>
            <w:tcW w:w="297" w:type="pct"/>
            <w:vAlign w:val="center"/>
          </w:tcPr>
          <w:p w14:paraId="0BFE80D0" w14:textId="77777777" w:rsidR="009F6AC8" w:rsidRPr="008C72E5" w:rsidRDefault="009F6AC8" w:rsidP="00B558B7">
            <w:pPr>
              <w:pStyle w:val="TekstTabeli"/>
            </w:pPr>
            <w:r w:rsidRPr="008C72E5">
              <w:t>336</w:t>
            </w:r>
          </w:p>
        </w:tc>
        <w:tc>
          <w:tcPr>
            <w:tcW w:w="880" w:type="pct"/>
            <w:vAlign w:val="center"/>
          </w:tcPr>
          <w:p w14:paraId="3DA07272" w14:textId="77777777" w:rsidR="009F6AC8" w:rsidRPr="008C72E5" w:rsidRDefault="009F6AC8" w:rsidP="00B558B7">
            <w:pPr>
              <w:pStyle w:val="TekstTabeli"/>
            </w:pPr>
            <w:r w:rsidRPr="008C72E5">
              <w:t xml:space="preserve">Vásquez-Torres M.C., </w:t>
            </w:r>
            <w:proofErr w:type="spellStart"/>
            <w:r w:rsidRPr="008C72E5">
              <w:t>Tavizón</w:t>
            </w:r>
            <w:proofErr w:type="spellEnd"/>
            <w:r w:rsidRPr="008C72E5">
              <w:t>-Salazar A.</w:t>
            </w:r>
          </w:p>
        </w:tc>
        <w:tc>
          <w:tcPr>
            <w:tcW w:w="1771" w:type="pct"/>
            <w:vAlign w:val="center"/>
          </w:tcPr>
          <w:p w14:paraId="4F5352CF" w14:textId="24E9F0BB" w:rsidR="009F6AC8" w:rsidRPr="008C72E5" w:rsidRDefault="009F6AC8" w:rsidP="00B558B7">
            <w:pPr>
              <w:pStyle w:val="TekstTabeli"/>
            </w:pPr>
            <w:r w:rsidRPr="008C72E5">
              <w:t xml:space="preserve">A management model of university social responsibility from the stakeholders perspective </w:t>
            </w:r>
          </w:p>
        </w:tc>
        <w:tc>
          <w:tcPr>
            <w:tcW w:w="2052" w:type="pct"/>
            <w:vAlign w:val="center"/>
          </w:tcPr>
          <w:p w14:paraId="4A9CAF68" w14:textId="77777777" w:rsidR="009F6AC8" w:rsidRPr="008C72E5" w:rsidRDefault="009F6AC8" w:rsidP="00B558B7">
            <w:pPr>
              <w:pStyle w:val="TekstTabeli"/>
            </w:pPr>
            <w:r w:rsidRPr="008C72E5">
              <w:t>(2021) Polish Journal of Management Studies, 24 (1), pp. 441 - 456, DOI: 10.17512/pjms.2021.24.1.26</w:t>
            </w:r>
          </w:p>
        </w:tc>
      </w:tr>
      <w:tr w:rsidR="00C4329A" w:rsidRPr="004C10DC" w14:paraId="6EDF53F1" w14:textId="77777777" w:rsidTr="00C4329A">
        <w:trPr>
          <w:cantSplit/>
        </w:trPr>
        <w:tc>
          <w:tcPr>
            <w:tcW w:w="297" w:type="pct"/>
            <w:vAlign w:val="center"/>
          </w:tcPr>
          <w:p w14:paraId="0178D070" w14:textId="77777777" w:rsidR="009F6AC8" w:rsidRPr="008C72E5" w:rsidRDefault="009F6AC8" w:rsidP="00B558B7">
            <w:pPr>
              <w:pStyle w:val="TekstTabeli"/>
            </w:pPr>
            <w:r w:rsidRPr="008C72E5">
              <w:t>337</w:t>
            </w:r>
          </w:p>
        </w:tc>
        <w:tc>
          <w:tcPr>
            <w:tcW w:w="880" w:type="pct"/>
            <w:vAlign w:val="center"/>
          </w:tcPr>
          <w:p w14:paraId="12E0FA2F" w14:textId="77777777" w:rsidR="009F6AC8" w:rsidRPr="008C72E5" w:rsidRDefault="009F6AC8" w:rsidP="00B558B7">
            <w:pPr>
              <w:pStyle w:val="TekstTabeli"/>
            </w:pPr>
            <w:r w:rsidRPr="008C72E5">
              <w:t>Zhao T.</w:t>
            </w:r>
          </w:p>
        </w:tc>
        <w:tc>
          <w:tcPr>
            <w:tcW w:w="1771" w:type="pct"/>
            <w:vAlign w:val="center"/>
          </w:tcPr>
          <w:p w14:paraId="5BEA97F8" w14:textId="77777777" w:rsidR="009F6AC8" w:rsidRPr="008C72E5" w:rsidRDefault="009F6AC8" w:rsidP="00B558B7">
            <w:pPr>
              <w:pStyle w:val="TekstTabeli"/>
            </w:pPr>
            <w:r w:rsidRPr="008C72E5">
              <w:t>Impact of COVID-19 Awareness on Protective Behaviors during the Off-Peak Period: Sex Differences among Chinese Undergraduates</w:t>
            </w:r>
          </w:p>
        </w:tc>
        <w:tc>
          <w:tcPr>
            <w:tcW w:w="2052" w:type="pct"/>
            <w:vAlign w:val="center"/>
          </w:tcPr>
          <w:p w14:paraId="51D4E198" w14:textId="77777777" w:rsidR="009F6AC8" w:rsidRPr="008C72E5" w:rsidRDefault="009F6AC8" w:rsidP="00B558B7">
            <w:pPr>
              <w:pStyle w:val="TekstTabeli"/>
            </w:pPr>
            <w:r w:rsidRPr="008C72E5">
              <w:t>(2022) International Journal of Environmental Research and Public Health, 19 (20), art. no. 13483, DOI: 10.3390/ijerph192013483</w:t>
            </w:r>
          </w:p>
        </w:tc>
      </w:tr>
      <w:tr w:rsidR="00C4329A" w:rsidRPr="004C10DC" w14:paraId="1DCA14CD" w14:textId="77777777" w:rsidTr="00C4329A">
        <w:trPr>
          <w:cantSplit/>
        </w:trPr>
        <w:tc>
          <w:tcPr>
            <w:tcW w:w="297" w:type="pct"/>
            <w:vAlign w:val="center"/>
          </w:tcPr>
          <w:p w14:paraId="08A42895" w14:textId="77777777" w:rsidR="009F6AC8" w:rsidRPr="008C72E5" w:rsidRDefault="009F6AC8" w:rsidP="00B558B7">
            <w:pPr>
              <w:pStyle w:val="TekstTabeli"/>
            </w:pPr>
            <w:r w:rsidRPr="008C72E5">
              <w:t>338</w:t>
            </w:r>
          </w:p>
        </w:tc>
        <w:tc>
          <w:tcPr>
            <w:tcW w:w="880" w:type="pct"/>
            <w:vAlign w:val="center"/>
          </w:tcPr>
          <w:p w14:paraId="1CB5A27D" w14:textId="77777777" w:rsidR="009F6AC8" w:rsidRPr="008C72E5" w:rsidRDefault="009F6AC8" w:rsidP="00B558B7">
            <w:pPr>
              <w:pStyle w:val="TekstTabeli"/>
            </w:pPr>
            <w:r w:rsidRPr="008C72E5">
              <w:t>Wickramanayake L.</w:t>
            </w:r>
          </w:p>
        </w:tc>
        <w:tc>
          <w:tcPr>
            <w:tcW w:w="1771" w:type="pct"/>
            <w:vAlign w:val="center"/>
          </w:tcPr>
          <w:p w14:paraId="7F275E63" w14:textId="77777777" w:rsidR="009F6AC8" w:rsidRPr="008C72E5" w:rsidRDefault="009F6AC8" w:rsidP="00B558B7">
            <w:pPr>
              <w:pStyle w:val="TekstTabeli"/>
            </w:pPr>
            <w:r w:rsidRPr="008C72E5">
              <w:t>An assessment of academic librarians’ instructional performance in Sri Lanka: A survey</w:t>
            </w:r>
          </w:p>
        </w:tc>
        <w:tc>
          <w:tcPr>
            <w:tcW w:w="2052" w:type="pct"/>
            <w:vAlign w:val="center"/>
          </w:tcPr>
          <w:p w14:paraId="245CF906" w14:textId="77777777" w:rsidR="009F6AC8" w:rsidRPr="008C72E5" w:rsidRDefault="009F6AC8" w:rsidP="00B558B7">
            <w:pPr>
              <w:pStyle w:val="TekstTabeli"/>
            </w:pPr>
            <w:r w:rsidRPr="008C72E5">
              <w:t>(2014) Reference Services Review, 42 (2), pp. 364 - 383, DOI: 10.1108/RSR-03-2013-0018</w:t>
            </w:r>
          </w:p>
        </w:tc>
      </w:tr>
      <w:tr w:rsidR="00C4329A" w:rsidRPr="004C10DC" w14:paraId="11699EA1" w14:textId="77777777" w:rsidTr="00C4329A">
        <w:trPr>
          <w:cantSplit/>
        </w:trPr>
        <w:tc>
          <w:tcPr>
            <w:tcW w:w="297" w:type="pct"/>
            <w:vAlign w:val="center"/>
          </w:tcPr>
          <w:p w14:paraId="6C8CCA19" w14:textId="77777777" w:rsidR="009F6AC8" w:rsidRPr="008C72E5" w:rsidRDefault="009F6AC8" w:rsidP="00B558B7">
            <w:pPr>
              <w:pStyle w:val="TekstTabeli"/>
            </w:pPr>
            <w:r w:rsidRPr="008C72E5">
              <w:t>339</w:t>
            </w:r>
          </w:p>
        </w:tc>
        <w:tc>
          <w:tcPr>
            <w:tcW w:w="880" w:type="pct"/>
            <w:vAlign w:val="center"/>
          </w:tcPr>
          <w:p w14:paraId="703201D0" w14:textId="6658EBFE" w:rsidR="009F6AC8" w:rsidRPr="008C72E5" w:rsidRDefault="009F6AC8" w:rsidP="00B558B7">
            <w:pPr>
              <w:pStyle w:val="TekstTabeli"/>
            </w:pPr>
            <w:r w:rsidRPr="008C72E5">
              <w:t xml:space="preserve">Villegas P.E., McGrath C., </w:t>
            </w:r>
            <w:proofErr w:type="spellStart"/>
            <w:r w:rsidR="00513290" w:rsidRPr="008C72E5">
              <w:t>i</w:t>
            </w:r>
            <w:proofErr w:type="spellEnd"/>
            <w:r w:rsidR="00513290" w:rsidRPr="008C72E5">
              <w:t> in.</w:t>
            </w:r>
          </w:p>
        </w:tc>
        <w:tc>
          <w:tcPr>
            <w:tcW w:w="1771" w:type="pct"/>
            <w:vAlign w:val="center"/>
          </w:tcPr>
          <w:p w14:paraId="497C7595" w14:textId="77777777" w:rsidR="009F6AC8" w:rsidRPr="008C72E5" w:rsidRDefault="009F6AC8" w:rsidP="00B558B7">
            <w:pPr>
              <w:pStyle w:val="TekstTabeli"/>
            </w:pPr>
            <w:r w:rsidRPr="008C72E5">
              <w:t xml:space="preserve">Food insecurity stigma, </w:t>
            </w:r>
            <w:proofErr w:type="spellStart"/>
            <w:r w:rsidRPr="008C72E5">
              <w:t>neoliberalization</w:t>
            </w:r>
            <w:proofErr w:type="spellEnd"/>
            <w:r w:rsidRPr="008C72E5">
              <w:t>, and college students in California’s Inland Empire</w:t>
            </w:r>
          </w:p>
        </w:tc>
        <w:tc>
          <w:tcPr>
            <w:tcW w:w="2052" w:type="pct"/>
            <w:vAlign w:val="center"/>
          </w:tcPr>
          <w:p w14:paraId="46B7BA0F" w14:textId="77777777" w:rsidR="009F6AC8" w:rsidRPr="008C72E5" w:rsidRDefault="009F6AC8" w:rsidP="00B558B7">
            <w:pPr>
              <w:pStyle w:val="TekstTabeli"/>
            </w:pPr>
            <w:r w:rsidRPr="008C72E5">
              <w:t>(2022) Food, Culture and Society, DOI: 10.1080/15528014.2022.2130658</w:t>
            </w:r>
          </w:p>
        </w:tc>
      </w:tr>
      <w:tr w:rsidR="00C4329A" w:rsidRPr="004C10DC" w14:paraId="00C69533" w14:textId="77777777" w:rsidTr="00C4329A">
        <w:trPr>
          <w:cantSplit/>
        </w:trPr>
        <w:tc>
          <w:tcPr>
            <w:tcW w:w="297" w:type="pct"/>
            <w:vAlign w:val="center"/>
          </w:tcPr>
          <w:p w14:paraId="1BF73D6A" w14:textId="77777777" w:rsidR="009F6AC8" w:rsidRPr="008C72E5" w:rsidRDefault="009F6AC8" w:rsidP="00B558B7">
            <w:pPr>
              <w:pStyle w:val="TekstTabeli"/>
            </w:pPr>
            <w:r w:rsidRPr="008C72E5">
              <w:t>340</w:t>
            </w:r>
          </w:p>
        </w:tc>
        <w:tc>
          <w:tcPr>
            <w:tcW w:w="880" w:type="pct"/>
            <w:vAlign w:val="center"/>
          </w:tcPr>
          <w:p w14:paraId="76FBC473" w14:textId="77777777" w:rsidR="009F6AC8" w:rsidRPr="008C72E5" w:rsidRDefault="009F6AC8" w:rsidP="00B558B7">
            <w:pPr>
              <w:pStyle w:val="TekstTabeli"/>
            </w:pPr>
            <w:proofErr w:type="spellStart"/>
            <w:r w:rsidRPr="008C72E5">
              <w:t>Bisani</w:t>
            </w:r>
            <w:proofErr w:type="spellEnd"/>
            <w:r w:rsidRPr="008C72E5">
              <w:t xml:space="preserve"> S., Daye M., Mortimer K.</w:t>
            </w:r>
          </w:p>
        </w:tc>
        <w:tc>
          <w:tcPr>
            <w:tcW w:w="1771" w:type="pct"/>
            <w:vAlign w:val="center"/>
          </w:tcPr>
          <w:p w14:paraId="33AC71C7" w14:textId="77777777" w:rsidR="009F6AC8" w:rsidRPr="008C72E5" w:rsidRDefault="009F6AC8" w:rsidP="00B558B7">
            <w:pPr>
              <w:pStyle w:val="TekstTabeli"/>
            </w:pPr>
            <w:r w:rsidRPr="008C72E5">
              <w:t>Multi-stakeholder perspective on the role of universities in place branding</w:t>
            </w:r>
          </w:p>
        </w:tc>
        <w:tc>
          <w:tcPr>
            <w:tcW w:w="2052" w:type="pct"/>
            <w:vAlign w:val="center"/>
          </w:tcPr>
          <w:p w14:paraId="7995BED3" w14:textId="77777777" w:rsidR="009F6AC8" w:rsidRPr="008C72E5" w:rsidRDefault="009F6AC8" w:rsidP="00B558B7">
            <w:pPr>
              <w:pStyle w:val="TekstTabeli"/>
            </w:pPr>
            <w:r w:rsidRPr="008C72E5">
              <w:t>(2022) Journal of Place Management and Development, 15 (2), pp. 112 - 129, DOI: 10.1108/JPMD-05-2020-0039</w:t>
            </w:r>
          </w:p>
        </w:tc>
      </w:tr>
      <w:tr w:rsidR="00C4329A" w:rsidRPr="004C10DC" w14:paraId="7807C050" w14:textId="77777777" w:rsidTr="00C4329A">
        <w:trPr>
          <w:cantSplit/>
        </w:trPr>
        <w:tc>
          <w:tcPr>
            <w:tcW w:w="297" w:type="pct"/>
            <w:vAlign w:val="center"/>
          </w:tcPr>
          <w:p w14:paraId="5D567268" w14:textId="77777777" w:rsidR="009F6AC8" w:rsidRPr="008C72E5" w:rsidRDefault="009F6AC8" w:rsidP="00B558B7">
            <w:pPr>
              <w:pStyle w:val="TekstTabeli"/>
            </w:pPr>
            <w:r w:rsidRPr="008C72E5">
              <w:t>341</w:t>
            </w:r>
          </w:p>
        </w:tc>
        <w:tc>
          <w:tcPr>
            <w:tcW w:w="880" w:type="pct"/>
            <w:vAlign w:val="center"/>
          </w:tcPr>
          <w:p w14:paraId="586FF86A" w14:textId="77777777" w:rsidR="009F6AC8" w:rsidRPr="008C72E5" w:rsidRDefault="009F6AC8" w:rsidP="00B558B7">
            <w:pPr>
              <w:pStyle w:val="TekstTabeli"/>
            </w:pPr>
            <w:proofErr w:type="spellStart"/>
            <w:r w:rsidRPr="008C72E5">
              <w:t>Sauphayana</w:t>
            </w:r>
            <w:proofErr w:type="spellEnd"/>
            <w:r w:rsidRPr="008C72E5">
              <w:t xml:space="preserve"> S.</w:t>
            </w:r>
          </w:p>
        </w:tc>
        <w:tc>
          <w:tcPr>
            <w:tcW w:w="1771" w:type="pct"/>
            <w:vAlign w:val="center"/>
          </w:tcPr>
          <w:p w14:paraId="5A99F0BE" w14:textId="77777777" w:rsidR="009F6AC8" w:rsidRPr="008C72E5" w:rsidRDefault="009F6AC8" w:rsidP="00B558B7">
            <w:pPr>
              <w:pStyle w:val="TekstTabeli"/>
            </w:pPr>
            <w:r w:rsidRPr="008C72E5">
              <w:t>Innovation in higher education management and leadership</w:t>
            </w:r>
          </w:p>
        </w:tc>
        <w:tc>
          <w:tcPr>
            <w:tcW w:w="2052" w:type="pct"/>
            <w:vAlign w:val="center"/>
          </w:tcPr>
          <w:p w14:paraId="5EB59AFD" w14:textId="77777777" w:rsidR="009F6AC8" w:rsidRPr="008C72E5" w:rsidRDefault="009F6AC8" w:rsidP="00B558B7">
            <w:pPr>
              <w:pStyle w:val="TekstTabeli"/>
            </w:pPr>
            <w:r w:rsidRPr="008C72E5">
              <w:t>(2021) Journal of Educational and Social Research, 11 (6), pp. 163 - 172, DOI: 10.36941/jesr-2021-0137</w:t>
            </w:r>
          </w:p>
        </w:tc>
      </w:tr>
      <w:tr w:rsidR="00C4329A" w:rsidRPr="004C10DC" w14:paraId="521761C4" w14:textId="77777777" w:rsidTr="00C4329A">
        <w:trPr>
          <w:cantSplit/>
        </w:trPr>
        <w:tc>
          <w:tcPr>
            <w:tcW w:w="297" w:type="pct"/>
            <w:vAlign w:val="center"/>
          </w:tcPr>
          <w:p w14:paraId="5C69A62F" w14:textId="77777777" w:rsidR="009F6AC8" w:rsidRPr="008C72E5" w:rsidRDefault="009F6AC8" w:rsidP="00B558B7">
            <w:pPr>
              <w:pStyle w:val="TekstTabeli"/>
            </w:pPr>
            <w:r w:rsidRPr="008C72E5">
              <w:t>342</w:t>
            </w:r>
          </w:p>
        </w:tc>
        <w:tc>
          <w:tcPr>
            <w:tcW w:w="880" w:type="pct"/>
            <w:vAlign w:val="center"/>
          </w:tcPr>
          <w:p w14:paraId="5C195348" w14:textId="77777777" w:rsidR="009F6AC8" w:rsidRPr="008C72E5" w:rsidRDefault="009F6AC8" w:rsidP="00B558B7">
            <w:pPr>
              <w:pStyle w:val="TekstTabeli"/>
            </w:pPr>
            <w:r w:rsidRPr="008C72E5">
              <w:t>Hah S.</w:t>
            </w:r>
          </w:p>
        </w:tc>
        <w:tc>
          <w:tcPr>
            <w:tcW w:w="1771" w:type="pct"/>
            <w:vAlign w:val="center"/>
          </w:tcPr>
          <w:p w14:paraId="529CD4CF" w14:textId="77777777" w:rsidR="009F6AC8" w:rsidRPr="008C72E5" w:rsidRDefault="009F6AC8" w:rsidP="00B558B7">
            <w:pPr>
              <w:pStyle w:val="TekstTabeli"/>
            </w:pPr>
            <w:r w:rsidRPr="008C72E5">
              <w:t>Valuation discourses and disciplinary positioning struggles of academic researchers—A case study of ‘maverick’ academics</w:t>
            </w:r>
          </w:p>
        </w:tc>
        <w:tc>
          <w:tcPr>
            <w:tcW w:w="2052" w:type="pct"/>
            <w:vAlign w:val="center"/>
          </w:tcPr>
          <w:p w14:paraId="659CF95D" w14:textId="77777777" w:rsidR="009F6AC8" w:rsidRPr="008C72E5" w:rsidRDefault="009F6AC8" w:rsidP="00B558B7">
            <w:pPr>
              <w:pStyle w:val="TekstTabeli"/>
            </w:pPr>
            <w:r w:rsidRPr="008C72E5">
              <w:t>(2020) Palgrave Communications, 6 (1), art. no. 51, DOI: 10.1057/s41599-020-0427-2</w:t>
            </w:r>
          </w:p>
        </w:tc>
      </w:tr>
      <w:tr w:rsidR="00C4329A" w:rsidRPr="004C10DC" w14:paraId="42F70240" w14:textId="77777777" w:rsidTr="00C4329A">
        <w:trPr>
          <w:cantSplit/>
        </w:trPr>
        <w:tc>
          <w:tcPr>
            <w:tcW w:w="297" w:type="pct"/>
            <w:vAlign w:val="center"/>
          </w:tcPr>
          <w:p w14:paraId="660E7524" w14:textId="77777777" w:rsidR="009F6AC8" w:rsidRPr="008C72E5" w:rsidRDefault="009F6AC8" w:rsidP="00B558B7">
            <w:pPr>
              <w:pStyle w:val="TekstTabeli"/>
            </w:pPr>
            <w:r w:rsidRPr="008C72E5">
              <w:t>343</w:t>
            </w:r>
          </w:p>
        </w:tc>
        <w:tc>
          <w:tcPr>
            <w:tcW w:w="880" w:type="pct"/>
            <w:vAlign w:val="center"/>
          </w:tcPr>
          <w:p w14:paraId="53B0D738" w14:textId="77777777" w:rsidR="009F6AC8" w:rsidRPr="008C72E5" w:rsidRDefault="009F6AC8" w:rsidP="00B558B7">
            <w:pPr>
              <w:pStyle w:val="TekstTabeli"/>
            </w:pPr>
            <w:proofErr w:type="spellStart"/>
            <w:r w:rsidRPr="008C72E5">
              <w:t>Laaser</w:t>
            </w:r>
            <w:proofErr w:type="spellEnd"/>
            <w:r w:rsidRPr="008C72E5">
              <w:t xml:space="preserve"> W.</w:t>
            </w:r>
          </w:p>
        </w:tc>
        <w:tc>
          <w:tcPr>
            <w:tcW w:w="1771" w:type="pct"/>
            <w:vAlign w:val="center"/>
          </w:tcPr>
          <w:p w14:paraId="423D63D3" w14:textId="12DC3500" w:rsidR="009F6AC8" w:rsidRPr="008C72E5" w:rsidRDefault="009F6AC8" w:rsidP="00B558B7">
            <w:pPr>
              <w:pStyle w:val="TekstTabeli"/>
            </w:pPr>
            <w:r w:rsidRPr="008C72E5">
              <w:t xml:space="preserve">Economic implications and stakeholder reactions in a digital university environment </w:t>
            </w:r>
          </w:p>
        </w:tc>
        <w:tc>
          <w:tcPr>
            <w:tcW w:w="2052" w:type="pct"/>
            <w:vAlign w:val="center"/>
          </w:tcPr>
          <w:p w14:paraId="482B5F62" w14:textId="77777777" w:rsidR="009F6AC8" w:rsidRPr="008C72E5" w:rsidRDefault="009F6AC8" w:rsidP="00B558B7">
            <w:pPr>
              <w:pStyle w:val="TekstTabeli"/>
            </w:pPr>
            <w:r w:rsidRPr="008C72E5">
              <w:t xml:space="preserve">(2018) </w:t>
            </w:r>
            <w:proofErr w:type="spellStart"/>
            <w:r w:rsidRPr="008C72E5">
              <w:t>Revista</w:t>
            </w:r>
            <w:proofErr w:type="spellEnd"/>
            <w:r w:rsidRPr="008C72E5">
              <w:t xml:space="preserve"> de </w:t>
            </w:r>
            <w:proofErr w:type="spellStart"/>
            <w:r w:rsidRPr="008C72E5">
              <w:t>Educación</w:t>
            </w:r>
            <w:proofErr w:type="spellEnd"/>
            <w:r w:rsidRPr="008C72E5">
              <w:t xml:space="preserve"> a </w:t>
            </w:r>
            <w:proofErr w:type="spellStart"/>
            <w:r w:rsidRPr="008C72E5">
              <w:t>Distancia</w:t>
            </w:r>
            <w:proofErr w:type="spellEnd"/>
            <w:r w:rsidRPr="008C72E5">
              <w:t>, (57), art. no. 3, DOI: 10.6018/red/57/3</w:t>
            </w:r>
          </w:p>
        </w:tc>
      </w:tr>
      <w:tr w:rsidR="00C4329A" w:rsidRPr="004C10DC" w14:paraId="78AFEA6A" w14:textId="77777777" w:rsidTr="00C4329A">
        <w:trPr>
          <w:cantSplit/>
        </w:trPr>
        <w:tc>
          <w:tcPr>
            <w:tcW w:w="297" w:type="pct"/>
            <w:vAlign w:val="center"/>
          </w:tcPr>
          <w:p w14:paraId="191E2E50" w14:textId="77777777" w:rsidR="009F6AC8" w:rsidRPr="008C72E5" w:rsidRDefault="009F6AC8" w:rsidP="00B558B7">
            <w:pPr>
              <w:pStyle w:val="TekstTabeli"/>
            </w:pPr>
            <w:r w:rsidRPr="008C72E5">
              <w:t>344</w:t>
            </w:r>
          </w:p>
        </w:tc>
        <w:tc>
          <w:tcPr>
            <w:tcW w:w="880" w:type="pct"/>
            <w:vAlign w:val="center"/>
          </w:tcPr>
          <w:p w14:paraId="35E37D78" w14:textId="6D5622D2" w:rsidR="009F6AC8" w:rsidRPr="008C72E5" w:rsidRDefault="009F6AC8" w:rsidP="00B558B7">
            <w:pPr>
              <w:pStyle w:val="TekstTabeli"/>
            </w:pPr>
            <w:r w:rsidRPr="008C72E5">
              <w:t xml:space="preserve">Edge C., Monske E., </w:t>
            </w:r>
            <w:proofErr w:type="spellStart"/>
            <w:r w:rsidR="00513290" w:rsidRPr="008C72E5">
              <w:t>i</w:t>
            </w:r>
            <w:proofErr w:type="spellEnd"/>
            <w:r w:rsidR="00513290" w:rsidRPr="008C72E5">
              <w:t> in.</w:t>
            </w:r>
          </w:p>
        </w:tc>
        <w:tc>
          <w:tcPr>
            <w:tcW w:w="1771" w:type="pct"/>
            <w:vAlign w:val="center"/>
          </w:tcPr>
          <w:p w14:paraId="7351263A" w14:textId="77777777" w:rsidR="009F6AC8" w:rsidRPr="008C72E5" w:rsidRDefault="009F6AC8" w:rsidP="00B558B7">
            <w:pPr>
              <w:pStyle w:val="TekstTabeli"/>
            </w:pPr>
            <w:r w:rsidRPr="008C72E5">
              <w:t>Leading University Change: A Case Study of Meaning-Making and Implementing Online Learning Quality Standards</w:t>
            </w:r>
          </w:p>
        </w:tc>
        <w:tc>
          <w:tcPr>
            <w:tcW w:w="2052" w:type="pct"/>
            <w:vAlign w:val="center"/>
          </w:tcPr>
          <w:p w14:paraId="0B3483C6" w14:textId="77777777" w:rsidR="009F6AC8" w:rsidRPr="008C72E5" w:rsidRDefault="009F6AC8" w:rsidP="00B558B7">
            <w:pPr>
              <w:pStyle w:val="TekstTabeli"/>
            </w:pPr>
            <w:r w:rsidRPr="008C72E5">
              <w:t>(2022) American Journal of Distance Education, 36 (1), pp. 53 - 69, DOI: 10.1080/08923647.2021.2005414</w:t>
            </w:r>
          </w:p>
        </w:tc>
      </w:tr>
      <w:tr w:rsidR="00C4329A" w:rsidRPr="004C10DC" w14:paraId="7A9C0266" w14:textId="77777777" w:rsidTr="00C4329A">
        <w:trPr>
          <w:cantSplit/>
        </w:trPr>
        <w:tc>
          <w:tcPr>
            <w:tcW w:w="297" w:type="pct"/>
            <w:vAlign w:val="center"/>
          </w:tcPr>
          <w:p w14:paraId="0FC0DA26" w14:textId="77777777" w:rsidR="009F6AC8" w:rsidRPr="008C72E5" w:rsidRDefault="009F6AC8" w:rsidP="00B558B7">
            <w:pPr>
              <w:pStyle w:val="TekstTabeli"/>
            </w:pPr>
            <w:r w:rsidRPr="008C72E5">
              <w:t>345</w:t>
            </w:r>
          </w:p>
        </w:tc>
        <w:tc>
          <w:tcPr>
            <w:tcW w:w="880" w:type="pct"/>
            <w:vAlign w:val="center"/>
          </w:tcPr>
          <w:p w14:paraId="747D9E2C" w14:textId="77777777" w:rsidR="009F6AC8" w:rsidRPr="008C72E5" w:rsidRDefault="009F6AC8" w:rsidP="00B558B7">
            <w:pPr>
              <w:pStyle w:val="TekstTabeli"/>
            </w:pPr>
            <w:r w:rsidRPr="008C72E5">
              <w:t xml:space="preserve">Flores O.J., </w:t>
            </w:r>
            <w:proofErr w:type="spellStart"/>
            <w:r w:rsidRPr="008C72E5">
              <w:t>Patrón</w:t>
            </w:r>
            <w:proofErr w:type="spellEnd"/>
            <w:r w:rsidRPr="008C72E5">
              <w:t xml:space="preserve"> O.E.</w:t>
            </w:r>
          </w:p>
        </w:tc>
        <w:tc>
          <w:tcPr>
            <w:tcW w:w="1771" w:type="pct"/>
            <w:vAlign w:val="center"/>
          </w:tcPr>
          <w:p w14:paraId="1229EAEF" w14:textId="77777777" w:rsidR="009F6AC8" w:rsidRPr="008C72E5" w:rsidRDefault="009F6AC8" w:rsidP="00B558B7">
            <w:pPr>
              <w:pStyle w:val="TekstTabeli"/>
            </w:pPr>
            <w:r w:rsidRPr="008C72E5">
              <w:t xml:space="preserve">Latino Men Using </w:t>
            </w:r>
            <w:proofErr w:type="spellStart"/>
            <w:r w:rsidRPr="008C72E5">
              <w:t>Compañerismo</w:t>
            </w:r>
            <w:proofErr w:type="spellEnd"/>
            <w:r w:rsidRPr="008C72E5">
              <w:t xml:space="preserve"> to Navigate the Unchartered Waters of the Doctoral Program: A Conceptual Model</w:t>
            </w:r>
          </w:p>
        </w:tc>
        <w:tc>
          <w:tcPr>
            <w:tcW w:w="2052" w:type="pct"/>
            <w:vAlign w:val="center"/>
          </w:tcPr>
          <w:p w14:paraId="6D268A7E" w14:textId="77777777" w:rsidR="009F6AC8" w:rsidRPr="008C72E5" w:rsidRDefault="009F6AC8" w:rsidP="00B558B7">
            <w:pPr>
              <w:pStyle w:val="TekstTabeli"/>
            </w:pPr>
            <w:r w:rsidRPr="008C72E5">
              <w:t>(2023) Journal of College Student Retention: Research, Theory and Practice, 25 (3), pp. 427 - 451, DOI: 10.1177/1521025120987816</w:t>
            </w:r>
          </w:p>
        </w:tc>
      </w:tr>
      <w:tr w:rsidR="00C4329A" w:rsidRPr="004C10DC" w14:paraId="40CDBD5B" w14:textId="77777777" w:rsidTr="00C4329A">
        <w:trPr>
          <w:cantSplit/>
        </w:trPr>
        <w:tc>
          <w:tcPr>
            <w:tcW w:w="297" w:type="pct"/>
            <w:vAlign w:val="center"/>
          </w:tcPr>
          <w:p w14:paraId="4E15025B" w14:textId="77777777" w:rsidR="009F6AC8" w:rsidRPr="008C72E5" w:rsidRDefault="009F6AC8" w:rsidP="00B558B7">
            <w:pPr>
              <w:pStyle w:val="TekstTabeli"/>
            </w:pPr>
            <w:r w:rsidRPr="008C72E5">
              <w:t>346</w:t>
            </w:r>
          </w:p>
        </w:tc>
        <w:tc>
          <w:tcPr>
            <w:tcW w:w="880" w:type="pct"/>
            <w:vAlign w:val="center"/>
          </w:tcPr>
          <w:p w14:paraId="17084E47" w14:textId="77777777" w:rsidR="009F6AC8" w:rsidRPr="008C72E5" w:rsidRDefault="009F6AC8" w:rsidP="00B558B7">
            <w:pPr>
              <w:pStyle w:val="TekstTabeli"/>
            </w:pPr>
            <w:r w:rsidRPr="008C72E5">
              <w:t>Geryk M.</w:t>
            </w:r>
          </w:p>
        </w:tc>
        <w:tc>
          <w:tcPr>
            <w:tcW w:w="1771" w:type="pct"/>
            <w:vAlign w:val="center"/>
          </w:tcPr>
          <w:p w14:paraId="34AFBEE1" w14:textId="77777777" w:rsidR="009F6AC8" w:rsidRPr="008C72E5" w:rsidRDefault="009F6AC8" w:rsidP="00B558B7">
            <w:pPr>
              <w:pStyle w:val="TekstTabeli"/>
            </w:pPr>
            <w:r w:rsidRPr="008C72E5">
              <w:t>Global challenges for the universities and managers of the higher education sector</w:t>
            </w:r>
          </w:p>
        </w:tc>
        <w:tc>
          <w:tcPr>
            <w:tcW w:w="2052" w:type="pct"/>
            <w:vAlign w:val="center"/>
          </w:tcPr>
          <w:p w14:paraId="553A8358" w14:textId="77777777" w:rsidR="009F6AC8" w:rsidRPr="008C72E5" w:rsidRDefault="009F6AC8" w:rsidP="00B558B7">
            <w:pPr>
              <w:pStyle w:val="TekstTabeli"/>
            </w:pPr>
            <w:r w:rsidRPr="008C72E5">
              <w:t>(2017) Advances in Intelligent Systems and Computing, 498, pp. 455 - 464, DOI: 10.1007/978-3-319-42070-7_41</w:t>
            </w:r>
          </w:p>
        </w:tc>
      </w:tr>
      <w:tr w:rsidR="00C4329A" w:rsidRPr="004C10DC" w14:paraId="79B56BFE" w14:textId="77777777" w:rsidTr="00C4329A">
        <w:trPr>
          <w:cantSplit/>
        </w:trPr>
        <w:tc>
          <w:tcPr>
            <w:tcW w:w="297" w:type="pct"/>
            <w:vAlign w:val="center"/>
          </w:tcPr>
          <w:p w14:paraId="2FE62599" w14:textId="77777777" w:rsidR="009F6AC8" w:rsidRPr="008C72E5" w:rsidRDefault="009F6AC8" w:rsidP="00B558B7">
            <w:pPr>
              <w:pStyle w:val="TekstTabeli"/>
            </w:pPr>
            <w:r w:rsidRPr="008C72E5">
              <w:t>347</w:t>
            </w:r>
          </w:p>
        </w:tc>
        <w:tc>
          <w:tcPr>
            <w:tcW w:w="880" w:type="pct"/>
            <w:vAlign w:val="center"/>
          </w:tcPr>
          <w:p w14:paraId="2B3D3ABF" w14:textId="77777777" w:rsidR="009F6AC8" w:rsidRPr="008C72E5" w:rsidRDefault="009F6AC8" w:rsidP="00B558B7">
            <w:pPr>
              <w:pStyle w:val="TekstTabeli"/>
            </w:pPr>
            <w:r w:rsidRPr="008C72E5">
              <w:t>Sahin B.B., Brooks R.</w:t>
            </w:r>
          </w:p>
        </w:tc>
        <w:tc>
          <w:tcPr>
            <w:tcW w:w="1771" w:type="pct"/>
            <w:vAlign w:val="center"/>
          </w:tcPr>
          <w:p w14:paraId="670374E5" w14:textId="77777777" w:rsidR="009F6AC8" w:rsidRPr="008C72E5" w:rsidRDefault="009F6AC8" w:rsidP="00B558B7">
            <w:pPr>
              <w:pStyle w:val="TekstTabeli"/>
            </w:pPr>
            <w:r w:rsidRPr="008C72E5">
              <w:t>Nation-bounded internationalization of higher education: a comparative analysis of two periphery countries</w:t>
            </w:r>
          </w:p>
        </w:tc>
        <w:tc>
          <w:tcPr>
            <w:tcW w:w="2052" w:type="pct"/>
            <w:vAlign w:val="center"/>
          </w:tcPr>
          <w:p w14:paraId="0AA86849" w14:textId="77777777" w:rsidR="009F6AC8" w:rsidRPr="008C72E5" w:rsidRDefault="009F6AC8" w:rsidP="00B558B7">
            <w:pPr>
              <w:pStyle w:val="TekstTabeli"/>
            </w:pPr>
            <w:r w:rsidRPr="008C72E5">
              <w:t>(2023) Higher Education Research and Development, 42 (5), pp. 1071 - 1085, DOI: 10.1080/07294360.2023.2193723</w:t>
            </w:r>
          </w:p>
        </w:tc>
      </w:tr>
      <w:tr w:rsidR="00C4329A" w:rsidRPr="004C10DC" w14:paraId="728AD47B" w14:textId="77777777" w:rsidTr="00C4329A">
        <w:trPr>
          <w:cantSplit/>
        </w:trPr>
        <w:tc>
          <w:tcPr>
            <w:tcW w:w="297" w:type="pct"/>
            <w:vAlign w:val="center"/>
          </w:tcPr>
          <w:p w14:paraId="3FFCE74F" w14:textId="77777777" w:rsidR="009F6AC8" w:rsidRPr="008C72E5" w:rsidRDefault="009F6AC8" w:rsidP="00B558B7">
            <w:pPr>
              <w:pStyle w:val="TekstTabeli"/>
            </w:pPr>
            <w:r w:rsidRPr="008C72E5">
              <w:t>348</w:t>
            </w:r>
          </w:p>
        </w:tc>
        <w:tc>
          <w:tcPr>
            <w:tcW w:w="880" w:type="pct"/>
            <w:vAlign w:val="center"/>
          </w:tcPr>
          <w:p w14:paraId="64429B3D" w14:textId="77777777" w:rsidR="009F6AC8" w:rsidRPr="008C72E5" w:rsidRDefault="009F6AC8" w:rsidP="00B558B7">
            <w:pPr>
              <w:pStyle w:val="TekstTabeli"/>
            </w:pPr>
            <w:r w:rsidRPr="008C72E5">
              <w:t>Yang R.</w:t>
            </w:r>
          </w:p>
        </w:tc>
        <w:tc>
          <w:tcPr>
            <w:tcW w:w="1771" w:type="pct"/>
            <w:vAlign w:val="center"/>
          </w:tcPr>
          <w:p w14:paraId="6A4A4F52" w14:textId="77777777" w:rsidR="009F6AC8" w:rsidRPr="008C72E5" w:rsidRDefault="009F6AC8" w:rsidP="00B558B7">
            <w:pPr>
              <w:pStyle w:val="TekstTabeli"/>
            </w:pPr>
            <w:r w:rsidRPr="008C72E5">
              <w:t>Cost sharing in China’s higher education: Analyses of major stakeholders</w:t>
            </w:r>
          </w:p>
        </w:tc>
        <w:tc>
          <w:tcPr>
            <w:tcW w:w="2052" w:type="pct"/>
            <w:vAlign w:val="center"/>
          </w:tcPr>
          <w:p w14:paraId="3FD1E6AA" w14:textId="77777777" w:rsidR="009F6AC8" w:rsidRPr="008C72E5" w:rsidRDefault="009F6AC8" w:rsidP="00B558B7">
            <w:pPr>
              <w:pStyle w:val="TekstTabeli"/>
            </w:pPr>
            <w:r w:rsidRPr="008C72E5">
              <w:t>(2015) Higher Education Dynamics, 44, pp. 237 - 251, DOI: 10.1007/978-94-017-9570-8_12</w:t>
            </w:r>
          </w:p>
        </w:tc>
      </w:tr>
      <w:tr w:rsidR="00C4329A" w:rsidRPr="004C10DC" w14:paraId="19FDBF4D" w14:textId="77777777" w:rsidTr="00C4329A">
        <w:trPr>
          <w:cantSplit/>
        </w:trPr>
        <w:tc>
          <w:tcPr>
            <w:tcW w:w="297" w:type="pct"/>
            <w:vAlign w:val="center"/>
          </w:tcPr>
          <w:p w14:paraId="530672E3" w14:textId="77777777" w:rsidR="009F6AC8" w:rsidRPr="008C72E5" w:rsidRDefault="009F6AC8" w:rsidP="00B558B7">
            <w:pPr>
              <w:pStyle w:val="TekstTabeli"/>
            </w:pPr>
            <w:r w:rsidRPr="008C72E5">
              <w:t>349</w:t>
            </w:r>
          </w:p>
        </w:tc>
        <w:tc>
          <w:tcPr>
            <w:tcW w:w="880" w:type="pct"/>
            <w:vAlign w:val="center"/>
          </w:tcPr>
          <w:p w14:paraId="39724036" w14:textId="77777777" w:rsidR="009F6AC8" w:rsidRPr="008C72E5" w:rsidRDefault="009F6AC8" w:rsidP="00B558B7">
            <w:pPr>
              <w:pStyle w:val="TekstTabeli"/>
            </w:pPr>
            <w:r w:rsidRPr="008C72E5">
              <w:t xml:space="preserve">Mwelwa K., </w:t>
            </w:r>
            <w:proofErr w:type="spellStart"/>
            <w:r w:rsidRPr="008C72E5">
              <w:t>Lebeloane</w:t>
            </w:r>
            <w:proofErr w:type="spellEnd"/>
            <w:r w:rsidRPr="008C72E5">
              <w:t xml:space="preserve"> L.D.M., Mawela A.S.</w:t>
            </w:r>
          </w:p>
        </w:tc>
        <w:tc>
          <w:tcPr>
            <w:tcW w:w="1771" w:type="pct"/>
            <w:vAlign w:val="center"/>
          </w:tcPr>
          <w:p w14:paraId="6F1637F9" w14:textId="77777777" w:rsidR="009F6AC8" w:rsidRPr="008C72E5" w:rsidRDefault="009F6AC8" w:rsidP="00B558B7">
            <w:pPr>
              <w:pStyle w:val="TekstTabeli"/>
            </w:pPr>
            <w:r w:rsidRPr="008C72E5">
              <w:t>Relevance of selected social science degree programs on skills development and graduate employability in Zambia</w:t>
            </w:r>
          </w:p>
        </w:tc>
        <w:tc>
          <w:tcPr>
            <w:tcW w:w="2052" w:type="pct"/>
            <w:vAlign w:val="center"/>
          </w:tcPr>
          <w:p w14:paraId="426E3BED" w14:textId="77777777" w:rsidR="009F6AC8" w:rsidRPr="008C72E5" w:rsidRDefault="009F6AC8" w:rsidP="00B558B7">
            <w:pPr>
              <w:pStyle w:val="TekstTabeli"/>
            </w:pPr>
            <w:r w:rsidRPr="008C72E5">
              <w:t>(2021) Journal of Teaching and Learning for Graduate Employability, 12 (2), pp. 131 - 147, DOI: 10.21153/JTLGE2021VOL12NO2ART1046</w:t>
            </w:r>
          </w:p>
        </w:tc>
      </w:tr>
      <w:tr w:rsidR="00C4329A" w:rsidRPr="008C72E5" w14:paraId="123F5E4C" w14:textId="77777777" w:rsidTr="00C4329A">
        <w:trPr>
          <w:cantSplit/>
        </w:trPr>
        <w:tc>
          <w:tcPr>
            <w:tcW w:w="297" w:type="pct"/>
            <w:vAlign w:val="center"/>
          </w:tcPr>
          <w:p w14:paraId="36A0BC66" w14:textId="77777777" w:rsidR="009F6AC8" w:rsidRPr="008C72E5" w:rsidRDefault="009F6AC8" w:rsidP="00B558B7">
            <w:pPr>
              <w:pStyle w:val="TekstTabeli"/>
            </w:pPr>
            <w:r w:rsidRPr="008C72E5">
              <w:lastRenderedPageBreak/>
              <w:t>350</w:t>
            </w:r>
          </w:p>
        </w:tc>
        <w:tc>
          <w:tcPr>
            <w:tcW w:w="880" w:type="pct"/>
            <w:vAlign w:val="center"/>
          </w:tcPr>
          <w:p w14:paraId="4F685D36" w14:textId="480ECAA3" w:rsidR="009F6AC8" w:rsidRPr="008C72E5" w:rsidRDefault="009F6AC8" w:rsidP="00B558B7">
            <w:pPr>
              <w:pStyle w:val="TekstTabeli"/>
            </w:pPr>
            <w:r w:rsidRPr="008C72E5">
              <w:t>Macaluso R., Amaro-Jiménez C., Patterson O.K</w:t>
            </w:r>
            <w:r w:rsidR="00513290" w:rsidRPr="008C72E5">
              <w:t xml:space="preserve">. </w:t>
            </w:r>
            <w:proofErr w:type="spellStart"/>
            <w:r w:rsidR="00513290" w:rsidRPr="008C72E5">
              <w:t>i</w:t>
            </w:r>
            <w:proofErr w:type="spellEnd"/>
            <w:r w:rsidR="00513290" w:rsidRPr="008C72E5">
              <w:t> in.</w:t>
            </w:r>
          </w:p>
        </w:tc>
        <w:tc>
          <w:tcPr>
            <w:tcW w:w="1771" w:type="pct"/>
            <w:vAlign w:val="center"/>
          </w:tcPr>
          <w:p w14:paraId="71CCB762" w14:textId="77777777" w:rsidR="009F6AC8" w:rsidRPr="008C72E5" w:rsidRDefault="009F6AC8" w:rsidP="00B558B7">
            <w:pPr>
              <w:pStyle w:val="TekstTabeli"/>
            </w:pPr>
            <w:r w:rsidRPr="008C72E5">
              <w:t>Engaging Faculty in Student Success: The Promise of Active Learning in STEM Faculty in Professional Development</w:t>
            </w:r>
          </w:p>
        </w:tc>
        <w:tc>
          <w:tcPr>
            <w:tcW w:w="2052" w:type="pct"/>
            <w:vAlign w:val="center"/>
          </w:tcPr>
          <w:p w14:paraId="55A4117A" w14:textId="77777777" w:rsidR="009F6AC8" w:rsidRPr="008C72E5" w:rsidRDefault="009F6AC8" w:rsidP="00B558B7">
            <w:pPr>
              <w:pStyle w:val="TekstTabeli"/>
            </w:pPr>
            <w:r w:rsidRPr="008C72E5">
              <w:t>(2020) College Teaching, 69 (2), pp. 113 - 119, DOI: 10.1080/87567555.2020.1837063</w:t>
            </w:r>
          </w:p>
        </w:tc>
      </w:tr>
      <w:tr w:rsidR="00C4329A" w:rsidRPr="004C10DC" w14:paraId="17A92524" w14:textId="77777777" w:rsidTr="00C4329A">
        <w:trPr>
          <w:cantSplit/>
        </w:trPr>
        <w:tc>
          <w:tcPr>
            <w:tcW w:w="297" w:type="pct"/>
            <w:vAlign w:val="center"/>
          </w:tcPr>
          <w:p w14:paraId="24114F72" w14:textId="77777777" w:rsidR="009F6AC8" w:rsidRPr="008C72E5" w:rsidRDefault="009F6AC8" w:rsidP="00B558B7">
            <w:pPr>
              <w:pStyle w:val="TekstTabeli"/>
            </w:pPr>
            <w:r w:rsidRPr="008C72E5">
              <w:t>351</w:t>
            </w:r>
          </w:p>
        </w:tc>
        <w:tc>
          <w:tcPr>
            <w:tcW w:w="880" w:type="pct"/>
            <w:vAlign w:val="center"/>
          </w:tcPr>
          <w:p w14:paraId="472186FB" w14:textId="77777777" w:rsidR="009F6AC8" w:rsidRPr="00D82766" w:rsidRDefault="009F6AC8" w:rsidP="00B558B7">
            <w:pPr>
              <w:pStyle w:val="TekstTabeli"/>
              <w:rPr>
                <w:lang w:val="pl-PL"/>
              </w:rPr>
            </w:pPr>
            <w:proofErr w:type="spellStart"/>
            <w:r w:rsidRPr="00D82766">
              <w:rPr>
                <w:lang w:val="pl-PL"/>
              </w:rPr>
              <w:t>Volchik</w:t>
            </w:r>
            <w:proofErr w:type="spellEnd"/>
            <w:r w:rsidRPr="00D82766">
              <w:rPr>
                <w:lang w:val="pl-PL"/>
              </w:rPr>
              <w:t xml:space="preserve"> V., </w:t>
            </w:r>
            <w:proofErr w:type="spellStart"/>
            <w:r w:rsidRPr="00D82766">
              <w:rPr>
                <w:lang w:val="pl-PL"/>
              </w:rPr>
              <w:t>Posukhova</w:t>
            </w:r>
            <w:proofErr w:type="spellEnd"/>
            <w:r w:rsidRPr="00D82766">
              <w:rPr>
                <w:lang w:val="pl-PL"/>
              </w:rPr>
              <w:t xml:space="preserve"> O., </w:t>
            </w:r>
            <w:proofErr w:type="spellStart"/>
            <w:r w:rsidRPr="00D82766">
              <w:rPr>
                <w:lang w:val="pl-PL"/>
              </w:rPr>
              <w:t>Strielkowski</w:t>
            </w:r>
            <w:proofErr w:type="spellEnd"/>
            <w:r w:rsidRPr="00D82766">
              <w:rPr>
                <w:lang w:val="pl-PL"/>
              </w:rPr>
              <w:t xml:space="preserve"> W.</w:t>
            </w:r>
          </w:p>
        </w:tc>
        <w:tc>
          <w:tcPr>
            <w:tcW w:w="1771" w:type="pct"/>
            <w:vAlign w:val="center"/>
          </w:tcPr>
          <w:p w14:paraId="6C44185B" w14:textId="5BF64C5B" w:rsidR="009F6AC8" w:rsidRPr="008C72E5" w:rsidRDefault="009F6AC8" w:rsidP="00B558B7">
            <w:pPr>
              <w:pStyle w:val="TekstTabeli"/>
            </w:pPr>
            <w:r w:rsidRPr="008C72E5">
              <w:t xml:space="preserve">Digitalization and sustainable higher education: Constructive and destructive potential of professional dynasties </w:t>
            </w:r>
          </w:p>
        </w:tc>
        <w:tc>
          <w:tcPr>
            <w:tcW w:w="2052" w:type="pct"/>
            <w:vAlign w:val="center"/>
          </w:tcPr>
          <w:p w14:paraId="0B675EB6" w14:textId="77777777" w:rsidR="009F6AC8" w:rsidRPr="008C72E5" w:rsidRDefault="009F6AC8" w:rsidP="00B558B7">
            <w:pPr>
              <w:pStyle w:val="TekstTabeli"/>
            </w:pPr>
            <w:r w:rsidRPr="008C72E5">
              <w:t>(2021) Transformations in Business and Economics, 20 (3), pp. 21 - 43, 0</w:t>
            </w:r>
          </w:p>
        </w:tc>
      </w:tr>
      <w:tr w:rsidR="00C4329A" w:rsidRPr="004C10DC" w14:paraId="77012BCC" w14:textId="77777777" w:rsidTr="00C4329A">
        <w:trPr>
          <w:cantSplit/>
        </w:trPr>
        <w:tc>
          <w:tcPr>
            <w:tcW w:w="297" w:type="pct"/>
            <w:vAlign w:val="center"/>
          </w:tcPr>
          <w:p w14:paraId="4F029252" w14:textId="77777777" w:rsidR="009F6AC8" w:rsidRPr="008C72E5" w:rsidRDefault="009F6AC8" w:rsidP="00B558B7">
            <w:pPr>
              <w:pStyle w:val="TekstTabeli"/>
            </w:pPr>
            <w:r w:rsidRPr="008C72E5">
              <w:t>352</w:t>
            </w:r>
          </w:p>
        </w:tc>
        <w:tc>
          <w:tcPr>
            <w:tcW w:w="880" w:type="pct"/>
            <w:vAlign w:val="center"/>
          </w:tcPr>
          <w:p w14:paraId="30B42F21" w14:textId="7F725958" w:rsidR="009F6AC8" w:rsidRPr="008C72E5" w:rsidRDefault="009F6AC8" w:rsidP="00B558B7">
            <w:pPr>
              <w:pStyle w:val="TekstTabeli"/>
            </w:pPr>
            <w:proofErr w:type="spellStart"/>
            <w:r w:rsidRPr="008C72E5">
              <w:t>Ithnin</w:t>
            </w:r>
            <w:proofErr w:type="spellEnd"/>
            <w:r w:rsidRPr="008C72E5">
              <w:t xml:space="preserve"> F., Sahib S., Eng C.K., </w:t>
            </w:r>
            <w:proofErr w:type="spellStart"/>
            <w:r w:rsidR="00513290" w:rsidRPr="008C72E5">
              <w:t>i</w:t>
            </w:r>
            <w:proofErr w:type="spellEnd"/>
            <w:r w:rsidR="00513290" w:rsidRPr="008C72E5">
              <w:t> in.</w:t>
            </w:r>
          </w:p>
        </w:tc>
        <w:tc>
          <w:tcPr>
            <w:tcW w:w="1771" w:type="pct"/>
            <w:vAlign w:val="center"/>
          </w:tcPr>
          <w:p w14:paraId="0B80C894" w14:textId="77777777" w:rsidR="009F6AC8" w:rsidRPr="008C72E5" w:rsidRDefault="009F6AC8" w:rsidP="00B558B7">
            <w:pPr>
              <w:pStyle w:val="TekstTabeli"/>
            </w:pPr>
            <w:r w:rsidRPr="008C72E5">
              <w:t>Mapping the futures of Malaysian Higher Education: A meta - analysis of futures studies in the Malaysian Higher Education scenario</w:t>
            </w:r>
          </w:p>
        </w:tc>
        <w:tc>
          <w:tcPr>
            <w:tcW w:w="2052" w:type="pct"/>
            <w:vAlign w:val="center"/>
          </w:tcPr>
          <w:p w14:paraId="669B8318" w14:textId="77777777" w:rsidR="009F6AC8" w:rsidRPr="008C72E5" w:rsidRDefault="009F6AC8" w:rsidP="00B558B7">
            <w:pPr>
              <w:pStyle w:val="TekstTabeli"/>
            </w:pPr>
            <w:r w:rsidRPr="008C72E5">
              <w:t>(2018) Journal of Futures Studies, 22 (3), pp. 1 - 18, DOI: 10.6531/JFS.2018.22(3).00A1</w:t>
            </w:r>
          </w:p>
        </w:tc>
      </w:tr>
      <w:tr w:rsidR="00C4329A" w:rsidRPr="004C10DC" w14:paraId="5FD50B22" w14:textId="77777777" w:rsidTr="00C4329A">
        <w:trPr>
          <w:cantSplit/>
        </w:trPr>
        <w:tc>
          <w:tcPr>
            <w:tcW w:w="297" w:type="pct"/>
            <w:vAlign w:val="center"/>
          </w:tcPr>
          <w:p w14:paraId="02FA2986" w14:textId="77777777" w:rsidR="009F6AC8" w:rsidRPr="008C72E5" w:rsidRDefault="009F6AC8" w:rsidP="00B558B7">
            <w:pPr>
              <w:pStyle w:val="TekstTabeli"/>
            </w:pPr>
            <w:r w:rsidRPr="008C72E5">
              <w:t>353</w:t>
            </w:r>
          </w:p>
        </w:tc>
        <w:tc>
          <w:tcPr>
            <w:tcW w:w="880" w:type="pct"/>
            <w:vAlign w:val="center"/>
          </w:tcPr>
          <w:p w14:paraId="5217A942" w14:textId="77777777" w:rsidR="009F6AC8" w:rsidRPr="008C72E5" w:rsidRDefault="009F6AC8" w:rsidP="00B558B7">
            <w:pPr>
              <w:pStyle w:val="TekstTabeli"/>
            </w:pPr>
            <w:r w:rsidRPr="008C72E5">
              <w:t>Moore J.L., Bass R.</w:t>
            </w:r>
          </w:p>
        </w:tc>
        <w:tc>
          <w:tcPr>
            <w:tcW w:w="1771" w:type="pct"/>
            <w:vAlign w:val="center"/>
          </w:tcPr>
          <w:p w14:paraId="70C52FED" w14:textId="004F116F" w:rsidR="009F6AC8" w:rsidRPr="008C72E5" w:rsidRDefault="00513290" w:rsidP="00B558B7">
            <w:pPr>
              <w:pStyle w:val="TekstTabeli"/>
            </w:pPr>
            <w:r w:rsidRPr="008C72E5">
              <w:t>Understanding writing transfer</w:t>
            </w:r>
            <w:r w:rsidR="009F6AC8" w:rsidRPr="008C72E5">
              <w:t>: Implications for Transformative Student Learning in Higher Education</w:t>
            </w:r>
          </w:p>
        </w:tc>
        <w:tc>
          <w:tcPr>
            <w:tcW w:w="2052" w:type="pct"/>
            <w:vAlign w:val="center"/>
          </w:tcPr>
          <w:p w14:paraId="57CC9DF8" w14:textId="77777777" w:rsidR="009F6AC8" w:rsidRPr="008C72E5" w:rsidRDefault="009F6AC8" w:rsidP="00B558B7">
            <w:pPr>
              <w:pStyle w:val="TekstTabeli"/>
            </w:pPr>
            <w:r w:rsidRPr="008C72E5">
              <w:t>(2023) Understanding Writing Transfer: Implications for Transformative Student Learning in Higher Education, pp. 1 - 165, DOI: 10.4324/9781003448518</w:t>
            </w:r>
          </w:p>
        </w:tc>
      </w:tr>
      <w:tr w:rsidR="00C4329A" w:rsidRPr="004C10DC" w14:paraId="3AF42C83" w14:textId="77777777" w:rsidTr="00C4329A">
        <w:trPr>
          <w:cantSplit/>
        </w:trPr>
        <w:tc>
          <w:tcPr>
            <w:tcW w:w="297" w:type="pct"/>
            <w:vAlign w:val="center"/>
          </w:tcPr>
          <w:p w14:paraId="0B19019A" w14:textId="77777777" w:rsidR="009F6AC8" w:rsidRPr="008C72E5" w:rsidRDefault="009F6AC8" w:rsidP="00B558B7">
            <w:pPr>
              <w:pStyle w:val="TekstTabeli"/>
            </w:pPr>
            <w:r w:rsidRPr="008C72E5">
              <w:t>354</w:t>
            </w:r>
          </w:p>
        </w:tc>
        <w:tc>
          <w:tcPr>
            <w:tcW w:w="880" w:type="pct"/>
            <w:vAlign w:val="center"/>
          </w:tcPr>
          <w:p w14:paraId="595F3A26" w14:textId="77777777" w:rsidR="009F6AC8" w:rsidRPr="008C72E5" w:rsidRDefault="009F6AC8" w:rsidP="00B558B7">
            <w:pPr>
              <w:pStyle w:val="TekstTabeli"/>
            </w:pPr>
            <w:proofErr w:type="spellStart"/>
            <w:r w:rsidRPr="008C72E5">
              <w:t>Fadelelmoula</w:t>
            </w:r>
            <w:proofErr w:type="spellEnd"/>
            <w:r w:rsidRPr="008C72E5">
              <w:t xml:space="preserve"> A.A.</w:t>
            </w:r>
          </w:p>
        </w:tc>
        <w:tc>
          <w:tcPr>
            <w:tcW w:w="1771" w:type="pct"/>
            <w:vAlign w:val="center"/>
          </w:tcPr>
          <w:p w14:paraId="3546AF67" w14:textId="69EA329E" w:rsidR="009F6AC8" w:rsidRPr="008C72E5" w:rsidRDefault="00513290" w:rsidP="00B558B7">
            <w:pPr>
              <w:pStyle w:val="TekstTabeli"/>
            </w:pPr>
            <w:r w:rsidRPr="008C72E5">
              <w:t>Traits contributing to the promotion of the individual’s continuance usage intention and perceived value of m-university services</w:t>
            </w:r>
          </w:p>
        </w:tc>
        <w:tc>
          <w:tcPr>
            <w:tcW w:w="2052" w:type="pct"/>
            <w:vAlign w:val="center"/>
          </w:tcPr>
          <w:p w14:paraId="73C3D5F6" w14:textId="77777777" w:rsidR="009F6AC8" w:rsidRPr="008C72E5" w:rsidRDefault="009F6AC8" w:rsidP="00B558B7">
            <w:pPr>
              <w:pStyle w:val="TekstTabeli"/>
            </w:pPr>
            <w:r w:rsidRPr="008C72E5">
              <w:t>(2022) Interdisciplinary Journal of Information, Knowledge, and Management, 17, pp. 315 - 338, DOI: 10.28945/4984</w:t>
            </w:r>
          </w:p>
        </w:tc>
      </w:tr>
      <w:tr w:rsidR="00C4329A" w:rsidRPr="004C10DC" w14:paraId="4DA5CC74" w14:textId="77777777" w:rsidTr="00C4329A">
        <w:trPr>
          <w:cantSplit/>
        </w:trPr>
        <w:tc>
          <w:tcPr>
            <w:tcW w:w="297" w:type="pct"/>
            <w:vAlign w:val="center"/>
          </w:tcPr>
          <w:p w14:paraId="445C7807" w14:textId="77777777" w:rsidR="009F6AC8" w:rsidRPr="008C72E5" w:rsidRDefault="009F6AC8" w:rsidP="00B558B7">
            <w:pPr>
              <w:pStyle w:val="TekstTabeli"/>
            </w:pPr>
            <w:r w:rsidRPr="008C72E5">
              <w:t>355</w:t>
            </w:r>
          </w:p>
        </w:tc>
        <w:tc>
          <w:tcPr>
            <w:tcW w:w="880" w:type="pct"/>
            <w:vAlign w:val="center"/>
          </w:tcPr>
          <w:p w14:paraId="2A75879A" w14:textId="77777777" w:rsidR="009F6AC8" w:rsidRPr="008C72E5" w:rsidRDefault="009F6AC8" w:rsidP="00B558B7">
            <w:pPr>
              <w:pStyle w:val="TekstTabeli"/>
            </w:pPr>
            <w:r w:rsidRPr="008C72E5">
              <w:t>Bai Q., Nam B.H.</w:t>
            </w:r>
          </w:p>
        </w:tc>
        <w:tc>
          <w:tcPr>
            <w:tcW w:w="1771" w:type="pct"/>
            <w:vAlign w:val="center"/>
          </w:tcPr>
          <w:p w14:paraId="79DFD75D" w14:textId="77777777" w:rsidR="009F6AC8" w:rsidRPr="008C72E5" w:rsidRDefault="009F6AC8" w:rsidP="00B558B7">
            <w:pPr>
              <w:pStyle w:val="TekstTabeli"/>
            </w:pPr>
            <w:r w:rsidRPr="008C72E5">
              <w:t>Symbolic power for student curators as social agents: the emergence of the museum of World Languages at Shanghai International Studies University during the COVID-19 era</w:t>
            </w:r>
          </w:p>
        </w:tc>
        <w:tc>
          <w:tcPr>
            <w:tcW w:w="2052" w:type="pct"/>
            <w:vAlign w:val="center"/>
          </w:tcPr>
          <w:p w14:paraId="1B560260" w14:textId="77777777" w:rsidR="009F6AC8" w:rsidRPr="008C72E5" w:rsidRDefault="009F6AC8" w:rsidP="00B558B7">
            <w:pPr>
              <w:pStyle w:val="TekstTabeli"/>
            </w:pPr>
            <w:r w:rsidRPr="008C72E5">
              <w:t>(2023) Museum Management and Curatorship, 38 (3), pp. 317 - 341, DOI: 10.1080/09647775.2023.2188473</w:t>
            </w:r>
          </w:p>
        </w:tc>
      </w:tr>
      <w:tr w:rsidR="00C4329A" w:rsidRPr="004C10DC" w14:paraId="358CC315" w14:textId="77777777" w:rsidTr="00C4329A">
        <w:trPr>
          <w:cantSplit/>
        </w:trPr>
        <w:tc>
          <w:tcPr>
            <w:tcW w:w="297" w:type="pct"/>
            <w:vAlign w:val="center"/>
          </w:tcPr>
          <w:p w14:paraId="6CA16517" w14:textId="77777777" w:rsidR="009F6AC8" w:rsidRPr="008C72E5" w:rsidRDefault="009F6AC8" w:rsidP="00B558B7">
            <w:pPr>
              <w:pStyle w:val="TekstTabeli"/>
            </w:pPr>
            <w:r w:rsidRPr="008C72E5">
              <w:t>356</w:t>
            </w:r>
          </w:p>
        </w:tc>
        <w:tc>
          <w:tcPr>
            <w:tcW w:w="880" w:type="pct"/>
            <w:vAlign w:val="center"/>
          </w:tcPr>
          <w:p w14:paraId="06B0133A" w14:textId="77777777" w:rsidR="009F6AC8" w:rsidRPr="008C72E5" w:rsidRDefault="009F6AC8" w:rsidP="00B558B7">
            <w:pPr>
              <w:pStyle w:val="TekstTabeli"/>
            </w:pPr>
            <w:r w:rsidRPr="008C72E5">
              <w:t>Wang Y., Wang R., Yao Z.</w:t>
            </w:r>
          </w:p>
        </w:tc>
        <w:tc>
          <w:tcPr>
            <w:tcW w:w="1771" w:type="pct"/>
            <w:vAlign w:val="center"/>
          </w:tcPr>
          <w:p w14:paraId="2BDE52E4" w14:textId="77777777" w:rsidR="009F6AC8" w:rsidRPr="008C72E5" w:rsidRDefault="009F6AC8" w:rsidP="00B558B7">
            <w:pPr>
              <w:pStyle w:val="TekstTabeli"/>
            </w:pPr>
            <w:r w:rsidRPr="008C72E5">
              <w:t>Mechanism of action of policy networks on the performance of university-based agricultural extensions</w:t>
            </w:r>
          </w:p>
        </w:tc>
        <w:tc>
          <w:tcPr>
            <w:tcW w:w="2052" w:type="pct"/>
            <w:vAlign w:val="center"/>
          </w:tcPr>
          <w:p w14:paraId="0B1EBEDC" w14:textId="77777777" w:rsidR="009F6AC8" w:rsidRPr="008C72E5" w:rsidRDefault="009F6AC8" w:rsidP="00B558B7">
            <w:pPr>
              <w:pStyle w:val="TekstTabeli"/>
            </w:pPr>
            <w:r w:rsidRPr="008C72E5">
              <w:t>(2020) Journal of Agricultural Education and Extension, 26 (5), pp. 423 - 441, DOI: 10.1080/1389224X.2020.1748668</w:t>
            </w:r>
          </w:p>
        </w:tc>
      </w:tr>
      <w:tr w:rsidR="00C4329A" w:rsidRPr="004C10DC" w14:paraId="68C3303E" w14:textId="77777777" w:rsidTr="00C4329A">
        <w:trPr>
          <w:cantSplit/>
        </w:trPr>
        <w:tc>
          <w:tcPr>
            <w:tcW w:w="297" w:type="pct"/>
            <w:vAlign w:val="center"/>
          </w:tcPr>
          <w:p w14:paraId="7424C934" w14:textId="77777777" w:rsidR="009F6AC8" w:rsidRPr="008C72E5" w:rsidRDefault="009F6AC8" w:rsidP="00B558B7">
            <w:pPr>
              <w:pStyle w:val="TekstTabeli"/>
            </w:pPr>
            <w:r w:rsidRPr="008C72E5">
              <w:t>357</w:t>
            </w:r>
          </w:p>
        </w:tc>
        <w:tc>
          <w:tcPr>
            <w:tcW w:w="880" w:type="pct"/>
            <w:vAlign w:val="center"/>
          </w:tcPr>
          <w:p w14:paraId="4247C228" w14:textId="77777777" w:rsidR="009F6AC8" w:rsidRPr="008C72E5" w:rsidRDefault="009F6AC8" w:rsidP="00B558B7">
            <w:pPr>
              <w:pStyle w:val="TekstTabeli"/>
            </w:pPr>
            <w:r w:rsidRPr="008C72E5">
              <w:t>Griffin M., Barona J., Gutierrez C.F.</w:t>
            </w:r>
          </w:p>
        </w:tc>
        <w:tc>
          <w:tcPr>
            <w:tcW w:w="1771" w:type="pct"/>
            <w:vAlign w:val="center"/>
          </w:tcPr>
          <w:p w14:paraId="55F05285" w14:textId="77777777" w:rsidR="009F6AC8" w:rsidRPr="008C72E5" w:rsidRDefault="009F6AC8" w:rsidP="00B558B7">
            <w:pPr>
              <w:pStyle w:val="TekstTabeli"/>
            </w:pPr>
            <w:r w:rsidRPr="008C72E5">
              <w:t>Strategies to Increase Sustainability Awareness in Higher Education: Experiences from Abu Dhabi Women’s College</w:t>
            </w:r>
          </w:p>
        </w:tc>
        <w:tc>
          <w:tcPr>
            <w:tcW w:w="2052" w:type="pct"/>
            <w:vAlign w:val="center"/>
          </w:tcPr>
          <w:p w14:paraId="7F9A97EC" w14:textId="77777777" w:rsidR="009F6AC8" w:rsidRPr="008C72E5" w:rsidRDefault="009F6AC8" w:rsidP="00B558B7">
            <w:pPr>
              <w:pStyle w:val="TekstTabeli"/>
            </w:pPr>
            <w:r w:rsidRPr="008C72E5">
              <w:t>(2022) International Journal of Sustainable Development and Planning, 17 (6), pp. 1831 - 1838, DOI: 10.18280/ijsdp.170617</w:t>
            </w:r>
          </w:p>
        </w:tc>
      </w:tr>
      <w:tr w:rsidR="00C4329A" w:rsidRPr="004C10DC" w14:paraId="1355514A" w14:textId="77777777" w:rsidTr="00C4329A">
        <w:trPr>
          <w:cantSplit/>
        </w:trPr>
        <w:tc>
          <w:tcPr>
            <w:tcW w:w="297" w:type="pct"/>
            <w:vAlign w:val="center"/>
          </w:tcPr>
          <w:p w14:paraId="231EAFF0" w14:textId="77777777" w:rsidR="009F6AC8" w:rsidRPr="008C72E5" w:rsidRDefault="009F6AC8" w:rsidP="00B558B7">
            <w:pPr>
              <w:pStyle w:val="TekstTabeli"/>
            </w:pPr>
            <w:r w:rsidRPr="008C72E5">
              <w:t>358</w:t>
            </w:r>
          </w:p>
        </w:tc>
        <w:tc>
          <w:tcPr>
            <w:tcW w:w="880" w:type="pct"/>
            <w:vAlign w:val="center"/>
          </w:tcPr>
          <w:p w14:paraId="6B5055DD" w14:textId="77777777" w:rsidR="009F6AC8" w:rsidRPr="00D82766" w:rsidRDefault="009F6AC8" w:rsidP="00B558B7">
            <w:pPr>
              <w:pStyle w:val="TekstTabeli"/>
              <w:rPr>
                <w:lang w:val="pl-PL"/>
              </w:rPr>
            </w:pPr>
            <w:proofErr w:type="spellStart"/>
            <w:r w:rsidRPr="00D82766">
              <w:rPr>
                <w:lang w:val="pl-PL"/>
              </w:rPr>
              <w:t>Qanga</w:t>
            </w:r>
            <w:proofErr w:type="spellEnd"/>
            <w:r w:rsidRPr="00D82766">
              <w:rPr>
                <w:lang w:val="pl-PL"/>
              </w:rPr>
              <w:t xml:space="preserve"> E.J., </w:t>
            </w:r>
            <w:proofErr w:type="spellStart"/>
            <w:r w:rsidRPr="00D82766">
              <w:rPr>
                <w:lang w:val="pl-PL"/>
              </w:rPr>
              <w:t>Schutte</w:t>
            </w:r>
            <w:proofErr w:type="spellEnd"/>
            <w:r w:rsidRPr="00D82766">
              <w:rPr>
                <w:lang w:val="pl-PL"/>
              </w:rPr>
              <w:t xml:space="preserve"> D.</w:t>
            </w:r>
          </w:p>
        </w:tc>
        <w:tc>
          <w:tcPr>
            <w:tcW w:w="1771" w:type="pct"/>
            <w:vAlign w:val="center"/>
          </w:tcPr>
          <w:p w14:paraId="03FAEAA9" w14:textId="29281F59" w:rsidR="009F6AC8" w:rsidRPr="008C72E5" w:rsidRDefault="00513290" w:rsidP="00B558B7">
            <w:pPr>
              <w:pStyle w:val="TekstTabeli"/>
            </w:pPr>
            <w:r w:rsidRPr="008C72E5">
              <w:t>Views from key university stakeholders on risk strategy implementation and disclosure: a case study of South African universities</w:t>
            </w:r>
          </w:p>
        </w:tc>
        <w:tc>
          <w:tcPr>
            <w:tcW w:w="2052" w:type="pct"/>
            <w:vAlign w:val="center"/>
          </w:tcPr>
          <w:p w14:paraId="4C09141C" w14:textId="77777777" w:rsidR="009F6AC8" w:rsidRPr="008C72E5" w:rsidRDefault="009F6AC8" w:rsidP="00B558B7">
            <w:pPr>
              <w:pStyle w:val="TekstTabeli"/>
            </w:pPr>
            <w:r w:rsidRPr="008C72E5">
              <w:t>(2021) Academy of Accounting and Financial Studies Journal, 25 (6), pp. 1 - 12, 0</w:t>
            </w:r>
          </w:p>
        </w:tc>
      </w:tr>
      <w:tr w:rsidR="00C4329A" w:rsidRPr="004C10DC" w14:paraId="5DEDAD31" w14:textId="77777777" w:rsidTr="00C4329A">
        <w:trPr>
          <w:cantSplit/>
        </w:trPr>
        <w:tc>
          <w:tcPr>
            <w:tcW w:w="297" w:type="pct"/>
            <w:vAlign w:val="center"/>
          </w:tcPr>
          <w:p w14:paraId="4B1C3290" w14:textId="77777777" w:rsidR="009F6AC8" w:rsidRPr="008C72E5" w:rsidRDefault="009F6AC8" w:rsidP="00B558B7">
            <w:pPr>
              <w:pStyle w:val="TekstTabeli"/>
            </w:pPr>
            <w:r w:rsidRPr="008C72E5">
              <w:t>359</w:t>
            </w:r>
          </w:p>
        </w:tc>
        <w:tc>
          <w:tcPr>
            <w:tcW w:w="880" w:type="pct"/>
            <w:vAlign w:val="center"/>
          </w:tcPr>
          <w:p w14:paraId="13CC9E60" w14:textId="77777777" w:rsidR="009F6AC8" w:rsidRPr="008C72E5" w:rsidRDefault="009F6AC8" w:rsidP="00B558B7">
            <w:pPr>
              <w:pStyle w:val="TekstTabeli"/>
            </w:pPr>
            <w:proofErr w:type="spellStart"/>
            <w:r w:rsidRPr="008C72E5">
              <w:t>Minksová</w:t>
            </w:r>
            <w:proofErr w:type="spellEnd"/>
            <w:r w:rsidRPr="008C72E5">
              <w:t xml:space="preserve"> L., Pabian P.</w:t>
            </w:r>
          </w:p>
        </w:tc>
        <w:tc>
          <w:tcPr>
            <w:tcW w:w="1771" w:type="pct"/>
            <w:vAlign w:val="center"/>
          </w:tcPr>
          <w:p w14:paraId="2BE4771B" w14:textId="77777777" w:rsidR="009F6AC8" w:rsidRPr="008C72E5" w:rsidRDefault="009F6AC8" w:rsidP="00B558B7">
            <w:pPr>
              <w:pStyle w:val="TekstTabeli"/>
            </w:pPr>
            <w:r w:rsidRPr="008C72E5">
              <w:t>Approaching students in higher education governance: Introduction to the special issue</w:t>
            </w:r>
          </w:p>
        </w:tc>
        <w:tc>
          <w:tcPr>
            <w:tcW w:w="2052" w:type="pct"/>
            <w:vAlign w:val="center"/>
          </w:tcPr>
          <w:p w14:paraId="76BA236B" w14:textId="77777777" w:rsidR="009F6AC8" w:rsidRPr="008C72E5" w:rsidRDefault="009F6AC8" w:rsidP="00B558B7">
            <w:pPr>
              <w:pStyle w:val="TekstTabeli"/>
            </w:pPr>
            <w:r w:rsidRPr="008C72E5">
              <w:t>(2011) Tertiary Education and Management, 17 (3), pp. 183 - 189, DOI: 10.1080/13583883.2011.588720</w:t>
            </w:r>
          </w:p>
        </w:tc>
      </w:tr>
      <w:tr w:rsidR="00C4329A" w:rsidRPr="004C10DC" w14:paraId="10D82DD7" w14:textId="77777777" w:rsidTr="00C4329A">
        <w:trPr>
          <w:cantSplit/>
        </w:trPr>
        <w:tc>
          <w:tcPr>
            <w:tcW w:w="297" w:type="pct"/>
            <w:vAlign w:val="center"/>
          </w:tcPr>
          <w:p w14:paraId="021A0B3E" w14:textId="77777777" w:rsidR="009F6AC8" w:rsidRPr="008C72E5" w:rsidRDefault="009F6AC8" w:rsidP="00B558B7">
            <w:pPr>
              <w:pStyle w:val="TekstTabeli"/>
            </w:pPr>
            <w:r w:rsidRPr="008C72E5">
              <w:t>360</w:t>
            </w:r>
          </w:p>
        </w:tc>
        <w:tc>
          <w:tcPr>
            <w:tcW w:w="880" w:type="pct"/>
            <w:vAlign w:val="center"/>
          </w:tcPr>
          <w:p w14:paraId="3C2E0637" w14:textId="77777777" w:rsidR="009F6AC8" w:rsidRPr="008C72E5" w:rsidRDefault="009F6AC8" w:rsidP="00B558B7">
            <w:pPr>
              <w:pStyle w:val="TekstTabeli"/>
            </w:pPr>
            <w:proofErr w:type="spellStart"/>
            <w:r w:rsidRPr="008C72E5">
              <w:t>Shenderova</w:t>
            </w:r>
            <w:proofErr w:type="spellEnd"/>
            <w:r w:rsidRPr="008C72E5">
              <w:t xml:space="preserve"> S.</w:t>
            </w:r>
          </w:p>
        </w:tc>
        <w:tc>
          <w:tcPr>
            <w:tcW w:w="1771" w:type="pct"/>
            <w:vAlign w:val="center"/>
          </w:tcPr>
          <w:p w14:paraId="4CB14AC4" w14:textId="77777777" w:rsidR="009F6AC8" w:rsidRPr="008C72E5" w:rsidRDefault="009F6AC8" w:rsidP="00B558B7">
            <w:pPr>
              <w:pStyle w:val="TekstTabeli"/>
            </w:pPr>
            <w:r w:rsidRPr="008C72E5">
              <w:t xml:space="preserve">Collaborative degree </w:t>
            </w:r>
            <w:proofErr w:type="spellStart"/>
            <w:r w:rsidRPr="008C72E5">
              <w:t>programmes</w:t>
            </w:r>
            <w:proofErr w:type="spellEnd"/>
            <w:r w:rsidRPr="008C72E5">
              <w:t xml:space="preserve"> in </w:t>
            </w:r>
            <w:proofErr w:type="spellStart"/>
            <w:r w:rsidRPr="008C72E5">
              <w:t>internationalisation</w:t>
            </w:r>
            <w:proofErr w:type="spellEnd"/>
            <w:r w:rsidRPr="008C72E5">
              <w:t xml:space="preserve"> policies: the salience of internal university stakeholders</w:t>
            </w:r>
          </w:p>
        </w:tc>
        <w:tc>
          <w:tcPr>
            <w:tcW w:w="2052" w:type="pct"/>
            <w:vAlign w:val="center"/>
          </w:tcPr>
          <w:p w14:paraId="488E296E" w14:textId="77777777" w:rsidR="009F6AC8" w:rsidRPr="008C72E5" w:rsidRDefault="009F6AC8" w:rsidP="00B558B7">
            <w:pPr>
              <w:pStyle w:val="TekstTabeli"/>
            </w:pPr>
            <w:r w:rsidRPr="008C72E5">
              <w:t>(2023) European Journal of Higher Education, 13 (2), pp. 197 - 215, DOI: 10.1080/21568235.2022.2120035</w:t>
            </w:r>
          </w:p>
        </w:tc>
      </w:tr>
      <w:tr w:rsidR="00C4329A" w:rsidRPr="004C10DC" w14:paraId="57F3BA20" w14:textId="77777777" w:rsidTr="00C4329A">
        <w:trPr>
          <w:cantSplit/>
        </w:trPr>
        <w:tc>
          <w:tcPr>
            <w:tcW w:w="297" w:type="pct"/>
            <w:vAlign w:val="center"/>
          </w:tcPr>
          <w:p w14:paraId="50635284" w14:textId="77777777" w:rsidR="009F6AC8" w:rsidRPr="008C72E5" w:rsidRDefault="009F6AC8" w:rsidP="00B558B7">
            <w:pPr>
              <w:pStyle w:val="TekstTabeli"/>
            </w:pPr>
            <w:r w:rsidRPr="008C72E5">
              <w:t>361</w:t>
            </w:r>
          </w:p>
        </w:tc>
        <w:tc>
          <w:tcPr>
            <w:tcW w:w="880" w:type="pct"/>
            <w:vAlign w:val="center"/>
          </w:tcPr>
          <w:p w14:paraId="0D6181C0" w14:textId="77777777" w:rsidR="009F6AC8" w:rsidRPr="008C72E5" w:rsidRDefault="009F6AC8" w:rsidP="00B558B7">
            <w:pPr>
              <w:pStyle w:val="TekstTabeli"/>
            </w:pPr>
            <w:proofErr w:type="spellStart"/>
            <w:r w:rsidRPr="008C72E5">
              <w:t>Schneckenberg</w:t>
            </w:r>
            <w:proofErr w:type="spellEnd"/>
            <w:r w:rsidRPr="008C72E5">
              <w:t xml:space="preserve"> D.</w:t>
            </w:r>
          </w:p>
        </w:tc>
        <w:tc>
          <w:tcPr>
            <w:tcW w:w="1771" w:type="pct"/>
            <w:vAlign w:val="center"/>
          </w:tcPr>
          <w:p w14:paraId="70BB5686" w14:textId="77777777" w:rsidR="009F6AC8" w:rsidRPr="008C72E5" w:rsidRDefault="009F6AC8" w:rsidP="00B558B7">
            <w:pPr>
              <w:pStyle w:val="TekstTabeli"/>
            </w:pPr>
            <w:r w:rsidRPr="008C72E5">
              <w:t xml:space="preserve">Conceptual foundations and strategic approaches for </w:t>
            </w:r>
            <w:proofErr w:type="spellStart"/>
            <w:r w:rsidRPr="008C72E5">
              <w:t>eCompetence</w:t>
            </w:r>
            <w:proofErr w:type="spellEnd"/>
          </w:p>
        </w:tc>
        <w:tc>
          <w:tcPr>
            <w:tcW w:w="2052" w:type="pct"/>
            <w:vAlign w:val="center"/>
          </w:tcPr>
          <w:p w14:paraId="5DF34039" w14:textId="77777777" w:rsidR="009F6AC8" w:rsidRPr="008C72E5" w:rsidRDefault="009F6AC8" w:rsidP="00B558B7">
            <w:pPr>
              <w:pStyle w:val="TekstTabeli"/>
            </w:pPr>
            <w:r w:rsidRPr="008C72E5">
              <w:t>(2010) International Journal of Continuing Engineering Education and Life-Long Learning, 20 (3-5), pp. 290 - 305, DOI: 10.1504/IJCEELL.2010.037047</w:t>
            </w:r>
          </w:p>
        </w:tc>
      </w:tr>
      <w:tr w:rsidR="00C4329A" w:rsidRPr="004C10DC" w14:paraId="0CF55FAC" w14:textId="77777777" w:rsidTr="00C4329A">
        <w:trPr>
          <w:cantSplit/>
        </w:trPr>
        <w:tc>
          <w:tcPr>
            <w:tcW w:w="297" w:type="pct"/>
            <w:vAlign w:val="center"/>
          </w:tcPr>
          <w:p w14:paraId="3C383B49" w14:textId="77777777" w:rsidR="009F6AC8" w:rsidRPr="008C72E5" w:rsidRDefault="009F6AC8" w:rsidP="00B558B7">
            <w:pPr>
              <w:pStyle w:val="TekstTabeli"/>
            </w:pPr>
            <w:r w:rsidRPr="008C72E5">
              <w:t>362</w:t>
            </w:r>
          </w:p>
        </w:tc>
        <w:tc>
          <w:tcPr>
            <w:tcW w:w="880" w:type="pct"/>
            <w:vAlign w:val="center"/>
          </w:tcPr>
          <w:p w14:paraId="54473B4E" w14:textId="77777777" w:rsidR="009F6AC8" w:rsidRPr="00D82766" w:rsidRDefault="009F6AC8" w:rsidP="00B558B7">
            <w:pPr>
              <w:pStyle w:val="TekstTabeli"/>
              <w:rPr>
                <w:lang w:val="pl-PL"/>
              </w:rPr>
            </w:pPr>
            <w:proofErr w:type="spellStart"/>
            <w:r w:rsidRPr="00D82766">
              <w:rPr>
                <w:lang w:val="pl-PL"/>
              </w:rPr>
              <w:t>Strielkowski</w:t>
            </w:r>
            <w:proofErr w:type="spellEnd"/>
            <w:r w:rsidRPr="00D82766">
              <w:rPr>
                <w:lang w:val="pl-PL"/>
              </w:rPr>
              <w:t xml:space="preserve"> W., </w:t>
            </w:r>
            <w:proofErr w:type="spellStart"/>
            <w:r w:rsidRPr="00D82766">
              <w:rPr>
                <w:lang w:val="pl-PL"/>
              </w:rPr>
              <w:t>Korneeva</w:t>
            </w:r>
            <w:proofErr w:type="spellEnd"/>
            <w:r w:rsidRPr="00D82766">
              <w:rPr>
                <w:lang w:val="pl-PL"/>
              </w:rPr>
              <w:t xml:space="preserve"> E., </w:t>
            </w:r>
            <w:proofErr w:type="spellStart"/>
            <w:r w:rsidRPr="00D82766">
              <w:rPr>
                <w:lang w:val="pl-PL"/>
              </w:rPr>
              <w:t>Gorina</w:t>
            </w:r>
            <w:proofErr w:type="spellEnd"/>
            <w:r w:rsidRPr="00D82766">
              <w:rPr>
                <w:lang w:val="pl-PL"/>
              </w:rPr>
              <w:t xml:space="preserve"> L.</w:t>
            </w:r>
          </w:p>
        </w:tc>
        <w:tc>
          <w:tcPr>
            <w:tcW w:w="1771" w:type="pct"/>
            <w:vAlign w:val="center"/>
          </w:tcPr>
          <w:p w14:paraId="4BBB0CBB" w14:textId="20F1DA18" w:rsidR="009F6AC8" w:rsidRPr="008C72E5" w:rsidRDefault="00513290" w:rsidP="00B558B7">
            <w:pPr>
              <w:pStyle w:val="TekstTabeli"/>
            </w:pPr>
            <w:r w:rsidRPr="008C72E5">
              <w:t>Sustainable Development And The Digital Transformation Of Educational Systems</w:t>
            </w:r>
          </w:p>
        </w:tc>
        <w:tc>
          <w:tcPr>
            <w:tcW w:w="2052" w:type="pct"/>
            <w:vAlign w:val="center"/>
          </w:tcPr>
          <w:p w14:paraId="61E44344" w14:textId="77777777" w:rsidR="009F6AC8" w:rsidRPr="008C72E5" w:rsidRDefault="009F6AC8" w:rsidP="00B558B7">
            <w:pPr>
              <w:pStyle w:val="TekstTabeli"/>
            </w:pPr>
            <w:r w:rsidRPr="008C72E5">
              <w:t>(2022) Intellectual Economics, 16 (1), pp. 134 - 150, DOI: 10.13165/IE-22-16-1-08</w:t>
            </w:r>
          </w:p>
        </w:tc>
      </w:tr>
      <w:tr w:rsidR="00C4329A" w:rsidRPr="004C10DC" w14:paraId="15A6CE08" w14:textId="77777777" w:rsidTr="00C4329A">
        <w:trPr>
          <w:cantSplit/>
        </w:trPr>
        <w:tc>
          <w:tcPr>
            <w:tcW w:w="297" w:type="pct"/>
            <w:vAlign w:val="center"/>
          </w:tcPr>
          <w:p w14:paraId="3C640667" w14:textId="77777777" w:rsidR="009F6AC8" w:rsidRPr="008C72E5" w:rsidRDefault="009F6AC8" w:rsidP="00B558B7">
            <w:pPr>
              <w:pStyle w:val="TekstTabeli"/>
            </w:pPr>
            <w:r w:rsidRPr="008C72E5">
              <w:t>363</w:t>
            </w:r>
          </w:p>
        </w:tc>
        <w:tc>
          <w:tcPr>
            <w:tcW w:w="880" w:type="pct"/>
            <w:vAlign w:val="center"/>
          </w:tcPr>
          <w:p w14:paraId="64566ABE" w14:textId="77777777" w:rsidR="009F6AC8" w:rsidRPr="008C72E5" w:rsidRDefault="009F6AC8" w:rsidP="00B558B7">
            <w:pPr>
              <w:pStyle w:val="TekstTabeli"/>
            </w:pPr>
            <w:r w:rsidRPr="008C72E5">
              <w:t>Al Mansoori S., Maheshwari P.</w:t>
            </w:r>
          </w:p>
        </w:tc>
        <w:tc>
          <w:tcPr>
            <w:tcW w:w="1771" w:type="pct"/>
            <w:vAlign w:val="center"/>
          </w:tcPr>
          <w:p w14:paraId="6249E63E" w14:textId="77777777" w:rsidR="009F6AC8" w:rsidRPr="008C72E5" w:rsidRDefault="009F6AC8" w:rsidP="00B558B7">
            <w:pPr>
              <w:pStyle w:val="TekstTabeli"/>
            </w:pPr>
            <w:r w:rsidRPr="008C72E5">
              <w:t>A Framework to Implement Blockchain in Higher Education Institutions</w:t>
            </w:r>
          </w:p>
        </w:tc>
        <w:tc>
          <w:tcPr>
            <w:tcW w:w="2052" w:type="pct"/>
            <w:vAlign w:val="center"/>
          </w:tcPr>
          <w:p w14:paraId="4812D5F4" w14:textId="77777777" w:rsidR="009F6AC8" w:rsidRPr="008C72E5" w:rsidRDefault="009F6AC8" w:rsidP="00B558B7">
            <w:pPr>
              <w:pStyle w:val="TekstTabeli"/>
            </w:pPr>
            <w:r w:rsidRPr="008C72E5">
              <w:t>(2022) Lecture Notes in Networks and Systems, 299, pp. 244 - 254, DOI: 10.1007/978-3-030-82616-1_22</w:t>
            </w:r>
          </w:p>
        </w:tc>
      </w:tr>
      <w:tr w:rsidR="00C4329A" w:rsidRPr="008C72E5" w14:paraId="0C638CC6" w14:textId="77777777" w:rsidTr="00C4329A">
        <w:trPr>
          <w:cantSplit/>
        </w:trPr>
        <w:tc>
          <w:tcPr>
            <w:tcW w:w="297" w:type="pct"/>
            <w:vAlign w:val="center"/>
          </w:tcPr>
          <w:p w14:paraId="3B3ABAF5" w14:textId="77777777" w:rsidR="009F6AC8" w:rsidRPr="008C72E5" w:rsidRDefault="009F6AC8" w:rsidP="00B558B7">
            <w:pPr>
              <w:pStyle w:val="TekstTabeli"/>
            </w:pPr>
            <w:r w:rsidRPr="008C72E5">
              <w:lastRenderedPageBreak/>
              <w:t>364</w:t>
            </w:r>
          </w:p>
        </w:tc>
        <w:tc>
          <w:tcPr>
            <w:tcW w:w="880" w:type="pct"/>
            <w:vAlign w:val="center"/>
          </w:tcPr>
          <w:p w14:paraId="57232FBB" w14:textId="4E42E676" w:rsidR="009F6AC8" w:rsidRPr="008C72E5" w:rsidRDefault="009F6AC8" w:rsidP="00B558B7">
            <w:pPr>
              <w:pStyle w:val="TekstTabeli"/>
            </w:pPr>
            <w:r w:rsidRPr="008C72E5">
              <w:t xml:space="preserve">Berlian M., Mujtahid I.M., </w:t>
            </w:r>
            <w:proofErr w:type="spellStart"/>
            <w:r w:rsidR="00513290" w:rsidRPr="008C72E5">
              <w:t>i</w:t>
            </w:r>
            <w:proofErr w:type="spellEnd"/>
            <w:r w:rsidR="00513290" w:rsidRPr="008C72E5">
              <w:t> in.</w:t>
            </w:r>
          </w:p>
        </w:tc>
        <w:tc>
          <w:tcPr>
            <w:tcW w:w="1771" w:type="pct"/>
            <w:vAlign w:val="center"/>
          </w:tcPr>
          <w:p w14:paraId="7BEAF3E5" w14:textId="77777777" w:rsidR="009F6AC8" w:rsidRPr="008C72E5" w:rsidRDefault="009F6AC8" w:rsidP="00B558B7">
            <w:pPr>
              <w:pStyle w:val="TekstTabeli"/>
            </w:pPr>
            <w:r w:rsidRPr="008C72E5">
              <w:t>Multiple intelligences mapping for tutors in Universitas Terbuka</w:t>
            </w:r>
          </w:p>
        </w:tc>
        <w:tc>
          <w:tcPr>
            <w:tcW w:w="2052" w:type="pct"/>
            <w:vAlign w:val="center"/>
          </w:tcPr>
          <w:p w14:paraId="7F9B85A8" w14:textId="77777777" w:rsidR="009F6AC8" w:rsidRPr="00D82766" w:rsidRDefault="009F6AC8" w:rsidP="00B558B7">
            <w:pPr>
              <w:pStyle w:val="TekstTabeli"/>
              <w:rPr>
                <w:lang w:val="pl-PL"/>
              </w:rPr>
            </w:pPr>
            <w:r w:rsidRPr="00D82766">
              <w:rPr>
                <w:lang w:val="pl-PL"/>
              </w:rPr>
              <w:t xml:space="preserve">(2022) </w:t>
            </w:r>
            <w:proofErr w:type="spellStart"/>
            <w:r w:rsidRPr="00D82766">
              <w:rPr>
                <w:lang w:val="pl-PL"/>
              </w:rPr>
              <w:t>Cakrawala</w:t>
            </w:r>
            <w:proofErr w:type="spellEnd"/>
            <w:r w:rsidRPr="00D82766">
              <w:rPr>
                <w:lang w:val="pl-PL"/>
              </w:rPr>
              <w:t xml:space="preserve"> </w:t>
            </w:r>
            <w:proofErr w:type="spellStart"/>
            <w:r w:rsidRPr="00D82766">
              <w:rPr>
                <w:lang w:val="pl-PL"/>
              </w:rPr>
              <w:t>Pendidikan</w:t>
            </w:r>
            <w:proofErr w:type="spellEnd"/>
            <w:r w:rsidRPr="00D82766">
              <w:rPr>
                <w:lang w:val="pl-PL"/>
              </w:rPr>
              <w:t>, 41 (1), pp. 199 - 210, DOI: 10.21831/cp.v41i1.39651</w:t>
            </w:r>
          </w:p>
        </w:tc>
      </w:tr>
      <w:tr w:rsidR="00C4329A" w:rsidRPr="004C10DC" w14:paraId="53164DA4" w14:textId="77777777" w:rsidTr="00C4329A">
        <w:trPr>
          <w:cantSplit/>
        </w:trPr>
        <w:tc>
          <w:tcPr>
            <w:tcW w:w="297" w:type="pct"/>
            <w:vAlign w:val="center"/>
          </w:tcPr>
          <w:p w14:paraId="621C3C74" w14:textId="77777777" w:rsidR="009F6AC8" w:rsidRPr="008C72E5" w:rsidRDefault="009F6AC8" w:rsidP="00B558B7">
            <w:pPr>
              <w:pStyle w:val="TekstTabeli"/>
            </w:pPr>
            <w:r w:rsidRPr="008C72E5">
              <w:t>365</w:t>
            </w:r>
          </w:p>
        </w:tc>
        <w:tc>
          <w:tcPr>
            <w:tcW w:w="880" w:type="pct"/>
            <w:vAlign w:val="center"/>
          </w:tcPr>
          <w:p w14:paraId="704814A4" w14:textId="77777777" w:rsidR="009F6AC8" w:rsidRPr="008C72E5" w:rsidRDefault="009F6AC8" w:rsidP="00B558B7">
            <w:pPr>
              <w:pStyle w:val="TekstTabeli"/>
            </w:pPr>
            <w:r w:rsidRPr="008C72E5">
              <w:t>Wood M., Su F.</w:t>
            </w:r>
          </w:p>
        </w:tc>
        <w:tc>
          <w:tcPr>
            <w:tcW w:w="1771" w:type="pct"/>
            <w:vAlign w:val="center"/>
          </w:tcPr>
          <w:p w14:paraId="184CC401" w14:textId="77777777" w:rsidR="009F6AC8" w:rsidRPr="008C72E5" w:rsidRDefault="009F6AC8" w:rsidP="00B558B7">
            <w:pPr>
              <w:pStyle w:val="TekstTabeli"/>
            </w:pPr>
            <w:r w:rsidRPr="008C72E5">
              <w:t>Parents as “stakeholders” and their conceptions of teaching excellence in English higher education</w:t>
            </w:r>
          </w:p>
        </w:tc>
        <w:tc>
          <w:tcPr>
            <w:tcW w:w="2052" w:type="pct"/>
            <w:vAlign w:val="center"/>
          </w:tcPr>
          <w:p w14:paraId="5408078B" w14:textId="77777777" w:rsidR="009F6AC8" w:rsidRPr="008C72E5" w:rsidRDefault="009F6AC8" w:rsidP="00B558B7">
            <w:pPr>
              <w:pStyle w:val="TekstTabeli"/>
            </w:pPr>
            <w:r w:rsidRPr="008C72E5">
              <w:t>(2019) International Journal of Comparative Education and Development, 21 (2), pp. 99 - 111, DOI: 10.1108/IJCED-05-2018-0010</w:t>
            </w:r>
          </w:p>
        </w:tc>
      </w:tr>
      <w:tr w:rsidR="00C4329A" w:rsidRPr="008C72E5" w14:paraId="0DBF0545" w14:textId="77777777" w:rsidTr="00C4329A">
        <w:trPr>
          <w:cantSplit/>
        </w:trPr>
        <w:tc>
          <w:tcPr>
            <w:tcW w:w="297" w:type="pct"/>
            <w:vAlign w:val="center"/>
          </w:tcPr>
          <w:p w14:paraId="19AD66DF" w14:textId="77777777" w:rsidR="009F6AC8" w:rsidRPr="008C72E5" w:rsidRDefault="009F6AC8" w:rsidP="00B558B7">
            <w:pPr>
              <w:pStyle w:val="TekstTabeli"/>
            </w:pPr>
            <w:r w:rsidRPr="008C72E5">
              <w:t>366</w:t>
            </w:r>
          </w:p>
        </w:tc>
        <w:tc>
          <w:tcPr>
            <w:tcW w:w="880" w:type="pct"/>
            <w:vAlign w:val="center"/>
          </w:tcPr>
          <w:p w14:paraId="2C5027C5" w14:textId="77777777" w:rsidR="009F6AC8" w:rsidRPr="008C72E5" w:rsidRDefault="009F6AC8" w:rsidP="00B558B7">
            <w:pPr>
              <w:pStyle w:val="TekstTabeli"/>
            </w:pPr>
            <w:r w:rsidRPr="008C72E5">
              <w:t>Harwood N.</w:t>
            </w:r>
          </w:p>
        </w:tc>
        <w:tc>
          <w:tcPr>
            <w:tcW w:w="1771" w:type="pct"/>
            <w:vAlign w:val="center"/>
          </w:tcPr>
          <w:p w14:paraId="1A12713B" w14:textId="77777777" w:rsidR="009F6AC8" w:rsidRPr="008C72E5" w:rsidRDefault="009F6AC8" w:rsidP="00B558B7">
            <w:pPr>
              <w:pStyle w:val="TekstTabeli"/>
            </w:pPr>
            <w:r w:rsidRPr="008C72E5">
              <w:t>Lecturer, Language Tutor, and Student Perspectives on the Ethics of the Proofreading of Student Writing</w:t>
            </w:r>
          </w:p>
        </w:tc>
        <w:tc>
          <w:tcPr>
            <w:tcW w:w="2052" w:type="pct"/>
            <w:vAlign w:val="center"/>
          </w:tcPr>
          <w:p w14:paraId="508EB4E8" w14:textId="77777777" w:rsidR="009F6AC8" w:rsidRPr="008C72E5" w:rsidRDefault="009F6AC8" w:rsidP="00B558B7">
            <w:pPr>
              <w:pStyle w:val="TekstTabeli"/>
            </w:pPr>
            <w:r w:rsidRPr="008C72E5">
              <w:t>(2023) Written Communication, 40 (2), pp. 651 - 719, DOI: 10.1177/07410883221146776</w:t>
            </w:r>
          </w:p>
        </w:tc>
      </w:tr>
      <w:tr w:rsidR="00C4329A" w:rsidRPr="004C10DC" w14:paraId="7BE1F388" w14:textId="77777777" w:rsidTr="00C4329A">
        <w:trPr>
          <w:cantSplit/>
        </w:trPr>
        <w:tc>
          <w:tcPr>
            <w:tcW w:w="297" w:type="pct"/>
            <w:vAlign w:val="center"/>
          </w:tcPr>
          <w:p w14:paraId="7439EB80" w14:textId="77777777" w:rsidR="009F6AC8" w:rsidRPr="008C72E5" w:rsidRDefault="009F6AC8" w:rsidP="00B558B7">
            <w:pPr>
              <w:pStyle w:val="TekstTabeli"/>
            </w:pPr>
            <w:r w:rsidRPr="008C72E5">
              <w:t>367</w:t>
            </w:r>
          </w:p>
        </w:tc>
        <w:tc>
          <w:tcPr>
            <w:tcW w:w="880" w:type="pct"/>
            <w:vAlign w:val="center"/>
          </w:tcPr>
          <w:p w14:paraId="6D0C799E" w14:textId="77777777" w:rsidR="009F6AC8" w:rsidRPr="008C72E5" w:rsidRDefault="009F6AC8" w:rsidP="00B558B7">
            <w:pPr>
              <w:pStyle w:val="TekstTabeli"/>
            </w:pPr>
            <w:r w:rsidRPr="008C72E5">
              <w:t>Antera S., Costa R., Kalfa V., Mendes P.</w:t>
            </w:r>
          </w:p>
        </w:tc>
        <w:tc>
          <w:tcPr>
            <w:tcW w:w="1771" w:type="pct"/>
            <w:vAlign w:val="center"/>
          </w:tcPr>
          <w:p w14:paraId="12A2A6CD" w14:textId="77777777" w:rsidR="009F6AC8" w:rsidRPr="008C72E5" w:rsidRDefault="009F6AC8" w:rsidP="00B558B7">
            <w:pPr>
              <w:pStyle w:val="TekstTabeli"/>
            </w:pPr>
            <w:r w:rsidRPr="008C72E5">
              <w:t>Assessment in Higher STEM Education: The Now and the Future from the Students’ Perspective</w:t>
            </w:r>
          </w:p>
        </w:tc>
        <w:tc>
          <w:tcPr>
            <w:tcW w:w="2052" w:type="pct"/>
            <w:vAlign w:val="center"/>
          </w:tcPr>
          <w:p w14:paraId="04E5B874" w14:textId="77777777" w:rsidR="009F6AC8" w:rsidRPr="008C72E5" w:rsidRDefault="009F6AC8" w:rsidP="00B558B7">
            <w:pPr>
              <w:pStyle w:val="TekstTabeli"/>
            </w:pPr>
            <w:r w:rsidRPr="008C72E5">
              <w:t>(2019) Advances in Intelligent Systems and Computing, 917, pp. 772 - 781, DOI: 10.1007/978-3-030-11935-5_73</w:t>
            </w:r>
          </w:p>
        </w:tc>
      </w:tr>
      <w:tr w:rsidR="00C4329A" w:rsidRPr="004C10DC" w14:paraId="7243EE16" w14:textId="77777777" w:rsidTr="00C4329A">
        <w:trPr>
          <w:cantSplit/>
        </w:trPr>
        <w:tc>
          <w:tcPr>
            <w:tcW w:w="297" w:type="pct"/>
            <w:vAlign w:val="center"/>
          </w:tcPr>
          <w:p w14:paraId="2648ADDB" w14:textId="77777777" w:rsidR="009F6AC8" w:rsidRPr="008C72E5" w:rsidRDefault="009F6AC8" w:rsidP="00B558B7">
            <w:pPr>
              <w:pStyle w:val="TekstTabeli"/>
            </w:pPr>
            <w:r w:rsidRPr="008C72E5">
              <w:t>368</w:t>
            </w:r>
          </w:p>
        </w:tc>
        <w:tc>
          <w:tcPr>
            <w:tcW w:w="880" w:type="pct"/>
            <w:vAlign w:val="center"/>
          </w:tcPr>
          <w:p w14:paraId="4D42715E" w14:textId="310B7C8C" w:rsidR="009F6AC8" w:rsidRPr="008C72E5" w:rsidRDefault="009F6AC8" w:rsidP="00B558B7">
            <w:pPr>
              <w:pStyle w:val="TekstTabeli"/>
            </w:pPr>
            <w:r w:rsidRPr="008C72E5">
              <w:t xml:space="preserve">Lie Owens S., Boyraz M., </w:t>
            </w:r>
            <w:proofErr w:type="spellStart"/>
            <w:r w:rsidR="00513290" w:rsidRPr="008C72E5">
              <w:t>i</w:t>
            </w:r>
            <w:proofErr w:type="spellEnd"/>
            <w:r w:rsidR="00513290" w:rsidRPr="008C72E5">
              <w:t> in.</w:t>
            </w:r>
          </w:p>
        </w:tc>
        <w:tc>
          <w:tcPr>
            <w:tcW w:w="1771" w:type="pct"/>
            <w:vAlign w:val="center"/>
          </w:tcPr>
          <w:p w14:paraId="0903EF94" w14:textId="77777777" w:rsidR="009F6AC8" w:rsidRPr="008C72E5" w:rsidRDefault="009F6AC8" w:rsidP="00B558B7">
            <w:pPr>
              <w:pStyle w:val="TekstTabeli"/>
            </w:pPr>
            <w:r w:rsidRPr="008C72E5">
              <w:t>What Does It Mean to Be a “Polytechnic” University? Cultural Discourse Analysis of Organizational Identity</w:t>
            </w:r>
          </w:p>
        </w:tc>
        <w:tc>
          <w:tcPr>
            <w:tcW w:w="2052" w:type="pct"/>
            <w:vAlign w:val="center"/>
          </w:tcPr>
          <w:p w14:paraId="770ABEBA" w14:textId="77777777" w:rsidR="009F6AC8" w:rsidRPr="008C72E5" w:rsidRDefault="009F6AC8" w:rsidP="00B558B7">
            <w:pPr>
              <w:pStyle w:val="TekstTabeli"/>
            </w:pPr>
            <w:r w:rsidRPr="008C72E5">
              <w:t>(2023) Western Journal of Communication, 87 (2), pp. 304 - 325, DOI: 10.1080/10570314.2022.2118550</w:t>
            </w:r>
          </w:p>
        </w:tc>
      </w:tr>
      <w:tr w:rsidR="00C4329A" w:rsidRPr="004C10DC" w14:paraId="6A6E16DD" w14:textId="77777777" w:rsidTr="00C4329A">
        <w:trPr>
          <w:cantSplit/>
        </w:trPr>
        <w:tc>
          <w:tcPr>
            <w:tcW w:w="297" w:type="pct"/>
            <w:vAlign w:val="center"/>
          </w:tcPr>
          <w:p w14:paraId="3311C066" w14:textId="77777777" w:rsidR="009F6AC8" w:rsidRPr="008C72E5" w:rsidRDefault="009F6AC8" w:rsidP="00B558B7">
            <w:pPr>
              <w:pStyle w:val="TekstTabeli"/>
            </w:pPr>
            <w:r w:rsidRPr="008C72E5">
              <w:t>369</w:t>
            </w:r>
          </w:p>
        </w:tc>
        <w:tc>
          <w:tcPr>
            <w:tcW w:w="880" w:type="pct"/>
            <w:vAlign w:val="center"/>
          </w:tcPr>
          <w:p w14:paraId="4B0ECD04" w14:textId="77777777" w:rsidR="009F6AC8" w:rsidRPr="008C72E5" w:rsidRDefault="009F6AC8" w:rsidP="00B558B7">
            <w:pPr>
              <w:pStyle w:val="TekstTabeli"/>
            </w:pPr>
            <w:r w:rsidRPr="008C72E5">
              <w:t>Fearn C., Koya K.</w:t>
            </w:r>
          </w:p>
        </w:tc>
        <w:tc>
          <w:tcPr>
            <w:tcW w:w="1771" w:type="pct"/>
            <w:vAlign w:val="center"/>
          </w:tcPr>
          <w:p w14:paraId="11DBE2A1" w14:textId="77777777" w:rsidR="009F6AC8" w:rsidRPr="008C72E5" w:rsidRDefault="009F6AC8" w:rsidP="00B558B7">
            <w:pPr>
              <w:pStyle w:val="TekstTabeli"/>
            </w:pPr>
            <w:r w:rsidRPr="008C72E5">
              <w:t>Post-GDPR Usage of Students’ Big-Data at UK Universities</w:t>
            </w:r>
          </w:p>
        </w:tc>
        <w:tc>
          <w:tcPr>
            <w:tcW w:w="2052" w:type="pct"/>
            <w:vAlign w:val="center"/>
          </w:tcPr>
          <w:p w14:paraId="3B91FB9A" w14:textId="77777777" w:rsidR="009F6AC8" w:rsidRPr="008C72E5" w:rsidRDefault="009F6AC8" w:rsidP="00B558B7">
            <w:pPr>
              <w:pStyle w:val="TekstTabeli"/>
            </w:pPr>
            <w:r w:rsidRPr="008C72E5">
              <w:t>(2021) Lecture Notes in Computer Science (including subseries Lecture Notes in Artificial Intelligence and Lecture Notes in Bioinformatics), 12645 LNCS, pp. 165 - 182, DOI: 10.1007/978-3-030-71292-1_15</w:t>
            </w:r>
          </w:p>
        </w:tc>
      </w:tr>
      <w:tr w:rsidR="00C4329A" w:rsidRPr="004C10DC" w14:paraId="047F917B" w14:textId="77777777" w:rsidTr="00C4329A">
        <w:trPr>
          <w:cantSplit/>
        </w:trPr>
        <w:tc>
          <w:tcPr>
            <w:tcW w:w="297" w:type="pct"/>
            <w:vAlign w:val="center"/>
          </w:tcPr>
          <w:p w14:paraId="1C7006E9" w14:textId="77777777" w:rsidR="009F6AC8" w:rsidRPr="008C72E5" w:rsidRDefault="009F6AC8" w:rsidP="00B558B7">
            <w:pPr>
              <w:pStyle w:val="TekstTabeli"/>
            </w:pPr>
            <w:r w:rsidRPr="008C72E5">
              <w:t>370</w:t>
            </w:r>
          </w:p>
        </w:tc>
        <w:tc>
          <w:tcPr>
            <w:tcW w:w="880" w:type="pct"/>
            <w:vAlign w:val="center"/>
          </w:tcPr>
          <w:p w14:paraId="10C5DE55" w14:textId="77777777" w:rsidR="009F6AC8" w:rsidRPr="008C72E5" w:rsidRDefault="009F6AC8" w:rsidP="00B558B7">
            <w:pPr>
              <w:pStyle w:val="TekstTabeli"/>
            </w:pPr>
            <w:r w:rsidRPr="008C72E5">
              <w:t xml:space="preserve">Dailey-Hebert A., Mandernach B.J., </w:t>
            </w:r>
            <w:proofErr w:type="spellStart"/>
            <w:r w:rsidRPr="008C72E5">
              <w:t>Donnelli</w:t>
            </w:r>
            <w:proofErr w:type="spellEnd"/>
            <w:r w:rsidRPr="008C72E5">
              <w:t>-Sallee E.</w:t>
            </w:r>
          </w:p>
        </w:tc>
        <w:tc>
          <w:tcPr>
            <w:tcW w:w="1771" w:type="pct"/>
            <w:vAlign w:val="center"/>
          </w:tcPr>
          <w:p w14:paraId="11EF1383" w14:textId="77777777" w:rsidR="009F6AC8" w:rsidRPr="008C72E5" w:rsidRDefault="009F6AC8" w:rsidP="00B558B7">
            <w:pPr>
              <w:pStyle w:val="TekstTabeli"/>
            </w:pPr>
            <w:r w:rsidRPr="008C72E5">
              <w:t>Handbook of research on inclusive development for remote adjunct faculty in higher education</w:t>
            </w:r>
          </w:p>
        </w:tc>
        <w:tc>
          <w:tcPr>
            <w:tcW w:w="2052" w:type="pct"/>
            <w:vAlign w:val="center"/>
          </w:tcPr>
          <w:p w14:paraId="1BCC37A6" w14:textId="77777777" w:rsidR="009F6AC8" w:rsidRPr="008C72E5" w:rsidRDefault="009F6AC8" w:rsidP="00B558B7">
            <w:pPr>
              <w:pStyle w:val="TekstTabeli"/>
            </w:pPr>
            <w:r w:rsidRPr="008C72E5">
              <w:t>(2020) Handbook of Research on Inclusive Development for Remote Adjunct Faculty in Higher Education, pp. 1 - 333, DOI: 10.4018/978-1-7998-6758-6</w:t>
            </w:r>
          </w:p>
        </w:tc>
      </w:tr>
      <w:tr w:rsidR="00C4329A" w:rsidRPr="004C10DC" w14:paraId="369F6CCB" w14:textId="77777777" w:rsidTr="00C4329A">
        <w:trPr>
          <w:cantSplit/>
        </w:trPr>
        <w:tc>
          <w:tcPr>
            <w:tcW w:w="297" w:type="pct"/>
            <w:vAlign w:val="center"/>
          </w:tcPr>
          <w:p w14:paraId="2CFCDBAD" w14:textId="77777777" w:rsidR="009F6AC8" w:rsidRPr="008C72E5" w:rsidRDefault="009F6AC8" w:rsidP="00B558B7">
            <w:pPr>
              <w:pStyle w:val="TekstTabeli"/>
            </w:pPr>
            <w:r w:rsidRPr="008C72E5">
              <w:t>371</w:t>
            </w:r>
          </w:p>
        </w:tc>
        <w:tc>
          <w:tcPr>
            <w:tcW w:w="880" w:type="pct"/>
            <w:vAlign w:val="center"/>
          </w:tcPr>
          <w:p w14:paraId="7B8433F7" w14:textId="01513356" w:rsidR="009F6AC8" w:rsidRPr="00D82766" w:rsidRDefault="009F6AC8" w:rsidP="00B558B7">
            <w:pPr>
              <w:pStyle w:val="TekstTabeli"/>
              <w:rPr>
                <w:lang w:val="pl-PL"/>
              </w:rPr>
            </w:pPr>
            <w:proofErr w:type="spellStart"/>
            <w:r w:rsidRPr="00D82766">
              <w:rPr>
                <w:lang w:val="pl-PL"/>
              </w:rPr>
              <w:t>Olefirenko</w:t>
            </w:r>
            <w:proofErr w:type="spellEnd"/>
            <w:r w:rsidRPr="00D82766">
              <w:rPr>
                <w:lang w:val="pl-PL"/>
              </w:rPr>
              <w:t xml:space="preserve"> T.O., </w:t>
            </w:r>
            <w:proofErr w:type="spellStart"/>
            <w:r w:rsidRPr="00D82766">
              <w:rPr>
                <w:lang w:val="pl-PL"/>
              </w:rPr>
              <w:t>Bobrytska</w:t>
            </w:r>
            <w:proofErr w:type="spellEnd"/>
            <w:r w:rsidRPr="00D82766">
              <w:rPr>
                <w:lang w:val="pl-PL"/>
              </w:rPr>
              <w:t xml:space="preserve"> V.I., </w:t>
            </w:r>
            <w:r w:rsidR="00513290" w:rsidRPr="00D82766">
              <w:rPr>
                <w:lang w:val="pl-PL"/>
              </w:rPr>
              <w:t>i in.</w:t>
            </w:r>
          </w:p>
        </w:tc>
        <w:tc>
          <w:tcPr>
            <w:tcW w:w="1771" w:type="pct"/>
            <w:vAlign w:val="center"/>
          </w:tcPr>
          <w:p w14:paraId="19CA8CCF" w14:textId="77777777" w:rsidR="009F6AC8" w:rsidRPr="008C72E5" w:rsidRDefault="009F6AC8" w:rsidP="00B558B7">
            <w:pPr>
              <w:pStyle w:val="TekstTabeli"/>
            </w:pPr>
            <w:r w:rsidRPr="008C72E5">
              <w:t>Involving University stakeholders in upgrading the fostering of students’ readiness to embark on a career</w:t>
            </w:r>
          </w:p>
        </w:tc>
        <w:tc>
          <w:tcPr>
            <w:tcW w:w="2052" w:type="pct"/>
            <w:vAlign w:val="center"/>
          </w:tcPr>
          <w:p w14:paraId="0A88A144" w14:textId="77777777" w:rsidR="009F6AC8" w:rsidRPr="008C72E5" w:rsidRDefault="009F6AC8" w:rsidP="00B558B7">
            <w:pPr>
              <w:pStyle w:val="TekstTabeli"/>
            </w:pPr>
            <w:r w:rsidRPr="008C72E5">
              <w:t>(2021) International Journal of Learning, Teaching and Educational Research, 20 (4), pp. 170 - 189, DOI: 10.26803/ijlter.20.4.10</w:t>
            </w:r>
          </w:p>
        </w:tc>
      </w:tr>
      <w:tr w:rsidR="00C4329A" w:rsidRPr="004C10DC" w14:paraId="0B753718" w14:textId="77777777" w:rsidTr="00C4329A">
        <w:trPr>
          <w:cantSplit/>
        </w:trPr>
        <w:tc>
          <w:tcPr>
            <w:tcW w:w="297" w:type="pct"/>
            <w:vAlign w:val="center"/>
          </w:tcPr>
          <w:p w14:paraId="1D1D7F57" w14:textId="77777777" w:rsidR="009F6AC8" w:rsidRPr="008C72E5" w:rsidRDefault="009F6AC8" w:rsidP="00B558B7">
            <w:pPr>
              <w:pStyle w:val="TekstTabeli"/>
            </w:pPr>
            <w:r w:rsidRPr="008C72E5">
              <w:t>372</w:t>
            </w:r>
          </w:p>
        </w:tc>
        <w:tc>
          <w:tcPr>
            <w:tcW w:w="880" w:type="pct"/>
            <w:vAlign w:val="center"/>
          </w:tcPr>
          <w:p w14:paraId="0FAAED0C" w14:textId="6F4A90AE" w:rsidR="009F6AC8" w:rsidRPr="00D82766" w:rsidRDefault="009F6AC8" w:rsidP="00B558B7">
            <w:pPr>
              <w:pStyle w:val="TekstTabeli"/>
              <w:rPr>
                <w:lang w:val="pl-PL"/>
              </w:rPr>
            </w:pPr>
            <w:proofErr w:type="spellStart"/>
            <w:r w:rsidRPr="00D82766">
              <w:rPr>
                <w:lang w:val="pl-PL"/>
              </w:rPr>
              <w:t>Sliż</w:t>
            </w:r>
            <w:proofErr w:type="spellEnd"/>
            <w:r w:rsidRPr="00D82766">
              <w:rPr>
                <w:lang w:val="pl-PL"/>
              </w:rPr>
              <w:t xml:space="preserve"> P., Siciński J., </w:t>
            </w:r>
            <w:r w:rsidR="00513290" w:rsidRPr="00D82766">
              <w:rPr>
                <w:lang w:val="pl-PL"/>
              </w:rPr>
              <w:t>i in.</w:t>
            </w:r>
          </w:p>
        </w:tc>
        <w:tc>
          <w:tcPr>
            <w:tcW w:w="1771" w:type="pct"/>
            <w:vAlign w:val="center"/>
          </w:tcPr>
          <w:p w14:paraId="2B54A0EE" w14:textId="77777777" w:rsidR="009F6AC8" w:rsidRPr="008C72E5" w:rsidRDefault="009F6AC8" w:rsidP="00B558B7">
            <w:pPr>
              <w:pStyle w:val="TekstTabeli"/>
            </w:pPr>
            <w:r w:rsidRPr="008C72E5">
              <w:t>The BPM Governance Supporting Factors and Implementation Barriers – The Experience of a Public University</w:t>
            </w:r>
          </w:p>
        </w:tc>
        <w:tc>
          <w:tcPr>
            <w:tcW w:w="2052" w:type="pct"/>
            <w:vAlign w:val="center"/>
          </w:tcPr>
          <w:p w14:paraId="68AE8D72" w14:textId="77777777" w:rsidR="009F6AC8" w:rsidRPr="008C72E5" w:rsidRDefault="009F6AC8" w:rsidP="00B558B7">
            <w:pPr>
              <w:pStyle w:val="TekstTabeli"/>
            </w:pPr>
            <w:r w:rsidRPr="008C72E5">
              <w:t>(2022) Lecture Notes in Business Information Processing, 436 LNBIP, pp. 153 - 165, DOI: 10.1007/978-3-030-94343-1_12</w:t>
            </w:r>
          </w:p>
        </w:tc>
      </w:tr>
      <w:tr w:rsidR="00C4329A" w:rsidRPr="004C10DC" w14:paraId="5EAD7465" w14:textId="77777777" w:rsidTr="00C4329A">
        <w:trPr>
          <w:cantSplit/>
        </w:trPr>
        <w:tc>
          <w:tcPr>
            <w:tcW w:w="297" w:type="pct"/>
            <w:vAlign w:val="center"/>
          </w:tcPr>
          <w:p w14:paraId="2ACF3DAE" w14:textId="77777777" w:rsidR="009F6AC8" w:rsidRPr="008C72E5" w:rsidRDefault="009F6AC8" w:rsidP="00B558B7">
            <w:pPr>
              <w:pStyle w:val="TekstTabeli"/>
            </w:pPr>
            <w:r w:rsidRPr="008C72E5">
              <w:t>373</w:t>
            </w:r>
          </w:p>
        </w:tc>
        <w:tc>
          <w:tcPr>
            <w:tcW w:w="880" w:type="pct"/>
            <w:vAlign w:val="center"/>
          </w:tcPr>
          <w:p w14:paraId="6B7E0B42" w14:textId="77777777" w:rsidR="009F6AC8" w:rsidRPr="008C72E5" w:rsidRDefault="009F6AC8" w:rsidP="00B558B7">
            <w:pPr>
              <w:pStyle w:val="TekstTabeli"/>
            </w:pPr>
            <w:r w:rsidRPr="008C72E5">
              <w:t>Melton Jr. J.H., Miller R.E., Kumar A.</w:t>
            </w:r>
          </w:p>
        </w:tc>
        <w:tc>
          <w:tcPr>
            <w:tcW w:w="1771" w:type="pct"/>
            <w:vAlign w:val="center"/>
          </w:tcPr>
          <w:p w14:paraId="5D82D504" w14:textId="77777777" w:rsidR="009F6AC8" w:rsidRPr="008C72E5" w:rsidRDefault="009F6AC8" w:rsidP="00B558B7">
            <w:pPr>
              <w:pStyle w:val="TekstTabeli"/>
            </w:pPr>
            <w:r w:rsidRPr="008C72E5">
              <w:t>(Un)bundled services: A stakeholders' framework for understanding the impact of MOOC-like, third-party online courses</w:t>
            </w:r>
          </w:p>
        </w:tc>
        <w:tc>
          <w:tcPr>
            <w:tcW w:w="2052" w:type="pct"/>
            <w:vAlign w:val="center"/>
          </w:tcPr>
          <w:p w14:paraId="7F32E5F9" w14:textId="77777777" w:rsidR="009F6AC8" w:rsidRPr="008C72E5" w:rsidRDefault="009F6AC8" w:rsidP="00B558B7">
            <w:pPr>
              <w:pStyle w:val="TekstTabeli"/>
            </w:pPr>
            <w:r w:rsidRPr="008C72E5">
              <w:t>(2014) Proceedings of the Annual Hawaii International Conference on System Sciences, art. no. 6759207, pp. 4922 - 4931, DOI: 10.1109/HICSS.2014.604</w:t>
            </w:r>
          </w:p>
        </w:tc>
      </w:tr>
      <w:tr w:rsidR="00C4329A" w:rsidRPr="004C10DC" w14:paraId="77A086C2" w14:textId="77777777" w:rsidTr="00C4329A">
        <w:trPr>
          <w:cantSplit/>
        </w:trPr>
        <w:tc>
          <w:tcPr>
            <w:tcW w:w="297" w:type="pct"/>
            <w:vAlign w:val="center"/>
          </w:tcPr>
          <w:p w14:paraId="3F57391B" w14:textId="77777777" w:rsidR="009F6AC8" w:rsidRPr="008C72E5" w:rsidRDefault="009F6AC8" w:rsidP="00B558B7">
            <w:pPr>
              <w:pStyle w:val="TekstTabeli"/>
            </w:pPr>
            <w:r w:rsidRPr="008C72E5">
              <w:t>374</w:t>
            </w:r>
          </w:p>
        </w:tc>
        <w:tc>
          <w:tcPr>
            <w:tcW w:w="880" w:type="pct"/>
            <w:vAlign w:val="center"/>
          </w:tcPr>
          <w:p w14:paraId="1036A8AA" w14:textId="22F02BC6" w:rsidR="009F6AC8" w:rsidRPr="008C72E5" w:rsidRDefault="009F6AC8" w:rsidP="00B558B7">
            <w:pPr>
              <w:pStyle w:val="TekstTabeli"/>
            </w:pPr>
            <w:r w:rsidRPr="008C72E5">
              <w:t xml:space="preserve">Miller K., Moffett S., </w:t>
            </w:r>
            <w:proofErr w:type="spellStart"/>
            <w:r w:rsidR="00513290" w:rsidRPr="008C72E5">
              <w:t>i</w:t>
            </w:r>
            <w:proofErr w:type="spellEnd"/>
            <w:r w:rsidR="00513290" w:rsidRPr="008C72E5">
              <w:t> in.</w:t>
            </w:r>
          </w:p>
        </w:tc>
        <w:tc>
          <w:tcPr>
            <w:tcW w:w="1771" w:type="pct"/>
            <w:vAlign w:val="center"/>
          </w:tcPr>
          <w:p w14:paraId="1BF12BCC" w14:textId="77777777" w:rsidR="009F6AC8" w:rsidRPr="008C72E5" w:rsidRDefault="009F6AC8" w:rsidP="00B558B7">
            <w:pPr>
              <w:pStyle w:val="TekstTabeli"/>
            </w:pPr>
            <w:r w:rsidRPr="008C72E5">
              <w:t xml:space="preserve">Intellectual capital: A valuable resource for university technology </w:t>
            </w:r>
            <w:proofErr w:type="spellStart"/>
            <w:r w:rsidRPr="008C72E5">
              <w:t>commercialisation</w:t>
            </w:r>
            <w:proofErr w:type="spellEnd"/>
            <w:r w:rsidRPr="008C72E5">
              <w:t>?</w:t>
            </w:r>
          </w:p>
        </w:tc>
        <w:tc>
          <w:tcPr>
            <w:tcW w:w="2052" w:type="pct"/>
            <w:vAlign w:val="center"/>
          </w:tcPr>
          <w:p w14:paraId="0E29E0C4" w14:textId="77777777" w:rsidR="009F6AC8" w:rsidRPr="008C72E5" w:rsidRDefault="009F6AC8" w:rsidP="00B558B7">
            <w:pPr>
              <w:pStyle w:val="TekstTabeli"/>
            </w:pPr>
            <w:r w:rsidRPr="008C72E5">
              <w:t>(2013) Proceedings of the European Conference on Knowledge Management, ECKM, 1, pp. 429 - 437, 0</w:t>
            </w:r>
          </w:p>
        </w:tc>
      </w:tr>
      <w:tr w:rsidR="00C4329A" w:rsidRPr="004C10DC" w14:paraId="6308936C" w14:textId="77777777" w:rsidTr="00C4329A">
        <w:trPr>
          <w:cantSplit/>
        </w:trPr>
        <w:tc>
          <w:tcPr>
            <w:tcW w:w="297" w:type="pct"/>
            <w:vAlign w:val="center"/>
          </w:tcPr>
          <w:p w14:paraId="645EAC39" w14:textId="77777777" w:rsidR="009F6AC8" w:rsidRPr="008C72E5" w:rsidRDefault="009F6AC8" w:rsidP="00B558B7">
            <w:pPr>
              <w:pStyle w:val="TekstTabeli"/>
            </w:pPr>
            <w:r w:rsidRPr="008C72E5">
              <w:t>375</w:t>
            </w:r>
          </w:p>
        </w:tc>
        <w:tc>
          <w:tcPr>
            <w:tcW w:w="880" w:type="pct"/>
            <w:vAlign w:val="center"/>
          </w:tcPr>
          <w:p w14:paraId="1F01E857" w14:textId="77777777" w:rsidR="009F6AC8" w:rsidRPr="008C72E5" w:rsidRDefault="009F6AC8" w:rsidP="00B558B7">
            <w:pPr>
              <w:pStyle w:val="TekstTabeli"/>
            </w:pPr>
            <w:proofErr w:type="spellStart"/>
            <w:r w:rsidRPr="008C72E5">
              <w:t>Alsyouf</w:t>
            </w:r>
            <w:proofErr w:type="spellEnd"/>
            <w:r w:rsidRPr="008C72E5">
              <w:t xml:space="preserve"> I.</w:t>
            </w:r>
          </w:p>
        </w:tc>
        <w:tc>
          <w:tcPr>
            <w:tcW w:w="1771" w:type="pct"/>
            <w:vAlign w:val="center"/>
          </w:tcPr>
          <w:p w14:paraId="273B1F15" w14:textId="77777777" w:rsidR="009F6AC8" w:rsidRPr="008C72E5" w:rsidRDefault="009F6AC8" w:rsidP="00B558B7">
            <w:pPr>
              <w:pStyle w:val="TekstTabeli"/>
            </w:pPr>
            <w:r w:rsidRPr="008C72E5">
              <w:t xml:space="preserve">Sustainability circles the way to </w:t>
            </w:r>
            <w:proofErr w:type="spellStart"/>
            <w:r w:rsidRPr="008C72E5">
              <w:t>sustainbility</w:t>
            </w:r>
            <w:proofErr w:type="spellEnd"/>
            <w:r w:rsidRPr="008C72E5">
              <w:t xml:space="preserve"> excellence in institutions of higher education</w:t>
            </w:r>
          </w:p>
        </w:tc>
        <w:tc>
          <w:tcPr>
            <w:tcW w:w="2052" w:type="pct"/>
            <w:vAlign w:val="center"/>
          </w:tcPr>
          <w:p w14:paraId="22243B6D" w14:textId="77777777" w:rsidR="009F6AC8" w:rsidRPr="008C72E5" w:rsidRDefault="009F6AC8" w:rsidP="00B558B7">
            <w:pPr>
              <w:pStyle w:val="TekstTabeli"/>
            </w:pPr>
            <w:r w:rsidRPr="008C72E5">
              <w:t>(2020) 2020 Advances in Science and Engineering Technology International Conferences, ASET 2020, art. no. 9118314, DOI: 10.1109/ASET48392.2020.9118314</w:t>
            </w:r>
          </w:p>
        </w:tc>
      </w:tr>
      <w:tr w:rsidR="00C4329A" w:rsidRPr="004C10DC" w14:paraId="6E187771" w14:textId="77777777" w:rsidTr="00C4329A">
        <w:trPr>
          <w:cantSplit/>
        </w:trPr>
        <w:tc>
          <w:tcPr>
            <w:tcW w:w="297" w:type="pct"/>
            <w:vAlign w:val="center"/>
          </w:tcPr>
          <w:p w14:paraId="5B0C735E" w14:textId="77777777" w:rsidR="009F6AC8" w:rsidRPr="008C72E5" w:rsidRDefault="009F6AC8" w:rsidP="00B558B7">
            <w:pPr>
              <w:pStyle w:val="TekstTabeli"/>
            </w:pPr>
            <w:r w:rsidRPr="008C72E5">
              <w:t>376</w:t>
            </w:r>
          </w:p>
        </w:tc>
        <w:tc>
          <w:tcPr>
            <w:tcW w:w="880" w:type="pct"/>
            <w:vAlign w:val="center"/>
          </w:tcPr>
          <w:p w14:paraId="07B2D4E3" w14:textId="7399FCE5" w:rsidR="009F6AC8" w:rsidRPr="008C72E5" w:rsidRDefault="009F6AC8" w:rsidP="00B558B7">
            <w:pPr>
              <w:pStyle w:val="TekstTabeli"/>
            </w:pPr>
            <w:r w:rsidRPr="008C72E5">
              <w:t xml:space="preserve">Bulut-Sahin B., Emil S., </w:t>
            </w:r>
            <w:proofErr w:type="spellStart"/>
            <w:r w:rsidR="00513290" w:rsidRPr="008C72E5">
              <w:t>i</w:t>
            </w:r>
            <w:proofErr w:type="spellEnd"/>
            <w:r w:rsidR="00513290" w:rsidRPr="008C72E5">
              <w:t> in.</w:t>
            </w:r>
          </w:p>
        </w:tc>
        <w:tc>
          <w:tcPr>
            <w:tcW w:w="1771" w:type="pct"/>
            <w:vAlign w:val="center"/>
          </w:tcPr>
          <w:p w14:paraId="729DC5FA" w14:textId="77777777" w:rsidR="009F6AC8" w:rsidRPr="008C72E5" w:rsidRDefault="009F6AC8" w:rsidP="00B558B7">
            <w:pPr>
              <w:pStyle w:val="TekstTabeli"/>
            </w:pPr>
            <w:r w:rsidRPr="008C72E5">
              <w:t>Strategic management of internationalization in higher education institutions: the lens of international office professionals</w:t>
            </w:r>
          </w:p>
        </w:tc>
        <w:tc>
          <w:tcPr>
            <w:tcW w:w="2052" w:type="pct"/>
            <w:vAlign w:val="center"/>
          </w:tcPr>
          <w:p w14:paraId="29C10CE5" w14:textId="77777777" w:rsidR="009F6AC8" w:rsidRPr="008C72E5" w:rsidRDefault="009F6AC8" w:rsidP="00B558B7">
            <w:pPr>
              <w:pStyle w:val="TekstTabeli"/>
            </w:pPr>
            <w:r w:rsidRPr="008C72E5">
              <w:t>(2023) Tertiary Education and Management, DOI: 10.1007/s11233-023-09121-2</w:t>
            </w:r>
          </w:p>
        </w:tc>
      </w:tr>
      <w:tr w:rsidR="00C4329A" w:rsidRPr="008C72E5" w14:paraId="502D1B47" w14:textId="77777777" w:rsidTr="00C4329A">
        <w:trPr>
          <w:cantSplit/>
        </w:trPr>
        <w:tc>
          <w:tcPr>
            <w:tcW w:w="297" w:type="pct"/>
            <w:vAlign w:val="center"/>
          </w:tcPr>
          <w:p w14:paraId="3BAB2A7A" w14:textId="77777777" w:rsidR="009F6AC8" w:rsidRPr="008C72E5" w:rsidRDefault="009F6AC8" w:rsidP="00B558B7">
            <w:pPr>
              <w:pStyle w:val="TekstTabeli"/>
            </w:pPr>
            <w:r w:rsidRPr="008C72E5">
              <w:t>377</w:t>
            </w:r>
          </w:p>
        </w:tc>
        <w:tc>
          <w:tcPr>
            <w:tcW w:w="880" w:type="pct"/>
            <w:vAlign w:val="center"/>
          </w:tcPr>
          <w:p w14:paraId="3089710C" w14:textId="77777777" w:rsidR="009F6AC8" w:rsidRPr="008C72E5" w:rsidRDefault="009F6AC8" w:rsidP="00B558B7">
            <w:pPr>
              <w:pStyle w:val="TekstTabeli"/>
            </w:pPr>
            <w:r w:rsidRPr="008C72E5">
              <w:t>Isbell D.R., Crowther D., Nishizawa H.</w:t>
            </w:r>
          </w:p>
        </w:tc>
        <w:tc>
          <w:tcPr>
            <w:tcW w:w="1771" w:type="pct"/>
            <w:vAlign w:val="center"/>
          </w:tcPr>
          <w:p w14:paraId="23C2B453" w14:textId="77777777" w:rsidR="009F6AC8" w:rsidRPr="008C72E5" w:rsidRDefault="009F6AC8" w:rsidP="00B558B7">
            <w:pPr>
              <w:pStyle w:val="TekstTabeli"/>
            </w:pPr>
            <w:r w:rsidRPr="008C72E5">
              <w:t>Speaking performances, stakeholder perceptions, and test scores: Extrapolating from the Duolingo English test to the university</w:t>
            </w:r>
          </w:p>
        </w:tc>
        <w:tc>
          <w:tcPr>
            <w:tcW w:w="2052" w:type="pct"/>
            <w:vAlign w:val="center"/>
          </w:tcPr>
          <w:p w14:paraId="7F8C9B41" w14:textId="77777777" w:rsidR="009F6AC8" w:rsidRPr="008C72E5" w:rsidRDefault="009F6AC8" w:rsidP="00B558B7">
            <w:pPr>
              <w:pStyle w:val="TekstTabeli"/>
            </w:pPr>
            <w:r w:rsidRPr="008C72E5">
              <w:t>(2023) Language Testing, DOI: 10.1177/02655322231165984</w:t>
            </w:r>
          </w:p>
        </w:tc>
      </w:tr>
      <w:tr w:rsidR="00C4329A" w:rsidRPr="004C10DC" w14:paraId="652D935D" w14:textId="77777777" w:rsidTr="00C4329A">
        <w:trPr>
          <w:cantSplit/>
        </w:trPr>
        <w:tc>
          <w:tcPr>
            <w:tcW w:w="297" w:type="pct"/>
            <w:vAlign w:val="center"/>
          </w:tcPr>
          <w:p w14:paraId="6D7C46A3" w14:textId="77777777" w:rsidR="009F6AC8" w:rsidRPr="008C72E5" w:rsidRDefault="009F6AC8" w:rsidP="00B558B7">
            <w:pPr>
              <w:pStyle w:val="TekstTabeli"/>
            </w:pPr>
            <w:r w:rsidRPr="008C72E5">
              <w:lastRenderedPageBreak/>
              <w:t>378</w:t>
            </w:r>
          </w:p>
        </w:tc>
        <w:tc>
          <w:tcPr>
            <w:tcW w:w="880" w:type="pct"/>
            <w:vAlign w:val="center"/>
          </w:tcPr>
          <w:p w14:paraId="53AEBEDE" w14:textId="77777777" w:rsidR="009F6AC8" w:rsidRPr="008C72E5" w:rsidRDefault="009F6AC8" w:rsidP="00B558B7">
            <w:pPr>
              <w:pStyle w:val="TekstTabeli"/>
            </w:pPr>
            <w:r w:rsidRPr="008C72E5">
              <w:t>Ferreira F., Santos B.S., Marques B., Dias P.</w:t>
            </w:r>
          </w:p>
        </w:tc>
        <w:tc>
          <w:tcPr>
            <w:tcW w:w="1771" w:type="pct"/>
            <w:vAlign w:val="center"/>
          </w:tcPr>
          <w:p w14:paraId="71DD3AF7" w14:textId="77777777" w:rsidR="009F6AC8" w:rsidRPr="008C72E5" w:rsidRDefault="009F6AC8" w:rsidP="00B558B7">
            <w:pPr>
              <w:pStyle w:val="TekstTabeli"/>
            </w:pPr>
            <w:proofErr w:type="spellStart"/>
            <w:r w:rsidRPr="008C72E5">
              <w:t>FICAvis</w:t>
            </w:r>
            <w:proofErr w:type="spellEnd"/>
            <w:r w:rsidRPr="008C72E5">
              <w:t>: Data Visualization to Prevent University Dropout</w:t>
            </w:r>
          </w:p>
        </w:tc>
        <w:tc>
          <w:tcPr>
            <w:tcW w:w="2052" w:type="pct"/>
            <w:vAlign w:val="center"/>
          </w:tcPr>
          <w:p w14:paraId="4F2BFA49" w14:textId="77777777" w:rsidR="009F6AC8" w:rsidRPr="008C72E5" w:rsidRDefault="009F6AC8" w:rsidP="00B558B7">
            <w:pPr>
              <w:pStyle w:val="TekstTabeli"/>
            </w:pPr>
            <w:r w:rsidRPr="008C72E5">
              <w:t xml:space="preserve">(2020) Proceedings of the International Conference on Information </w:t>
            </w:r>
            <w:proofErr w:type="spellStart"/>
            <w:r w:rsidRPr="008C72E5">
              <w:t>Visualisation</w:t>
            </w:r>
            <w:proofErr w:type="spellEnd"/>
            <w:r w:rsidRPr="008C72E5">
              <w:t>, 2020-September, art. no. 9373290, pp. 57 - 62, DOI: 10.1109/IV51561.2020.00034</w:t>
            </w:r>
          </w:p>
        </w:tc>
      </w:tr>
      <w:tr w:rsidR="00C4329A" w:rsidRPr="004C10DC" w14:paraId="3A01E968" w14:textId="77777777" w:rsidTr="00C4329A">
        <w:trPr>
          <w:cantSplit/>
        </w:trPr>
        <w:tc>
          <w:tcPr>
            <w:tcW w:w="297" w:type="pct"/>
            <w:vAlign w:val="center"/>
          </w:tcPr>
          <w:p w14:paraId="207B569D" w14:textId="77777777" w:rsidR="009F6AC8" w:rsidRPr="008C72E5" w:rsidRDefault="009F6AC8" w:rsidP="00B558B7">
            <w:pPr>
              <w:pStyle w:val="TekstTabeli"/>
            </w:pPr>
            <w:r w:rsidRPr="008C72E5">
              <w:t>379</w:t>
            </w:r>
          </w:p>
        </w:tc>
        <w:tc>
          <w:tcPr>
            <w:tcW w:w="880" w:type="pct"/>
            <w:vAlign w:val="center"/>
          </w:tcPr>
          <w:p w14:paraId="36B69A3B" w14:textId="77777777" w:rsidR="009F6AC8" w:rsidRPr="008C72E5" w:rsidRDefault="009F6AC8" w:rsidP="00B558B7">
            <w:pPr>
              <w:pStyle w:val="TekstTabeli"/>
            </w:pPr>
            <w:r w:rsidRPr="008C72E5">
              <w:t>Defensor M.C.</w:t>
            </w:r>
          </w:p>
        </w:tc>
        <w:tc>
          <w:tcPr>
            <w:tcW w:w="1771" w:type="pct"/>
            <w:vAlign w:val="center"/>
          </w:tcPr>
          <w:p w14:paraId="16479111" w14:textId="77777777" w:rsidR="009F6AC8" w:rsidRPr="008C72E5" w:rsidRDefault="009F6AC8" w:rsidP="00B558B7">
            <w:pPr>
              <w:pStyle w:val="TekstTabeli"/>
            </w:pPr>
            <w:r w:rsidRPr="008C72E5">
              <w:t>Perceived Satisfaction of Prince Sultan University Graduates and Faculty from Health and Physical Education Program (HPEP)</w:t>
            </w:r>
          </w:p>
        </w:tc>
        <w:tc>
          <w:tcPr>
            <w:tcW w:w="2052" w:type="pct"/>
            <w:vAlign w:val="center"/>
          </w:tcPr>
          <w:p w14:paraId="52950587" w14:textId="77777777" w:rsidR="009F6AC8" w:rsidRPr="008C72E5" w:rsidRDefault="009F6AC8" w:rsidP="00B558B7">
            <w:pPr>
              <w:pStyle w:val="TekstTabeli"/>
            </w:pPr>
            <w:r w:rsidRPr="008C72E5">
              <w:t>(2022) International Journal of Human Movement and Sports Sciences, 10 (2), pp. 207 - 216, DOI: 10.13189/saj.2022.100211</w:t>
            </w:r>
          </w:p>
        </w:tc>
      </w:tr>
      <w:tr w:rsidR="00C4329A" w:rsidRPr="004C10DC" w14:paraId="6254E7B4" w14:textId="77777777" w:rsidTr="00C4329A">
        <w:trPr>
          <w:cantSplit/>
        </w:trPr>
        <w:tc>
          <w:tcPr>
            <w:tcW w:w="297" w:type="pct"/>
            <w:vAlign w:val="center"/>
          </w:tcPr>
          <w:p w14:paraId="7663FAB1" w14:textId="77777777" w:rsidR="009F6AC8" w:rsidRPr="008C72E5" w:rsidRDefault="009F6AC8" w:rsidP="00B558B7">
            <w:pPr>
              <w:pStyle w:val="TekstTabeli"/>
            </w:pPr>
            <w:r w:rsidRPr="008C72E5">
              <w:t>380</w:t>
            </w:r>
          </w:p>
        </w:tc>
        <w:tc>
          <w:tcPr>
            <w:tcW w:w="880" w:type="pct"/>
            <w:vAlign w:val="center"/>
          </w:tcPr>
          <w:p w14:paraId="7495562D" w14:textId="77777777" w:rsidR="009F6AC8" w:rsidRPr="008C72E5" w:rsidRDefault="009F6AC8" w:rsidP="00B558B7">
            <w:pPr>
              <w:pStyle w:val="TekstTabeli"/>
            </w:pPr>
            <w:r w:rsidRPr="008C72E5">
              <w:t>Olave-Encina K.</w:t>
            </w:r>
          </w:p>
        </w:tc>
        <w:tc>
          <w:tcPr>
            <w:tcW w:w="1771" w:type="pct"/>
            <w:vAlign w:val="center"/>
          </w:tcPr>
          <w:p w14:paraId="2018028C" w14:textId="77777777" w:rsidR="009F6AC8" w:rsidRPr="008C72E5" w:rsidRDefault="009F6AC8" w:rsidP="00B558B7">
            <w:pPr>
              <w:pStyle w:val="TekstTabeli"/>
            </w:pPr>
            <w:r w:rsidRPr="008C72E5">
              <w:t>Experiences of an international student with a visual disability making sense of assessment and feedback</w:t>
            </w:r>
          </w:p>
        </w:tc>
        <w:tc>
          <w:tcPr>
            <w:tcW w:w="2052" w:type="pct"/>
            <w:vAlign w:val="center"/>
          </w:tcPr>
          <w:p w14:paraId="5426749F" w14:textId="77777777" w:rsidR="009F6AC8" w:rsidRPr="008C72E5" w:rsidRDefault="009F6AC8" w:rsidP="00B558B7">
            <w:pPr>
              <w:pStyle w:val="TekstTabeli"/>
            </w:pPr>
            <w:r w:rsidRPr="008C72E5">
              <w:t>(2022) International Journal of Inclusive Education, 26 (5), pp. 466 - 479, DOI: 10.1080/13603116.2019.1698063</w:t>
            </w:r>
          </w:p>
        </w:tc>
      </w:tr>
      <w:tr w:rsidR="00C4329A" w:rsidRPr="004C10DC" w14:paraId="2E5231FA" w14:textId="77777777" w:rsidTr="00C4329A">
        <w:trPr>
          <w:cantSplit/>
        </w:trPr>
        <w:tc>
          <w:tcPr>
            <w:tcW w:w="297" w:type="pct"/>
            <w:vAlign w:val="center"/>
          </w:tcPr>
          <w:p w14:paraId="6E49CC77" w14:textId="77777777" w:rsidR="009F6AC8" w:rsidRPr="008C72E5" w:rsidRDefault="009F6AC8" w:rsidP="00B558B7">
            <w:pPr>
              <w:pStyle w:val="TekstTabeli"/>
            </w:pPr>
            <w:r w:rsidRPr="008C72E5">
              <w:t>381</w:t>
            </w:r>
          </w:p>
        </w:tc>
        <w:tc>
          <w:tcPr>
            <w:tcW w:w="880" w:type="pct"/>
            <w:vAlign w:val="center"/>
          </w:tcPr>
          <w:p w14:paraId="2035D689" w14:textId="429ABFE1" w:rsidR="009F6AC8" w:rsidRPr="008C72E5" w:rsidRDefault="009F6AC8" w:rsidP="00B558B7">
            <w:pPr>
              <w:pStyle w:val="TekstTabeli"/>
            </w:pPr>
            <w:r w:rsidRPr="008C72E5">
              <w:t xml:space="preserve">Patel R.K., </w:t>
            </w:r>
            <w:proofErr w:type="spellStart"/>
            <w:r w:rsidRPr="008C72E5">
              <w:t>Pamidimukkala</w:t>
            </w:r>
            <w:proofErr w:type="spellEnd"/>
            <w:r w:rsidRPr="008C72E5">
              <w:t xml:space="preserve"> A., </w:t>
            </w:r>
            <w:proofErr w:type="spellStart"/>
            <w:r w:rsidR="00513290" w:rsidRPr="008C72E5">
              <w:t>i</w:t>
            </w:r>
            <w:proofErr w:type="spellEnd"/>
            <w:r w:rsidR="00513290" w:rsidRPr="008C72E5">
              <w:t> in.</w:t>
            </w:r>
          </w:p>
        </w:tc>
        <w:tc>
          <w:tcPr>
            <w:tcW w:w="1771" w:type="pct"/>
            <w:vAlign w:val="center"/>
          </w:tcPr>
          <w:p w14:paraId="4C740F6C" w14:textId="77777777" w:rsidR="009F6AC8" w:rsidRPr="008C72E5" w:rsidRDefault="009F6AC8" w:rsidP="00B558B7">
            <w:pPr>
              <w:pStyle w:val="TekstTabeli"/>
            </w:pPr>
            <w:r w:rsidRPr="008C72E5">
              <w:t>Disaster Preparedness and Awareness among University Students: A Structural Equation Analysis</w:t>
            </w:r>
          </w:p>
        </w:tc>
        <w:tc>
          <w:tcPr>
            <w:tcW w:w="2052" w:type="pct"/>
            <w:vAlign w:val="center"/>
          </w:tcPr>
          <w:p w14:paraId="1B809148" w14:textId="77777777" w:rsidR="009F6AC8" w:rsidRPr="008C72E5" w:rsidRDefault="009F6AC8" w:rsidP="00B558B7">
            <w:pPr>
              <w:pStyle w:val="TekstTabeli"/>
            </w:pPr>
            <w:r w:rsidRPr="008C72E5">
              <w:t>(2023) International Journal of Environmental Research and Public Health, 20 (5), art. no. 4447, DOI: 10.3390/ijerph20054447</w:t>
            </w:r>
          </w:p>
        </w:tc>
      </w:tr>
      <w:tr w:rsidR="00C4329A" w:rsidRPr="004C10DC" w14:paraId="69FE01E3" w14:textId="77777777" w:rsidTr="00C4329A">
        <w:trPr>
          <w:cantSplit/>
        </w:trPr>
        <w:tc>
          <w:tcPr>
            <w:tcW w:w="297" w:type="pct"/>
            <w:vAlign w:val="center"/>
          </w:tcPr>
          <w:p w14:paraId="22540DDA" w14:textId="77777777" w:rsidR="009F6AC8" w:rsidRPr="008C72E5" w:rsidRDefault="009F6AC8" w:rsidP="00B558B7">
            <w:pPr>
              <w:pStyle w:val="TekstTabeli"/>
            </w:pPr>
            <w:r w:rsidRPr="008C72E5">
              <w:t>382</w:t>
            </w:r>
          </w:p>
        </w:tc>
        <w:tc>
          <w:tcPr>
            <w:tcW w:w="880" w:type="pct"/>
            <w:vAlign w:val="center"/>
          </w:tcPr>
          <w:p w14:paraId="0DA4295C" w14:textId="77777777" w:rsidR="009F6AC8" w:rsidRPr="008C72E5" w:rsidRDefault="009F6AC8" w:rsidP="00B558B7">
            <w:pPr>
              <w:pStyle w:val="TekstTabeli"/>
            </w:pPr>
            <w:r w:rsidRPr="008C72E5">
              <w:t>Heng K., Sol K., Em S.</w:t>
            </w:r>
          </w:p>
        </w:tc>
        <w:tc>
          <w:tcPr>
            <w:tcW w:w="1771" w:type="pct"/>
            <w:vAlign w:val="center"/>
          </w:tcPr>
          <w:p w14:paraId="6DD354A2" w14:textId="77777777" w:rsidR="009F6AC8" w:rsidRPr="008C72E5" w:rsidRDefault="009F6AC8" w:rsidP="00B558B7">
            <w:pPr>
              <w:pStyle w:val="TekstTabeli"/>
            </w:pPr>
            <w:r w:rsidRPr="008C72E5">
              <w:t>COVID-19 and digital transformation of Cambodian Higher Education: Opportunities, challenges, and the way forward</w:t>
            </w:r>
          </w:p>
        </w:tc>
        <w:tc>
          <w:tcPr>
            <w:tcW w:w="2052" w:type="pct"/>
            <w:vAlign w:val="center"/>
          </w:tcPr>
          <w:p w14:paraId="5F62BD1E" w14:textId="77777777" w:rsidR="009F6AC8" w:rsidRPr="008C72E5" w:rsidRDefault="009F6AC8" w:rsidP="00B558B7">
            <w:pPr>
              <w:pStyle w:val="TekstTabeli"/>
            </w:pPr>
            <w:r w:rsidRPr="008C72E5">
              <w:t>(2022) Handbook of Research on Education Institutions, Skills, and Jobs in the Digital Era, pp. 307 - 327, DOI: 10.4018/978-1-6684-5914-0.ch018</w:t>
            </w:r>
          </w:p>
        </w:tc>
      </w:tr>
      <w:tr w:rsidR="00C4329A" w:rsidRPr="004C10DC" w14:paraId="4312A288" w14:textId="77777777" w:rsidTr="00C4329A">
        <w:trPr>
          <w:cantSplit/>
        </w:trPr>
        <w:tc>
          <w:tcPr>
            <w:tcW w:w="297" w:type="pct"/>
            <w:vAlign w:val="center"/>
          </w:tcPr>
          <w:p w14:paraId="509B4113" w14:textId="77777777" w:rsidR="009F6AC8" w:rsidRPr="008C72E5" w:rsidRDefault="009F6AC8" w:rsidP="00B558B7">
            <w:pPr>
              <w:pStyle w:val="TekstTabeli"/>
            </w:pPr>
            <w:r w:rsidRPr="008C72E5">
              <w:t>383</w:t>
            </w:r>
          </w:p>
        </w:tc>
        <w:tc>
          <w:tcPr>
            <w:tcW w:w="880" w:type="pct"/>
            <w:vAlign w:val="center"/>
          </w:tcPr>
          <w:p w14:paraId="6F1C470C" w14:textId="491ADAA7" w:rsidR="009F6AC8" w:rsidRPr="008C72E5" w:rsidRDefault="009F6AC8" w:rsidP="00B558B7">
            <w:pPr>
              <w:pStyle w:val="TekstTabeli"/>
            </w:pPr>
            <w:r w:rsidRPr="008C72E5">
              <w:t xml:space="preserve">Nguyen-Anh T., Nguyen A.T., </w:t>
            </w:r>
            <w:proofErr w:type="spellStart"/>
            <w:r w:rsidR="00513290" w:rsidRPr="008C72E5">
              <w:t>i</w:t>
            </w:r>
            <w:proofErr w:type="spellEnd"/>
            <w:r w:rsidR="00513290" w:rsidRPr="008C72E5">
              <w:t> in.</w:t>
            </w:r>
          </w:p>
        </w:tc>
        <w:tc>
          <w:tcPr>
            <w:tcW w:w="1771" w:type="pct"/>
            <w:vAlign w:val="center"/>
          </w:tcPr>
          <w:p w14:paraId="2ADE8CB3" w14:textId="77777777" w:rsidR="009F6AC8" w:rsidRPr="008C72E5" w:rsidRDefault="009F6AC8" w:rsidP="00B558B7">
            <w:pPr>
              <w:pStyle w:val="TekstTabeli"/>
            </w:pPr>
            <w:r w:rsidRPr="008C72E5">
              <w:t>Digital transformation in higher education from online learning perspective: A comparative study of Singapore and Vietnam</w:t>
            </w:r>
          </w:p>
        </w:tc>
        <w:tc>
          <w:tcPr>
            <w:tcW w:w="2052" w:type="pct"/>
            <w:vAlign w:val="center"/>
          </w:tcPr>
          <w:p w14:paraId="36C873E3" w14:textId="77777777" w:rsidR="009F6AC8" w:rsidRPr="008C72E5" w:rsidRDefault="009F6AC8" w:rsidP="00B558B7">
            <w:pPr>
              <w:pStyle w:val="TekstTabeli"/>
            </w:pPr>
            <w:r w:rsidRPr="008C72E5">
              <w:t>(2023) Policy Futures in Education, 21 (4), pp. 335 - 354, DOI: 10.1177/14782103221124181</w:t>
            </w:r>
          </w:p>
        </w:tc>
      </w:tr>
      <w:tr w:rsidR="00C4329A" w:rsidRPr="004C10DC" w14:paraId="59409AAD" w14:textId="77777777" w:rsidTr="00C4329A">
        <w:trPr>
          <w:cantSplit/>
        </w:trPr>
        <w:tc>
          <w:tcPr>
            <w:tcW w:w="297" w:type="pct"/>
            <w:vAlign w:val="center"/>
          </w:tcPr>
          <w:p w14:paraId="3CF217CB" w14:textId="77777777" w:rsidR="009F6AC8" w:rsidRPr="008C72E5" w:rsidRDefault="009F6AC8" w:rsidP="00B558B7">
            <w:pPr>
              <w:pStyle w:val="TekstTabeli"/>
            </w:pPr>
            <w:r w:rsidRPr="008C72E5">
              <w:t>384</w:t>
            </w:r>
          </w:p>
        </w:tc>
        <w:tc>
          <w:tcPr>
            <w:tcW w:w="880" w:type="pct"/>
            <w:vAlign w:val="center"/>
          </w:tcPr>
          <w:p w14:paraId="2E879F2A" w14:textId="77777777" w:rsidR="009F6AC8" w:rsidRPr="008C72E5" w:rsidRDefault="009F6AC8" w:rsidP="00B558B7">
            <w:pPr>
              <w:pStyle w:val="TekstTabeli"/>
            </w:pPr>
            <w:r w:rsidRPr="008C72E5">
              <w:t>Allen D.E., Shooter S.B.</w:t>
            </w:r>
          </w:p>
        </w:tc>
        <w:tc>
          <w:tcPr>
            <w:tcW w:w="1771" w:type="pct"/>
            <w:vAlign w:val="center"/>
          </w:tcPr>
          <w:p w14:paraId="23F1CEA0" w14:textId="77777777" w:rsidR="009F6AC8" w:rsidRPr="008C72E5" w:rsidRDefault="009F6AC8" w:rsidP="00B558B7">
            <w:pPr>
              <w:pStyle w:val="TekstTabeli"/>
            </w:pPr>
            <w:r w:rsidRPr="008C72E5">
              <w:t>BIG: Uniting the university innovation ecosystem</w:t>
            </w:r>
          </w:p>
        </w:tc>
        <w:tc>
          <w:tcPr>
            <w:tcW w:w="2052" w:type="pct"/>
            <w:vAlign w:val="center"/>
          </w:tcPr>
          <w:p w14:paraId="0E9084BA" w14:textId="77777777" w:rsidR="009F6AC8" w:rsidRPr="008C72E5" w:rsidRDefault="009F6AC8" w:rsidP="00B558B7">
            <w:pPr>
              <w:pStyle w:val="TekstTabeli"/>
            </w:pPr>
            <w:r w:rsidRPr="008C72E5">
              <w:t>(2011) ASEE Annual Conference and Exposition, Conference Proceedings, 0</w:t>
            </w:r>
          </w:p>
        </w:tc>
      </w:tr>
      <w:tr w:rsidR="00C4329A" w:rsidRPr="004C10DC" w14:paraId="5016449A" w14:textId="77777777" w:rsidTr="00C4329A">
        <w:trPr>
          <w:cantSplit/>
        </w:trPr>
        <w:tc>
          <w:tcPr>
            <w:tcW w:w="297" w:type="pct"/>
            <w:vAlign w:val="center"/>
          </w:tcPr>
          <w:p w14:paraId="1E7AC726" w14:textId="77777777" w:rsidR="009F6AC8" w:rsidRPr="008C72E5" w:rsidRDefault="009F6AC8" w:rsidP="00B558B7">
            <w:pPr>
              <w:pStyle w:val="TekstTabeli"/>
            </w:pPr>
            <w:r w:rsidRPr="008C72E5">
              <w:t>385</w:t>
            </w:r>
          </w:p>
        </w:tc>
        <w:tc>
          <w:tcPr>
            <w:tcW w:w="880" w:type="pct"/>
            <w:vAlign w:val="center"/>
          </w:tcPr>
          <w:p w14:paraId="6736D0A6" w14:textId="0A957EE1" w:rsidR="009F6AC8" w:rsidRPr="008C72E5" w:rsidRDefault="009F6AC8" w:rsidP="00B558B7">
            <w:pPr>
              <w:pStyle w:val="TekstTabeli"/>
            </w:pPr>
            <w:r w:rsidRPr="008C72E5">
              <w:t xml:space="preserve">Deraman N.A., Buja A.G., </w:t>
            </w:r>
            <w:proofErr w:type="spellStart"/>
            <w:r w:rsidR="00513290" w:rsidRPr="008C72E5">
              <w:t>i</w:t>
            </w:r>
            <w:proofErr w:type="spellEnd"/>
            <w:r w:rsidR="00513290" w:rsidRPr="008C72E5">
              <w:t> in.</w:t>
            </w:r>
          </w:p>
        </w:tc>
        <w:tc>
          <w:tcPr>
            <w:tcW w:w="1771" w:type="pct"/>
            <w:vAlign w:val="center"/>
          </w:tcPr>
          <w:p w14:paraId="3CEF53F6" w14:textId="77777777" w:rsidR="009F6AC8" w:rsidRPr="008C72E5" w:rsidRDefault="009F6AC8" w:rsidP="00B558B7">
            <w:pPr>
              <w:pStyle w:val="TekstTabeli"/>
            </w:pPr>
            <w:r w:rsidRPr="008C72E5">
              <w:t>Mining social media opinion on online distance learning issues during and after movement control order (MCO) in Malaysia using topic modeling approach</w:t>
            </w:r>
          </w:p>
        </w:tc>
        <w:tc>
          <w:tcPr>
            <w:tcW w:w="2052" w:type="pct"/>
            <w:vAlign w:val="center"/>
          </w:tcPr>
          <w:p w14:paraId="4474CE2C" w14:textId="77777777" w:rsidR="009F6AC8" w:rsidRPr="008C72E5" w:rsidRDefault="009F6AC8" w:rsidP="00B558B7">
            <w:pPr>
              <w:pStyle w:val="TekstTabeli"/>
            </w:pPr>
            <w:r w:rsidRPr="008C72E5">
              <w:t>(2021) International Journal of Advanced Technology and Engineering Exploration, 8 (75), pp. 371 - 381, DOI: 10.19101/IJATEE.2020.762136</w:t>
            </w:r>
          </w:p>
        </w:tc>
      </w:tr>
      <w:tr w:rsidR="00C4329A" w:rsidRPr="004C10DC" w14:paraId="1BAFF695" w14:textId="77777777" w:rsidTr="00C4329A">
        <w:trPr>
          <w:cantSplit/>
        </w:trPr>
        <w:tc>
          <w:tcPr>
            <w:tcW w:w="297" w:type="pct"/>
            <w:vAlign w:val="center"/>
          </w:tcPr>
          <w:p w14:paraId="0152A0E4" w14:textId="77777777" w:rsidR="009F6AC8" w:rsidRPr="008C72E5" w:rsidRDefault="009F6AC8" w:rsidP="00B558B7">
            <w:pPr>
              <w:pStyle w:val="TekstTabeli"/>
            </w:pPr>
            <w:r w:rsidRPr="008C72E5">
              <w:t>386</w:t>
            </w:r>
          </w:p>
        </w:tc>
        <w:tc>
          <w:tcPr>
            <w:tcW w:w="880" w:type="pct"/>
            <w:vAlign w:val="center"/>
          </w:tcPr>
          <w:p w14:paraId="59F2EF3E" w14:textId="6582A38E" w:rsidR="009F6AC8" w:rsidRPr="008C72E5" w:rsidRDefault="009F6AC8" w:rsidP="00B558B7">
            <w:pPr>
              <w:pStyle w:val="TekstTabeli"/>
            </w:pPr>
            <w:proofErr w:type="spellStart"/>
            <w:r w:rsidRPr="008C72E5">
              <w:t>Sangodiah</w:t>
            </w:r>
            <w:proofErr w:type="spellEnd"/>
            <w:r w:rsidRPr="008C72E5">
              <w:t xml:space="preserve"> A., Spr C.R., </w:t>
            </w:r>
            <w:proofErr w:type="spellStart"/>
            <w:r w:rsidR="00513290" w:rsidRPr="008C72E5">
              <w:t>i</w:t>
            </w:r>
            <w:proofErr w:type="spellEnd"/>
            <w:r w:rsidR="00513290" w:rsidRPr="008C72E5">
              <w:t> in.</w:t>
            </w:r>
          </w:p>
        </w:tc>
        <w:tc>
          <w:tcPr>
            <w:tcW w:w="1771" w:type="pct"/>
            <w:vAlign w:val="center"/>
          </w:tcPr>
          <w:p w14:paraId="57D10201" w14:textId="77777777" w:rsidR="009F6AC8" w:rsidRPr="008C72E5" w:rsidRDefault="009F6AC8" w:rsidP="00B558B7">
            <w:pPr>
              <w:pStyle w:val="TekstTabeli"/>
            </w:pPr>
            <w:r w:rsidRPr="008C72E5">
              <w:t>Investigation on Mental Health Well-Being for Students Learning from Home Arrangements Using Clustering Technique</w:t>
            </w:r>
          </w:p>
        </w:tc>
        <w:tc>
          <w:tcPr>
            <w:tcW w:w="2052" w:type="pct"/>
            <w:vAlign w:val="center"/>
          </w:tcPr>
          <w:p w14:paraId="0846B58F" w14:textId="77777777" w:rsidR="009F6AC8" w:rsidRPr="008C72E5" w:rsidRDefault="009F6AC8" w:rsidP="00B558B7">
            <w:pPr>
              <w:pStyle w:val="TekstTabeli"/>
            </w:pPr>
            <w:r w:rsidRPr="008C72E5">
              <w:t>(2021) Lecture Notes in Networks and Systems, 220, pp. 113 - 122, DOI: 10.1007/978-3-030-74605-6_14</w:t>
            </w:r>
          </w:p>
        </w:tc>
      </w:tr>
      <w:tr w:rsidR="00C4329A" w:rsidRPr="004C10DC" w14:paraId="5002EDBF" w14:textId="77777777" w:rsidTr="00C4329A">
        <w:trPr>
          <w:cantSplit/>
        </w:trPr>
        <w:tc>
          <w:tcPr>
            <w:tcW w:w="297" w:type="pct"/>
            <w:vAlign w:val="center"/>
          </w:tcPr>
          <w:p w14:paraId="48937E7B" w14:textId="77777777" w:rsidR="009F6AC8" w:rsidRPr="008C72E5" w:rsidRDefault="009F6AC8" w:rsidP="00B558B7">
            <w:pPr>
              <w:pStyle w:val="TekstTabeli"/>
            </w:pPr>
            <w:r w:rsidRPr="008C72E5">
              <w:t>387</w:t>
            </w:r>
          </w:p>
        </w:tc>
        <w:tc>
          <w:tcPr>
            <w:tcW w:w="880" w:type="pct"/>
            <w:vAlign w:val="center"/>
          </w:tcPr>
          <w:p w14:paraId="5D68120B" w14:textId="77777777" w:rsidR="009F6AC8" w:rsidRPr="008C72E5" w:rsidRDefault="009F6AC8" w:rsidP="00B558B7">
            <w:pPr>
              <w:pStyle w:val="TekstTabeli"/>
            </w:pPr>
            <w:r w:rsidRPr="008C72E5">
              <w:t xml:space="preserve">Pathak B.K., </w:t>
            </w:r>
            <w:proofErr w:type="spellStart"/>
            <w:r w:rsidRPr="008C72E5">
              <w:t>Palvia</w:t>
            </w:r>
            <w:proofErr w:type="spellEnd"/>
            <w:r w:rsidRPr="008C72E5">
              <w:t xml:space="preserve"> S.C.</w:t>
            </w:r>
          </w:p>
        </w:tc>
        <w:tc>
          <w:tcPr>
            <w:tcW w:w="1771" w:type="pct"/>
            <w:vAlign w:val="center"/>
          </w:tcPr>
          <w:p w14:paraId="7C891645" w14:textId="77777777" w:rsidR="009F6AC8" w:rsidRPr="008C72E5" w:rsidRDefault="009F6AC8" w:rsidP="00B558B7">
            <w:pPr>
              <w:pStyle w:val="TekstTabeli"/>
            </w:pPr>
            <w:r w:rsidRPr="008C72E5">
              <w:t>Taxonomy of higher education delivery modes: a conceptual framework</w:t>
            </w:r>
          </w:p>
        </w:tc>
        <w:tc>
          <w:tcPr>
            <w:tcW w:w="2052" w:type="pct"/>
            <w:vAlign w:val="center"/>
          </w:tcPr>
          <w:p w14:paraId="322852F2" w14:textId="77777777" w:rsidR="009F6AC8" w:rsidRPr="008C72E5" w:rsidRDefault="009F6AC8" w:rsidP="00B558B7">
            <w:pPr>
              <w:pStyle w:val="TekstTabeli"/>
            </w:pPr>
            <w:r w:rsidRPr="008C72E5">
              <w:t>(2021) Journal of Information Technology Case and Application Research, 23 (1), pp. 36 - 45, DOI: 10.1080/15228053.2021.1901351</w:t>
            </w:r>
          </w:p>
        </w:tc>
      </w:tr>
      <w:tr w:rsidR="00C4329A" w:rsidRPr="004C10DC" w14:paraId="38612732" w14:textId="77777777" w:rsidTr="00C4329A">
        <w:trPr>
          <w:cantSplit/>
        </w:trPr>
        <w:tc>
          <w:tcPr>
            <w:tcW w:w="297" w:type="pct"/>
            <w:vAlign w:val="center"/>
          </w:tcPr>
          <w:p w14:paraId="1B679E71" w14:textId="77777777" w:rsidR="009F6AC8" w:rsidRPr="008C72E5" w:rsidRDefault="009F6AC8" w:rsidP="00B558B7">
            <w:pPr>
              <w:pStyle w:val="TekstTabeli"/>
            </w:pPr>
            <w:r w:rsidRPr="008C72E5">
              <w:t>388</w:t>
            </w:r>
          </w:p>
        </w:tc>
        <w:tc>
          <w:tcPr>
            <w:tcW w:w="880" w:type="pct"/>
            <w:vAlign w:val="center"/>
          </w:tcPr>
          <w:p w14:paraId="713617A9" w14:textId="77777777" w:rsidR="009F6AC8" w:rsidRPr="008C72E5" w:rsidRDefault="009F6AC8" w:rsidP="00B558B7">
            <w:pPr>
              <w:pStyle w:val="TekstTabeli"/>
            </w:pPr>
            <w:r w:rsidRPr="008C72E5">
              <w:t xml:space="preserve">Meek W.R., </w:t>
            </w:r>
            <w:proofErr w:type="spellStart"/>
            <w:r w:rsidRPr="008C72E5">
              <w:t>Gianiodis</w:t>
            </w:r>
            <w:proofErr w:type="spellEnd"/>
            <w:r w:rsidRPr="008C72E5">
              <w:t xml:space="preserve"> P.T.</w:t>
            </w:r>
          </w:p>
        </w:tc>
        <w:tc>
          <w:tcPr>
            <w:tcW w:w="1771" w:type="pct"/>
            <w:vAlign w:val="center"/>
          </w:tcPr>
          <w:p w14:paraId="43369A97" w14:textId="52A12BFF" w:rsidR="009F6AC8" w:rsidRPr="008C72E5" w:rsidRDefault="00513290" w:rsidP="00B558B7">
            <w:pPr>
              <w:pStyle w:val="TekstTabeli"/>
            </w:pPr>
            <w:r w:rsidRPr="008C72E5">
              <w:t>The death and rebirth of the entrepreneurial university model</w:t>
            </w:r>
          </w:p>
        </w:tc>
        <w:tc>
          <w:tcPr>
            <w:tcW w:w="2052" w:type="pct"/>
            <w:vAlign w:val="center"/>
          </w:tcPr>
          <w:p w14:paraId="20D577C9" w14:textId="77777777" w:rsidR="009F6AC8" w:rsidRPr="008C72E5" w:rsidRDefault="009F6AC8" w:rsidP="00B558B7">
            <w:pPr>
              <w:pStyle w:val="TekstTabeli"/>
            </w:pPr>
            <w:r w:rsidRPr="008C72E5">
              <w:t>(2023) Academy of Management Perspectives, 37 (1), pp. 55 - 71, DOI: 10.5465/amp.2020.0180</w:t>
            </w:r>
          </w:p>
        </w:tc>
      </w:tr>
      <w:tr w:rsidR="00C4329A" w:rsidRPr="004C10DC" w14:paraId="44E6D4C9" w14:textId="77777777" w:rsidTr="00C4329A">
        <w:trPr>
          <w:cantSplit/>
        </w:trPr>
        <w:tc>
          <w:tcPr>
            <w:tcW w:w="297" w:type="pct"/>
            <w:vAlign w:val="center"/>
          </w:tcPr>
          <w:p w14:paraId="02298674" w14:textId="77777777" w:rsidR="009F6AC8" w:rsidRPr="008C72E5" w:rsidRDefault="009F6AC8" w:rsidP="00B558B7">
            <w:pPr>
              <w:pStyle w:val="TekstTabeli"/>
            </w:pPr>
            <w:r w:rsidRPr="008C72E5">
              <w:t>389</w:t>
            </w:r>
          </w:p>
        </w:tc>
        <w:tc>
          <w:tcPr>
            <w:tcW w:w="880" w:type="pct"/>
            <w:vAlign w:val="center"/>
          </w:tcPr>
          <w:p w14:paraId="0E17C917" w14:textId="77777777" w:rsidR="009F6AC8" w:rsidRPr="008C72E5" w:rsidRDefault="009F6AC8" w:rsidP="00B558B7">
            <w:pPr>
              <w:pStyle w:val="TekstTabeli"/>
            </w:pPr>
            <w:proofErr w:type="spellStart"/>
            <w:r w:rsidRPr="008C72E5">
              <w:t>Roopchund</w:t>
            </w:r>
            <w:proofErr w:type="spellEnd"/>
            <w:r w:rsidRPr="008C72E5">
              <w:t xml:space="preserve"> R., Alsaid L.</w:t>
            </w:r>
          </w:p>
        </w:tc>
        <w:tc>
          <w:tcPr>
            <w:tcW w:w="1771" w:type="pct"/>
            <w:vAlign w:val="center"/>
          </w:tcPr>
          <w:p w14:paraId="418A2CA2" w14:textId="77777777" w:rsidR="009F6AC8" w:rsidRPr="008C72E5" w:rsidRDefault="009F6AC8" w:rsidP="00B558B7">
            <w:pPr>
              <w:pStyle w:val="TekstTabeli"/>
            </w:pPr>
            <w:r w:rsidRPr="008C72E5">
              <w:t>CRM framework for higher education in Mauritius</w:t>
            </w:r>
          </w:p>
        </w:tc>
        <w:tc>
          <w:tcPr>
            <w:tcW w:w="2052" w:type="pct"/>
            <w:vAlign w:val="center"/>
          </w:tcPr>
          <w:p w14:paraId="6CDF12F3" w14:textId="77777777" w:rsidR="009F6AC8" w:rsidRPr="008C72E5" w:rsidRDefault="009F6AC8" w:rsidP="00B558B7">
            <w:pPr>
              <w:pStyle w:val="TekstTabeli"/>
            </w:pPr>
            <w:r w:rsidRPr="008C72E5">
              <w:t xml:space="preserve">(2017) </w:t>
            </w:r>
            <w:proofErr w:type="spellStart"/>
            <w:r w:rsidRPr="008C72E5">
              <w:t>Pertanika</w:t>
            </w:r>
            <w:proofErr w:type="spellEnd"/>
            <w:r w:rsidRPr="008C72E5">
              <w:t xml:space="preserve"> Journal of Social Sciences and Humanities, 25 (4), pp. 1515 - 1528, 0</w:t>
            </w:r>
          </w:p>
        </w:tc>
      </w:tr>
      <w:tr w:rsidR="00C4329A" w:rsidRPr="004C10DC" w14:paraId="08581174" w14:textId="77777777" w:rsidTr="00C4329A">
        <w:trPr>
          <w:cantSplit/>
        </w:trPr>
        <w:tc>
          <w:tcPr>
            <w:tcW w:w="297" w:type="pct"/>
            <w:vAlign w:val="center"/>
          </w:tcPr>
          <w:p w14:paraId="667DFB0F" w14:textId="77777777" w:rsidR="009F6AC8" w:rsidRPr="008C72E5" w:rsidRDefault="009F6AC8" w:rsidP="00B558B7">
            <w:pPr>
              <w:pStyle w:val="TekstTabeli"/>
            </w:pPr>
            <w:r w:rsidRPr="008C72E5">
              <w:t>390</w:t>
            </w:r>
          </w:p>
        </w:tc>
        <w:tc>
          <w:tcPr>
            <w:tcW w:w="880" w:type="pct"/>
            <w:vAlign w:val="center"/>
          </w:tcPr>
          <w:p w14:paraId="0A1558B3" w14:textId="77777777" w:rsidR="009F6AC8" w:rsidRPr="008C72E5" w:rsidRDefault="009F6AC8" w:rsidP="00B558B7">
            <w:pPr>
              <w:pStyle w:val="TekstTabeli"/>
            </w:pPr>
            <w:r w:rsidRPr="008C72E5">
              <w:t>Handley C., McAllister M.</w:t>
            </w:r>
          </w:p>
        </w:tc>
        <w:tc>
          <w:tcPr>
            <w:tcW w:w="1771" w:type="pct"/>
            <w:vAlign w:val="center"/>
          </w:tcPr>
          <w:p w14:paraId="6FF8943B" w14:textId="77777777" w:rsidR="009F6AC8" w:rsidRPr="008C72E5" w:rsidRDefault="009F6AC8" w:rsidP="00B558B7">
            <w:pPr>
              <w:pStyle w:val="TekstTabeli"/>
            </w:pPr>
            <w:r w:rsidRPr="008C72E5">
              <w:t>Elements to promote a successful relationship between stakeholders interested in mental health promotion in schools</w:t>
            </w:r>
          </w:p>
        </w:tc>
        <w:tc>
          <w:tcPr>
            <w:tcW w:w="2052" w:type="pct"/>
            <w:vAlign w:val="center"/>
          </w:tcPr>
          <w:p w14:paraId="2E5B8708" w14:textId="77777777" w:rsidR="009F6AC8" w:rsidRPr="008C72E5" w:rsidRDefault="009F6AC8" w:rsidP="00B558B7">
            <w:pPr>
              <w:pStyle w:val="TekstTabeli"/>
            </w:pPr>
            <w:r w:rsidRPr="008C72E5">
              <w:t>(2017) Australian Journal of Advanced Nursing, 34 (4), pp. 16 - 25, 0</w:t>
            </w:r>
          </w:p>
        </w:tc>
      </w:tr>
      <w:tr w:rsidR="00C4329A" w:rsidRPr="004C10DC" w14:paraId="299E40B1" w14:textId="77777777" w:rsidTr="00C4329A">
        <w:trPr>
          <w:cantSplit/>
        </w:trPr>
        <w:tc>
          <w:tcPr>
            <w:tcW w:w="297" w:type="pct"/>
            <w:vAlign w:val="center"/>
          </w:tcPr>
          <w:p w14:paraId="35A256EC" w14:textId="77777777" w:rsidR="009F6AC8" w:rsidRPr="008C72E5" w:rsidRDefault="009F6AC8" w:rsidP="00B558B7">
            <w:pPr>
              <w:pStyle w:val="TekstTabeli"/>
            </w:pPr>
            <w:r w:rsidRPr="008C72E5">
              <w:t>391</w:t>
            </w:r>
          </w:p>
        </w:tc>
        <w:tc>
          <w:tcPr>
            <w:tcW w:w="880" w:type="pct"/>
            <w:vAlign w:val="center"/>
          </w:tcPr>
          <w:p w14:paraId="2FED7606" w14:textId="77777777" w:rsidR="009F6AC8" w:rsidRPr="008C72E5" w:rsidRDefault="009F6AC8" w:rsidP="00B558B7">
            <w:pPr>
              <w:pStyle w:val="TekstTabeli"/>
            </w:pPr>
            <w:r w:rsidRPr="008C72E5">
              <w:t>Wang X., Sun X.</w:t>
            </w:r>
          </w:p>
        </w:tc>
        <w:tc>
          <w:tcPr>
            <w:tcW w:w="1771" w:type="pct"/>
            <w:vAlign w:val="center"/>
          </w:tcPr>
          <w:p w14:paraId="43D5994C" w14:textId="77777777" w:rsidR="009F6AC8" w:rsidRPr="008C72E5" w:rsidRDefault="009F6AC8" w:rsidP="00B558B7">
            <w:pPr>
              <w:pStyle w:val="TekstTabeli"/>
            </w:pPr>
            <w:r w:rsidRPr="008C72E5">
              <w:t>Higher Education During the COVID-19 Pandemic: Responses and Challenges</w:t>
            </w:r>
          </w:p>
        </w:tc>
        <w:tc>
          <w:tcPr>
            <w:tcW w:w="2052" w:type="pct"/>
            <w:vAlign w:val="center"/>
          </w:tcPr>
          <w:p w14:paraId="7466DFA2" w14:textId="77777777" w:rsidR="009F6AC8" w:rsidRPr="008C72E5" w:rsidRDefault="009F6AC8" w:rsidP="00B558B7">
            <w:pPr>
              <w:pStyle w:val="TekstTabeli"/>
            </w:pPr>
            <w:r w:rsidRPr="008C72E5">
              <w:t>(2022) Education as Change, 26, art. no. 10024, DOI: 10.25159/1947-9417/10024</w:t>
            </w:r>
          </w:p>
        </w:tc>
      </w:tr>
      <w:tr w:rsidR="00C4329A" w:rsidRPr="008C72E5" w14:paraId="3A1FCF66" w14:textId="77777777" w:rsidTr="00C4329A">
        <w:trPr>
          <w:cantSplit/>
        </w:trPr>
        <w:tc>
          <w:tcPr>
            <w:tcW w:w="297" w:type="pct"/>
            <w:vAlign w:val="center"/>
          </w:tcPr>
          <w:p w14:paraId="37247D13" w14:textId="77777777" w:rsidR="009F6AC8" w:rsidRPr="008C72E5" w:rsidRDefault="009F6AC8" w:rsidP="00B558B7">
            <w:pPr>
              <w:pStyle w:val="TekstTabeli"/>
            </w:pPr>
            <w:r w:rsidRPr="008C72E5">
              <w:t>392</w:t>
            </w:r>
          </w:p>
        </w:tc>
        <w:tc>
          <w:tcPr>
            <w:tcW w:w="880" w:type="pct"/>
            <w:vAlign w:val="center"/>
          </w:tcPr>
          <w:p w14:paraId="0DDF1347" w14:textId="53D9236F" w:rsidR="009F6AC8" w:rsidRPr="008C72E5" w:rsidRDefault="009F6AC8" w:rsidP="00B558B7">
            <w:pPr>
              <w:pStyle w:val="TekstTabeli"/>
            </w:pPr>
            <w:r w:rsidRPr="008C72E5">
              <w:t xml:space="preserve">Martynova T.A., </w:t>
            </w:r>
            <w:proofErr w:type="spellStart"/>
            <w:r w:rsidRPr="008C72E5">
              <w:t>Gilenko</w:t>
            </w:r>
            <w:proofErr w:type="spellEnd"/>
            <w:r w:rsidRPr="008C72E5">
              <w:t xml:space="preserve"> E.V., </w:t>
            </w:r>
            <w:proofErr w:type="spellStart"/>
            <w:r w:rsidRPr="008C72E5">
              <w:t>Kitaeva</w:t>
            </w:r>
            <w:proofErr w:type="spellEnd"/>
            <w:r w:rsidRPr="008C72E5">
              <w:t xml:space="preserve"> E.M., </w:t>
            </w:r>
            <w:proofErr w:type="spellStart"/>
            <w:r w:rsidR="00513290" w:rsidRPr="008C72E5">
              <w:t>i</w:t>
            </w:r>
            <w:proofErr w:type="spellEnd"/>
            <w:r w:rsidR="00513290" w:rsidRPr="008C72E5">
              <w:t> in.</w:t>
            </w:r>
          </w:p>
        </w:tc>
        <w:tc>
          <w:tcPr>
            <w:tcW w:w="1771" w:type="pct"/>
            <w:vAlign w:val="center"/>
          </w:tcPr>
          <w:p w14:paraId="41F3484F" w14:textId="10BA3EA1" w:rsidR="009F6AC8" w:rsidRPr="008C72E5" w:rsidRDefault="00513290" w:rsidP="00B558B7">
            <w:pPr>
              <w:pStyle w:val="TekstTabeli"/>
            </w:pPr>
            <w:r w:rsidRPr="008C72E5">
              <w:t xml:space="preserve">Interdisciplinary communicative competence: from </w:t>
            </w:r>
            <w:proofErr w:type="spellStart"/>
            <w:r w:rsidRPr="008C72E5">
              <w:t>conceptualising</w:t>
            </w:r>
            <w:proofErr w:type="spellEnd"/>
            <w:r w:rsidRPr="008C72E5">
              <w:t xml:space="preserve"> to </w:t>
            </w:r>
            <w:proofErr w:type="spellStart"/>
            <w:r w:rsidRPr="008C72E5">
              <w:t>operationalising</w:t>
            </w:r>
            <w:proofErr w:type="spellEnd"/>
            <w:r w:rsidRPr="008C72E5">
              <w:t xml:space="preserve"> </w:t>
            </w:r>
          </w:p>
        </w:tc>
        <w:tc>
          <w:tcPr>
            <w:tcW w:w="2052" w:type="pct"/>
            <w:vAlign w:val="center"/>
          </w:tcPr>
          <w:p w14:paraId="2D29DD69" w14:textId="77777777" w:rsidR="009F6AC8" w:rsidRPr="00D82766" w:rsidRDefault="009F6AC8" w:rsidP="00B558B7">
            <w:pPr>
              <w:pStyle w:val="TekstTabeli"/>
              <w:rPr>
                <w:lang w:val="pl-PL"/>
              </w:rPr>
            </w:pPr>
            <w:r w:rsidRPr="00D82766">
              <w:rPr>
                <w:lang w:val="pl-PL"/>
              </w:rPr>
              <w:t xml:space="preserve">(2023) </w:t>
            </w:r>
            <w:proofErr w:type="spellStart"/>
            <w:r w:rsidRPr="00D82766">
              <w:rPr>
                <w:lang w:val="pl-PL"/>
              </w:rPr>
              <w:t>Obrazovanie</w:t>
            </w:r>
            <w:proofErr w:type="spellEnd"/>
            <w:r w:rsidRPr="00D82766">
              <w:rPr>
                <w:lang w:val="pl-PL"/>
              </w:rPr>
              <w:t xml:space="preserve"> i Nauka, 25 (4), pp. 12 - 36, DOI: 10.17853/1994-5639-2023-4-12-36</w:t>
            </w:r>
          </w:p>
        </w:tc>
      </w:tr>
      <w:tr w:rsidR="00C4329A" w:rsidRPr="004C10DC" w14:paraId="3B1681A7" w14:textId="77777777" w:rsidTr="00C4329A">
        <w:trPr>
          <w:cantSplit/>
        </w:trPr>
        <w:tc>
          <w:tcPr>
            <w:tcW w:w="297" w:type="pct"/>
            <w:vAlign w:val="center"/>
          </w:tcPr>
          <w:p w14:paraId="7164561E" w14:textId="77777777" w:rsidR="009F6AC8" w:rsidRPr="008C72E5" w:rsidRDefault="009F6AC8" w:rsidP="00B558B7">
            <w:pPr>
              <w:pStyle w:val="TekstTabeli"/>
            </w:pPr>
            <w:r w:rsidRPr="008C72E5">
              <w:lastRenderedPageBreak/>
              <w:t>393</w:t>
            </w:r>
          </w:p>
        </w:tc>
        <w:tc>
          <w:tcPr>
            <w:tcW w:w="880" w:type="pct"/>
            <w:vAlign w:val="center"/>
          </w:tcPr>
          <w:p w14:paraId="3148A37A" w14:textId="77777777" w:rsidR="009F6AC8" w:rsidRPr="008C72E5" w:rsidRDefault="009F6AC8" w:rsidP="00B558B7">
            <w:pPr>
              <w:pStyle w:val="TekstTabeli"/>
            </w:pPr>
            <w:r w:rsidRPr="008C72E5">
              <w:t>Rubin P.G.</w:t>
            </w:r>
          </w:p>
        </w:tc>
        <w:tc>
          <w:tcPr>
            <w:tcW w:w="1771" w:type="pct"/>
            <w:vAlign w:val="center"/>
          </w:tcPr>
          <w:p w14:paraId="4AB44C6C" w14:textId="69FE1003" w:rsidR="009F6AC8" w:rsidRPr="008C72E5" w:rsidRDefault="009F6AC8" w:rsidP="00B558B7">
            <w:pPr>
              <w:pStyle w:val="TekstTabeli"/>
            </w:pPr>
            <w:r w:rsidRPr="008C72E5">
              <w:t xml:space="preserve">Political appointees vs. Elected officials: Examining how the selection mechanism for state governing agency board members influences responsiveness to stakeholders in higher education policy-making </w:t>
            </w:r>
          </w:p>
        </w:tc>
        <w:tc>
          <w:tcPr>
            <w:tcW w:w="2052" w:type="pct"/>
            <w:vAlign w:val="center"/>
          </w:tcPr>
          <w:p w14:paraId="01E4A18E" w14:textId="77777777" w:rsidR="009F6AC8" w:rsidRPr="008C72E5" w:rsidRDefault="009F6AC8" w:rsidP="00B558B7">
            <w:pPr>
              <w:pStyle w:val="TekstTabeli"/>
            </w:pPr>
            <w:r w:rsidRPr="008C72E5">
              <w:t>(2021) Education Policy Analysis Archives, 29, art. no. 115, DOI: 10.14507/epaa.29.5214</w:t>
            </w:r>
          </w:p>
        </w:tc>
      </w:tr>
      <w:tr w:rsidR="00C4329A" w:rsidRPr="004C10DC" w14:paraId="63DA7E17" w14:textId="77777777" w:rsidTr="00C4329A">
        <w:trPr>
          <w:cantSplit/>
        </w:trPr>
        <w:tc>
          <w:tcPr>
            <w:tcW w:w="297" w:type="pct"/>
            <w:vAlign w:val="center"/>
          </w:tcPr>
          <w:p w14:paraId="6978BEEE" w14:textId="77777777" w:rsidR="009F6AC8" w:rsidRPr="008C72E5" w:rsidRDefault="009F6AC8" w:rsidP="00B558B7">
            <w:pPr>
              <w:pStyle w:val="TekstTabeli"/>
            </w:pPr>
            <w:r w:rsidRPr="008C72E5">
              <w:t>394</w:t>
            </w:r>
          </w:p>
        </w:tc>
        <w:tc>
          <w:tcPr>
            <w:tcW w:w="880" w:type="pct"/>
            <w:vAlign w:val="center"/>
          </w:tcPr>
          <w:p w14:paraId="5841AA71" w14:textId="77777777" w:rsidR="009F6AC8" w:rsidRPr="008C72E5" w:rsidRDefault="009F6AC8" w:rsidP="00B558B7">
            <w:pPr>
              <w:pStyle w:val="TekstTabeli"/>
            </w:pPr>
            <w:proofErr w:type="spellStart"/>
            <w:r w:rsidRPr="008C72E5">
              <w:t>Chapleo</w:t>
            </w:r>
            <w:proofErr w:type="spellEnd"/>
            <w:r w:rsidRPr="008C72E5">
              <w:t xml:space="preserve"> C.</w:t>
            </w:r>
          </w:p>
        </w:tc>
        <w:tc>
          <w:tcPr>
            <w:tcW w:w="1771" w:type="pct"/>
            <w:vAlign w:val="center"/>
          </w:tcPr>
          <w:p w14:paraId="6A34A629" w14:textId="77777777" w:rsidR="009F6AC8" w:rsidRPr="008C72E5" w:rsidRDefault="009F6AC8" w:rsidP="00B558B7">
            <w:pPr>
              <w:pStyle w:val="TekstTabeli"/>
            </w:pPr>
            <w:r w:rsidRPr="008C72E5">
              <w:t>Exploring the secret of successful university brands</w:t>
            </w:r>
          </w:p>
        </w:tc>
        <w:tc>
          <w:tcPr>
            <w:tcW w:w="2052" w:type="pct"/>
            <w:vAlign w:val="center"/>
          </w:tcPr>
          <w:p w14:paraId="00D76F6E" w14:textId="77777777" w:rsidR="009F6AC8" w:rsidRPr="008C72E5" w:rsidRDefault="009F6AC8" w:rsidP="00B558B7">
            <w:pPr>
              <w:pStyle w:val="TekstTabeli"/>
            </w:pPr>
            <w:r w:rsidRPr="008C72E5">
              <w:t>(2017) Advertising and Branding: Concepts, Methodologies, Tools, and Applications, pp. 288 - 303, DOI: 10.4018/978-1-5225-1793-1.ch014</w:t>
            </w:r>
          </w:p>
        </w:tc>
      </w:tr>
      <w:tr w:rsidR="00C4329A" w:rsidRPr="004C10DC" w14:paraId="7001BD24" w14:textId="77777777" w:rsidTr="00C4329A">
        <w:trPr>
          <w:cantSplit/>
        </w:trPr>
        <w:tc>
          <w:tcPr>
            <w:tcW w:w="297" w:type="pct"/>
            <w:vAlign w:val="center"/>
          </w:tcPr>
          <w:p w14:paraId="50241BDC" w14:textId="77777777" w:rsidR="009F6AC8" w:rsidRPr="008C72E5" w:rsidRDefault="009F6AC8" w:rsidP="00B558B7">
            <w:pPr>
              <w:pStyle w:val="TekstTabeli"/>
            </w:pPr>
            <w:r w:rsidRPr="008C72E5">
              <w:t>395</w:t>
            </w:r>
          </w:p>
        </w:tc>
        <w:tc>
          <w:tcPr>
            <w:tcW w:w="880" w:type="pct"/>
            <w:vAlign w:val="center"/>
          </w:tcPr>
          <w:p w14:paraId="144DB49F" w14:textId="77777777" w:rsidR="009F6AC8" w:rsidRPr="008C72E5" w:rsidRDefault="009F6AC8" w:rsidP="00B558B7">
            <w:pPr>
              <w:pStyle w:val="TekstTabeli"/>
            </w:pPr>
            <w:r w:rsidRPr="008C72E5">
              <w:t>Gill E., Clark L., Logan A.</w:t>
            </w:r>
          </w:p>
        </w:tc>
        <w:tc>
          <w:tcPr>
            <w:tcW w:w="1771" w:type="pct"/>
            <w:vAlign w:val="center"/>
          </w:tcPr>
          <w:p w14:paraId="0416E83F" w14:textId="77777777" w:rsidR="009F6AC8" w:rsidRPr="008C72E5" w:rsidRDefault="009F6AC8" w:rsidP="00B558B7">
            <w:pPr>
              <w:pStyle w:val="TekstTabeli"/>
            </w:pPr>
            <w:r w:rsidRPr="008C72E5">
              <w:t>Freedom for First Downs: Interest Convergence and The Missouri Black Student Boycott</w:t>
            </w:r>
          </w:p>
        </w:tc>
        <w:tc>
          <w:tcPr>
            <w:tcW w:w="2052" w:type="pct"/>
            <w:vAlign w:val="center"/>
          </w:tcPr>
          <w:p w14:paraId="7DD85A00" w14:textId="77777777" w:rsidR="009F6AC8" w:rsidRPr="008C72E5" w:rsidRDefault="009F6AC8" w:rsidP="00B558B7">
            <w:pPr>
              <w:pStyle w:val="TekstTabeli"/>
            </w:pPr>
            <w:r w:rsidRPr="008C72E5">
              <w:t>(2020) Journal of Negro Education, 89 (3), pp. 342 - 359, 0</w:t>
            </w:r>
          </w:p>
        </w:tc>
      </w:tr>
      <w:tr w:rsidR="00C4329A" w:rsidRPr="004C10DC" w14:paraId="75636F21" w14:textId="77777777" w:rsidTr="00C4329A">
        <w:trPr>
          <w:cantSplit/>
        </w:trPr>
        <w:tc>
          <w:tcPr>
            <w:tcW w:w="297" w:type="pct"/>
            <w:vAlign w:val="center"/>
          </w:tcPr>
          <w:p w14:paraId="0DC1F3C2" w14:textId="77777777" w:rsidR="009F6AC8" w:rsidRPr="008C72E5" w:rsidRDefault="009F6AC8" w:rsidP="00B558B7">
            <w:pPr>
              <w:pStyle w:val="TekstTabeli"/>
            </w:pPr>
            <w:r w:rsidRPr="008C72E5">
              <w:t>396</w:t>
            </w:r>
          </w:p>
        </w:tc>
        <w:tc>
          <w:tcPr>
            <w:tcW w:w="880" w:type="pct"/>
            <w:vAlign w:val="center"/>
          </w:tcPr>
          <w:p w14:paraId="64B11FAF" w14:textId="77777777" w:rsidR="009F6AC8" w:rsidRPr="008C72E5" w:rsidRDefault="009F6AC8" w:rsidP="00B558B7">
            <w:pPr>
              <w:pStyle w:val="TekstTabeli"/>
            </w:pPr>
            <w:r w:rsidRPr="008C72E5">
              <w:t xml:space="preserve">Graham M.A., Angolo T.T.N., </w:t>
            </w:r>
            <w:proofErr w:type="spellStart"/>
            <w:r w:rsidRPr="008C72E5">
              <w:t>Combrinck</w:t>
            </w:r>
            <w:proofErr w:type="spellEnd"/>
            <w:r w:rsidRPr="008C72E5">
              <w:t xml:space="preserve"> C.</w:t>
            </w:r>
          </w:p>
        </w:tc>
        <w:tc>
          <w:tcPr>
            <w:tcW w:w="1771" w:type="pct"/>
            <w:vAlign w:val="center"/>
          </w:tcPr>
          <w:p w14:paraId="7A195DFA" w14:textId="77777777" w:rsidR="009F6AC8" w:rsidRPr="008C72E5" w:rsidRDefault="009F6AC8" w:rsidP="00B558B7">
            <w:pPr>
              <w:pStyle w:val="TekstTabeli"/>
            </w:pPr>
            <w:r w:rsidRPr="008C72E5">
              <w:t>Internal quality assurance systems in Namibian higher education: Stakeholder perceptions and guidelines for enhancing the system</w:t>
            </w:r>
          </w:p>
        </w:tc>
        <w:tc>
          <w:tcPr>
            <w:tcW w:w="2052" w:type="pct"/>
            <w:vAlign w:val="center"/>
          </w:tcPr>
          <w:p w14:paraId="3A37451E" w14:textId="77777777" w:rsidR="009F6AC8" w:rsidRPr="008C72E5" w:rsidRDefault="009F6AC8" w:rsidP="00B558B7">
            <w:pPr>
              <w:pStyle w:val="TekstTabeli"/>
            </w:pPr>
            <w:r w:rsidRPr="008C72E5">
              <w:t>(2023) International Conference on Higher Education Advances, pp. 507 - 515, DOI: 10.4995/HEAd23.2023.16114</w:t>
            </w:r>
          </w:p>
        </w:tc>
      </w:tr>
      <w:tr w:rsidR="00C4329A" w:rsidRPr="004C10DC" w14:paraId="4E526ED0" w14:textId="77777777" w:rsidTr="00C4329A">
        <w:trPr>
          <w:cantSplit/>
        </w:trPr>
        <w:tc>
          <w:tcPr>
            <w:tcW w:w="297" w:type="pct"/>
            <w:vAlign w:val="center"/>
          </w:tcPr>
          <w:p w14:paraId="02AB4006" w14:textId="77777777" w:rsidR="009F6AC8" w:rsidRPr="008C72E5" w:rsidRDefault="009F6AC8" w:rsidP="00B558B7">
            <w:pPr>
              <w:pStyle w:val="TekstTabeli"/>
            </w:pPr>
            <w:r w:rsidRPr="008C72E5">
              <w:t>397</w:t>
            </w:r>
          </w:p>
        </w:tc>
        <w:tc>
          <w:tcPr>
            <w:tcW w:w="880" w:type="pct"/>
            <w:vAlign w:val="center"/>
          </w:tcPr>
          <w:p w14:paraId="7EC3E38B" w14:textId="77777777" w:rsidR="009F6AC8" w:rsidRPr="008C72E5" w:rsidRDefault="009F6AC8" w:rsidP="00B558B7">
            <w:pPr>
              <w:pStyle w:val="TekstTabeli"/>
            </w:pPr>
            <w:r w:rsidRPr="008C72E5">
              <w:t>Goeddeke A., Taschner A.</w:t>
            </w:r>
          </w:p>
        </w:tc>
        <w:tc>
          <w:tcPr>
            <w:tcW w:w="1771" w:type="pct"/>
            <w:vAlign w:val="center"/>
          </w:tcPr>
          <w:p w14:paraId="3BFD42A3" w14:textId="77777777" w:rsidR="009F6AC8" w:rsidRPr="008C72E5" w:rsidRDefault="009F6AC8" w:rsidP="00B558B7">
            <w:pPr>
              <w:pStyle w:val="TekstTabeli"/>
            </w:pPr>
            <w:r w:rsidRPr="008C72E5">
              <w:t>Are students barking up the wrong tree? A causal model of factors driving effective student–faculty interactions</w:t>
            </w:r>
          </w:p>
        </w:tc>
        <w:tc>
          <w:tcPr>
            <w:tcW w:w="2052" w:type="pct"/>
            <w:vAlign w:val="center"/>
          </w:tcPr>
          <w:p w14:paraId="7DF22A6C" w14:textId="77777777" w:rsidR="009F6AC8" w:rsidRPr="008C72E5" w:rsidRDefault="009F6AC8" w:rsidP="00B558B7">
            <w:pPr>
              <w:pStyle w:val="TekstTabeli"/>
            </w:pPr>
            <w:r w:rsidRPr="008C72E5">
              <w:t>(2023) Assessment and Evaluation in Higher Education, 48 (4), pp. 566 - 580, DOI: 10.1080/02602938.2022.2097198</w:t>
            </w:r>
          </w:p>
        </w:tc>
      </w:tr>
      <w:tr w:rsidR="00C4329A" w:rsidRPr="004C10DC" w14:paraId="0F24F3D7" w14:textId="77777777" w:rsidTr="00C4329A">
        <w:trPr>
          <w:cantSplit/>
        </w:trPr>
        <w:tc>
          <w:tcPr>
            <w:tcW w:w="297" w:type="pct"/>
            <w:vAlign w:val="center"/>
          </w:tcPr>
          <w:p w14:paraId="4B720BE3" w14:textId="77777777" w:rsidR="009F6AC8" w:rsidRPr="008C72E5" w:rsidRDefault="009F6AC8" w:rsidP="00B558B7">
            <w:pPr>
              <w:pStyle w:val="TekstTabeli"/>
            </w:pPr>
            <w:r w:rsidRPr="008C72E5">
              <w:t>398</w:t>
            </w:r>
          </w:p>
        </w:tc>
        <w:tc>
          <w:tcPr>
            <w:tcW w:w="880" w:type="pct"/>
            <w:vAlign w:val="center"/>
          </w:tcPr>
          <w:p w14:paraId="713ED3A3" w14:textId="77777777" w:rsidR="009F6AC8" w:rsidRPr="008C72E5" w:rsidRDefault="009F6AC8" w:rsidP="00B558B7">
            <w:pPr>
              <w:pStyle w:val="TekstTabeli"/>
            </w:pPr>
            <w:r w:rsidRPr="008C72E5">
              <w:t>Davis T.J., Barnes Y.</w:t>
            </w:r>
          </w:p>
        </w:tc>
        <w:tc>
          <w:tcPr>
            <w:tcW w:w="1771" w:type="pct"/>
            <w:vAlign w:val="center"/>
          </w:tcPr>
          <w:p w14:paraId="1249FBB2" w14:textId="1428A9DF" w:rsidR="009F6AC8" w:rsidRPr="008C72E5" w:rsidRDefault="00705110" w:rsidP="00B558B7">
            <w:pPr>
              <w:pStyle w:val="TekstTabeli"/>
            </w:pPr>
            <w:r w:rsidRPr="008C72E5">
              <w:t>Who has a stake in today’s college students?</w:t>
            </w:r>
          </w:p>
        </w:tc>
        <w:tc>
          <w:tcPr>
            <w:tcW w:w="2052" w:type="pct"/>
            <w:vAlign w:val="center"/>
          </w:tcPr>
          <w:p w14:paraId="3B49894C" w14:textId="77777777" w:rsidR="009F6AC8" w:rsidRPr="008C72E5" w:rsidRDefault="009F6AC8" w:rsidP="00B558B7">
            <w:pPr>
              <w:pStyle w:val="TekstTabeli"/>
            </w:pPr>
            <w:r w:rsidRPr="008C72E5">
              <w:t>(2022) Multiple Perspectives on College Students: Needs, Challenges, and Opportunities, pp. 46 - 59, DOI: 10.4324/9780429319471-4</w:t>
            </w:r>
          </w:p>
        </w:tc>
      </w:tr>
      <w:tr w:rsidR="00C4329A" w:rsidRPr="004C10DC" w14:paraId="47B0B6B7" w14:textId="77777777" w:rsidTr="00C4329A">
        <w:trPr>
          <w:cantSplit/>
        </w:trPr>
        <w:tc>
          <w:tcPr>
            <w:tcW w:w="297" w:type="pct"/>
            <w:vAlign w:val="center"/>
          </w:tcPr>
          <w:p w14:paraId="17AB40AC" w14:textId="77777777" w:rsidR="009F6AC8" w:rsidRPr="008C72E5" w:rsidRDefault="009F6AC8" w:rsidP="00B558B7">
            <w:pPr>
              <w:pStyle w:val="TekstTabeli"/>
            </w:pPr>
            <w:r w:rsidRPr="008C72E5">
              <w:t>399</w:t>
            </w:r>
          </w:p>
        </w:tc>
        <w:tc>
          <w:tcPr>
            <w:tcW w:w="880" w:type="pct"/>
            <w:vAlign w:val="center"/>
          </w:tcPr>
          <w:p w14:paraId="1FDCB77D" w14:textId="73A8FD94" w:rsidR="009F6AC8" w:rsidRPr="008C72E5" w:rsidRDefault="009F6AC8" w:rsidP="00B558B7">
            <w:pPr>
              <w:pStyle w:val="TekstTabeli"/>
            </w:pPr>
            <w:proofErr w:type="spellStart"/>
            <w:r w:rsidRPr="008C72E5">
              <w:t>Thireos</w:t>
            </w:r>
            <w:proofErr w:type="spellEnd"/>
            <w:r w:rsidRPr="008C72E5">
              <w:t xml:space="preserve"> E., </w:t>
            </w:r>
            <w:proofErr w:type="spellStart"/>
            <w:r w:rsidRPr="008C72E5">
              <w:t>Markaki</w:t>
            </w:r>
            <w:proofErr w:type="spellEnd"/>
            <w:r w:rsidRPr="008C72E5">
              <w:t xml:space="preserve"> A., </w:t>
            </w:r>
            <w:proofErr w:type="spellStart"/>
            <w:r w:rsidR="00705110" w:rsidRPr="008C72E5">
              <w:t>i</w:t>
            </w:r>
            <w:proofErr w:type="spellEnd"/>
            <w:r w:rsidR="00705110" w:rsidRPr="008C72E5">
              <w:t> in.</w:t>
            </w:r>
          </w:p>
        </w:tc>
        <w:tc>
          <w:tcPr>
            <w:tcW w:w="1771" w:type="pct"/>
            <w:vAlign w:val="center"/>
          </w:tcPr>
          <w:p w14:paraId="7178084E" w14:textId="77777777" w:rsidR="009F6AC8" w:rsidRPr="008C72E5" w:rsidRDefault="009F6AC8" w:rsidP="00B558B7">
            <w:pPr>
              <w:pStyle w:val="TekstTabeli"/>
            </w:pPr>
            <w:r w:rsidRPr="008C72E5">
              <w:t>University Student Health Services, Local Experience, and Emerging Needs Bridging the Past With the Future</w:t>
            </w:r>
          </w:p>
        </w:tc>
        <w:tc>
          <w:tcPr>
            <w:tcW w:w="2052" w:type="pct"/>
            <w:vAlign w:val="center"/>
          </w:tcPr>
          <w:p w14:paraId="24E386A2" w14:textId="77777777" w:rsidR="009F6AC8" w:rsidRPr="008C72E5" w:rsidRDefault="009F6AC8" w:rsidP="00B558B7">
            <w:pPr>
              <w:pStyle w:val="TekstTabeli"/>
            </w:pPr>
            <w:r w:rsidRPr="008C72E5">
              <w:t>(2023) Journal of Psychosocial Nursing and Mental Health Services, 61 (3), pp. 27 - 31, DOI: 10.3928/02793695-20220809-01</w:t>
            </w:r>
          </w:p>
        </w:tc>
      </w:tr>
      <w:tr w:rsidR="00C4329A" w:rsidRPr="004C10DC" w14:paraId="014FA8D0" w14:textId="77777777" w:rsidTr="00C4329A">
        <w:trPr>
          <w:cantSplit/>
        </w:trPr>
        <w:tc>
          <w:tcPr>
            <w:tcW w:w="297" w:type="pct"/>
            <w:vAlign w:val="center"/>
          </w:tcPr>
          <w:p w14:paraId="615E575B" w14:textId="77777777" w:rsidR="009F6AC8" w:rsidRPr="008C72E5" w:rsidRDefault="009F6AC8" w:rsidP="00B558B7">
            <w:pPr>
              <w:pStyle w:val="TekstTabeli"/>
            </w:pPr>
            <w:r w:rsidRPr="008C72E5">
              <w:t>400</w:t>
            </w:r>
          </w:p>
        </w:tc>
        <w:tc>
          <w:tcPr>
            <w:tcW w:w="880" w:type="pct"/>
            <w:vAlign w:val="center"/>
          </w:tcPr>
          <w:p w14:paraId="7B4A25D5" w14:textId="77777777" w:rsidR="009F6AC8" w:rsidRPr="008C72E5" w:rsidRDefault="009F6AC8" w:rsidP="00B558B7">
            <w:pPr>
              <w:pStyle w:val="TekstTabeli"/>
            </w:pPr>
            <w:r w:rsidRPr="008C72E5">
              <w:t>Nel L., de Beer A., Naudé L.</w:t>
            </w:r>
          </w:p>
        </w:tc>
        <w:tc>
          <w:tcPr>
            <w:tcW w:w="1771" w:type="pct"/>
            <w:vAlign w:val="center"/>
          </w:tcPr>
          <w:p w14:paraId="669A4C2B" w14:textId="77777777" w:rsidR="009F6AC8" w:rsidRPr="008C72E5" w:rsidRDefault="009F6AC8" w:rsidP="00B558B7">
            <w:pPr>
              <w:pStyle w:val="TekstTabeli"/>
            </w:pPr>
            <w:r w:rsidRPr="008C72E5">
              <w:t>Challenges as Motivation for Growth in First-Year Students Living with Disability</w:t>
            </w:r>
          </w:p>
        </w:tc>
        <w:tc>
          <w:tcPr>
            <w:tcW w:w="2052" w:type="pct"/>
            <w:vAlign w:val="center"/>
          </w:tcPr>
          <w:p w14:paraId="48690E1F" w14:textId="77777777" w:rsidR="009F6AC8" w:rsidRPr="008C72E5" w:rsidRDefault="009F6AC8" w:rsidP="00B558B7">
            <w:pPr>
              <w:pStyle w:val="TekstTabeli"/>
            </w:pPr>
            <w:r w:rsidRPr="008C72E5">
              <w:t>(2023) International Journal of Disability, Development and Education, 70 (7), pp. 1438 - 1457, DOI: 10.1080/1034912X.2022.2060945</w:t>
            </w:r>
          </w:p>
        </w:tc>
      </w:tr>
      <w:tr w:rsidR="00C4329A" w:rsidRPr="004C10DC" w14:paraId="40581BBE" w14:textId="77777777" w:rsidTr="00C4329A">
        <w:trPr>
          <w:cantSplit/>
        </w:trPr>
        <w:tc>
          <w:tcPr>
            <w:tcW w:w="297" w:type="pct"/>
            <w:vAlign w:val="center"/>
          </w:tcPr>
          <w:p w14:paraId="680BD61A" w14:textId="77777777" w:rsidR="009F6AC8" w:rsidRPr="008C72E5" w:rsidRDefault="009F6AC8" w:rsidP="00B558B7">
            <w:pPr>
              <w:pStyle w:val="TekstTabeli"/>
            </w:pPr>
            <w:r w:rsidRPr="008C72E5">
              <w:t>401</w:t>
            </w:r>
          </w:p>
        </w:tc>
        <w:tc>
          <w:tcPr>
            <w:tcW w:w="880" w:type="pct"/>
            <w:vAlign w:val="center"/>
          </w:tcPr>
          <w:p w14:paraId="29219989" w14:textId="470855EA" w:rsidR="009F6AC8" w:rsidRPr="008C72E5" w:rsidRDefault="009F6AC8" w:rsidP="00B558B7">
            <w:pPr>
              <w:pStyle w:val="TekstTabeli"/>
            </w:pPr>
            <w:r w:rsidRPr="008C72E5">
              <w:t xml:space="preserve">Wang X., Rayana S., </w:t>
            </w:r>
            <w:proofErr w:type="spellStart"/>
            <w:r w:rsidR="00705110" w:rsidRPr="008C72E5">
              <w:t>i</w:t>
            </w:r>
            <w:proofErr w:type="spellEnd"/>
            <w:r w:rsidR="00705110" w:rsidRPr="008C72E5">
              <w:t> in.</w:t>
            </w:r>
          </w:p>
        </w:tc>
        <w:tc>
          <w:tcPr>
            <w:tcW w:w="1771" w:type="pct"/>
            <w:vAlign w:val="center"/>
          </w:tcPr>
          <w:p w14:paraId="090BE5E7" w14:textId="77777777" w:rsidR="009F6AC8" w:rsidRPr="008C72E5" w:rsidRDefault="009F6AC8" w:rsidP="00B558B7">
            <w:pPr>
              <w:pStyle w:val="TekstTabeli"/>
            </w:pPr>
            <w:r w:rsidRPr="008C72E5">
              <w:t>A Preliminary Factor Analysis on the Success of Computing Major Transfer Students</w:t>
            </w:r>
          </w:p>
        </w:tc>
        <w:tc>
          <w:tcPr>
            <w:tcW w:w="2052" w:type="pct"/>
            <w:vAlign w:val="center"/>
          </w:tcPr>
          <w:p w14:paraId="287F8D2F" w14:textId="77777777" w:rsidR="009F6AC8" w:rsidRPr="008C72E5" w:rsidRDefault="009F6AC8" w:rsidP="00B558B7">
            <w:pPr>
              <w:pStyle w:val="TekstTabeli"/>
            </w:pPr>
            <w:r w:rsidRPr="008C72E5">
              <w:t>(2023) ASEE Annual Conference and Exposition, Conference Proceedings, 0</w:t>
            </w:r>
          </w:p>
        </w:tc>
      </w:tr>
      <w:tr w:rsidR="00C4329A" w:rsidRPr="004C10DC" w14:paraId="305DEA5A" w14:textId="77777777" w:rsidTr="00C4329A">
        <w:trPr>
          <w:cantSplit/>
        </w:trPr>
        <w:tc>
          <w:tcPr>
            <w:tcW w:w="297" w:type="pct"/>
            <w:vAlign w:val="center"/>
          </w:tcPr>
          <w:p w14:paraId="0F2D0F6F" w14:textId="77777777" w:rsidR="009F6AC8" w:rsidRPr="008C72E5" w:rsidRDefault="009F6AC8" w:rsidP="00B558B7">
            <w:pPr>
              <w:pStyle w:val="TekstTabeli"/>
            </w:pPr>
            <w:r w:rsidRPr="008C72E5">
              <w:t>402</w:t>
            </w:r>
          </w:p>
        </w:tc>
        <w:tc>
          <w:tcPr>
            <w:tcW w:w="880" w:type="pct"/>
            <w:vAlign w:val="center"/>
          </w:tcPr>
          <w:p w14:paraId="4EB5CCC5" w14:textId="77777777" w:rsidR="009F6AC8" w:rsidRPr="008C72E5" w:rsidRDefault="009F6AC8" w:rsidP="00B558B7">
            <w:pPr>
              <w:pStyle w:val="TekstTabeli"/>
            </w:pPr>
            <w:r w:rsidRPr="008C72E5">
              <w:t>Álvarez Valencia J.Á., Valencia A.</w:t>
            </w:r>
          </w:p>
        </w:tc>
        <w:tc>
          <w:tcPr>
            <w:tcW w:w="1771" w:type="pct"/>
            <w:vAlign w:val="center"/>
          </w:tcPr>
          <w:p w14:paraId="2F7D8B4B" w14:textId="134F10EF" w:rsidR="009F6AC8" w:rsidRPr="008C72E5" w:rsidRDefault="009F6AC8" w:rsidP="00B558B7">
            <w:pPr>
              <w:pStyle w:val="TekstTabeli"/>
            </w:pPr>
            <w:r w:rsidRPr="008C72E5">
              <w:t xml:space="preserve">Indigenous Students and University Stakeholders’ Challenges and Opportunities for Intercultural Decolonial Dialogue </w:t>
            </w:r>
          </w:p>
        </w:tc>
        <w:tc>
          <w:tcPr>
            <w:tcW w:w="2052" w:type="pct"/>
            <w:vAlign w:val="center"/>
          </w:tcPr>
          <w:p w14:paraId="7E557B08" w14:textId="77777777" w:rsidR="009F6AC8" w:rsidRPr="008C72E5" w:rsidRDefault="009F6AC8" w:rsidP="00B558B7">
            <w:pPr>
              <w:pStyle w:val="TekstTabeli"/>
            </w:pPr>
            <w:r w:rsidRPr="008C72E5">
              <w:t>(2023) Profile: Issues in Teachers' Professional Development, 25 (2), pp. 219 - 237, DOI: 10.15446/profile.v25n2.102812</w:t>
            </w:r>
          </w:p>
        </w:tc>
      </w:tr>
      <w:tr w:rsidR="00C4329A" w:rsidRPr="004C10DC" w14:paraId="03EC7002" w14:textId="77777777" w:rsidTr="00C4329A">
        <w:trPr>
          <w:cantSplit/>
        </w:trPr>
        <w:tc>
          <w:tcPr>
            <w:tcW w:w="297" w:type="pct"/>
            <w:vAlign w:val="center"/>
          </w:tcPr>
          <w:p w14:paraId="1DF44FB2" w14:textId="77777777" w:rsidR="009F6AC8" w:rsidRPr="008C72E5" w:rsidRDefault="009F6AC8" w:rsidP="00B558B7">
            <w:pPr>
              <w:pStyle w:val="TekstTabeli"/>
            </w:pPr>
            <w:r w:rsidRPr="008C72E5">
              <w:t>403</w:t>
            </w:r>
          </w:p>
        </w:tc>
        <w:tc>
          <w:tcPr>
            <w:tcW w:w="880" w:type="pct"/>
            <w:vAlign w:val="center"/>
          </w:tcPr>
          <w:p w14:paraId="40A220B4" w14:textId="77777777" w:rsidR="009F6AC8" w:rsidRPr="008C72E5" w:rsidRDefault="009F6AC8" w:rsidP="00B558B7">
            <w:pPr>
              <w:pStyle w:val="TekstTabeli"/>
            </w:pPr>
            <w:r w:rsidRPr="008C72E5">
              <w:t>O’Dea X.</w:t>
            </w:r>
          </w:p>
        </w:tc>
        <w:tc>
          <w:tcPr>
            <w:tcW w:w="1771" w:type="pct"/>
            <w:vAlign w:val="center"/>
          </w:tcPr>
          <w:p w14:paraId="26CD6658" w14:textId="77777777" w:rsidR="009F6AC8" w:rsidRPr="008C72E5" w:rsidRDefault="009F6AC8" w:rsidP="00B558B7">
            <w:pPr>
              <w:pStyle w:val="TekstTabeli"/>
            </w:pPr>
            <w:r w:rsidRPr="008C72E5">
              <w:t>Enhancing a sense of academic and social belongingness of Chinese direct-entry students in the post-Covid era: a UK context</w:t>
            </w:r>
          </w:p>
        </w:tc>
        <w:tc>
          <w:tcPr>
            <w:tcW w:w="2052" w:type="pct"/>
            <w:vAlign w:val="center"/>
          </w:tcPr>
          <w:p w14:paraId="30DC065A" w14:textId="77777777" w:rsidR="009F6AC8" w:rsidRPr="008C72E5" w:rsidRDefault="009F6AC8" w:rsidP="00B558B7">
            <w:pPr>
              <w:pStyle w:val="TekstTabeli"/>
            </w:pPr>
            <w:r w:rsidRPr="008C72E5">
              <w:t>(2023) Perspectives: Policy and Practice in Higher Education, DOI: 10.1080/13603108.2023.2255838</w:t>
            </w:r>
          </w:p>
        </w:tc>
      </w:tr>
      <w:tr w:rsidR="00C4329A" w:rsidRPr="004C10DC" w14:paraId="1151A77A" w14:textId="77777777" w:rsidTr="00C4329A">
        <w:trPr>
          <w:cantSplit/>
        </w:trPr>
        <w:tc>
          <w:tcPr>
            <w:tcW w:w="297" w:type="pct"/>
            <w:vAlign w:val="center"/>
          </w:tcPr>
          <w:p w14:paraId="2091B0E1" w14:textId="77777777" w:rsidR="009F6AC8" w:rsidRPr="008C72E5" w:rsidRDefault="009F6AC8" w:rsidP="00B558B7">
            <w:pPr>
              <w:pStyle w:val="TekstTabeli"/>
            </w:pPr>
            <w:r w:rsidRPr="008C72E5">
              <w:t>404</w:t>
            </w:r>
          </w:p>
        </w:tc>
        <w:tc>
          <w:tcPr>
            <w:tcW w:w="880" w:type="pct"/>
            <w:vAlign w:val="center"/>
          </w:tcPr>
          <w:p w14:paraId="103B6B67" w14:textId="77777777" w:rsidR="009F6AC8" w:rsidRPr="008C72E5" w:rsidRDefault="009F6AC8" w:rsidP="00B558B7">
            <w:pPr>
              <w:pStyle w:val="TekstTabeli"/>
            </w:pPr>
            <w:r w:rsidRPr="008C72E5">
              <w:t>Son-Turan S.</w:t>
            </w:r>
          </w:p>
        </w:tc>
        <w:tc>
          <w:tcPr>
            <w:tcW w:w="1771" w:type="pct"/>
            <w:vAlign w:val="center"/>
          </w:tcPr>
          <w:p w14:paraId="529402B8" w14:textId="77777777" w:rsidR="009F6AC8" w:rsidRPr="008C72E5" w:rsidRDefault="009F6AC8" w:rsidP="00B558B7">
            <w:pPr>
              <w:pStyle w:val="TekstTabeli"/>
            </w:pPr>
            <w:r w:rsidRPr="008C72E5">
              <w:t>Tokenization and NFTs: A Tokenized Income Sharing Model for Higher Education as a Potential Solution for Student Debt in the USA</w:t>
            </w:r>
          </w:p>
        </w:tc>
        <w:tc>
          <w:tcPr>
            <w:tcW w:w="2052" w:type="pct"/>
            <w:vAlign w:val="center"/>
          </w:tcPr>
          <w:p w14:paraId="13391E72" w14:textId="77777777" w:rsidR="009F6AC8" w:rsidRPr="008C72E5" w:rsidRDefault="009F6AC8" w:rsidP="00B558B7">
            <w:pPr>
              <w:pStyle w:val="TekstTabeli"/>
            </w:pPr>
            <w:r w:rsidRPr="008C72E5">
              <w:t>(2023) Contributions to Finance and Accounting, Part F1238, pp. 145 - 158, DOI: 10.1007/978-3-031-30069-1_9</w:t>
            </w:r>
          </w:p>
        </w:tc>
      </w:tr>
      <w:tr w:rsidR="00C4329A" w:rsidRPr="004C10DC" w14:paraId="25D66E59" w14:textId="77777777" w:rsidTr="00C4329A">
        <w:trPr>
          <w:cantSplit/>
        </w:trPr>
        <w:tc>
          <w:tcPr>
            <w:tcW w:w="297" w:type="pct"/>
            <w:vAlign w:val="center"/>
          </w:tcPr>
          <w:p w14:paraId="04929F4F" w14:textId="77777777" w:rsidR="009F6AC8" w:rsidRPr="008C72E5" w:rsidRDefault="009F6AC8" w:rsidP="00B558B7">
            <w:pPr>
              <w:pStyle w:val="TekstTabeli"/>
            </w:pPr>
            <w:r w:rsidRPr="008C72E5">
              <w:t>405</w:t>
            </w:r>
          </w:p>
        </w:tc>
        <w:tc>
          <w:tcPr>
            <w:tcW w:w="880" w:type="pct"/>
            <w:vAlign w:val="center"/>
          </w:tcPr>
          <w:p w14:paraId="07F63EB8" w14:textId="77777777" w:rsidR="009F6AC8" w:rsidRPr="008C72E5" w:rsidRDefault="009F6AC8" w:rsidP="00B558B7">
            <w:pPr>
              <w:pStyle w:val="TekstTabeli"/>
            </w:pPr>
            <w:r w:rsidRPr="008C72E5">
              <w:t>Musiał K.</w:t>
            </w:r>
          </w:p>
        </w:tc>
        <w:tc>
          <w:tcPr>
            <w:tcW w:w="1771" w:type="pct"/>
            <w:vAlign w:val="center"/>
          </w:tcPr>
          <w:p w14:paraId="0CD0C1FC" w14:textId="77777777" w:rsidR="009F6AC8" w:rsidRPr="008C72E5" w:rsidRDefault="009F6AC8" w:rsidP="00B558B7">
            <w:pPr>
              <w:pStyle w:val="TekstTabeli"/>
            </w:pPr>
            <w:r w:rsidRPr="008C72E5">
              <w:t xml:space="preserve">Internationalization as myth, ceremony and doxa in higher education. The case of the Nordic countries between </w:t>
            </w:r>
            <w:proofErr w:type="spellStart"/>
            <w:r w:rsidRPr="008C72E5">
              <w:t>centre</w:t>
            </w:r>
            <w:proofErr w:type="spellEnd"/>
            <w:r w:rsidRPr="008C72E5">
              <w:t xml:space="preserve"> and periphery</w:t>
            </w:r>
          </w:p>
        </w:tc>
        <w:tc>
          <w:tcPr>
            <w:tcW w:w="2052" w:type="pct"/>
            <w:vAlign w:val="center"/>
          </w:tcPr>
          <w:p w14:paraId="3FAE894F" w14:textId="77777777" w:rsidR="009F6AC8" w:rsidRPr="008C72E5" w:rsidRDefault="009F6AC8" w:rsidP="00B558B7">
            <w:pPr>
              <w:pStyle w:val="TekstTabeli"/>
            </w:pPr>
            <w:r w:rsidRPr="008C72E5">
              <w:t>(2023) Nordic Journal of Studies in Educational Policy, 9 (1), pp. 20 - 36, DOI: 10.1080/20020317.2023.2166344</w:t>
            </w:r>
          </w:p>
        </w:tc>
      </w:tr>
      <w:tr w:rsidR="00C4329A" w:rsidRPr="004C10DC" w14:paraId="2AAB06BF" w14:textId="77777777" w:rsidTr="00C4329A">
        <w:trPr>
          <w:cantSplit/>
        </w:trPr>
        <w:tc>
          <w:tcPr>
            <w:tcW w:w="297" w:type="pct"/>
            <w:vAlign w:val="center"/>
          </w:tcPr>
          <w:p w14:paraId="2E540D39" w14:textId="77777777" w:rsidR="009F6AC8" w:rsidRPr="008C72E5" w:rsidRDefault="009F6AC8" w:rsidP="00B558B7">
            <w:pPr>
              <w:pStyle w:val="TekstTabeli"/>
            </w:pPr>
            <w:r w:rsidRPr="008C72E5">
              <w:lastRenderedPageBreak/>
              <w:t>406</w:t>
            </w:r>
          </w:p>
        </w:tc>
        <w:tc>
          <w:tcPr>
            <w:tcW w:w="880" w:type="pct"/>
            <w:vAlign w:val="center"/>
          </w:tcPr>
          <w:p w14:paraId="698C02B8" w14:textId="2936687F" w:rsidR="009F6AC8" w:rsidRPr="008C72E5" w:rsidRDefault="009F6AC8" w:rsidP="00B558B7">
            <w:pPr>
              <w:pStyle w:val="TekstTabeli"/>
            </w:pPr>
            <w:proofErr w:type="spellStart"/>
            <w:r w:rsidRPr="008C72E5">
              <w:t>Ghofrani</w:t>
            </w:r>
            <w:proofErr w:type="spellEnd"/>
            <w:r w:rsidRPr="008C72E5">
              <w:t xml:space="preserve"> M., Valizadeh L., </w:t>
            </w:r>
            <w:proofErr w:type="spellStart"/>
            <w:r w:rsidR="00705110" w:rsidRPr="008C72E5">
              <w:rPr>
                <w:lang w:val="en-GB"/>
              </w:rPr>
              <w:t>i</w:t>
            </w:r>
            <w:proofErr w:type="spellEnd"/>
            <w:r w:rsidR="00705110" w:rsidRPr="008C72E5">
              <w:rPr>
                <w:lang w:val="en-GB"/>
              </w:rPr>
              <w:t> in.</w:t>
            </w:r>
          </w:p>
        </w:tc>
        <w:tc>
          <w:tcPr>
            <w:tcW w:w="1771" w:type="pct"/>
            <w:vAlign w:val="center"/>
          </w:tcPr>
          <w:p w14:paraId="3B5143D5" w14:textId="77777777" w:rsidR="009F6AC8" w:rsidRPr="008C72E5" w:rsidRDefault="009F6AC8" w:rsidP="00B558B7">
            <w:pPr>
              <w:pStyle w:val="TekstTabeli"/>
            </w:pPr>
            <w:r w:rsidRPr="008C72E5">
              <w:t>What should be measured? Nursing education institutions performance: A qualitative study</w:t>
            </w:r>
          </w:p>
        </w:tc>
        <w:tc>
          <w:tcPr>
            <w:tcW w:w="2052" w:type="pct"/>
            <w:vAlign w:val="center"/>
          </w:tcPr>
          <w:p w14:paraId="37A406F0" w14:textId="77777777" w:rsidR="009F6AC8" w:rsidRPr="008C72E5" w:rsidRDefault="009F6AC8" w:rsidP="00B558B7">
            <w:pPr>
              <w:pStyle w:val="TekstTabeli"/>
            </w:pPr>
            <w:r w:rsidRPr="008C72E5">
              <w:t>(2022) BMJ Open, 12 (12), art. no. e063114, DOI: 10.1136/bmjopen-2022-063114</w:t>
            </w:r>
          </w:p>
        </w:tc>
      </w:tr>
      <w:tr w:rsidR="00C4329A" w:rsidRPr="004C10DC" w14:paraId="2FDA1DDA" w14:textId="77777777" w:rsidTr="00C4329A">
        <w:trPr>
          <w:cantSplit/>
        </w:trPr>
        <w:tc>
          <w:tcPr>
            <w:tcW w:w="297" w:type="pct"/>
            <w:vAlign w:val="center"/>
          </w:tcPr>
          <w:p w14:paraId="7E2E93E4" w14:textId="77777777" w:rsidR="009F6AC8" w:rsidRPr="008C72E5" w:rsidRDefault="009F6AC8" w:rsidP="00B558B7">
            <w:pPr>
              <w:pStyle w:val="TekstTabeli"/>
            </w:pPr>
            <w:r w:rsidRPr="008C72E5">
              <w:t>407</w:t>
            </w:r>
          </w:p>
        </w:tc>
        <w:tc>
          <w:tcPr>
            <w:tcW w:w="880" w:type="pct"/>
            <w:vAlign w:val="center"/>
          </w:tcPr>
          <w:p w14:paraId="5BEC8F1B" w14:textId="77777777" w:rsidR="009F6AC8" w:rsidRPr="008C72E5" w:rsidRDefault="009F6AC8" w:rsidP="00B558B7">
            <w:pPr>
              <w:pStyle w:val="TekstTabeli"/>
            </w:pPr>
            <w:r w:rsidRPr="008C72E5">
              <w:t>Pantoja M.A., Rodríguez M.P., Carrión A.</w:t>
            </w:r>
          </w:p>
        </w:tc>
        <w:tc>
          <w:tcPr>
            <w:tcW w:w="1771" w:type="pct"/>
            <w:vAlign w:val="center"/>
          </w:tcPr>
          <w:p w14:paraId="1D3AF3A0" w14:textId="77777777" w:rsidR="009F6AC8" w:rsidRPr="008C72E5" w:rsidRDefault="009F6AC8" w:rsidP="00B558B7">
            <w:pPr>
              <w:pStyle w:val="TekstTabeli"/>
            </w:pPr>
            <w:r w:rsidRPr="008C72E5">
              <w:t>Assessing university stakeholders attributes: A participative leadership approach</w:t>
            </w:r>
          </w:p>
        </w:tc>
        <w:tc>
          <w:tcPr>
            <w:tcW w:w="2052" w:type="pct"/>
            <w:vAlign w:val="center"/>
          </w:tcPr>
          <w:p w14:paraId="79A0FB6B" w14:textId="77777777" w:rsidR="009F6AC8" w:rsidRPr="008C72E5" w:rsidRDefault="009F6AC8" w:rsidP="00B558B7">
            <w:pPr>
              <w:pStyle w:val="TekstTabeli"/>
            </w:pPr>
            <w:r w:rsidRPr="008C72E5">
              <w:t>(2016) Modeling Human Behavior: Individuals and Organizations, pp. 49 - 56, 0</w:t>
            </w:r>
          </w:p>
        </w:tc>
      </w:tr>
      <w:tr w:rsidR="00C4329A" w:rsidRPr="004C10DC" w14:paraId="664E1094" w14:textId="77777777" w:rsidTr="00C4329A">
        <w:trPr>
          <w:cantSplit/>
        </w:trPr>
        <w:tc>
          <w:tcPr>
            <w:tcW w:w="297" w:type="pct"/>
            <w:vAlign w:val="center"/>
          </w:tcPr>
          <w:p w14:paraId="5DB7EFE9" w14:textId="77777777" w:rsidR="009F6AC8" w:rsidRPr="008C72E5" w:rsidRDefault="009F6AC8" w:rsidP="00B558B7">
            <w:pPr>
              <w:pStyle w:val="TekstTabeli"/>
            </w:pPr>
            <w:r w:rsidRPr="008C72E5">
              <w:t>408</w:t>
            </w:r>
          </w:p>
        </w:tc>
        <w:tc>
          <w:tcPr>
            <w:tcW w:w="880" w:type="pct"/>
            <w:vAlign w:val="center"/>
          </w:tcPr>
          <w:p w14:paraId="747BB4ED" w14:textId="657B2AC4" w:rsidR="009F6AC8" w:rsidRPr="008C72E5" w:rsidRDefault="009F6AC8" w:rsidP="00B558B7">
            <w:pPr>
              <w:pStyle w:val="TekstTabeli"/>
            </w:pPr>
            <w:r w:rsidRPr="008C72E5">
              <w:t xml:space="preserve">Lowe K.A., Cummins L., </w:t>
            </w:r>
            <w:proofErr w:type="spellStart"/>
            <w:r w:rsidR="00705110" w:rsidRPr="008C72E5">
              <w:t>i</w:t>
            </w:r>
            <w:proofErr w:type="spellEnd"/>
            <w:r w:rsidR="00705110" w:rsidRPr="008C72E5">
              <w:t> in.</w:t>
            </w:r>
          </w:p>
        </w:tc>
        <w:tc>
          <w:tcPr>
            <w:tcW w:w="1771" w:type="pct"/>
            <w:vAlign w:val="center"/>
          </w:tcPr>
          <w:p w14:paraId="48D8EEE5" w14:textId="77777777" w:rsidR="009F6AC8" w:rsidRPr="008C72E5" w:rsidRDefault="009F6AC8" w:rsidP="00B558B7">
            <w:pPr>
              <w:pStyle w:val="TekstTabeli"/>
            </w:pPr>
            <w:r w:rsidRPr="008C72E5">
              <w:t>STUDENT-LED PEER REVIEW: A Practical Guide to Implementation Across Disciplines and Modalities</w:t>
            </w:r>
          </w:p>
        </w:tc>
        <w:tc>
          <w:tcPr>
            <w:tcW w:w="2052" w:type="pct"/>
            <w:vAlign w:val="center"/>
          </w:tcPr>
          <w:p w14:paraId="45519857" w14:textId="77777777" w:rsidR="009F6AC8" w:rsidRPr="008C72E5" w:rsidRDefault="009F6AC8" w:rsidP="00B558B7">
            <w:pPr>
              <w:pStyle w:val="TekstTabeli"/>
            </w:pPr>
            <w:r w:rsidRPr="008C72E5">
              <w:t>(2023) Student-Led Peer Review: a Practical Guide to Implementation across Disciplines and Modalities, pp. 1 - 152, DOI: 10.4324/9781003447221</w:t>
            </w:r>
          </w:p>
        </w:tc>
      </w:tr>
      <w:tr w:rsidR="00C4329A" w:rsidRPr="004C10DC" w14:paraId="07633043" w14:textId="77777777" w:rsidTr="00C4329A">
        <w:trPr>
          <w:cantSplit/>
        </w:trPr>
        <w:tc>
          <w:tcPr>
            <w:tcW w:w="297" w:type="pct"/>
            <w:vAlign w:val="center"/>
          </w:tcPr>
          <w:p w14:paraId="5BDEE8D6" w14:textId="77777777" w:rsidR="009F6AC8" w:rsidRPr="008C72E5" w:rsidRDefault="009F6AC8" w:rsidP="00B558B7">
            <w:pPr>
              <w:pStyle w:val="TekstTabeli"/>
            </w:pPr>
            <w:r w:rsidRPr="008C72E5">
              <w:t>409</w:t>
            </w:r>
          </w:p>
        </w:tc>
        <w:tc>
          <w:tcPr>
            <w:tcW w:w="880" w:type="pct"/>
            <w:vAlign w:val="center"/>
          </w:tcPr>
          <w:p w14:paraId="1197493D" w14:textId="10F75B48" w:rsidR="009F6AC8" w:rsidRPr="008C72E5" w:rsidRDefault="009F6AC8" w:rsidP="00B558B7">
            <w:pPr>
              <w:pStyle w:val="TekstTabeli"/>
            </w:pPr>
            <w:r w:rsidRPr="008C72E5">
              <w:t xml:space="preserve">Muhamad S., </w:t>
            </w:r>
            <w:proofErr w:type="spellStart"/>
            <w:r w:rsidRPr="008C72E5">
              <w:t>Kusairi</w:t>
            </w:r>
            <w:proofErr w:type="spellEnd"/>
            <w:r w:rsidRPr="008C72E5">
              <w:t xml:space="preserve"> S., </w:t>
            </w:r>
            <w:proofErr w:type="spellStart"/>
            <w:r w:rsidR="00705110" w:rsidRPr="008C72E5">
              <w:t>i</w:t>
            </w:r>
            <w:proofErr w:type="spellEnd"/>
            <w:r w:rsidR="00705110" w:rsidRPr="008C72E5">
              <w:t> in.</w:t>
            </w:r>
          </w:p>
        </w:tc>
        <w:tc>
          <w:tcPr>
            <w:tcW w:w="1771" w:type="pct"/>
            <w:vAlign w:val="center"/>
          </w:tcPr>
          <w:p w14:paraId="73E1676C" w14:textId="77777777" w:rsidR="009F6AC8" w:rsidRPr="008C72E5" w:rsidRDefault="009F6AC8" w:rsidP="00B558B7">
            <w:pPr>
              <w:pStyle w:val="TekstTabeli"/>
            </w:pPr>
            <w:r w:rsidRPr="008C72E5">
              <w:t>Economic and social impact of Malaysian higher education: stakeholders' perspectives</w:t>
            </w:r>
          </w:p>
        </w:tc>
        <w:tc>
          <w:tcPr>
            <w:tcW w:w="2052" w:type="pct"/>
            <w:vAlign w:val="center"/>
          </w:tcPr>
          <w:p w14:paraId="29499844" w14:textId="77777777" w:rsidR="009F6AC8" w:rsidRPr="008C72E5" w:rsidRDefault="009F6AC8" w:rsidP="00B558B7">
            <w:pPr>
              <w:pStyle w:val="TekstTabeli"/>
            </w:pPr>
            <w:r w:rsidRPr="008C72E5">
              <w:t>(2022) Journal of Applied Research in Higher Education, 14 (4), pp. 1623 - 1636, DOI: 10.1108/JARHE-11-2020-0396</w:t>
            </w:r>
          </w:p>
        </w:tc>
      </w:tr>
      <w:tr w:rsidR="00C4329A" w:rsidRPr="004C10DC" w14:paraId="209356D1" w14:textId="77777777" w:rsidTr="00C4329A">
        <w:trPr>
          <w:cantSplit/>
        </w:trPr>
        <w:tc>
          <w:tcPr>
            <w:tcW w:w="297" w:type="pct"/>
            <w:vAlign w:val="center"/>
          </w:tcPr>
          <w:p w14:paraId="033F3FBA" w14:textId="77777777" w:rsidR="009F6AC8" w:rsidRPr="008C72E5" w:rsidRDefault="009F6AC8" w:rsidP="00B558B7">
            <w:pPr>
              <w:pStyle w:val="TekstTabeli"/>
            </w:pPr>
            <w:r w:rsidRPr="008C72E5">
              <w:t>410</w:t>
            </w:r>
          </w:p>
        </w:tc>
        <w:tc>
          <w:tcPr>
            <w:tcW w:w="880" w:type="pct"/>
            <w:vAlign w:val="center"/>
          </w:tcPr>
          <w:p w14:paraId="2C7C7DB1" w14:textId="77777777" w:rsidR="009F6AC8" w:rsidRPr="008C72E5" w:rsidRDefault="009F6AC8" w:rsidP="00B558B7">
            <w:pPr>
              <w:pStyle w:val="TekstTabeli"/>
            </w:pPr>
            <w:r w:rsidRPr="008C72E5">
              <w:t>Handke S.</w:t>
            </w:r>
          </w:p>
        </w:tc>
        <w:tc>
          <w:tcPr>
            <w:tcW w:w="1771" w:type="pct"/>
            <w:vAlign w:val="center"/>
          </w:tcPr>
          <w:p w14:paraId="3EEEAED8" w14:textId="77777777" w:rsidR="009F6AC8" w:rsidRPr="008C72E5" w:rsidRDefault="009F6AC8" w:rsidP="00B558B7">
            <w:pPr>
              <w:pStyle w:val="TekstTabeli"/>
            </w:pPr>
            <w:r w:rsidRPr="008C72E5">
              <w:t>Accreditation agencies in the European Higher Education Area: Nonprofit business models, competition and survival</w:t>
            </w:r>
          </w:p>
        </w:tc>
        <w:tc>
          <w:tcPr>
            <w:tcW w:w="2052" w:type="pct"/>
            <w:vAlign w:val="center"/>
          </w:tcPr>
          <w:p w14:paraId="65B66025" w14:textId="77777777" w:rsidR="009F6AC8" w:rsidRPr="008C72E5" w:rsidRDefault="009F6AC8" w:rsidP="00B558B7">
            <w:pPr>
              <w:pStyle w:val="TekstTabeli"/>
            </w:pPr>
            <w:r w:rsidRPr="008C72E5">
              <w:t>(2023) Accreditation Agencies in the European Higher Education Area: Nonprofit Business Models, Competition and Survival, pp. 1 - 162, DOI: 10.4337/9781800881259</w:t>
            </w:r>
          </w:p>
        </w:tc>
      </w:tr>
      <w:tr w:rsidR="00C4329A" w:rsidRPr="004C10DC" w14:paraId="38FD20C5" w14:textId="77777777" w:rsidTr="00C4329A">
        <w:trPr>
          <w:cantSplit/>
        </w:trPr>
        <w:tc>
          <w:tcPr>
            <w:tcW w:w="297" w:type="pct"/>
            <w:vAlign w:val="center"/>
          </w:tcPr>
          <w:p w14:paraId="4F764E91" w14:textId="77777777" w:rsidR="009F6AC8" w:rsidRPr="008C72E5" w:rsidRDefault="009F6AC8" w:rsidP="00B558B7">
            <w:pPr>
              <w:pStyle w:val="TekstTabeli"/>
            </w:pPr>
            <w:r w:rsidRPr="008C72E5">
              <w:t>411</w:t>
            </w:r>
          </w:p>
        </w:tc>
        <w:tc>
          <w:tcPr>
            <w:tcW w:w="880" w:type="pct"/>
            <w:vAlign w:val="center"/>
          </w:tcPr>
          <w:p w14:paraId="08B0E4D3" w14:textId="77777777" w:rsidR="009F6AC8" w:rsidRPr="008C72E5" w:rsidRDefault="009F6AC8" w:rsidP="00B558B7">
            <w:pPr>
              <w:pStyle w:val="TekstTabeli"/>
            </w:pPr>
            <w:proofErr w:type="spellStart"/>
            <w:r w:rsidRPr="008C72E5">
              <w:t>Premawardhena</w:t>
            </w:r>
            <w:proofErr w:type="spellEnd"/>
            <w:r w:rsidRPr="008C72E5">
              <w:t xml:space="preserve"> N.C., Saleh A., </w:t>
            </w:r>
            <w:proofErr w:type="spellStart"/>
            <w:r w:rsidRPr="008C72E5">
              <w:t>Kurtishi</w:t>
            </w:r>
            <w:proofErr w:type="spellEnd"/>
            <w:r w:rsidRPr="008C72E5">
              <w:t xml:space="preserve"> A.</w:t>
            </w:r>
          </w:p>
        </w:tc>
        <w:tc>
          <w:tcPr>
            <w:tcW w:w="1771" w:type="pct"/>
            <w:vAlign w:val="center"/>
          </w:tcPr>
          <w:p w14:paraId="05472575" w14:textId="77777777" w:rsidR="009F6AC8" w:rsidRPr="008C72E5" w:rsidRDefault="009F6AC8" w:rsidP="00B558B7">
            <w:pPr>
              <w:pStyle w:val="TekstTabeli"/>
            </w:pPr>
            <w:r w:rsidRPr="008C72E5">
              <w:t>Building a Digital Bridge Across Cultures and Continents: Exploring New Vistas in Virtual Collaboration</w:t>
            </w:r>
          </w:p>
        </w:tc>
        <w:tc>
          <w:tcPr>
            <w:tcW w:w="2052" w:type="pct"/>
            <w:vAlign w:val="center"/>
          </w:tcPr>
          <w:p w14:paraId="1574B2D4" w14:textId="77777777" w:rsidR="009F6AC8" w:rsidRPr="008C72E5" w:rsidRDefault="009F6AC8" w:rsidP="00B558B7">
            <w:pPr>
              <w:pStyle w:val="TekstTabeli"/>
            </w:pPr>
            <w:r w:rsidRPr="008C72E5">
              <w:t>(2023) Lecture Notes in Networks and Systems, 634 LNNS, pp. 757 - 768, DOI: 10.1007/978-3-031-26190-9_79</w:t>
            </w:r>
          </w:p>
        </w:tc>
      </w:tr>
      <w:tr w:rsidR="00C4329A" w:rsidRPr="004C10DC" w14:paraId="737D68CD" w14:textId="77777777" w:rsidTr="00C4329A">
        <w:trPr>
          <w:cantSplit/>
        </w:trPr>
        <w:tc>
          <w:tcPr>
            <w:tcW w:w="297" w:type="pct"/>
            <w:vAlign w:val="center"/>
          </w:tcPr>
          <w:p w14:paraId="61DEF06B" w14:textId="77777777" w:rsidR="009F6AC8" w:rsidRPr="008C72E5" w:rsidRDefault="009F6AC8" w:rsidP="00B558B7">
            <w:pPr>
              <w:pStyle w:val="TekstTabeli"/>
            </w:pPr>
            <w:r w:rsidRPr="008C72E5">
              <w:t>412</w:t>
            </w:r>
          </w:p>
        </w:tc>
        <w:tc>
          <w:tcPr>
            <w:tcW w:w="880" w:type="pct"/>
            <w:vAlign w:val="center"/>
          </w:tcPr>
          <w:p w14:paraId="40BA2452" w14:textId="77777777" w:rsidR="009F6AC8" w:rsidRPr="00D82766" w:rsidRDefault="009F6AC8" w:rsidP="00B558B7">
            <w:pPr>
              <w:pStyle w:val="TekstTabeli"/>
              <w:rPr>
                <w:lang w:val="pl-PL"/>
              </w:rPr>
            </w:pPr>
            <w:proofErr w:type="spellStart"/>
            <w:r w:rsidRPr="00D82766">
              <w:rPr>
                <w:lang w:val="pl-PL"/>
              </w:rPr>
              <w:t>Tacur</w:t>
            </w:r>
            <w:proofErr w:type="spellEnd"/>
            <w:r w:rsidRPr="00D82766">
              <w:rPr>
                <w:lang w:val="pl-PL"/>
              </w:rPr>
              <w:t xml:space="preserve"> N., </w:t>
            </w:r>
            <w:proofErr w:type="spellStart"/>
            <w:r w:rsidRPr="00D82766">
              <w:rPr>
                <w:lang w:val="pl-PL"/>
              </w:rPr>
              <w:t>Zinga</w:t>
            </w:r>
            <w:proofErr w:type="spellEnd"/>
            <w:r w:rsidRPr="00D82766">
              <w:rPr>
                <w:lang w:val="pl-PL"/>
              </w:rPr>
              <w:t xml:space="preserve"> D., Molnar D.</w:t>
            </w:r>
          </w:p>
        </w:tc>
        <w:tc>
          <w:tcPr>
            <w:tcW w:w="1771" w:type="pct"/>
            <w:vAlign w:val="center"/>
          </w:tcPr>
          <w:p w14:paraId="40102366" w14:textId="77777777" w:rsidR="009F6AC8" w:rsidRPr="008C72E5" w:rsidRDefault="009F6AC8" w:rsidP="00B558B7">
            <w:pPr>
              <w:pStyle w:val="TekstTabeli"/>
            </w:pPr>
            <w:r w:rsidRPr="008C72E5">
              <w:t>Sport, Art, or Both? Analyzing Perceptions of Competitive Dancers as Interuniversity Artists and Athletes</w:t>
            </w:r>
          </w:p>
        </w:tc>
        <w:tc>
          <w:tcPr>
            <w:tcW w:w="2052" w:type="pct"/>
            <w:vAlign w:val="center"/>
          </w:tcPr>
          <w:p w14:paraId="462AD014" w14:textId="77777777" w:rsidR="009F6AC8" w:rsidRPr="008C72E5" w:rsidRDefault="009F6AC8" w:rsidP="00B558B7">
            <w:pPr>
              <w:pStyle w:val="TekstTabeli"/>
            </w:pPr>
            <w:r w:rsidRPr="008C72E5">
              <w:t>(2023) International Journal of Sport and Society, 14 (2), pp. 101 - 123, DOI: 10.18848/2152-7857/CGP/v14i02/101-123</w:t>
            </w:r>
          </w:p>
        </w:tc>
      </w:tr>
      <w:tr w:rsidR="00C4329A" w:rsidRPr="004C10DC" w14:paraId="11FFABC9" w14:textId="77777777" w:rsidTr="00C4329A">
        <w:trPr>
          <w:cantSplit/>
        </w:trPr>
        <w:tc>
          <w:tcPr>
            <w:tcW w:w="297" w:type="pct"/>
            <w:vAlign w:val="center"/>
          </w:tcPr>
          <w:p w14:paraId="2D2A8300" w14:textId="77777777" w:rsidR="009F6AC8" w:rsidRPr="008C72E5" w:rsidRDefault="009F6AC8" w:rsidP="00B558B7">
            <w:pPr>
              <w:pStyle w:val="TekstTabeli"/>
            </w:pPr>
            <w:r w:rsidRPr="008C72E5">
              <w:t>413</w:t>
            </w:r>
          </w:p>
        </w:tc>
        <w:tc>
          <w:tcPr>
            <w:tcW w:w="880" w:type="pct"/>
            <w:vAlign w:val="center"/>
          </w:tcPr>
          <w:p w14:paraId="52F05AA9" w14:textId="77777777" w:rsidR="009F6AC8" w:rsidRPr="008C72E5" w:rsidRDefault="009F6AC8" w:rsidP="00B558B7">
            <w:pPr>
              <w:pStyle w:val="TekstTabeli"/>
            </w:pPr>
            <w:r w:rsidRPr="008C72E5">
              <w:t>Bickerdike A., Dinneen J., O' Neill C.</w:t>
            </w:r>
          </w:p>
        </w:tc>
        <w:tc>
          <w:tcPr>
            <w:tcW w:w="1771" w:type="pct"/>
            <w:vAlign w:val="center"/>
          </w:tcPr>
          <w:p w14:paraId="69D2E00E" w14:textId="77777777" w:rsidR="009F6AC8" w:rsidRPr="008C72E5" w:rsidRDefault="009F6AC8" w:rsidP="00B558B7">
            <w:pPr>
              <w:pStyle w:val="TekstTabeli"/>
            </w:pPr>
            <w:r w:rsidRPr="008C72E5">
              <w:t xml:space="preserve">Thriving or surviving: staff health metrics and lifestyle </w:t>
            </w:r>
            <w:proofErr w:type="spellStart"/>
            <w:r w:rsidRPr="008C72E5">
              <w:t>behaviours</w:t>
            </w:r>
            <w:proofErr w:type="spellEnd"/>
            <w:r w:rsidRPr="008C72E5">
              <w:t xml:space="preserve"> within an Irish higher education setting</w:t>
            </w:r>
          </w:p>
        </w:tc>
        <w:tc>
          <w:tcPr>
            <w:tcW w:w="2052" w:type="pct"/>
            <w:vAlign w:val="center"/>
          </w:tcPr>
          <w:p w14:paraId="59EA710B" w14:textId="77777777" w:rsidR="009F6AC8" w:rsidRPr="008C72E5" w:rsidRDefault="009F6AC8" w:rsidP="00B558B7">
            <w:pPr>
              <w:pStyle w:val="TekstTabeli"/>
            </w:pPr>
            <w:r w:rsidRPr="008C72E5">
              <w:t>(2022) International Journal of Workplace Health Management, 15 (2), pp. 193 - 214, DOI: 10.1108/IJWHM-02-2021-0033</w:t>
            </w:r>
          </w:p>
        </w:tc>
      </w:tr>
      <w:tr w:rsidR="00C4329A" w:rsidRPr="004C10DC" w14:paraId="0ECC6F7C" w14:textId="77777777" w:rsidTr="00C4329A">
        <w:trPr>
          <w:cantSplit/>
        </w:trPr>
        <w:tc>
          <w:tcPr>
            <w:tcW w:w="297" w:type="pct"/>
            <w:vAlign w:val="center"/>
          </w:tcPr>
          <w:p w14:paraId="186DEA01" w14:textId="77777777" w:rsidR="009F6AC8" w:rsidRPr="008C72E5" w:rsidRDefault="009F6AC8" w:rsidP="00B558B7">
            <w:pPr>
              <w:pStyle w:val="TekstTabeli"/>
            </w:pPr>
            <w:r w:rsidRPr="008C72E5">
              <w:t>414</w:t>
            </w:r>
          </w:p>
        </w:tc>
        <w:tc>
          <w:tcPr>
            <w:tcW w:w="880" w:type="pct"/>
            <w:vAlign w:val="center"/>
          </w:tcPr>
          <w:p w14:paraId="4BB6F3BE" w14:textId="77777777" w:rsidR="009F6AC8" w:rsidRPr="008C72E5" w:rsidRDefault="009F6AC8" w:rsidP="00B558B7">
            <w:pPr>
              <w:pStyle w:val="TekstTabeli"/>
            </w:pPr>
            <w:r w:rsidRPr="008C72E5">
              <w:t xml:space="preserve">Tassone V.C., </w:t>
            </w:r>
            <w:proofErr w:type="spellStart"/>
            <w:r w:rsidRPr="008C72E5">
              <w:t>Runhaar</w:t>
            </w:r>
            <w:proofErr w:type="spellEnd"/>
            <w:r w:rsidRPr="008C72E5">
              <w:t xml:space="preserve"> P., den Brok P., Biemans H.J.A.</w:t>
            </w:r>
          </w:p>
        </w:tc>
        <w:tc>
          <w:tcPr>
            <w:tcW w:w="1771" w:type="pct"/>
            <w:vAlign w:val="center"/>
          </w:tcPr>
          <w:p w14:paraId="44B18F86" w14:textId="77777777" w:rsidR="009F6AC8" w:rsidRPr="008C72E5" w:rsidRDefault="009F6AC8" w:rsidP="00B558B7">
            <w:pPr>
              <w:pStyle w:val="TekstTabeli"/>
            </w:pPr>
            <w:r w:rsidRPr="008C72E5">
              <w:t>The added value of exploring course innovations university-wide: an application of a multifaceted analytical course innovation framework</w:t>
            </w:r>
          </w:p>
        </w:tc>
        <w:tc>
          <w:tcPr>
            <w:tcW w:w="2052" w:type="pct"/>
            <w:vAlign w:val="center"/>
          </w:tcPr>
          <w:p w14:paraId="6ADBD6CD" w14:textId="77777777" w:rsidR="009F6AC8" w:rsidRPr="008C72E5" w:rsidRDefault="009F6AC8" w:rsidP="00B558B7">
            <w:pPr>
              <w:pStyle w:val="TekstTabeli"/>
            </w:pPr>
            <w:r w:rsidRPr="008C72E5">
              <w:t>(2023) Higher Education Research and Development, DOI: 10.1080/07294360.2023.2253171</w:t>
            </w:r>
          </w:p>
        </w:tc>
      </w:tr>
      <w:tr w:rsidR="00C4329A" w:rsidRPr="004C10DC" w14:paraId="2EAD7F76" w14:textId="77777777" w:rsidTr="00C4329A">
        <w:trPr>
          <w:cantSplit/>
        </w:trPr>
        <w:tc>
          <w:tcPr>
            <w:tcW w:w="297" w:type="pct"/>
            <w:vAlign w:val="center"/>
          </w:tcPr>
          <w:p w14:paraId="53DDA902" w14:textId="77777777" w:rsidR="009F6AC8" w:rsidRPr="008C72E5" w:rsidRDefault="009F6AC8" w:rsidP="00B558B7">
            <w:pPr>
              <w:pStyle w:val="TekstTabeli"/>
            </w:pPr>
            <w:r w:rsidRPr="008C72E5">
              <w:t>415</w:t>
            </w:r>
          </w:p>
        </w:tc>
        <w:tc>
          <w:tcPr>
            <w:tcW w:w="880" w:type="pct"/>
            <w:vAlign w:val="center"/>
          </w:tcPr>
          <w:p w14:paraId="79A99E12" w14:textId="77777777" w:rsidR="009F6AC8" w:rsidRPr="008C72E5" w:rsidRDefault="009F6AC8" w:rsidP="00B558B7">
            <w:pPr>
              <w:pStyle w:val="TekstTabeli"/>
            </w:pPr>
            <w:r w:rsidRPr="008C72E5">
              <w:t>Torrez M.A.</w:t>
            </w:r>
          </w:p>
        </w:tc>
        <w:tc>
          <w:tcPr>
            <w:tcW w:w="1771" w:type="pct"/>
            <w:vAlign w:val="center"/>
          </w:tcPr>
          <w:p w14:paraId="7B220B67" w14:textId="7A1E7E49" w:rsidR="009F6AC8" w:rsidRPr="008C72E5" w:rsidRDefault="00705110" w:rsidP="00B558B7">
            <w:pPr>
              <w:pStyle w:val="TekstTabeli"/>
            </w:pPr>
            <w:r w:rsidRPr="008C72E5">
              <w:t>Diversity Among Today’s College Students</w:t>
            </w:r>
          </w:p>
        </w:tc>
        <w:tc>
          <w:tcPr>
            <w:tcW w:w="2052" w:type="pct"/>
            <w:vAlign w:val="center"/>
          </w:tcPr>
          <w:p w14:paraId="641C59CA" w14:textId="77777777" w:rsidR="009F6AC8" w:rsidRPr="008C72E5" w:rsidRDefault="009F6AC8" w:rsidP="00B558B7">
            <w:pPr>
              <w:pStyle w:val="TekstTabeli"/>
            </w:pPr>
            <w:r w:rsidRPr="008C72E5">
              <w:t>(2022) Multiple Perspectives on College Students: Needs, Challenges, and Opportunities, pp. 33 - 45, DOI: 10.4324/9780429319471-3</w:t>
            </w:r>
          </w:p>
        </w:tc>
      </w:tr>
      <w:tr w:rsidR="00C4329A" w:rsidRPr="004C10DC" w14:paraId="58F95D7B" w14:textId="77777777" w:rsidTr="00C4329A">
        <w:trPr>
          <w:cantSplit/>
        </w:trPr>
        <w:tc>
          <w:tcPr>
            <w:tcW w:w="297" w:type="pct"/>
            <w:vAlign w:val="center"/>
          </w:tcPr>
          <w:p w14:paraId="50FFACFB" w14:textId="77777777" w:rsidR="009F6AC8" w:rsidRPr="008C72E5" w:rsidRDefault="009F6AC8" w:rsidP="00B558B7">
            <w:pPr>
              <w:pStyle w:val="TekstTabeli"/>
            </w:pPr>
            <w:r w:rsidRPr="008C72E5">
              <w:t>416</w:t>
            </w:r>
          </w:p>
        </w:tc>
        <w:tc>
          <w:tcPr>
            <w:tcW w:w="880" w:type="pct"/>
            <w:vAlign w:val="center"/>
          </w:tcPr>
          <w:p w14:paraId="7B9BEE39" w14:textId="77777777" w:rsidR="009F6AC8" w:rsidRPr="008C72E5" w:rsidRDefault="009F6AC8" w:rsidP="00B558B7">
            <w:pPr>
              <w:pStyle w:val="TekstTabeli"/>
            </w:pPr>
            <w:proofErr w:type="spellStart"/>
            <w:r w:rsidRPr="008C72E5">
              <w:t>Özdiyar</w:t>
            </w:r>
            <w:proofErr w:type="spellEnd"/>
            <w:r w:rsidRPr="008C72E5">
              <w:t xml:space="preserve"> Ö., Demirkaya A.S.</w:t>
            </w:r>
          </w:p>
        </w:tc>
        <w:tc>
          <w:tcPr>
            <w:tcW w:w="1771" w:type="pct"/>
            <w:vAlign w:val="center"/>
          </w:tcPr>
          <w:p w14:paraId="280F0721" w14:textId="77777777" w:rsidR="009F6AC8" w:rsidRPr="008C72E5" w:rsidRDefault="009F6AC8" w:rsidP="00B558B7">
            <w:pPr>
              <w:pStyle w:val="TekstTabeli"/>
            </w:pPr>
            <w:r w:rsidRPr="008C72E5">
              <w:t>The COVID-19 Pandemic and Transformation of Distance Education: Web 2.0 in Higher Education</w:t>
            </w:r>
          </w:p>
        </w:tc>
        <w:tc>
          <w:tcPr>
            <w:tcW w:w="2052" w:type="pct"/>
            <w:vAlign w:val="center"/>
          </w:tcPr>
          <w:p w14:paraId="639151BB" w14:textId="77777777" w:rsidR="009F6AC8" w:rsidRPr="008C72E5" w:rsidRDefault="009F6AC8" w:rsidP="00B558B7">
            <w:pPr>
              <w:pStyle w:val="TekstTabeli"/>
            </w:pPr>
            <w:r w:rsidRPr="008C72E5">
              <w:t>(2022) Beyond COVID-19: Multidisciplinary Approaches and Outcomes on Diverse Fields, pp. 277 - 292, DOI: 10.1142/9781800611450_0015</w:t>
            </w:r>
          </w:p>
        </w:tc>
      </w:tr>
      <w:tr w:rsidR="00C4329A" w:rsidRPr="004C10DC" w14:paraId="56349851" w14:textId="77777777" w:rsidTr="00C4329A">
        <w:trPr>
          <w:cantSplit/>
        </w:trPr>
        <w:tc>
          <w:tcPr>
            <w:tcW w:w="297" w:type="pct"/>
            <w:vAlign w:val="center"/>
          </w:tcPr>
          <w:p w14:paraId="71841CC2" w14:textId="77777777" w:rsidR="009F6AC8" w:rsidRPr="008C72E5" w:rsidRDefault="009F6AC8" w:rsidP="00B558B7">
            <w:pPr>
              <w:pStyle w:val="TekstTabeli"/>
            </w:pPr>
            <w:r w:rsidRPr="008C72E5">
              <w:t>417</w:t>
            </w:r>
          </w:p>
        </w:tc>
        <w:tc>
          <w:tcPr>
            <w:tcW w:w="880" w:type="pct"/>
            <w:vAlign w:val="center"/>
          </w:tcPr>
          <w:p w14:paraId="74503FF3" w14:textId="77777777" w:rsidR="009F6AC8" w:rsidRPr="008C72E5" w:rsidRDefault="009F6AC8" w:rsidP="00B558B7">
            <w:pPr>
              <w:pStyle w:val="TekstTabeli"/>
            </w:pPr>
            <w:r w:rsidRPr="008C72E5">
              <w:t>de la Torre R., Calleja G., Erro-</w:t>
            </w:r>
            <w:proofErr w:type="spellStart"/>
            <w:r w:rsidRPr="008C72E5">
              <w:t>Garcés</w:t>
            </w:r>
            <w:proofErr w:type="spellEnd"/>
            <w:r w:rsidRPr="008C72E5">
              <w:t xml:space="preserve"> A.</w:t>
            </w:r>
          </w:p>
        </w:tc>
        <w:tc>
          <w:tcPr>
            <w:tcW w:w="1771" w:type="pct"/>
            <w:vAlign w:val="center"/>
          </w:tcPr>
          <w:p w14:paraId="45B248AF" w14:textId="77777777" w:rsidR="009F6AC8" w:rsidRPr="008C72E5" w:rsidRDefault="009F6AC8" w:rsidP="00B558B7">
            <w:pPr>
              <w:pStyle w:val="TekstTabeli"/>
            </w:pPr>
            <w:r w:rsidRPr="008C72E5">
              <w:t>Pushing limits in higher education: inclusion services’ perspectives on supporting students with learning disabilities in Spanish universities</w:t>
            </w:r>
          </w:p>
        </w:tc>
        <w:tc>
          <w:tcPr>
            <w:tcW w:w="2052" w:type="pct"/>
            <w:vAlign w:val="center"/>
          </w:tcPr>
          <w:p w14:paraId="639B41B5" w14:textId="77777777" w:rsidR="009F6AC8" w:rsidRPr="008C72E5" w:rsidRDefault="009F6AC8" w:rsidP="00B558B7">
            <w:pPr>
              <w:pStyle w:val="TekstTabeli"/>
            </w:pPr>
            <w:r w:rsidRPr="008C72E5">
              <w:t>(2023) Journal of Higher Education Policy and Management, 45 (4), pp. 423 - 441, DOI: 10.1080/1360080X.2023.2190951</w:t>
            </w:r>
          </w:p>
        </w:tc>
      </w:tr>
      <w:tr w:rsidR="00C4329A" w:rsidRPr="004C10DC" w14:paraId="3F230292" w14:textId="77777777" w:rsidTr="00C4329A">
        <w:trPr>
          <w:cantSplit/>
        </w:trPr>
        <w:tc>
          <w:tcPr>
            <w:tcW w:w="297" w:type="pct"/>
            <w:vAlign w:val="center"/>
          </w:tcPr>
          <w:p w14:paraId="3AC433EB" w14:textId="77777777" w:rsidR="009F6AC8" w:rsidRPr="008C72E5" w:rsidRDefault="009F6AC8" w:rsidP="00B558B7">
            <w:pPr>
              <w:pStyle w:val="TekstTabeli"/>
            </w:pPr>
            <w:r w:rsidRPr="008C72E5">
              <w:t>418</w:t>
            </w:r>
          </w:p>
        </w:tc>
        <w:tc>
          <w:tcPr>
            <w:tcW w:w="880" w:type="pct"/>
            <w:vAlign w:val="center"/>
          </w:tcPr>
          <w:p w14:paraId="140885B5" w14:textId="63C2D35F" w:rsidR="009F6AC8" w:rsidRPr="008C72E5" w:rsidRDefault="009F6AC8" w:rsidP="00B558B7">
            <w:pPr>
              <w:pStyle w:val="TekstTabeli"/>
            </w:pPr>
            <w:proofErr w:type="spellStart"/>
            <w:r w:rsidRPr="008C72E5">
              <w:t>Ferrández-Berrueco</w:t>
            </w:r>
            <w:proofErr w:type="spellEnd"/>
            <w:r w:rsidRPr="008C72E5">
              <w:t xml:space="preserve"> R., Moliner O., </w:t>
            </w:r>
            <w:proofErr w:type="spellStart"/>
            <w:r w:rsidR="00705110" w:rsidRPr="008C72E5">
              <w:t>i</w:t>
            </w:r>
            <w:proofErr w:type="spellEnd"/>
            <w:r w:rsidR="00705110" w:rsidRPr="008C72E5">
              <w:t> in.</w:t>
            </w:r>
          </w:p>
        </w:tc>
        <w:tc>
          <w:tcPr>
            <w:tcW w:w="1771" w:type="pct"/>
            <w:vAlign w:val="center"/>
          </w:tcPr>
          <w:p w14:paraId="25FE213C" w14:textId="77777777" w:rsidR="009F6AC8" w:rsidRPr="008C72E5" w:rsidRDefault="009F6AC8" w:rsidP="00B558B7">
            <w:pPr>
              <w:pStyle w:val="TekstTabeli"/>
            </w:pPr>
            <w:r w:rsidRPr="008C72E5">
              <w:t>University responsible research and innovation and society: dialogue or monologue?</w:t>
            </w:r>
          </w:p>
        </w:tc>
        <w:tc>
          <w:tcPr>
            <w:tcW w:w="2052" w:type="pct"/>
            <w:vAlign w:val="center"/>
          </w:tcPr>
          <w:p w14:paraId="214DC248" w14:textId="77777777" w:rsidR="009F6AC8" w:rsidRPr="008C72E5" w:rsidRDefault="009F6AC8" w:rsidP="00B558B7">
            <w:pPr>
              <w:pStyle w:val="TekstTabeli"/>
            </w:pPr>
            <w:r w:rsidRPr="008C72E5">
              <w:t>(2023) Journal of Responsible Innovation, 10 (1), art. no. 2272331, DOI: 10.1080/23299460.2023.2272331</w:t>
            </w:r>
          </w:p>
        </w:tc>
      </w:tr>
      <w:tr w:rsidR="00C4329A" w:rsidRPr="004C10DC" w14:paraId="3B045666" w14:textId="77777777" w:rsidTr="00C4329A">
        <w:trPr>
          <w:cantSplit/>
        </w:trPr>
        <w:tc>
          <w:tcPr>
            <w:tcW w:w="297" w:type="pct"/>
            <w:vAlign w:val="center"/>
          </w:tcPr>
          <w:p w14:paraId="3D2680A4" w14:textId="77777777" w:rsidR="009F6AC8" w:rsidRPr="008C72E5" w:rsidRDefault="009F6AC8" w:rsidP="00B558B7">
            <w:pPr>
              <w:pStyle w:val="TekstTabeli"/>
            </w:pPr>
            <w:r w:rsidRPr="008C72E5">
              <w:t>419</w:t>
            </w:r>
          </w:p>
        </w:tc>
        <w:tc>
          <w:tcPr>
            <w:tcW w:w="880" w:type="pct"/>
            <w:vAlign w:val="center"/>
          </w:tcPr>
          <w:p w14:paraId="0921F91C" w14:textId="77777777" w:rsidR="009F6AC8" w:rsidRPr="008C72E5" w:rsidRDefault="009F6AC8" w:rsidP="00B558B7">
            <w:pPr>
              <w:pStyle w:val="TekstTabeli"/>
            </w:pPr>
            <w:r w:rsidRPr="008C72E5">
              <w:t>Mäkinen S.</w:t>
            </w:r>
          </w:p>
        </w:tc>
        <w:tc>
          <w:tcPr>
            <w:tcW w:w="1771" w:type="pct"/>
            <w:vAlign w:val="center"/>
          </w:tcPr>
          <w:p w14:paraId="775E5F5D" w14:textId="77777777" w:rsidR="009F6AC8" w:rsidRPr="008C72E5" w:rsidRDefault="009F6AC8" w:rsidP="00B558B7">
            <w:pPr>
              <w:pStyle w:val="TekstTabeli"/>
            </w:pPr>
            <w:proofErr w:type="spellStart"/>
            <w:r w:rsidRPr="008C72E5">
              <w:t>Internationalisation</w:t>
            </w:r>
            <w:proofErr w:type="spellEnd"/>
            <w:r w:rsidRPr="008C72E5">
              <w:t xml:space="preserve"> in challenging times: practices and rationales of internal and external stakeholders</w:t>
            </w:r>
          </w:p>
        </w:tc>
        <w:tc>
          <w:tcPr>
            <w:tcW w:w="2052" w:type="pct"/>
            <w:vAlign w:val="center"/>
          </w:tcPr>
          <w:p w14:paraId="7A7D7BD3" w14:textId="77777777" w:rsidR="009F6AC8" w:rsidRPr="008C72E5" w:rsidRDefault="009F6AC8" w:rsidP="00B558B7">
            <w:pPr>
              <w:pStyle w:val="TekstTabeli"/>
            </w:pPr>
            <w:r w:rsidRPr="008C72E5">
              <w:t>(2023) European Journal of Higher Education, 13 (2), pp. 126 - 141, DOI: 10.1080/21568235.2023.2196434</w:t>
            </w:r>
          </w:p>
        </w:tc>
      </w:tr>
      <w:tr w:rsidR="00C4329A" w:rsidRPr="004C10DC" w14:paraId="73897F73" w14:textId="77777777" w:rsidTr="00C4329A">
        <w:trPr>
          <w:cantSplit/>
        </w:trPr>
        <w:tc>
          <w:tcPr>
            <w:tcW w:w="297" w:type="pct"/>
            <w:vAlign w:val="center"/>
          </w:tcPr>
          <w:p w14:paraId="30734D90" w14:textId="77777777" w:rsidR="009F6AC8" w:rsidRPr="008C72E5" w:rsidRDefault="009F6AC8" w:rsidP="00B558B7">
            <w:pPr>
              <w:pStyle w:val="TekstTabeli"/>
            </w:pPr>
            <w:r w:rsidRPr="008C72E5">
              <w:t>420</w:t>
            </w:r>
          </w:p>
        </w:tc>
        <w:tc>
          <w:tcPr>
            <w:tcW w:w="880" w:type="pct"/>
            <w:vAlign w:val="center"/>
          </w:tcPr>
          <w:p w14:paraId="5273643B" w14:textId="77777777" w:rsidR="009F6AC8" w:rsidRPr="008C72E5" w:rsidRDefault="009F6AC8" w:rsidP="00B558B7">
            <w:pPr>
              <w:pStyle w:val="TekstTabeli"/>
            </w:pPr>
            <w:proofErr w:type="spellStart"/>
            <w:r w:rsidRPr="008C72E5">
              <w:t>Ngcamu</w:t>
            </w:r>
            <w:proofErr w:type="spellEnd"/>
            <w:r w:rsidRPr="008C72E5">
              <w:t xml:space="preserve"> B.S., </w:t>
            </w:r>
            <w:proofErr w:type="spellStart"/>
            <w:r w:rsidRPr="008C72E5">
              <w:t>Mantzaris</w:t>
            </w:r>
            <w:proofErr w:type="spellEnd"/>
            <w:r w:rsidRPr="008C72E5">
              <w:t xml:space="preserve"> E.</w:t>
            </w:r>
          </w:p>
        </w:tc>
        <w:tc>
          <w:tcPr>
            <w:tcW w:w="1771" w:type="pct"/>
            <w:vAlign w:val="center"/>
          </w:tcPr>
          <w:p w14:paraId="2FD8F9E3" w14:textId="77777777" w:rsidR="009F6AC8" w:rsidRPr="008C72E5" w:rsidRDefault="009F6AC8" w:rsidP="00B558B7">
            <w:pPr>
              <w:pStyle w:val="TekstTabeli"/>
            </w:pPr>
            <w:r w:rsidRPr="008C72E5">
              <w:t>Policy enforcement, corruption and stakeholder interference in South African universities</w:t>
            </w:r>
          </w:p>
        </w:tc>
        <w:tc>
          <w:tcPr>
            <w:tcW w:w="2052" w:type="pct"/>
            <w:vAlign w:val="center"/>
          </w:tcPr>
          <w:p w14:paraId="31F733C3" w14:textId="77777777" w:rsidR="009F6AC8" w:rsidRPr="008C72E5" w:rsidRDefault="009F6AC8" w:rsidP="00B558B7">
            <w:pPr>
              <w:pStyle w:val="TekstTabeli"/>
            </w:pPr>
            <w:r w:rsidRPr="008C72E5">
              <w:t>(2023) Journal of Transport and Supply Chain Management, 17, art. no. a814, DOI: 10.4102/jtscm.v17i0.814</w:t>
            </w:r>
          </w:p>
        </w:tc>
      </w:tr>
      <w:tr w:rsidR="00C4329A" w:rsidRPr="004C10DC" w14:paraId="7558D398" w14:textId="77777777" w:rsidTr="00C4329A">
        <w:trPr>
          <w:cantSplit/>
        </w:trPr>
        <w:tc>
          <w:tcPr>
            <w:tcW w:w="297" w:type="pct"/>
            <w:vAlign w:val="center"/>
          </w:tcPr>
          <w:p w14:paraId="7CEB6725" w14:textId="77777777" w:rsidR="009F6AC8" w:rsidRPr="008C72E5" w:rsidRDefault="009F6AC8" w:rsidP="00B558B7">
            <w:pPr>
              <w:pStyle w:val="TekstTabeli"/>
            </w:pPr>
            <w:r w:rsidRPr="008C72E5">
              <w:lastRenderedPageBreak/>
              <w:t>421</w:t>
            </w:r>
          </w:p>
        </w:tc>
        <w:tc>
          <w:tcPr>
            <w:tcW w:w="880" w:type="pct"/>
            <w:vAlign w:val="center"/>
          </w:tcPr>
          <w:p w14:paraId="6DE0E6C2" w14:textId="77777777" w:rsidR="009F6AC8" w:rsidRPr="008C72E5" w:rsidRDefault="009F6AC8" w:rsidP="00B558B7">
            <w:pPr>
              <w:pStyle w:val="TekstTabeli"/>
            </w:pPr>
            <w:r w:rsidRPr="008C72E5">
              <w:t>Yang N., Li T.</w:t>
            </w:r>
          </w:p>
        </w:tc>
        <w:tc>
          <w:tcPr>
            <w:tcW w:w="1771" w:type="pct"/>
            <w:vAlign w:val="center"/>
          </w:tcPr>
          <w:p w14:paraId="6801851A" w14:textId="77777777" w:rsidR="009F6AC8" w:rsidRPr="008C72E5" w:rsidRDefault="009F6AC8" w:rsidP="00B558B7">
            <w:pPr>
              <w:pStyle w:val="TekstTabeli"/>
            </w:pPr>
            <w:r w:rsidRPr="008C72E5">
              <w:t>How Stakeholders’ Data Literacy Contributes to Quality in Higher Education: A Goal-Oriented Analysis</w:t>
            </w:r>
          </w:p>
        </w:tc>
        <w:tc>
          <w:tcPr>
            <w:tcW w:w="2052" w:type="pct"/>
            <w:vAlign w:val="center"/>
          </w:tcPr>
          <w:p w14:paraId="1D5C348D" w14:textId="77777777" w:rsidR="009F6AC8" w:rsidRPr="008C72E5" w:rsidRDefault="009F6AC8" w:rsidP="00B558B7">
            <w:pPr>
              <w:pStyle w:val="TekstTabeli"/>
            </w:pPr>
            <w:r w:rsidRPr="008C72E5">
              <w:t>(2023) Higher Education Dynamics, 59, pp. 313 - 327, DOI: 10.1007/978-3-031-24193-2_13</w:t>
            </w:r>
          </w:p>
        </w:tc>
      </w:tr>
      <w:tr w:rsidR="00C4329A" w:rsidRPr="004C10DC" w14:paraId="1DC6F43A" w14:textId="77777777" w:rsidTr="00C4329A">
        <w:trPr>
          <w:cantSplit/>
        </w:trPr>
        <w:tc>
          <w:tcPr>
            <w:tcW w:w="297" w:type="pct"/>
            <w:vAlign w:val="center"/>
          </w:tcPr>
          <w:p w14:paraId="6BBA6E45" w14:textId="77777777" w:rsidR="009F6AC8" w:rsidRPr="008C72E5" w:rsidRDefault="009F6AC8" w:rsidP="00B558B7">
            <w:pPr>
              <w:pStyle w:val="TekstTabeli"/>
            </w:pPr>
            <w:r w:rsidRPr="008C72E5">
              <w:t>422</w:t>
            </w:r>
          </w:p>
        </w:tc>
        <w:tc>
          <w:tcPr>
            <w:tcW w:w="880" w:type="pct"/>
            <w:vAlign w:val="center"/>
          </w:tcPr>
          <w:p w14:paraId="6A25373D" w14:textId="77777777" w:rsidR="009F6AC8" w:rsidRPr="00D82766" w:rsidRDefault="009F6AC8" w:rsidP="00B558B7">
            <w:pPr>
              <w:pStyle w:val="TekstTabeli"/>
              <w:rPr>
                <w:lang w:val="pl-PL"/>
              </w:rPr>
            </w:pPr>
            <w:proofErr w:type="spellStart"/>
            <w:r w:rsidRPr="00D82766">
              <w:rPr>
                <w:lang w:val="pl-PL"/>
              </w:rPr>
              <w:t>Deniz</w:t>
            </w:r>
            <w:proofErr w:type="spellEnd"/>
            <w:r w:rsidRPr="00D82766">
              <w:rPr>
                <w:lang w:val="pl-PL"/>
              </w:rPr>
              <w:t xml:space="preserve"> Ü., </w:t>
            </w:r>
            <w:proofErr w:type="spellStart"/>
            <w:r w:rsidRPr="00D82766">
              <w:rPr>
                <w:lang w:val="pl-PL"/>
              </w:rPr>
              <w:t>Özek</w:t>
            </w:r>
            <w:proofErr w:type="spellEnd"/>
            <w:r w:rsidRPr="00D82766">
              <w:rPr>
                <w:lang w:val="pl-PL"/>
              </w:rPr>
              <w:t xml:space="preserve"> B.Y.</w:t>
            </w:r>
          </w:p>
        </w:tc>
        <w:tc>
          <w:tcPr>
            <w:tcW w:w="1771" w:type="pct"/>
            <w:vAlign w:val="center"/>
          </w:tcPr>
          <w:p w14:paraId="30C507D6" w14:textId="77777777" w:rsidR="009F6AC8" w:rsidRPr="008C72E5" w:rsidRDefault="009F6AC8" w:rsidP="00B558B7">
            <w:pPr>
              <w:pStyle w:val="TekstTabeli"/>
            </w:pPr>
            <w:r w:rsidRPr="008C72E5">
              <w:t>Online Learning Experiences of Graduate Students in Türkiye: Could This Be the Footsteps of a Reform?</w:t>
            </w:r>
          </w:p>
        </w:tc>
        <w:tc>
          <w:tcPr>
            <w:tcW w:w="2052" w:type="pct"/>
            <w:vAlign w:val="center"/>
          </w:tcPr>
          <w:p w14:paraId="11CA6D12" w14:textId="77777777" w:rsidR="009F6AC8" w:rsidRPr="008C72E5" w:rsidRDefault="009F6AC8" w:rsidP="00B558B7">
            <w:pPr>
              <w:pStyle w:val="TekstTabeli"/>
            </w:pPr>
            <w:r w:rsidRPr="008C72E5">
              <w:t>(2023) Participatory Educational Research, 10 (1), pp. 213 - 236, DOI: 10.17275/per.23.12.10.1</w:t>
            </w:r>
          </w:p>
        </w:tc>
      </w:tr>
      <w:tr w:rsidR="00C4329A" w:rsidRPr="004C10DC" w14:paraId="1F58A2F2" w14:textId="77777777" w:rsidTr="00C4329A">
        <w:trPr>
          <w:cantSplit/>
        </w:trPr>
        <w:tc>
          <w:tcPr>
            <w:tcW w:w="297" w:type="pct"/>
            <w:vAlign w:val="center"/>
          </w:tcPr>
          <w:p w14:paraId="749420BF" w14:textId="77777777" w:rsidR="009F6AC8" w:rsidRPr="008C72E5" w:rsidRDefault="009F6AC8" w:rsidP="00B558B7">
            <w:pPr>
              <w:pStyle w:val="TekstTabeli"/>
            </w:pPr>
            <w:r w:rsidRPr="008C72E5">
              <w:t>423</w:t>
            </w:r>
          </w:p>
        </w:tc>
        <w:tc>
          <w:tcPr>
            <w:tcW w:w="880" w:type="pct"/>
            <w:vAlign w:val="center"/>
          </w:tcPr>
          <w:p w14:paraId="71B92AC2" w14:textId="77777777" w:rsidR="009F6AC8" w:rsidRPr="008C72E5" w:rsidRDefault="009F6AC8" w:rsidP="00B558B7">
            <w:pPr>
              <w:pStyle w:val="TekstTabeli"/>
            </w:pPr>
            <w:r w:rsidRPr="008C72E5">
              <w:t>Clanton T.L., Shelton R.N., Franz N.</w:t>
            </w:r>
          </w:p>
        </w:tc>
        <w:tc>
          <w:tcPr>
            <w:tcW w:w="1771" w:type="pct"/>
            <w:vAlign w:val="center"/>
          </w:tcPr>
          <w:p w14:paraId="67AA398E" w14:textId="77777777" w:rsidR="009F6AC8" w:rsidRPr="008C72E5" w:rsidRDefault="009F6AC8" w:rsidP="00B558B7">
            <w:pPr>
              <w:pStyle w:val="TekstTabeli"/>
            </w:pPr>
            <w:r w:rsidRPr="008C72E5">
              <w:t>Thriving Despite the Odds: A Review of Literature on the Experiences of Black Women at Predominately White Institutions</w:t>
            </w:r>
          </w:p>
        </w:tc>
        <w:tc>
          <w:tcPr>
            <w:tcW w:w="2052" w:type="pct"/>
            <w:vAlign w:val="center"/>
          </w:tcPr>
          <w:p w14:paraId="086ED7C7" w14:textId="77777777" w:rsidR="009F6AC8" w:rsidRPr="008C72E5" w:rsidRDefault="009F6AC8" w:rsidP="00B558B7">
            <w:pPr>
              <w:pStyle w:val="TekstTabeli"/>
            </w:pPr>
            <w:r w:rsidRPr="008C72E5">
              <w:t>(2023) Handbook of Research on Exploring Gender Equity, Diversity, and Inclusion Through an Intersectional Lens, pp. 423 - 437, DOI: 10.4018/978-1-6684-8412-8.ch020</w:t>
            </w:r>
          </w:p>
        </w:tc>
      </w:tr>
      <w:tr w:rsidR="00C4329A" w:rsidRPr="004C10DC" w14:paraId="76F50BAB" w14:textId="77777777" w:rsidTr="00C4329A">
        <w:trPr>
          <w:cantSplit/>
        </w:trPr>
        <w:tc>
          <w:tcPr>
            <w:tcW w:w="297" w:type="pct"/>
            <w:vAlign w:val="center"/>
          </w:tcPr>
          <w:p w14:paraId="266FD37D" w14:textId="77777777" w:rsidR="009F6AC8" w:rsidRPr="008C72E5" w:rsidRDefault="009F6AC8" w:rsidP="00B558B7">
            <w:pPr>
              <w:pStyle w:val="TekstTabeli"/>
            </w:pPr>
            <w:r w:rsidRPr="008C72E5">
              <w:t>424</w:t>
            </w:r>
          </w:p>
        </w:tc>
        <w:tc>
          <w:tcPr>
            <w:tcW w:w="880" w:type="pct"/>
            <w:vAlign w:val="center"/>
          </w:tcPr>
          <w:p w14:paraId="2B113761" w14:textId="34F53E67" w:rsidR="009F6AC8" w:rsidRPr="008C72E5" w:rsidRDefault="009F6AC8" w:rsidP="00B558B7">
            <w:pPr>
              <w:pStyle w:val="TekstTabeli"/>
            </w:pPr>
            <w:r w:rsidRPr="008C72E5">
              <w:t xml:space="preserve">Ezzeddine R., Otaki F., </w:t>
            </w:r>
            <w:proofErr w:type="spellStart"/>
            <w:r w:rsidR="00705110" w:rsidRPr="008C72E5">
              <w:t>i</w:t>
            </w:r>
            <w:proofErr w:type="spellEnd"/>
            <w:r w:rsidR="00705110" w:rsidRPr="008C72E5">
              <w:t> in.</w:t>
            </w:r>
          </w:p>
        </w:tc>
        <w:tc>
          <w:tcPr>
            <w:tcW w:w="1771" w:type="pct"/>
            <w:vAlign w:val="center"/>
          </w:tcPr>
          <w:p w14:paraId="4E865D54" w14:textId="77777777" w:rsidR="009F6AC8" w:rsidRPr="008C72E5" w:rsidRDefault="009F6AC8" w:rsidP="00B558B7">
            <w:pPr>
              <w:pStyle w:val="TekstTabeli"/>
            </w:pPr>
            <w:r w:rsidRPr="008C72E5">
              <w:t>Change management in higher education: A sequential mixed methods study exploring employees’ perception</w:t>
            </w:r>
          </w:p>
        </w:tc>
        <w:tc>
          <w:tcPr>
            <w:tcW w:w="2052" w:type="pct"/>
            <w:vAlign w:val="center"/>
          </w:tcPr>
          <w:p w14:paraId="13B7383C" w14:textId="77777777" w:rsidR="009F6AC8" w:rsidRPr="008C72E5" w:rsidRDefault="009F6AC8" w:rsidP="00B558B7">
            <w:pPr>
              <w:pStyle w:val="TekstTabeli"/>
            </w:pPr>
            <w:r w:rsidRPr="008C72E5">
              <w:t xml:space="preserve">(2023) </w:t>
            </w:r>
            <w:proofErr w:type="spellStart"/>
            <w:r w:rsidRPr="008C72E5">
              <w:t>PLoS</w:t>
            </w:r>
            <w:proofErr w:type="spellEnd"/>
            <w:r w:rsidRPr="008C72E5">
              <w:t xml:space="preserve"> ONE, 18 (7 July), art. no. e0289005, DOI: 10.1371/journal.pone.0289005</w:t>
            </w:r>
          </w:p>
        </w:tc>
      </w:tr>
      <w:tr w:rsidR="00C4329A" w:rsidRPr="004C10DC" w14:paraId="17F9F04C" w14:textId="77777777" w:rsidTr="00C4329A">
        <w:trPr>
          <w:cantSplit/>
        </w:trPr>
        <w:tc>
          <w:tcPr>
            <w:tcW w:w="297" w:type="pct"/>
            <w:vAlign w:val="center"/>
          </w:tcPr>
          <w:p w14:paraId="31CD8FF7" w14:textId="77777777" w:rsidR="009F6AC8" w:rsidRPr="008C72E5" w:rsidRDefault="009F6AC8" w:rsidP="00B558B7">
            <w:pPr>
              <w:pStyle w:val="TekstTabeli"/>
            </w:pPr>
            <w:r w:rsidRPr="008C72E5">
              <w:t>425</w:t>
            </w:r>
          </w:p>
        </w:tc>
        <w:tc>
          <w:tcPr>
            <w:tcW w:w="880" w:type="pct"/>
            <w:vAlign w:val="center"/>
          </w:tcPr>
          <w:p w14:paraId="3618BF7D" w14:textId="66982778" w:rsidR="009F6AC8" w:rsidRPr="008C72E5" w:rsidRDefault="009F6AC8" w:rsidP="00B558B7">
            <w:pPr>
              <w:pStyle w:val="TekstTabeli"/>
            </w:pPr>
            <w:r w:rsidRPr="008C72E5">
              <w:t xml:space="preserve">Omotosho A.O., </w:t>
            </w:r>
            <w:proofErr w:type="spellStart"/>
            <w:r w:rsidRPr="008C72E5">
              <w:t>Akintolu</w:t>
            </w:r>
            <w:proofErr w:type="spellEnd"/>
            <w:r w:rsidRPr="008C72E5">
              <w:t xml:space="preserve"> M., </w:t>
            </w:r>
            <w:proofErr w:type="spellStart"/>
            <w:r w:rsidR="00705110" w:rsidRPr="008C72E5">
              <w:t>i</w:t>
            </w:r>
            <w:proofErr w:type="spellEnd"/>
            <w:r w:rsidR="00705110" w:rsidRPr="008C72E5">
              <w:t> in.</w:t>
            </w:r>
          </w:p>
        </w:tc>
        <w:tc>
          <w:tcPr>
            <w:tcW w:w="1771" w:type="pct"/>
            <w:vAlign w:val="center"/>
          </w:tcPr>
          <w:p w14:paraId="6E76E032" w14:textId="77777777" w:rsidR="009F6AC8" w:rsidRPr="008C72E5" w:rsidRDefault="009F6AC8" w:rsidP="00B558B7">
            <w:pPr>
              <w:pStyle w:val="TekstTabeli"/>
            </w:pPr>
            <w:r w:rsidRPr="008C72E5">
              <w:t>Assessing the Enactus Global Sustainability Initiative’s Alignment with United Nations Sustainable Development Goals: Lessons for Higher Education Institutions</w:t>
            </w:r>
          </w:p>
        </w:tc>
        <w:tc>
          <w:tcPr>
            <w:tcW w:w="2052" w:type="pct"/>
            <w:vAlign w:val="center"/>
          </w:tcPr>
          <w:p w14:paraId="6183CA6F" w14:textId="77777777" w:rsidR="009F6AC8" w:rsidRPr="008C72E5" w:rsidRDefault="009F6AC8" w:rsidP="00B558B7">
            <w:pPr>
              <w:pStyle w:val="TekstTabeli"/>
            </w:pPr>
            <w:r w:rsidRPr="008C72E5">
              <w:t>(2023) Education Sciences, 13 (9), art. no. 935, DOI: 10.3390/educsci13090935</w:t>
            </w:r>
          </w:p>
        </w:tc>
      </w:tr>
      <w:tr w:rsidR="00C4329A" w:rsidRPr="004C10DC" w14:paraId="2A1278FD" w14:textId="77777777" w:rsidTr="00C4329A">
        <w:trPr>
          <w:cantSplit/>
        </w:trPr>
        <w:tc>
          <w:tcPr>
            <w:tcW w:w="297" w:type="pct"/>
            <w:vAlign w:val="center"/>
          </w:tcPr>
          <w:p w14:paraId="6A8463A1" w14:textId="77777777" w:rsidR="009F6AC8" w:rsidRPr="008C72E5" w:rsidRDefault="009F6AC8" w:rsidP="00B558B7">
            <w:pPr>
              <w:pStyle w:val="TekstTabeli"/>
            </w:pPr>
            <w:r w:rsidRPr="008C72E5">
              <w:t>426</w:t>
            </w:r>
          </w:p>
        </w:tc>
        <w:tc>
          <w:tcPr>
            <w:tcW w:w="880" w:type="pct"/>
            <w:vAlign w:val="center"/>
          </w:tcPr>
          <w:p w14:paraId="73EF1763" w14:textId="77777777" w:rsidR="009F6AC8" w:rsidRPr="008C72E5" w:rsidRDefault="009F6AC8" w:rsidP="00B558B7">
            <w:pPr>
              <w:pStyle w:val="TekstTabeli"/>
            </w:pPr>
            <w:proofErr w:type="spellStart"/>
            <w:r w:rsidRPr="008C72E5">
              <w:t>Mngo</w:t>
            </w:r>
            <w:proofErr w:type="spellEnd"/>
            <w:r w:rsidRPr="008C72E5">
              <w:t xml:space="preserve"> Z.</w:t>
            </w:r>
          </w:p>
        </w:tc>
        <w:tc>
          <w:tcPr>
            <w:tcW w:w="1771" w:type="pct"/>
            <w:vAlign w:val="center"/>
          </w:tcPr>
          <w:p w14:paraId="3661337E" w14:textId="77777777" w:rsidR="009F6AC8" w:rsidRPr="008C72E5" w:rsidRDefault="009F6AC8" w:rsidP="00B558B7">
            <w:pPr>
              <w:pStyle w:val="TekstTabeli"/>
            </w:pPr>
            <w:r w:rsidRPr="008C72E5">
              <w:t>A Case for Caution: Twenty-One Years of Bologna and Ramifications for the U.S. Higher Education</w:t>
            </w:r>
          </w:p>
        </w:tc>
        <w:tc>
          <w:tcPr>
            <w:tcW w:w="2052" w:type="pct"/>
            <w:vAlign w:val="center"/>
          </w:tcPr>
          <w:p w14:paraId="4A012C6F" w14:textId="77777777" w:rsidR="009F6AC8" w:rsidRPr="008C72E5" w:rsidRDefault="009F6AC8" w:rsidP="00B558B7">
            <w:pPr>
              <w:pStyle w:val="TekstTabeli"/>
            </w:pPr>
            <w:r w:rsidRPr="008C72E5">
              <w:t>(2023) Journal of Education, 203 (3), pp. 520 - 530, DOI: 10.1177/00220574211032583</w:t>
            </w:r>
          </w:p>
        </w:tc>
      </w:tr>
      <w:tr w:rsidR="00C4329A" w:rsidRPr="004C10DC" w14:paraId="53A4EBDB" w14:textId="77777777" w:rsidTr="00C4329A">
        <w:trPr>
          <w:cantSplit/>
        </w:trPr>
        <w:tc>
          <w:tcPr>
            <w:tcW w:w="297" w:type="pct"/>
            <w:vAlign w:val="center"/>
          </w:tcPr>
          <w:p w14:paraId="21B85382" w14:textId="77777777" w:rsidR="009F6AC8" w:rsidRPr="008C72E5" w:rsidRDefault="009F6AC8" w:rsidP="00B558B7">
            <w:pPr>
              <w:pStyle w:val="TekstTabeli"/>
            </w:pPr>
            <w:r w:rsidRPr="008C72E5">
              <w:t>427</w:t>
            </w:r>
          </w:p>
        </w:tc>
        <w:tc>
          <w:tcPr>
            <w:tcW w:w="880" w:type="pct"/>
            <w:vAlign w:val="center"/>
          </w:tcPr>
          <w:p w14:paraId="376874A6" w14:textId="77777777" w:rsidR="009F6AC8" w:rsidRPr="008C72E5" w:rsidRDefault="009F6AC8" w:rsidP="00B558B7">
            <w:pPr>
              <w:pStyle w:val="TekstTabeli"/>
            </w:pPr>
            <w:proofErr w:type="spellStart"/>
            <w:r w:rsidRPr="008C72E5">
              <w:t>Greere</w:t>
            </w:r>
            <w:proofErr w:type="spellEnd"/>
            <w:r w:rsidRPr="008C72E5">
              <w:t xml:space="preserve"> A.</w:t>
            </w:r>
          </w:p>
        </w:tc>
        <w:tc>
          <w:tcPr>
            <w:tcW w:w="1771" w:type="pct"/>
            <w:vAlign w:val="center"/>
          </w:tcPr>
          <w:p w14:paraId="3D4FD6A7" w14:textId="77777777" w:rsidR="009F6AC8" w:rsidRPr="008C72E5" w:rsidRDefault="009F6AC8" w:rsidP="00B558B7">
            <w:pPr>
              <w:pStyle w:val="TekstTabeli"/>
            </w:pPr>
            <w:r w:rsidRPr="008C72E5">
              <w:t>COVID-19 Special Section: Introduction Targeted reflection, mutual understanding, and collaborative working. Building blocks for post-pandemic models in higher education</w:t>
            </w:r>
          </w:p>
        </w:tc>
        <w:tc>
          <w:tcPr>
            <w:tcW w:w="2052" w:type="pct"/>
            <w:vAlign w:val="center"/>
          </w:tcPr>
          <w:p w14:paraId="3AEA900C" w14:textId="77777777" w:rsidR="009F6AC8" w:rsidRPr="008C72E5" w:rsidRDefault="009F6AC8" w:rsidP="00B558B7">
            <w:pPr>
              <w:pStyle w:val="TekstTabeli"/>
            </w:pPr>
            <w:r w:rsidRPr="008C72E5">
              <w:t>(2022) Tuning Journal for Higher Education, 10 (1), pp. 229 - 239, DOI: 10.18543/tjhe.2600</w:t>
            </w:r>
          </w:p>
        </w:tc>
      </w:tr>
      <w:tr w:rsidR="00C4329A" w:rsidRPr="004C10DC" w14:paraId="22B1AF06" w14:textId="77777777" w:rsidTr="00C4329A">
        <w:trPr>
          <w:cantSplit/>
        </w:trPr>
        <w:tc>
          <w:tcPr>
            <w:tcW w:w="297" w:type="pct"/>
            <w:vAlign w:val="center"/>
          </w:tcPr>
          <w:p w14:paraId="78F9260B" w14:textId="77777777" w:rsidR="009F6AC8" w:rsidRPr="008C72E5" w:rsidRDefault="009F6AC8" w:rsidP="00B558B7">
            <w:pPr>
              <w:pStyle w:val="TekstTabeli"/>
            </w:pPr>
            <w:r w:rsidRPr="008C72E5">
              <w:t>428</w:t>
            </w:r>
          </w:p>
        </w:tc>
        <w:tc>
          <w:tcPr>
            <w:tcW w:w="880" w:type="pct"/>
            <w:vAlign w:val="center"/>
          </w:tcPr>
          <w:p w14:paraId="09356D02" w14:textId="77777777" w:rsidR="009F6AC8" w:rsidRPr="008C72E5" w:rsidRDefault="009F6AC8" w:rsidP="00B558B7">
            <w:pPr>
              <w:pStyle w:val="TekstTabeli"/>
            </w:pPr>
            <w:r w:rsidRPr="008C72E5">
              <w:t>Shah R., Preston A., Dimova E.</w:t>
            </w:r>
          </w:p>
        </w:tc>
        <w:tc>
          <w:tcPr>
            <w:tcW w:w="1771" w:type="pct"/>
            <w:vAlign w:val="center"/>
          </w:tcPr>
          <w:p w14:paraId="61A3A6B0" w14:textId="77777777" w:rsidR="009F6AC8" w:rsidRPr="008C72E5" w:rsidRDefault="009F6AC8" w:rsidP="00B558B7">
            <w:pPr>
              <w:pStyle w:val="TekstTabeli"/>
            </w:pPr>
            <w:r w:rsidRPr="008C72E5">
              <w:t>Making community-based learning and teaching happen: findings from an institutional study</w:t>
            </w:r>
          </w:p>
        </w:tc>
        <w:tc>
          <w:tcPr>
            <w:tcW w:w="2052" w:type="pct"/>
            <w:vAlign w:val="center"/>
          </w:tcPr>
          <w:p w14:paraId="5E3E9A48" w14:textId="77777777" w:rsidR="009F6AC8" w:rsidRPr="008C72E5" w:rsidRDefault="009F6AC8" w:rsidP="00B558B7">
            <w:pPr>
              <w:pStyle w:val="TekstTabeli"/>
            </w:pPr>
            <w:r w:rsidRPr="008C72E5">
              <w:t>(2023) London Review of Education, 21 (1), art. no. 17, DOI: 10.14324/LRE.21.1.17</w:t>
            </w:r>
          </w:p>
        </w:tc>
      </w:tr>
      <w:tr w:rsidR="00C4329A" w:rsidRPr="004C10DC" w14:paraId="0DAE2093" w14:textId="77777777" w:rsidTr="00C4329A">
        <w:trPr>
          <w:cantSplit/>
        </w:trPr>
        <w:tc>
          <w:tcPr>
            <w:tcW w:w="297" w:type="pct"/>
            <w:vAlign w:val="center"/>
          </w:tcPr>
          <w:p w14:paraId="15943E1E" w14:textId="77777777" w:rsidR="009F6AC8" w:rsidRPr="008C72E5" w:rsidRDefault="009F6AC8" w:rsidP="00B558B7">
            <w:pPr>
              <w:pStyle w:val="TekstTabeli"/>
            </w:pPr>
            <w:r w:rsidRPr="008C72E5">
              <w:t>429</w:t>
            </w:r>
          </w:p>
        </w:tc>
        <w:tc>
          <w:tcPr>
            <w:tcW w:w="880" w:type="pct"/>
            <w:vAlign w:val="center"/>
          </w:tcPr>
          <w:p w14:paraId="731FBC91" w14:textId="77777777" w:rsidR="009F6AC8" w:rsidRPr="00D82766" w:rsidRDefault="009F6AC8" w:rsidP="00B558B7">
            <w:pPr>
              <w:pStyle w:val="TekstTabeli"/>
              <w:rPr>
                <w:lang w:val="pl-PL"/>
              </w:rPr>
            </w:pPr>
            <w:r w:rsidRPr="00D82766">
              <w:rPr>
                <w:lang w:val="pl-PL"/>
              </w:rPr>
              <w:t>Rocha A., Romero F., Cruz-Cunha M.</w:t>
            </w:r>
          </w:p>
        </w:tc>
        <w:tc>
          <w:tcPr>
            <w:tcW w:w="1771" w:type="pct"/>
            <w:vAlign w:val="center"/>
          </w:tcPr>
          <w:p w14:paraId="2392054F" w14:textId="77777777" w:rsidR="009F6AC8" w:rsidRPr="008C72E5" w:rsidRDefault="009F6AC8" w:rsidP="00B558B7">
            <w:pPr>
              <w:pStyle w:val="TekstTabeli"/>
            </w:pPr>
            <w:r w:rsidRPr="008C72E5">
              <w:t>University technology transfer: Contacts and connections at the origin of licensing agreements</w:t>
            </w:r>
          </w:p>
        </w:tc>
        <w:tc>
          <w:tcPr>
            <w:tcW w:w="2052" w:type="pct"/>
            <w:vAlign w:val="center"/>
          </w:tcPr>
          <w:p w14:paraId="33E25A47" w14:textId="77777777" w:rsidR="009F6AC8" w:rsidRPr="008C72E5" w:rsidRDefault="009F6AC8" w:rsidP="00B558B7">
            <w:pPr>
              <w:pStyle w:val="TekstTabeli"/>
            </w:pPr>
            <w:r w:rsidRPr="008C72E5">
              <w:t>(2022) Procedia Computer Science, 204, pp. 81 - 90, DOI: 10.1016/j.procs.2022.08.010</w:t>
            </w:r>
          </w:p>
        </w:tc>
      </w:tr>
      <w:tr w:rsidR="00C4329A" w:rsidRPr="004C10DC" w14:paraId="1C6A7DF0" w14:textId="77777777" w:rsidTr="00C4329A">
        <w:trPr>
          <w:cantSplit/>
        </w:trPr>
        <w:tc>
          <w:tcPr>
            <w:tcW w:w="297" w:type="pct"/>
            <w:vAlign w:val="center"/>
          </w:tcPr>
          <w:p w14:paraId="6C246584" w14:textId="77777777" w:rsidR="009F6AC8" w:rsidRPr="008C72E5" w:rsidRDefault="009F6AC8" w:rsidP="00B558B7">
            <w:pPr>
              <w:pStyle w:val="TekstTabeli"/>
            </w:pPr>
            <w:r w:rsidRPr="008C72E5">
              <w:t>430</w:t>
            </w:r>
          </w:p>
        </w:tc>
        <w:tc>
          <w:tcPr>
            <w:tcW w:w="880" w:type="pct"/>
            <w:vAlign w:val="center"/>
          </w:tcPr>
          <w:p w14:paraId="4B57690C" w14:textId="77777777" w:rsidR="009F6AC8" w:rsidRPr="008C72E5" w:rsidRDefault="009F6AC8" w:rsidP="00B558B7">
            <w:pPr>
              <w:pStyle w:val="TekstTabeli"/>
            </w:pPr>
            <w:r w:rsidRPr="008C72E5">
              <w:t xml:space="preserve">Badran A., Baydoun E., </w:t>
            </w:r>
            <w:proofErr w:type="spellStart"/>
            <w:r w:rsidRPr="008C72E5">
              <w:t>Mesmar</w:t>
            </w:r>
            <w:proofErr w:type="spellEnd"/>
            <w:r w:rsidRPr="008C72E5">
              <w:t xml:space="preserve"> J.</w:t>
            </w:r>
          </w:p>
        </w:tc>
        <w:tc>
          <w:tcPr>
            <w:tcW w:w="1771" w:type="pct"/>
            <w:vAlign w:val="center"/>
          </w:tcPr>
          <w:p w14:paraId="7365C101" w14:textId="77777777" w:rsidR="009F6AC8" w:rsidRPr="008C72E5" w:rsidRDefault="009F6AC8" w:rsidP="00B558B7">
            <w:pPr>
              <w:pStyle w:val="TekstTabeli"/>
            </w:pPr>
            <w:r w:rsidRPr="008C72E5">
              <w:t>Introduction</w:t>
            </w:r>
          </w:p>
        </w:tc>
        <w:tc>
          <w:tcPr>
            <w:tcW w:w="2052" w:type="pct"/>
            <w:vAlign w:val="center"/>
          </w:tcPr>
          <w:p w14:paraId="21AA46CA" w14:textId="77777777" w:rsidR="009F6AC8" w:rsidRPr="008C72E5" w:rsidRDefault="009F6AC8" w:rsidP="00B558B7">
            <w:pPr>
              <w:pStyle w:val="TekstTabeli"/>
            </w:pPr>
            <w:r w:rsidRPr="008C72E5">
              <w:t>(2022) Higher Education in the Arab World: New Priorities in the Post COVID-19 Era, pp. 1 - 9, DOI: 10.1007/978-3-031-07539-1_1</w:t>
            </w:r>
          </w:p>
        </w:tc>
      </w:tr>
      <w:tr w:rsidR="00C4329A" w:rsidRPr="004C10DC" w14:paraId="2FF73DDD" w14:textId="77777777" w:rsidTr="00C4329A">
        <w:trPr>
          <w:cantSplit/>
        </w:trPr>
        <w:tc>
          <w:tcPr>
            <w:tcW w:w="297" w:type="pct"/>
            <w:vAlign w:val="center"/>
          </w:tcPr>
          <w:p w14:paraId="3C6E2FC3" w14:textId="77777777" w:rsidR="009F6AC8" w:rsidRPr="008C72E5" w:rsidRDefault="009F6AC8" w:rsidP="00B558B7">
            <w:pPr>
              <w:pStyle w:val="TekstTabeli"/>
            </w:pPr>
            <w:r w:rsidRPr="008C72E5">
              <w:t>431</w:t>
            </w:r>
          </w:p>
        </w:tc>
        <w:tc>
          <w:tcPr>
            <w:tcW w:w="880" w:type="pct"/>
            <w:vAlign w:val="center"/>
          </w:tcPr>
          <w:p w14:paraId="6A2B21EE" w14:textId="77777777" w:rsidR="009F6AC8" w:rsidRPr="008C72E5" w:rsidRDefault="009F6AC8" w:rsidP="00B558B7">
            <w:pPr>
              <w:pStyle w:val="TekstTabeli"/>
            </w:pPr>
            <w:r w:rsidRPr="008C72E5">
              <w:t>Zhao T.</w:t>
            </w:r>
          </w:p>
        </w:tc>
        <w:tc>
          <w:tcPr>
            <w:tcW w:w="1771" w:type="pct"/>
            <w:vAlign w:val="center"/>
          </w:tcPr>
          <w:p w14:paraId="13C19C5A" w14:textId="77777777" w:rsidR="009F6AC8" w:rsidRPr="008C72E5" w:rsidRDefault="009F6AC8" w:rsidP="00B558B7">
            <w:pPr>
              <w:pStyle w:val="TekstTabeli"/>
            </w:pPr>
            <w:r w:rsidRPr="008C72E5">
              <w:t>China’s Sustainable Talent Cultivations for Basic Disciplines: Evaluating the Reformed National College Enrollment Policy</w:t>
            </w:r>
          </w:p>
        </w:tc>
        <w:tc>
          <w:tcPr>
            <w:tcW w:w="2052" w:type="pct"/>
            <w:vAlign w:val="center"/>
          </w:tcPr>
          <w:p w14:paraId="0597E9F6" w14:textId="77777777" w:rsidR="009F6AC8" w:rsidRPr="008C72E5" w:rsidRDefault="009F6AC8" w:rsidP="00B558B7">
            <w:pPr>
              <w:pStyle w:val="TekstTabeli"/>
            </w:pPr>
            <w:r w:rsidRPr="008C72E5">
              <w:t>(2023) Sustainability (Switzerland), 15 (4), art. no. 3545, DOI: 10.3390/su15043545</w:t>
            </w:r>
          </w:p>
        </w:tc>
      </w:tr>
      <w:tr w:rsidR="00C4329A" w:rsidRPr="004C10DC" w14:paraId="045444D6" w14:textId="77777777" w:rsidTr="00C4329A">
        <w:trPr>
          <w:cantSplit/>
        </w:trPr>
        <w:tc>
          <w:tcPr>
            <w:tcW w:w="297" w:type="pct"/>
            <w:vAlign w:val="center"/>
          </w:tcPr>
          <w:p w14:paraId="3B0D034E" w14:textId="77777777" w:rsidR="009F6AC8" w:rsidRPr="008C72E5" w:rsidRDefault="009F6AC8" w:rsidP="00B558B7">
            <w:pPr>
              <w:pStyle w:val="TekstTabeli"/>
            </w:pPr>
            <w:r w:rsidRPr="008C72E5">
              <w:t>432</w:t>
            </w:r>
          </w:p>
        </w:tc>
        <w:tc>
          <w:tcPr>
            <w:tcW w:w="880" w:type="pct"/>
            <w:vAlign w:val="center"/>
          </w:tcPr>
          <w:p w14:paraId="7D448DC4" w14:textId="77777777" w:rsidR="009F6AC8" w:rsidRPr="008C72E5" w:rsidRDefault="009F6AC8" w:rsidP="00B558B7">
            <w:pPr>
              <w:pStyle w:val="TekstTabeli"/>
            </w:pPr>
            <w:proofErr w:type="spellStart"/>
            <w:r w:rsidRPr="008C72E5">
              <w:t>Bakirtas</w:t>
            </w:r>
            <w:proofErr w:type="spellEnd"/>
            <w:r w:rsidRPr="008C72E5">
              <w:t xml:space="preserve"> H., </w:t>
            </w:r>
            <w:proofErr w:type="spellStart"/>
            <w:r w:rsidRPr="008C72E5">
              <w:t>Gulpinar</w:t>
            </w:r>
            <w:proofErr w:type="spellEnd"/>
            <w:r w:rsidRPr="008C72E5">
              <w:t xml:space="preserve"> Demirci V.</w:t>
            </w:r>
          </w:p>
        </w:tc>
        <w:tc>
          <w:tcPr>
            <w:tcW w:w="1771" w:type="pct"/>
            <w:vAlign w:val="center"/>
          </w:tcPr>
          <w:p w14:paraId="49FF8E84" w14:textId="77777777" w:rsidR="009F6AC8" w:rsidRPr="008C72E5" w:rsidRDefault="009F6AC8" w:rsidP="00B558B7">
            <w:pPr>
              <w:pStyle w:val="TekstTabeli"/>
            </w:pPr>
            <w:r w:rsidRPr="008C72E5">
              <w:t>A structural evaluation of university identification</w:t>
            </w:r>
          </w:p>
        </w:tc>
        <w:tc>
          <w:tcPr>
            <w:tcW w:w="2052" w:type="pct"/>
            <w:vAlign w:val="center"/>
          </w:tcPr>
          <w:p w14:paraId="6C0B3099" w14:textId="77777777" w:rsidR="009F6AC8" w:rsidRPr="008C72E5" w:rsidRDefault="009F6AC8" w:rsidP="00B558B7">
            <w:pPr>
              <w:pStyle w:val="TekstTabeli"/>
            </w:pPr>
            <w:r w:rsidRPr="008C72E5">
              <w:t>(2022) International Review on Public and Nonprofit Marketing, 19 (3), pp. 507 - 531, DOI: 10.1007/s12208-021-00313-3</w:t>
            </w:r>
          </w:p>
        </w:tc>
      </w:tr>
      <w:tr w:rsidR="00C4329A" w:rsidRPr="004C10DC" w14:paraId="7C33EAD9" w14:textId="77777777" w:rsidTr="00C4329A">
        <w:trPr>
          <w:cantSplit/>
        </w:trPr>
        <w:tc>
          <w:tcPr>
            <w:tcW w:w="297" w:type="pct"/>
            <w:vAlign w:val="center"/>
          </w:tcPr>
          <w:p w14:paraId="2FE184E8" w14:textId="77777777" w:rsidR="009F6AC8" w:rsidRPr="008C72E5" w:rsidRDefault="009F6AC8" w:rsidP="00B558B7">
            <w:pPr>
              <w:pStyle w:val="TekstTabeli"/>
            </w:pPr>
            <w:r w:rsidRPr="008C72E5">
              <w:t>433</w:t>
            </w:r>
          </w:p>
        </w:tc>
        <w:tc>
          <w:tcPr>
            <w:tcW w:w="880" w:type="pct"/>
            <w:vAlign w:val="center"/>
          </w:tcPr>
          <w:p w14:paraId="79B496D6" w14:textId="77777777" w:rsidR="009F6AC8" w:rsidRPr="008C72E5" w:rsidRDefault="009F6AC8" w:rsidP="00B558B7">
            <w:pPr>
              <w:pStyle w:val="TekstTabeli"/>
            </w:pPr>
            <w:r w:rsidRPr="008C72E5">
              <w:t>Walsh D., Whited J., Crockett R.</w:t>
            </w:r>
          </w:p>
        </w:tc>
        <w:tc>
          <w:tcPr>
            <w:tcW w:w="1771" w:type="pct"/>
            <w:vAlign w:val="center"/>
          </w:tcPr>
          <w:p w14:paraId="200B98CA" w14:textId="77777777" w:rsidR="009F6AC8" w:rsidRPr="008C72E5" w:rsidRDefault="009F6AC8" w:rsidP="00B558B7">
            <w:pPr>
              <w:pStyle w:val="TekstTabeli"/>
            </w:pPr>
            <w:r w:rsidRPr="008C72E5">
              <w:t>Cooperative education as a prime mover and key constant in industry? University relationships</w:t>
            </w:r>
          </w:p>
        </w:tc>
        <w:tc>
          <w:tcPr>
            <w:tcW w:w="2052" w:type="pct"/>
            <w:vAlign w:val="center"/>
          </w:tcPr>
          <w:p w14:paraId="77F13966" w14:textId="77777777" w:rsidR="009F6AC8" w:rsidRPr="008C72E5" w:rsidRDefault="009F6AC8" w:rsidP="00B558B7">
            <w:pPr>
              <w:pStyle w:val="TekstTabeli"/>
            </w:pPr>
            <w:r w:rsidRPr="008C72E5">
              <w:t>(2007) ASEE Annual Conference and Exposition, Conference Proceedings, 0</w:t>
            </w:r>
          </w:p>
        </w:tc>
      </w:tr>
      <w:tr w:rsidR="00C4329A" w:rsidRPr="004C10DC" w14:paraId="4D2FD96E" w14:textId="77777777" w:rsidTr="00C4329A">
        <w:trPr>
          <w:cantSplit/>
        </w:trPr>
        <w:tc>
          <w:tcPr>
            <w:tcW w:w="297" w:type="pct"/>
            <w:vAlign w:val="center"/>
          </w:tcPr>
          <w:p w14:paraId="6EC57D24" w14:textId="77777777" w:rsidR="009F6AC8" w:rsidRPr="008C72E5" w:rsidRDefault="009F6AC8" w:rsidP="00B558B7">
            <w:pPr>
              <w:pStyle w:val="TekstTabeli"/>
            </w:pPr>
            <w:r w:rsidRPr="008C72E5">
              <w:t>434</w:t>
            </w:r>
          </w:p>
        </w:tc>
        <w:tc>
          <w:tcPr>
            <w:tcW w:w="880" w:type="pct"/>
            <w:vAlign w:val="center"/>
          </w:tcPr>
          <w:p w14:paraId="295EC717" w14:textId="0A13B600" w:rsidR="009F6AC8" w:rsidRPr="008C72E5" w:rsidRDefault="009F6AC8" w:rsidP="00B558B7">
            <w:pPr>
              <w:pStyle w:val="TekstTabeli"/>
            </w:pPr>
            <w:r w:rsidRPr="008C72E5">
              <w:t xml:space="preserve">Delaine D.A., Redick S., </w:t>
            </w:r>
            <w:proofErr w:type="spellStart"/>
            <w:r w:rsidR="00705110" w:rsidRPr="008C72E5">
              <w:t>i</w:t>
            </w:r>
            <w:proofErr w:type="spellEnd"/>
            <w:r w:rsidR="00705110" w:rsidRPr="008C72E5">
              <w:t> in.</w:t>
            </w:r>
          </w:p>
        </w:tc>
        <w:tc>
          <w:tcPr>
            <w:tcW w:w="1771" w:type="pct"/>
            <w:vAlign w:val="center"/>
          </w:tcPr>
          <w:p w14:paraId="34087E52" w14:textId="77777777" w:rsidR="009F6AC8" w:rsidRPr="008C72E5" w:rsidRDefault="009F6AC8" w:rsidP="00B558B7">
            <w:pPr>
              <w:pStyle w:val="TekstTabeli"/>
            </w:pPr>
            <w:r w:rsidRPr="008C72E5">
              <w:t>A systematic literature review of reciprocity in engineering service-learning/community engagement</w:t>
            </w:r>
          </w:p>
        </w:tc>
        <w:tc>
          <w:tcPr>
            <w:tcW w:w="2052" w:type="pct"/>
            <w:vAlign w:val="center"/>
          </w:tcPr>
          <w:p w14:paraId="44E2D5C6" w14:textId="77777777" w:rsidR="009F6AC8" w:rsidRPr="008C72E5" w:rsidRDefault="009F6AC8" w:rsidP="00B558B7">
            <w:pPr>
              <w:pStyle w:val="TekstTabeli"/>
            </w:pPr>
            <w:r w:rsidRPr="008C72E5">
              <w:t>(2023) Journal of Engineering Education, DOI: 10.1002/jee.20561</w:t>
            </w:r>
          </w:p>
        </w:tc>
      </w:tr>
      <w:tr w:rsidR="00C4329A" w:rsidRPr="004C10DC" w14:paraId="07F8C00A" w14:textId="77777777" w:rsidTr="00C4329A">
        <w:trPr>
          <w:cantSplit/>
        </w:trPr>
        <w:tc>
          <w:tcPr>
            <w:tcW w:w="297" w:type="pct"/>
            <w:vAlign w:val="center"/>
          </w:tcPr>
          <w:p w14:paraId="3FB53C42" w14:textId="77777777" w:rsidR="009F6AC8" w:rsidRPr="008C72E5" w:rsidRDefault="009F6AC8" w:rsidP="00B558B7">
            <w:pPr>
              <w:pStyle w:val="TekstTabeli"/>
            </w:pPr>
            <w:r w:rsidRPr="008C72E5">
              <w:lastRenderedPageBreak/>
              <w:t>435</w:t>
            </w:r>
          </w:p>
        </w:tc>
        <w:tc>
          <w:tcPr>
            <w:tcW w:w="880" w:type="pct"/>
            <w:vAlign w:val="center"/>
          </w:tcPr>
          <w:p w14:paraId="26D58E03" w14:textId="77777777" w:rsidR="009F6AC8" w:rsidRPr="008C72E5" w:rsidRDefault="009F6AC8" w:rsidP="00B558B7">
            <w:pPr>
              <w:pStyle w:val="TekstTabeli"/>
            </w:pPr>
            <w:r w:rsidRPr="008C72E5">
              <w:t>Pacheco-</w:t>
            </w:r>
            <w:proofErr w:type="spellStart"/>
            <w:r w:rsidRPr="008C72E5">
              <w:t>Guffrey</w:t>
            </w:r>
            <w:proofErr w:type="spellEnd"/>
            <w:r w:rsidRPr="008C72E5">
              <w:t xml:space="preserve"> H.A., Boivin J.A.</w:t>
            </w:r>
          </w:p>
        </w:tc>
        <w:tc>
          <w:tcPr>
            <w:tcW w:w="1771" w:type="pct"/>
            <w:vAlign w:val="center"/>
          </w:tcPr>
          <w:p w14:paraId="69B5E15A" w14:textId="77777777" w:rsidR="009F6AC8" w:rsidRPr="008C72E5" w:rsidRDefault="009F6AC8" w:rsidP="00B558B7">
            <w:pPr>
              <w:pStyle w:val="TekstTabeli"/>
            </w:pPr>
            <w:r w:rsidRPr="008C72E5">
              <w:t>Striving for equity: Ways education can be used to fight against oppressive systems</w:t>
            </w:r>
          </w:p>
        </w:tc>
        <w:tc>
          <w:tcPr>
            <w:tcW w:w="2052" w:type="pct"/>
            <w:vAlign w:val="center"/>
          </w:tcPr>
          <w:p w14:paraId="019338DA" w14:textId="77777777" w:rsidR="009F6AC8" w:rsidRPr="008C72E5" w:rsidRDefault="009F6AC8" w:rsidP="00B558B7">
            <w:pPr>
              <w:pStyle w:val="TekstTabeli"/>
            </w:pPr>
            <w:r w:rsidRPr="008C72E5">
              <w:t>(2023) The Role of Educators as Agents and Conveyors for Positive Change in Global Education, pp. 83 - 111, DOI: 10.4018/978-1-6684-7869-1.ch004</w:t>
            </w:r>
          </w:p>
        </w:tc>
      </w:tr>
      <w:tr w:rsidR="00C4329A" w:rsidRPr="004C10DC" w14:paraId="04FF599E" w14:textId="77777777" w:rsidTr="00C4329A">
        <w:trPr>
          <w:cantSplit/>
        </w:trPr>
        <w:tc>
          <w:tcPr>
            <w:tcW w:w="297" w:type="pct"/>
            <w:vAlign w:val="center"/>
          </w:tcPr>
          <w:p w14:paraId="6CEC05FD" w14:textId="77777777" w:rsidR="009F6AC8" w:rsidRPr="008C72E5" w:rsidRDefault="009F6AC8" w:rsidP="00B558B7">
            <w:pPr>
              <w:pStyle w:val="TekstTabeli"/>
            </w:pPr>
            <w:r w:rsidRPr="008C72E5">
              <w:t>436</w:t>
            </w:r>
          </w:p>
        </w:tc>
        <w:tc>
          <w:tcPr>
            <w:tcW w:w="880" w:type="pct"/>
            <w:vAlign w:val="center"/>
          </w:tcPr>
          <w:p w14:paraId="35AEB5C2" w14:textId="77777777" w:rsidR="009F6AC8" w:rsidRPr="008C72E5" w:rsidRDefault="009F6AC8" w:rsidP="00B558B7">
            <w:pPr>
              <w:pStyle w:val="TekstTabeli"/>
            </w:pPr>
            <w:proofErr w:type="spellStart"/>
            <w:r w:rsidRPr="008C72E5">
              <w:t>Lolwana</w:t>
            </w:r>
            <w:proofErr w:type="spellEnd"/>
            <w:r w:rsidRPr="008C72E5">
              <w:t xml:space="preserve"> P.</w:t>
            </w:r>
          </w:p>
        </w:tc>
        <w:tc>
          <w:tcPr>
            <w:tcW w:w="1771" w:type="pct"/>
            <w:vAlign w:val="center"/>
          </w:tcPr>
          <w:p w14:paraId="0A7F927F" w14:textId="77777777" w:rsidR="009F6AC8" w:rsidRPr="008C72E5" w:rsidRDefault="009F6AC8" w:rsidP="00B558B7">
            <w:pPr>
              <w:pStyle w:val="TekstTabeli"/>
            </w:pPr>
            <w:r w:rsidRPr="008C72E5">
              <w:t xml:space="preserve">The role of stakeholders in the transformation of the south </w:t>
            </w:r>
            <w:proofErr w:type="spellStart"/>
            <w:r w:rsidRPr="008C72E5">
              <w:t>african</w:t>
            </w:r>
            <w:proofErr w:type="spellEnd"/>
            <w:r w:rsidRPr="008C72E5">
              <w:t xml:space="preserve"> higher education system</w:t>
            </w:r>
          </w:p>
        </w:tc>
        <w:tc>
          <w:tcPr>
            <w:tcW w:w="2052" w:type="pct"/>
            <w:vAlign w:val="center"/>
          </w:tcPr>
          <w:p w14:paraId="5B23BC65" w14:textId="77777777" w:rsidR="009F6AC8" w:rsidRPr="008C72E5" w:rsidRDefault="009F6AC8" w:rsidP="00B558B7">
            <w:pPr>
              <w:pStyle w:val="TekstTabeli"/>
            </w:pPr>
            <w:r w:rsidRPr="008C72E5">
              <w:t>(2015) Higher Education Dynamics, 44, pp. 253 - 267, DOI: 10.1007/978-94-017-9570-8_13</w:t>
            </w:r>
          </w:p>
        </w:tc>
      </w:tr>
      <w:tr w:rsidR="00C4329A" w:rsidRPr="004C10DC" w14:paraId="467991A7" w14:textId="77777777" w:rsidTr="00C4329A">
        <w:trPr>
          <w:cantSplit/>
        </w:trPr>
        <w:tc>
          <w:tcPr>
            <w:tcW w:w="297" w:type="pct"/>
            <w:vAlign w:val="center"/>
          </w:tcPr>
          <w:p w14:paraId="531DBD97" w14:textId="77777777" w:rsidR="009F6AC8" w:rsidRPr="008C72E5" w:rsidRDefault="009F6AC8" w:rsidP="00B558B7">
            <w:pPr>
              <w:pStyle w:val="TekstTabeli"/>
            </w:pPr>
            <w:r w:rsidRPr="008C72E5">
              <w:t>437</w:t>
            </w:r>
          </w:p>
        </w:tc>
        <w:tc>
          <w:tcPr>
            <w:tcW w:w="880" w:type="pct"/>
            <w:vAlign w:val="center"/>
          </w:tcPr>
          <w:p w14:paraId="36FF36BA" w14:textId="77777777" w:rsidR="009F6AC8" w:rsidRPr="008C72E5" w:rsidRDefault="009F6AC8" w:rsidP="00B558B7">
            <w:pPr>
              <w:pStyle w:val="TekstTabeli"/>
            </w:pPr>
            <w:r w:rsidRPr="008C72E5">
              <w:t>Okoro C.S., Phiri N.B.</w:t>
            </w:r>
          </w:p>
        </w:tc>
        <w:tc>
          <w:tcPr>
            <w:tcW w:w="1771" w:type="pct"/>
            <w:vAlign w:val="center"/>
          </w:tcPr>
          <w:p w14:paraId="77E3547C" w14:textId="77777777" w:rsidR="009F6AC8" w:rsidRPr="008C72E5" w:rsidRDefault="009F6AC8" w:rsidP="00B558B7">
            <w:pPr>
              <w:pStyle w:val="TekstTabeli"/>
            </w:pPr>
            <w:r w:rsidRPr="008C72E5">
              <w:t>Institutional influencers and support for tutoring in a South African higher education institution</w:t>
            </w:r>
          </w:p>
        </w:tc>
        <w:tc>
          <w:tcPr>
            <w:tcW w:w="2052" w:type="pct"/>
            <w:vAlign w:val="center"/>
          </w:tcPr>
          <w:p w14:paraId="672D0DDC" w14:textId="77777777" w:rsidR="009F6AC8" w:rsidRPr="008C72E5" w:rsidRDefault="009F6AC8" w:rsidP="00B558B7">
            <w:pPr>
              <w:pStyle w:val="TekstTabeli"/>
            </w:pPr>
            <w:r w:rsidRPr="008C72E5">
              <w:t>(2023) International Conference on Higher Education Advances, pp. 1113 - 1121, DOI: 10.4995/HEAd23.2023.16361</w:t>
            </w:r>
          </w:p>
        </w:tc>
      </w:tr>
      <w:tr w:rsidR="00C4329A" w:rsidRPr="004C10DC" w14:paraId="3612AAED" w14:textId="77777777" w:rsidTr="00C4329A">
        <w:trPr>
          <w:cantSplit/>
        </w:trPr>
        <w:tc>
          <w:tcPr>
            <w:tcW w:w="297" w:type="pct"/>
            <w:vAlign w:val="center"/>
          </w:tcPr>
          <w:p w14:paraId="40D5A09D" w14:textId="77777777" w:rsidR="009F6AC8" w:rsidRPr="008C72E5" w:rsidRDefault="009F6AC8" w:rsidP="00B558B7">
            <w:pPr>
              <w:pStyle w:val="TekstTabeli"/>
            </w:pPr>
            <w:r w:rsidRPr="008C72E5">
              <w:t>438</w:t>
            </w:r>
          </w:p>
        </w:tc>
        <w:tc>
          <w:tcPr>
            <w:tcW w:w="880" w:type="pct"/>
            <w:vAlign w:val="center"/>
          </w:tcPr>
          <w:p w14:paraId="5E7F84EB" w14:textId="77777777" w:rsidR="009F6AC8" w:rsidRPr="008C72E5" w:rsidRDefault="009F6AC8" w:rsidP="00B558B7">
            <w:pPr>
              <w:pStyle w:val="TekstTabeli"/>
            </w:pPr>
            <w:r w:rsidRPr="008C72E5">
              <w:t>Bureau D.A., Bingham R.P.</w:t>
            </w:r>
          </w:p>
        </w:tc>
        <w:tc>
          <w:tcPr>
            <w:tcW w:w="1771" w:type="pct"/>
            <w:vAlign w:val="center"/>
          </w:tcPr>
          <w:p w14:paraId="5D1B1C10" w14:textId="22A99F39" w:rsidR="009F6AC8" w:rsidRPr="008C72E5" w:rsidRDefault="00705110" w:rsidP="00B558B7">
            <w:pPr>
              <w:pStyle w:val="TekstTabeli"/>
            </w:pPr>
            <w:r w:rsidRPr="008C72E5">
              <w:t>Introduction</w:t>
            </w:r>
          </w:p>
        </w:tc>
        <w:tc>
          <w:tcPr>
            <w:tcW w:w="2052" w:type="pct"/>
            <w:vAlign w:val="center"/>
          </w:tcPr>
          <w:p w14:paraId="741072D7" w14:textId="77777777" w:rsidR="009F6AC8" w:rsidRPr="008C72E5" w:rsidRDefault="009F6AC8" w:rsidP="00B558B7">
            <w:pPr>
              <w:pStyle w:val="TekstTabeli"/>
            </w:pPr>
            <w:r w:rsidRPr="008C72E5">
              <w:t>(2023) Leading Assessment for Student Success: Ten Tenets that Change Culture and Practice in Student Affairs, pp. 1 - 6, DOI: 10.4324/9781003445609-1</w:t>
            </w:r>
          </w:p>
        </w:tc>
      </w:tr>
      <w:tr w:rsidR="00C4329A" w:rsidRPr="008C72E5" w14:paraId="0FB1F920" w14:textId="77777777" w:rsidTr="00C4329A">
        <w:trPr>
          <w:cantSplit/>
        </w:trPr>
        <w:tc>
          <w:tcPr>
            <w:tcW w:w="297" w:type="pct"/>
            <w:vAlign w:val="center"/>
          </w:tcPr>
          <w:p w14:paraId="053413A7" w14:textId="77777777" w:rsidR="009F6AC8" w:rsidRPr="008C72E5" w:rsidRDefault="009F6AC8" w:rsidP="00B558B7">
            <w:pPr>
              <w:pStyle w:val="TekstTabeli"/>
            </w:pPr>
            <w:r w:rsidRPr="008C72E5">
              <w:t>439</w:t>
            </w:r>
          </w:p>
        </w:tc>
        <w:tc>
          <w:tcPr>
            <w:tcW w:w="880" w:type="pct"/>
            <w:vAlign w:val="center"/>
          </w:tcPr>
          <w:p w14:paraId="39E2A112" w14:textId="2D3F6659" w:rsidR="009F6AC8" w:rsidRPr="008C72E5" w:rsidRDefault="009F6AC8" w:rsidP="00B558B7">
            <w:pPr>
              <w:pStyle w:val="TekstTabeli"/>
            </w:pPr>
            <w:r w:rsidRPr="008C72E5">
              <w:t xml:space="preserve">Hamilton R., Vincent S., </w:t>
            </w:r>
            <w:proofErr w:type="spellStart"/>
            <w:r w:rsidR="00705110" w:rsidRPr="008C72E5">
              <w:t>i</w:t>
            </w:r>
            <w:proofErr w:type="spellEnd"/>
            <w:r w:rsidR="00705110" w:rsidRPr="008C72E5">
              <w:t> in.</w:t>
            </w:r>
          </w:p>
        </w:tc>
        <w:tc>
          <w:tcPr>
            <w:tcW w:w="1771" w:type="pct"/>
            <w:vAlign w:val="center"/>
          </w:tcPr>
          <w:p w14:paraId="4649FA3E" w14:textId="77777777" w:rsidR="009F6AC8" w:rsidRPr="008C72E5" w:rsidRDefault="009F6AC8" w:rsidP="00B558B7">
            <w:pPr>
              <w:pStyle w:val="TekstTabeli"/>
            </w:pPr>
            <w:r w:rsidRPr="008C72E5">
              <w:t>Teaching Partnership Four Years on: Lessons Learned about Relationships between Universities and Practice Partners?</w:t>
            </w:r>
          </w:p>
        </w:tc>
        <w:tc>
          <w:tcPr>
            <w:tcW w:w="2052" w:type="pct"/>
            <w:vAlign w:val="center"/>
          </w:tcPr>
          <w:p w14:paraId="1F11FA09" w14:textId="77777777" w:rsidR="009F6AC8" w:rsidRPr="008C72E5" w:rsidRDefault="009F6AC8" w:rsidP="00B558B7">
            <w:pPr>
              <w:pStyle w:val="TekstTabeli"/>
            </w:pPr>
            <w:r w:rsidRPr="008C72E5">
              <w:t>(2023) Practice, 35 (1), pp. 17 - 26, DOI: 10.1080/09503153.2021.1998412</w:t>
            </w:r>
          </w:p>
        </w:tc>
      </w:tr>
      <w:tr w:rsidR="00C4329A" w:rsidRPr="004C10DC" w14:paraId="76096EE5" w14:textId="77777777" w:rsidTr="00C4329A">
        <w:trPr>
          <w:cantSplit/>
        </w:trPr>
        <w:tc>
          <w:tcPr>
            <w:tcW w:w="297" w:type="pct"/>
            <w:vAlign w:val="center"/>
          </w:tcPr>
          <w:p w14:paraId="39AEE989" w14:textId="77777777" w:rsidR="009F6AC8" w:rsidRPr="008C72E5" w:rsidRDefault="009F6AC8" w:rsidP="00B558B7">
            <w:pPr>
              <w:pStyle w:val="TekstTabeli"/>
            </w:pPr>
            <w:r w:rsidRPr="008C72E5">
              <w:t>440</w:t>
            </w:r>
          </w:p>
        </w:tc>
        <w:tc>
          <w:tcPr>
            <w:tcW w:w="880" w:type="pct"/>
            <w:vAlign w:val="center"/>
          </w:tcPr>
          <w:p w14:paraId="06420D5B" w14:textId="77777777" w:rsidR="009F6AC8" w:rsidRPr="008C72E5" w:rsidRDefault="009F6AC8" w:rsidP="00B558B7">
            <w:pPr>
              <w:pStyle w:val="TekstTabeli"/>
            </w:pPr>
            <w:r w:rsidRPr="008C72E5">
              <w:t>Bowden J.A.</w:t>
            </w:r>
          </w:p>
        </w:tc>
        <w:tc>
          <w:tcPr>
            <w:tcW w:w="1771" w:type="pct"/>
            <w:vAlign w:val="center"/>
          </w:tcPr>
          <w:p w14:paraId="2F0714B5" w14:textId="77777777" w:rsidR="009F6AC8" w:rsidRPr="008C72E5" w:rsidRDefault="009F6AC8" w:rsidP="00B558B7">
            <w:pPr>
              <w:pStyle w:val="TekstTabeli"/>
            </w:pPr>
            <w:r w:rsidRPr="008C72E5">
              <w:t>Conceptions of universities as organizations and change in science and mathematics education</w:t>
            </w:r>
          </w:p>
        </w:tc>
        <w:tc>
          <w:tcPr>
            <w:tcW w:w="2052" w:type="pct"/>
            <w:vAlign w:val="center"/>
          </w:tcPr>
          <w:p w14:paraId="3DB22385" w14:textId="77777777" w:rsidR="009F6AC8" w:rsidRPr="008C72E5" w:rsidRDefault="009F6AC8" w:rsidP="00B558B7">
            <w:pPr>
              <w:pStyle w:val="TekstTabeli"/>
            </w:pPr>
            <w:r w:rsidRPr="008C72E5">
              <w:t>(2009) University Science and Mathematics Education in Transition, pp. 197 - 221, DOI: 10.1007/978-0-387-09829-6_10</w:t>
            </w:r>
          </w:p>
        </w:tc>
      </w:tr>
      <w:tr w:rsidR="00C4329A" w:rsidRPr="004C10DC" w14:paraId="5755A69D" w14:textId="77777777" w:rsidTr="00C4329A">
        <w:trPr>
          <w:cantSplit/>
        </w:trPr>
        <w:tc>
          <w:tcPr>
            <w:tcW w:w="297" w:type="pct"/>
            <w:vAlign w:val="center"/>
          </w:tcPr>
          <w:p w14:paraId="62F02F44" w14:textId="77777777" w:rsidR="009F6AC8" w:rsidRPr="008C72E5" w:rsidRDefault="009F6AC8" w:rsidP="00B558B7">
            <w:pPr>
              <w:pStyle w:val="TekstTabeli"/>
            </w:pPr>
            <w:r w:rsidRPr="008C72E5">
              <w:t>441</w:t>
            </w:r>
          </w:p>
        </w:tc>
        <w:tc>
          <w:tcPr>
            <w:tcW w:w="880" w:type="pct"/>
            <w:vAlign w:val="center"/>
          </w:tcPr>
          <w:p w14:paraId="33522915" w14:textId="77777777" w:rsidR="009F6AC8" w:rsidRPr="008C72E5" w:rsidRDefault="009F6AC8" w:rsidP="00B558B7">
            <w:pPr>
              <w:pStyle w:val="TekstTabeli"/>
            </w:pPr>
            <w:r w:rsidRPr="008C72E5">
              <w:t>Lin A.F.Y., Hou A.Y.C.</w:t>
            </w:r>
          </w:p>
        </w:tc>
        <w:tc>
          <w:tcPr>
            <w:tcW w:w="1771" w:type="pct"/>
            <w:vAlign w:val="center"/>
          </w:tcPr>
          <w:p w14:paraId="71FEDB40" w14:textId="77777777" w:rsidR="009F6AC8" w:rsidRPr="008C72E5" w:rsidRDefault="009F6AC8" w:rsidP="00B558B7">
            <w:pPr>
              <w:pStyle w:val="TekstTabeli"/>
            </w:pPr>
            <w:r w:rsidRPr="008C72E5">
              <w:t>Quality and Inequality: Students’ Online Learning Experiences Amidst the COVID-19 Pandemic in Taiwan</w:t>
            </w:r>
          </w:p>
        </w:tc>
        <w:tc>
          <w:tcPr>
            <w:tcW w:w="2052" w:type="pct"/>
            <w:vAlign w:val="center"/>
          </w:tcPr>
          <w:p w14:paraId="592E112C" w14:textId="77777777" w:rsidR="009F6AC8" w:rsidRPr="008C72E5" w:rsidRDefault="009F6AC8" w:rsidP="00B558B7">
            <w:pPr>
              <w:pStyle w:val="TekstTabeli"/>
            </w:pPr>
            <w:r w:rsidRPr="008C72E5">
              <w:t>(2023) Higher Education in Asia, Part F3, pp. 171 - 190, DOI: 10.1007/978-981-99-1874-4_10</w:t>
            </w:r>
          </w:p>
        </w:tc>
      </w:tr>
      <w:tr w:rsidR="00C4329A" w:rsidRPr="004C10DC" w14:paraId="0838209E" w14:textId="77777777" w:rsidTr="00C4329A">
        <w:trPr>
          <w:cantSplit/>
        </w:trPr>
        <w:tc>
          <w:tcPr>
            <w:tcW w:w="297" w:type="pct"/>
            <w:vAlign w:val="center"/>
          </w:tcPr>
          <w:p w14:paraId="0BE5C8E1" w14:textId="77777777" w:rsidR="009F6AC8" w:rsidRPr="008C72E5" w:rsidRDefault="009F6AC8" w:rsidP="00B558B7">
            <w:pPr>
              <w:pStyle w:val="TekstTabeli"/>
            </w:pPr>
            <w:r w:rsidRPr="008C72E5">
              <w:t>442</w:t>
            </w:r>
          </w:p>
        </w:tc>
        <w:tc>
          <w:tcPr>
            <w:tcW w:w="880" w:type="pct"/>
            <w:vAlign w:val="center"/>
          </w:tcPr>
          <w:p w14:paraId="09580C2D" w14:textId="4F528E87" w:rsidR="009F6AC8" w:rsidRPr="008C72E5" w:rsidRDefault="009F6AC8" w:rsidP="00B558B7">
            <w:pPr>
              <w:pStyle w:val="TekstTabeli"/>
            </w:pPr>
            <w:proofErr w:type="spellStart"/>
            <w:r w:rsidRPr="008C72E5">
              <w:t>Gaftandzhieva</w:t>
            </w:r>
            <w:proofErr w:type="spellEnd"/>
            <w:r w:rsidRPr="008C72E5">
              <w:t xml:space="preserve"> S., Doneva R., </w:t>
            </w:r>
            <w:proofErr w:type="spellStart"/>
            <w:r w:rsidR="00705110" w:rsidRPr="008C72E5">
              <w:t>i</w:t>
            </w:r>
            <w:proofErr w:type="spellEnd"/>
            <w:r w:rsidR="00705110" w:rsidRPr="008C72E5">
              <w:t> in.</w:t>
            </w:r>
          </w:p>
        </w:tc>
        <w:tc>
          <w:tcPr>
            <w:tcW w:w="1771" w:type="pct"/>
            <w:vAlign w:val="center"/>
          </w:tcPr>
          <w:p w14:paraId="11D7C2D0" w14:textId="77777777" w:rsidR="009F6AC8" w:rsidRPr="008C72E5" w:rsidRDefault="009F6AC8" w:rsidP="00B558B7">
            <w:pPr>
              <w:pStyle w:val="TekstTabeli"/>
            </w:pPr>
            <w:r w:rsidRPr="008C72E5">
              <w:t>Towards Automated Evaluation of the Quality of Educational Services in HEIs</w:t>
            </w:r>
          </w:p>
        </w:tc>
        <w:tc>
          <w:tcPr>
            <w:tcW w:w="2052" w:type="pct"/>
            <w:vAlign w:val="center"/>
          </w:tcPr>
          <w:p w14:paraId="1D595C56" w14:textId="77777777" w:rsidR="009F6AC8" w:rsidRPr="008C72E5" w:rsidRDefault="009F6AC8" w:rsidP="00B558B7">
            <w:pPr>
              <w:pStyle w:val="TekstTabeli"/>
            </w:pPr>
            <w:r w:rsidRPr="008C72E5">
              <w:t>(2023) International Journal of Advanced Computer Science and Applications, 14 (8), pp. 150 - 165, DOI: 10.14569/IJACSA.2023.0140818</w:t>
            </w:r>
          </w:p>
        </w:tc>
      </w:tr>
      <w:tr w:rsidR="00C4329A" w:rsidRPr="004C10DC" w14:paraId="03A7E106" w14:textId="77777777" w:rsidTr="00C4329A">
        <w:trPr>
          <w:cantSplit/>
        </w:trPr>
        <w:tc>
          <w:tcPr>
            <w:tcW w:w="297" w:type="pct"/>
            <w:vAlign w:val="center"/>
          </w:tcPr>
          <w:p w14:paraId="6C480AEA" w14:textId="77777777" w:rsidR="009F6AC8" w:rsidRPr="008C72E5" w:rsidRDefault="009F6AC8" w:rsidP="00B558B7">
            <w:pPr>
              <w:pStyle w:val="TekstTabeli"/>
            </w:pPr>
            <w:r w:rsidRPr="008C72E5">
              <w:t>443</w:t>
            </w:r>
          </w:p>
        </w:tc>
        <w:tc>
          <w:tcPr>
            <w:tcW w:w="880" w:type="pct"/>
            <w:vAlign w:val="center"/>
          </w:tcPr>
          <w:p w14:paraId="22D791B8" w14:textId="78623348" w:rsidR="009F6AC8" w:rsidRPr="008C72E5" w:rsidRDefault="009F6AC8" w:rsidP="00B558B7">
            <w:pPr>
              <w:pStyle w:val="TekstTabeli"/>
            </w:pPr>
            <w:r w:rsidRPr="008C72E5">
              <w:t xml:space="preserve">Chahal J., Dagar V., </w:t>
            </w:r>
            <w:proofErr w:type="spellStart"/>
            <w:r w:rsidR="00705110" w:rsidRPr="008C72E5">
              <w:t>i</w:t>
            </w:r>
            <w:proofErr w:type="spellEnd"/>
            <w:r w:rsidR="00705110" w:rsidRPr="008C72E5">
              <w:t> in.</w:t>
            </w:r>
          </w:p>
        </w:tc>
        <w:tc>
          <w:tcPr>
            <w:tcW w:w="1771" w:type="pct"/>
            <w:vAlign w:val="center"/>
          </w:tcPr>
          <w:p w14:paraId="42FE0A19" w14:textId="77777777" w:rsidR="009F6AC8" w:rsidRPr="008C72E5" w:rsidRDefault="009F6AC8" w:rsidP="00B558B7">
            <w:pPr>
              <w:pStyle w:val="TekstTabeli"/>
            </w:pPr>
            <w:r w:rsidRPr="008C72E5">
              <w:t>The crisis effect in TPB as a moderator for post-pandemic entrepreneurial intentions among higher education students: PLS-SEM and ANN approach</w:t>
            </w:r>
          </w:p>
        </w:tc>
        <w:tc>
          <w:tcPr>
            <w:tcW w:w="2052" w:type="pct"/>
            <w:vAlign w:val="center"/>
          </w:tcPr>
          <w:p w14:paraId="26D63B26" w14:textId="77777777" w:rsidR="009F6AC8" w:rsidRPr="008C72E5" w:rsidRDefault="009F6AC8" w:rsidP="00B558B7">
            <w:pPr>
              <w:pStyle w:val="TekstTabeli"/>
            </w:pPr>
            <w:r w:rsidRPr="008C72E5">
              <w:t>(2023) International Journal of Management Education, 21 (3), art. no. 100878, DOI: 10.1016/j.ijme.2023.100878</w:t>
            </w:r>
          </w:p>
        </w:tc>
      </w:tr>
      <w:tr w:rsidR="00C4329A" w:rsidRPr="004C10DC" w14:paraId="2478C9C2" w14:textId="77777777" w:rsidTr="00C4329A">
        <w:trPr>
          <w:cantSplit/>
        </w:trPr>
        <w:tc>
          <w:tcPr>
            <w:tcW w:w="297" w:type="pct"/>
            <w:vAlign w:val="center"/>
          </w:tcPr>
          <w:p w14:paraId="5A7049D7" w14:textId="77777777" w:rsidR="009F6AC8" w:rsidRPr="008C72E5" w:rsidRDefault="009F6AC8" w:rsidP="00B558B7">
            <w:pPr>
              <w:pStyle w:val="TekstTabeli"/>
            </w:pPr>
            <w:r w:rsidRPr="008C72E5">
              <w:t>444</w:t>
            </w:r>
          </w:p>
        </w:tc>
        <w:tc>
          <w:tcPr>
            <w:tcW w:w="880" w:type="pct"/>
            <w:vAlign w:val="center"/>
          </w:tcPr>
          <w:p w14:paraId="20CDB2D2" w14:textId="77777777" w:rsidR="009F6AC8" w:rsidRPr="008C72E5" w:rsidRDefault="009F6AC8" w:rsidP="00B558B7">
            <w:pPr>
              <w:pStyle w:val="TekstTabeli"/>
            </w:pPr>
            <w:proofErr w:type="spellStart"/>
            <w:r w:rsidRPr="008C72E5">
              <w:t>Omodan</w:t>
            </w:r>
            <w:proofErr w:type="spellEnd"/>
            <w:r w:rsidRPr="008C72E5">
              <w:t xml:space="preserve"> B.I.</w:t>
            </w:r>
          </w:p>
        </w:tc>
        <w:tc>
          <w:tcPr>
            <w:tcW w:w="1771" w:type="pct"/>
            <w:vAlign w:val="center"/>
          </w:tcPr>
          <w:p w14:paraId="0E51E37B" w14:textId="77777777" w:rsidR="009F6AC8" w:rsidRPr="008C72E5" w:rsidRDefault="009F6AC8" w:rsidP="00B558B7">
            <w:pPr>
              <w:pStyle w:val="TekstTabeli"/>
            </w:pPr>
            <w:r w:rsidRPr="008C72E5">
              <w:t xml:space="preserve">The role of </w:t>
            </w:r>
            <w:proofErr w:type="spellStart"/>
            <w:r w:rsidRPr="008C72E5">
              <w:t>organisational</w:t>
            </w:r>
            <w:proofErr w:type="spellEnd"/>
            <w:r w:rsidRPr="008C72E5">
              <w:t xml:space="preserve"> culture in conflict management among university stakeholders</w:t>
            </w:r>
          </w:p>
        </w:tc>
        <w:tc>
          <w:tcPr>
            <w:tcW w:w="2052" w:type="pct"/>
            <w:vAlign w:val="center"/>
          </w:tcPr>
          <w:p w14:paraId="76909A35" w14:textId="77777777" w:rsidR="009F6AC8" w:rsidRPr="008C72E5" w:rsidRDefault="009F6AC8" w:rsidP="00B558B7">
            <w:pPr>
              <w:pStyle w:val="TekstTabeli"/>
            </w:pPr>
            <w:r w:rsidRPr="008C72E5">
              <w:t>(2023) Humanities and Social Sciences Letters, 11 (3), pp. 282 - 294, DOI: 10.18488/73.v11i3.3439</w:t>
            </w:r>
          </w:p>
        </w:tc>
      </w:tr>
      <w:tr w:rsidR="00C4329A" w:rsidRPr="004C10DC" w14:paraId="35D5AF49" w14:textId="77777777" w:rsidTr="00C4329A">
        <w:trPr>
          <w:cantSplit/>
        </w:trPr>
        <w:tc>
          <w:tcPr>
            <w:tcW w:w="297" w:type="pct"/>
            <w:vAlign w:val="center"/>
          </w:tcPr>
          <w:p w14:paraId="48E0DD89" w14:textId="77777777" w:rsidR="009F6AC8" w:rsidRPr="008C72E5" w:rsidRDefault="009F6AC8" w:rsidP="00B558B7">
            <w:pPr>
              <w:pStyle w:val="TekstTabeli"/>
            </w:pPr>
            <w:r w:rsidRPr="008C72E5">
              <w:t>445</w:t>
            </w:r>
          </w:p>
        </w:tc>
        <w:tc>
          <w:tcPr>
            <w:tcW w:w="880" w:type="pct"/>
            <w:vAlign w:val="center"/>
          </w:tcPr>
          <w:p w14:paraId="759FA43D" w14:textId="77777777" w:rsidR="009F6AC8" w:rsidRPr="008C72E5" w:rsidRDefault="009F6AC8" w:rsidP="00B558B7">
            <w:pPr>
              <w:pStyle w:val="TekstTabeli"/>
            </w:pPr>
            <w:r w:rsidRPr="008C72E5">
              <w:t>Benjamin L.S., Henderson J.A.</w:t>
            </w:r>
          </w:p>
        </w:tc>
        <w:tc>
          <w:tcPr>
            <w:tcW w:w="1771" w:type="pct"/>
            <w:vAlign w:val="center"/>
          </w:tcPr>
          <w:p w14:paraId="086C9F57" w14:textId="77777777" w:rsidR="009F6AC8" w:rsidRPr="008C72E5" w:rsidRDefault="009F6AC8" w:rsidP="00B558B7">
            <w:pPr>
              <w:pStyle w:val="TekstTabeli"/>
            </w:pPr>
            <w:r w:rsidRPr="008C72E5">
              <w:t>Conceptualizing Program Quality in Engineering Education Ph.D. Programs</w:t>
            </w:r>
          </w:p>
        </w:tc>
        <w:tc>
          <w:tcPr>
            <w:tcW w:w="2052" w:type="pct"/>
            <w:vAlign w:val="center"/>
          </w:tcPr>
          <w:p w14:paraId="4A2984BA" w14:textId="77777777" w:rsidR="009F6AC8" w:rsidRPr="008C72E5" w:rsidRDefault="009F6AC8" w:rsidP="00B558B7">
            <w:pPr>
              <w:pStyle w:val="TekstTabeli"/>
            </w:pPr>
            <w:r w:rsidRPr="008C72E5">
              <w:t>(2023) ASEE Annual Conference and Exposition, Conference Proceedings, 0</w:t>
            </w:r>
          </w:p>
        </w:tc>
      </w:tr>
      <w:tr w:rsidR="00C4329A" w:rsidRPr="004C10DC" w14:paraId="37E123E0" w14:textId="77777777" w:rsidTr="00C4329A">
        <w:trPr>
          <w:cantSplit/>
        </w:trPr>
        <w:tc>
          <w:tcPr>
            <w:tcW w:w="297" w:type="pct"/>
            <w:vAlign w:val="center"/>
          </w:tcPr>
          <w:p w14:paraId="61B24395" w14:textId="77777777" w:rsidR="009F6AC8" w:rsidRPr="008C72E5" w:rsidRDefault="009F6AC8" w:rsidP="00B558B7">
            <w:pPr>
              <w:pStyle w:val="TekstTabeli"/>
            </w:pPr>
            <w:r w:rsidRPr="008C72E5">
              <w:t>446</w:t>
            </w:r>
          </w:p>
        </w:tc>
        <w:tc>
          <w:tcPr>
            <w:tcW w:w="880" w:type="pct"/>
            <w:vAlign w:val="center"/>
          </w:tcPr>
          <w:p w14:paraId="0ED79096" w14:textId="77777777" w:rsidR="009F6AC8" w:rsidRPr="008C72E5" w:rsidRDefault="009F6AC8" w:rsidP="00B558B7">
            <w:pPr>
              <w:pStyle w:val="TekstTabeli"/>
            </w:pPr>
            <w:r w:rsidRPr="008C72E5">
              <w:t>Pharaoh C.D., Visser D.J.</w:t>
            </w:r>
          </w:p>
        </w:tc>
        <w:tc>
          <w:tcPr>
            <w:tcW w:w="1771" w:type="pct"/>
            <w:vAlign w:val="center"/>
          </w:tcPr>
          <w:p w14:paraId="7ED27BB7" w14:textId="77777777" w:rsidR="009F6AC8" w:rsidRPr="008C72E5" w:rsidRDefault="009F6AC8" w:rsidP="00B558B7">
            <w:pPr>
              <w:pStyle w:val="TekstTabeli"/>
            </w:pPr>
            <w:r w:rsidRPr="008C72E5">
              <w:t>Crisis management competencies: A university stakeholder perspective</w:t>
            </w:r>
          </w:p>
        </w:tc>
        <w:tc>
          <w:tcPr>
            <w:tcW w:w="2052" w:type="pct"/>
            <w:vAlign w:val="center"/>
          </w:tcPr>
          <w:p w14:paraId="6BE128A5" w14:textId="77777777" w:rsidR="009F6AC8" w:rsidRPr="008C72E5" w:rsidRDefault="009F6AC8" w:rsidP="00B558B7">
            <w:pPr>
              <w:pStyle w:val="TekstTabeli"/>
            </w:pPr>
            <w:r w:rsidRPr="008C72E5">
              <w:t>(2023) Journal of Contingencies and Crisis Management, DOI: 10.1111/1468-5973.12508</w:t>
            </w:r>
          </w:p>
        </w:tc>
      </w:tr>
      <w:tr w:rsidR="00C4329A" w:rsidRPr="008C72E5" w14:paraId="24DE9E6D" w14:textId="77777777" w:rsidTr="00C4329A">
        <w:trPr>
          <w:cantSplit/>
        </w:trPr>
        <w:tc>
          <w:tcPr>
            <w:tcW w:w="297" w:type="pct"/>
            <w:vAlign w:val="center"/>
          </w:tcPr>
          <w:p w14:paraId="532A0B6F" w14:textId="77777777" w:rsidR="009F6AC8" w:rsidRPr="008C72E5" w:rsidRDefault="009F6AC8" w:rsidP="00B558B7">
            <w:pPr>
              <w:pStyle w:val="TekstTabeli"/>
            </w:pPr>
            <w:r w:rsidRPr="008C72E5">
              <w:t>447</w:t>
            </w:r>
          </w:p>
        </w:tc>
        <w:tc>
          <w:tcPr>
            <w:tcW w:w="880" w:type="pct"/>
            <w:vAlign w:val="center"/>
          </w:tcPr>
          <w:p w14:paraId="0F0590F8" w14:textId="2DA0CE67" w:rsidR="009F6AC8" w:rsidRPr="008C72E5" w:rsidRDefault="009F6AC8" w:rsidP="00B558B7">
            <w:pPr>
              <w:pStyle w:val="TekstTabeli"/>
            </w:pPr>
            <w:r w:rsidRPr="008C72E5">
              <w:t xml:space="preserve">Marsh L.T.S., Wilkerson A., </w:t>
            </w:r>
            <w:proofErr w:type="spellStart"/>
            <w:r w:rsidR="00705110" w:rsidRPr="008C72E5">
              <w:t>i</w:t>
            </w:r>
            <w:proofErr w:type="spellEnd"/>
            <w:r w:rsidR="00705110" w:rsidRPr="008C72E5">
              <w:t> in.</w:t>
            </w:r>
          </w:p>
        </w:tc>
        <w:tc>
          <w:tcPr>
            <w:tcW w:w="1771" w:type="pct"/>
            <w:vAlign w:val="center"/>
          </w:tcPr>
          <w:p w14:paraId="6397464B" w14:textId="77777777" w:rsidR="009F6AC8" w:rsidRPr="008C72E5" w:rsidRDefault="009F6AC8" w:rsidP="00B558B7">
            <w:pPr>
              <w:pStyle w:val="TekstTabeli"/>
            </w:pPr>
            <w:r w:rsidRPr="008C72E5">
              <w:t>Taking responsibility: Institutional agents of color (Re)imagine collaboration that centers community stakeholders in university-community partnerships</w:t>
            </w:r>
          </w:p>
        </w:tc>
        <w:tc>
          <w:tcPr>
            <w:tcW w:w="2052" w:type="pct"/>
            <w:vAlign w:val="center"/>
          </w:tcPr>
          <w:p w14:paraId="3D70A109" w14:textId="77777777" w:rsidR="009F6AC8" w:rsidRPr="008C72E5" w:rsidRDefault="009F6AC8" w:rsidP="00B558B7">
            <w:pPr>
              <w:pStyle w:val="TekstTabeli"/>
            </w:pPr>
            <w:r w:rsidRPr="008C72E5">
              <w:t>(2023) Community Development, DOI: 10.1080/15575330.2023.2201709</w:t>
            </w:r>
          </w:p>
        </w:tc>
      </w:tr>
      <w:tr w:rsidR="00C4329A" w:rsidRPr="004C10DC" w14:paraId="199BE116" w14:textId="77777777" w:rsidTr="00C4329A">
        <w:trPr>
          <w:cantSplit/>
        </w:trPr>
        <w:tc>
          <w:tcPr>
            <w:tcW w:w="297" w:type="pct"/>
            <w:vAlign w:val="center"/>
          </w:tcPr>
          <w:p w14:paraId="0B70925E" w14:textId="77777777" w:rsidR="009F6AC8" w:rsidRPr="008C72E5" w:rsidRDefault="009F6AC8" w:rsidP="00B558B7">
            <w:pPr>
              <w:pStyle w:val="TekstTabeli"/>
            </w:pPr>
            <w:r w:rsidRPr="008C72E5">
              <w:t>448</w:t>
            </w:r>
          </w:p>
        </w:tc>
        <w:tc>
          <w:tcPr>
            <w:tcW w:w="880" w:type="pct"/>
            <w:vAlign w:val="center"/>
          </w:tcPr>
          <w:p w14:paraId="78ABE0A9" w14:textId="77777777" w:rsidR="009F6AC8" w:rsidRPr="00D82766" w:rsidRDefault="009F6AC8" w:rsidP="00B558B7">
            <w:pPr>
              <w:pStyle w:val="TekstTabeli"/>
              <w:rPr>
                <w:lang w:val="pl-PL"/>
              </w:rPr>
            </w:pPr>
            <w:proofErr w:type="spellStart"/>
            <w:r w:rsidRPr="00D82766">
              <w:rPr>
                <w:lang w:val="pl-PL"/>
              </w:rPr>
              <w:t>Rukmini</w:t>
            </w:r>
            <w:proofErr w:type="spellEnd"/>
            <w:r w:rsidRPr="00D82766">
              <w:rPr>
                <w:lang w:val="pl-PL"/>
              </w:rPr>
              <w:t xml:space="preserve"> E., Angelina H., </w:t>
            </w:r>
            <w:proofErr w:type="spellStart"/>
            <w:r w:rsidRPr="00D82766">
              <w:rPr>
                <w:lang w:val="pl-PL"/>
              </w:rPr>
              <w:t>Anggreni</w:t>
            </w:r>
            <w:proofErr w:type="spellEnd"/>
            <w:r w:rsidRPr="00D82766">
              <w:rPr>
                <w:lang w:val="pl-PL"/>
              </w:rPr>
              <w:t xml:space="preserve"> V.C.</w:t>
            </w:r>
          </w:p>
        </w:tc>
        <w:tc>
          <w:tcPr>
            <w:tcW w:w="1771" w:type="pct"/>
            <w:vAlign w:val="center"/>
          </w:tcPr>
          <w:p w14:paraId="74D69C4B" w14:textId="77777777" w:rsidR="009F6AC8" w:rsidRPr="008C72E5" w:rsidRDefault="009F6AC8" w:rsidP="00B558B7">
            <w:pPr>
              <w:pStyle w:val="TekstTabeli"/>
            </w:pPr>
            <w:r w:rsidRPr="008C72E5">
              <w:t>Indonesia higher education’s online learning during the pandemic state</w:t>
            </w:r>
          </w:p>
        </w:tc>
        <w:tc>
          <w:tcPr>
            <w:tcW w:w="2052" w:type="pct"/>
            <w:vAlign w:val="center"/>
          </w:tcPr>
          <w:p w14:paraId="6836CE79" w14:textId="77777777" w:rsidR="009F6AC8" w:rsidRPr="008C72E5" w:rsidRDefault="009F6AC8" w:rsidP="00B558B7">
            <w:pPr>
              <w:pStyle w:val="TekstTabeli"/>
            </w:pPr>
            <w:r w:rsidRPr="008C72E5">
              <w:t>(2023) International Journal of Evaluation and Research in Education, 12 (4), pp. 2286 - 2301, DOI: 10.11591/ijere.v12i4.25103</w:t>
            </w:r>
          </w:p>
        </w:tc>
      </w:tr>
      <w:tr w:rsidR="00C4329A" w:rsidRPr="004C10DC" w14:paraId="16D44FC8" w14:textId="77777777" w:rsidTr="00C4329A">
        <w:trPr>
          <w:cantSplit/>
        </w:trPr>
        <w:tc>
          <w:tcPr>
            <w:tcW w:w="297" w:type="pct"/>
            <w:vAlign w:val="center"/>
          </w:tcPr>
          <w:p w14:paraId="0C16B667" w14:textId="77777777" w:rsidR="009F6AC8" w:rsidRPr="008C72E5" w:rsidRDefault="009F6AC8" w:rsidP="00B558B7">
            <w:pPr>
              <w:pStyle w:val="TekstTabeli"/>
            </w:pPr>
            <w:r w:rsidRPr="008C72E5">
              <w:lastRenderedPageBreak/>
              <w:t>449</w:t>
            </w:r>
          </w:p>
        </w:tc>
        <w:tc>
          <w:tcPr>
            <w:tcW w:w="880" w:type="pct"/>
            <w:vAlign w:val="center"/>
          </w:tcPr>
          <w:p w14:paraId="5E6043BD" w14:textId="358FE63F" w:rsidR="009F6AC8" w:rsidRPr="008C72E5" w:rsidRDefault="009F6AC8" w:rsidP="00B558B7">
            <w:pPr>
              <w:pStyle w:val="TekstTabeli"/>
            </w:pPr>
            <w:r w:rsidRPr="008C72E5">
              <w:t xml:space="preserve">Kim S., Forney A., Cappelli C., </w:t>
            </w:r>
            <w:proofErr w:type="spellStart"/>
            <w:r w:rsidR="00705110" w:rsidRPr="008C72E5">
              <w:t>i</w:t>
            </w:r>
            <w:proofErr w:type="spellEnd"/>
            <w:r w:rsidR="00705110" w:rsidRPr="008C72E5">
              <w:t> in.</w:t>
            </w:r>
          </w:p>
        </w:tc>
        <w:tc>
          <w:tcPr>
            <w:tcW w:w="1771" w:type="pct"/>
            <w:vAlign w:val="center"/>
          </w:tcPr>
          <w:p w14:paraId="2E139DF3" w14:textId="77777777" w:rsidR="009F6AC8" w:rsidRPr="008C72E5" w:rsidRDefault="009F6AC8" w:rsidP="00B558B7">
            <w:pPr>
              <w:pStyle w:val="TekstTabeli"/>
            </w:pPr>
            <w:r w:rsidRPr="008C72E5">
              <w:t>Examining Timely Positive Interventions Utilized by First-Year Students to Improve their Course Grades in Science and Engineering</w:t>
            </w:r>
          </w:p>
        </w:tc>
        <w:tc>
          <w:tcPr>
            <w:tcW w:w="2052" w:type="pct"/>
            <w:vAlign w:val="center"/>
          </w:tcPr>
          <w:p w14:paraId="419F4985" w14:textId="77777777" w:rsidR="009F6AC8" w:rsidRPr="008C72E5" w:rsidRDefault="009F6AC8" w:rsidP="00B558B7">
            <w:pPr>
              <w:pStyle w:val="TekstTabeli"/>
            </w:pPr>
            <w:r w:rsidRPr="008C72E5">
              <w:t>(2023) ASEE Annual Conference and Exposition, Conference Proceedings, 0</w:t>
            </w:r>
          </w:p>
        </w:tc>
      </w:tr>
      <w:tr w:rsidR="00C4329A" w:rsidRPr="008C72E5" w14:paraId="67BEC8A1" w14:textId="77777777" w:rsidTr="00C4329A">
        <w:trPr>
          <w:cantSplit/>
        </w:trPr>
        <w:tc>
          <w:tcPr>
            <w:tcW w:w="297" w:type="pct"/>
            <w:vAlign w:val="center"/>
          </w:tcPr>
          <w:p w14:paraId="6A0564AD" w14:textId="77777777" w:rsidR="009F6AC8" w:rsidRPr="008C72E5" w:rsidRDefault="009F6AC8" w:rsidP="00B558B7">
            <w:pPr>
              <w:pStyle w:val="TekstTabeli"/>
            </w:pPr>
            <w:r w:rsidRPr="008C72E5">
              <w:t>450</w:t>
            </w:r>
          </w:p>
        </w:tc>
        <w:tc>
          <w:tcPr>
            <w:tcW w:w="880" w:type="pct"/>
            <w:vAlign w:val="center"/>
          </w:tcPr>
          <w:p w14:paraId="6BF42373" w14:textId="77777777" w:rsidR="009F6AC8" w:rsidRPr="008C72E5" w:rsidRDefault="009F6AC8" w:rsidP="00B558B7">
            <w:pPr>
              <w:pStyle w:val="TekstTabeli"/>
            </w:pPr>
            <w:proofErr w:type="spellStart"/>
            <w:r w:rsidRPr="008C72E5">
              <w:t>Duncheon</w:t>
            </w:r>
            <w:proofErr w:type="spellEnd"/>
            <w:r w:rsidRPr="008C72E5">
              <w:t xml:space="preserve"> J.C., </w:t>
            </w:r>
            <w:proofErr w:type="spellStart"/>
            <w:r w:rsidRPr="008C72E5">
              <w:t>DeMatthews</w:t>
            </w:r>
            <w:proofErr w:type="spellEnd"/>
            <w:r w:rsidRPr="008C72E5">
              <w:t xml:space="preserve"> D.E.</w:t>
            </w:r>
          </w:p>
        </w:tc>
        <w:tc>
          <w:tcPr>
            <w:tcW w:w="1771" w:type="pct"/>
            <w:vAlign w:val="center"/>
          </w:tcPr>
          <w:p w14:paraId="1000F47B" w14:textId="77777777" w:rsidR="009F6AC8" w:rsidRPr="008C72E5" w:rsidRDefault="009F6AC8" w:rsidP="00B558B7">
            <w:pPr>
              <w:pStyle w:val="TekstTabeli"/>
            </w:pPr>
            <w:r w:rsidRPr="008C72E5">
              <w:t>Exploring the Principal’s Role in Cross-Sector Partnerships: Sensemaking and Politics in a High-Performing Early College High School</w:t>
            </w:r>
          </w:p>
        </w:tc>
        <w:tc>
          <w:tcPr>
            <w:tcW w:w="2052" w:type="pct"/>
            <w:vAlign w:val="center"/>
          </w:tcPr>
          <w:p w14:paraId="0FAFD659" w14:textId="77777777" w:rsidR="009F6AC8" w:rsidRPr="008C72E5" w:rsidRDefault="009F6AC8" w:rsidP="00B558B7">
            <w:pPr>
              <w:pStyle w:val="TekstTabeli"/>
            </w:pPr>
            <w:r w:rsidRPr="008C72E5">
              <w:t>(2023) AERA Open, 9, DOI: 10.1177/23328584231205478</w:t>
            </w:r>
          </w:p>
        </w:tc>
      </w:tr>
      <w:tr w:rsidR="00C4329A" w:rsidRPr="004C10DC" w14:paraId="7DD0B38E" w14:textId="77777777" w:rsidTr="00C4329A">
        <w:trPr>
          <w:cantSplit/>
        </w:trPr>
        <w:tc>
          <w:tcPr>
            <w:tcW w:w="297" w:type="pct"/>
            <w:vAlign w:val="center"/>
          </w:tcPr>
          <w:p w14:paraId="1D23C073" w14:textId="77777777" w:rsidR="009F6AC8" w:rsidRPr="008C72E5" w:rsidRDefault="009F6AC8" w:rsidP="00B558B7">
            <w:pPr>
              <w:pStyle w:val="TekstTabeli"/>
            </w:pPr>
            <w:r w:rsidRPr="008C72E5">
              <w:t>451</w:t>
            </w:r>
          </w:p>
        </w:tc>
        <w:tc>
          <w:tcPr>
            <w:tcW w:w="880" w:type="pct"/>
            <w:vAlign w:val="center"/>
          </w:tcPr>
          <w:p w14:paraId="7F9ACE32" w14:textId="77777777" w:rsidR="009F6AC8" w:rsidRPr="008C72E5" w:rsidRDefault="009F6AC8" w:rsidP="00B558B7">
            <w:pPr>
              <w:pStyle w:val="TekstTabeli"/>
            </w:pPr>
            <w:r w:rsidRPr="008C72E5">
              <w:t>Jacob W.J.</w:t>
            </w:r>
          </w:p>
        </w:tc>
        <w:tc>
          <w:tcPr>
            <w:tcW w:w="1771" w:type="pct"/>
            <w:vAlign w:val="center"/>
          </w:tcPr>
          <w:p w14:paraId="70E54CDF" w14:textId="77777777" w:rsidR="009F6AC8" w:rsidRPr="008C72E5" w:rsidRDefault="009F6AC8" w:rsidP="00B558B7">
            <w:pPr>
              <w:pStyle w:val="TekstTabeli"/>
            </w:pPr>
            <w:r w:rsidRPr="008C72E5">
              <w:t>Social Media, Social Intelligence, and Emerging Trends in Higher Education Communication</w:t>
            </w:r>
          </w:p>
        </w:tc>
        <w:tc>
          <w:tcPr>
            <w:tcW w:w="2052" w:type="pct"/>
            <w:vAlign w:val="center"/>
          </w:tcPr>
          <w:p w14:paraId="27C2F8D4" w14:textId="77777777" w:rsidR="009F6AC8" w:rsidRPr="008C72E5" w:rsidRDefault="009F6AC8" w:rsidP="00B558B7">
            <w:pPr>
              <w:pStyle w:val="TekstTabeli"/>
            </w:pPr>
            <w:r w:rsidRPr="008C72E5">
              <w:t>(2015) International and Development Education, pp. 25 - 36, DOI: 10.1057/9781137491923_3</w:t>
            </w:r>
          </w:p>
        </w:tc>
      </w:tr>
      <w:tr w:rsidR="00C4329A" w:rsidRPr="004C10DC" w14:paraId="16C2F204" w14:textId="77777777" w:rsidTr="00C4329A">
        <w:trPr>
          <w:cantSplit/>
        </w:trPr>
        <w:tc>
          <w:tcPr>
            <w:tcW w:w="297" w:type="pct"/>
            <w:vAlign w:val="center"/>
          </w:tcPr>
          <w:p w14:paraId="4A8546EC" w14:textId="77777777" w:rsidR="009F6AC8" w:rsidRPr="008C72E5" w:rsidRDefault="009F6AC8" w:rsidP="00B558B7">
            <w:pPr>
              <w:pStyle w:val="TekstTabeli"/>
            </w:pPr>
            <w:r w:rsidRPr="008C72E5">
              <w:t>452</w:t>
            </w:r>
          </w:p>
        </w:tc>
        <w:tc>
          <w:tcPr>
            <w:tcW w:w="880" w:type="pct"/>
            <w:vAlign w:val="center"/>
          </w:tcPr>
          <w:p w14:paraId="75FE9AC8" w14:textId="77777777" w:rsidR="009F6AC8" w:rsidRPr="008C72E5" w:rsidRDefault="009F6AC8" w:rsidP="00B558B7">
            <w:pPr>
              <w:pStyle w:val="TekstTabeli"/>
            </w:pPr>
            <w:r w:rsidRPr="008C72E5">
              <w:t>Tang Z., Chen L., Jain A.</w:t>
            </w:r>
          </w:p>
        </w:tc>
        <w:tc>
          <w:tcPr>
            <w:tcW w:w="1771" w:type="pct"/>
            <w:vAlign w:val="center"/>
          </w:tcPr>
          <w:p w14:paraId="4384DCB2" w14:textId="77777777" w:rsidR="009F6AC8" w:rsidRPr="008C72E5" w:rsidRDefault="009F6AC8" w:rsidP="00B558B7">
            <w:pPr>
              <w:pStyle w:val="TekstTabeli"/>
            </w:pPr>
            <w:r w:rsidRPr="008C72E5">
              <w:t>Exploring Individual Feature Importance in Student Persistence Prediction</w:t>
            </w:r>
          </w:p>
        </w:tc>
        <w:tc>
          <w:tcPr>
            <w:tcW w:w="2052" w:type="pct"/>
            <w:vAlign w:val="center"/>
          </w:tcPr>
          <w:p w14:paraId="5B13842F" w14:textId="77777777" w:rsidR="009F6AC8" w:rsidRPr="008C72E5" w:rsidRDefault="009F6AC8" w:rsidP="00B558B7">
            <w:pPr>
              <w:pStyle w:val="TekstTabeli"/>
            </w:pPr>
            <w:r w:rsidRPr="008C72E5">
              <w:t>(2023) Journal of Higher Education Theory and Practice, 23 (6), pp. 1 - 14, DOI: 10.33423/jhetp.v23i6.5957</w:t>
            </w:r>
          </w:p>
        </w:tc>
      </w:tr>
      <w:tr w:rsidR="00C4329A" w:rsidRPr="004C10DC" w14:paraId="1DE82B4C" w14:textId="77777777" w:rsidTr="00C4329A">
        <w:trPr>
          <w:cantSplit/>
        </w:trPr>
        <w:tc>
          <w:tcPr>
            <w:tcW w:w="297" w:type="pct"/>
            <w:vAlign w:val="center"/>
          </w:tcPr>
          <w:p w14:paraId="4FCB4F5B" w14:textId="77777777" w:rsidR="009F6AC8" w:rsidRPr="008C72E5" w:rsidRDefault="009F6AC8" w:rsidP="00B558B7">
            <w:pPr>
              <w:pStyle w:val="TekstTabeli"/>
            </w:pPr>
            <w:r w:rsidRPr="008C72E5">
              <w:t>453</w:t>
            </w:r>
          </w:p>
        </w:tc>
        <w:tc>
          <w:tcPr>
            <w:tcW w:w="880" w:type="pct"/>
            <w:vAlign w:val="center"/>
          </w:tcPr>
          <w:p w14:paraId="45B02FF9" w14:textId="77777777" w:rsidR="009F6AC8" w:rsidRPr="008C72E5" w:rsidRDefault="009F6AC8" w:rsidP="00B558B7">
            <w:pPr>
              <w:pStyle w:val="TekstTabeli"/>
            </w:pPr>
            <w:proofErr w:type="spellStart"/>
            <w:r w:rsidRPr="008C72E5">
              <w:t>Chhaing</w:t>
            </w:r>
            <w:proofErr w:type="spellEnd"/>
            <w:r w:rsidRPr="008C72E5">
              <w:t xml:space="preserve"> S., Phon S.</w:t>
            </w:r>
          </w:p>
        </w:tc>
        <w:tc>
          <w:tcPr>
            <w:tcW w:w="1771" w:type="pct"/>
            <w:vAlign w:val="center"/>
          </w:tcPr>
          <w:p w14:paraId="132D3C1A" w14:textId="77777777" w:rsidR="009F6AC8" w:rsidRPr="008C72E5" w:rsidRDefault="009F6AC8" w:rsidP="00B558B7">
            <w:pPr>
              <w:pStyle w:val="TekstTabeli"/>
            </w:pPr>
            <w:r w:rsidRPr="008C72E5">
              <w:t>Motivation of academics in the Global South: a case from Cambodia higher education</w:t>
            </w:r>
          </w:p>
        </w:tc>
        <w:tc>
          <w:tcPr>
            <w:tcW w:w="2052" w:type="pct"/>
            <w:vAlign w:val="center"/>
          </w:tcPr>
          <w:p w14:paraId="4967605A" w14:textId="77777777" w:rsidR="009F6AC8" w:rsidRPr="008C72E5" w:rsidRDefault="009F6AC8" w:rsidP="00B558B7">
            <w:pPr>
              <w:pStyle w:val="TekstTabeli"/>
            </w:pPr>
            <w:r w:rsidRPr="008C72E5">
              <w:t>(2023) Journal of Applied Research in Higher Education, 15 (5), pp. 1530 - 1543, DOI: 10.1108/JARHE-08-2022-0241</w:t>
            </w:r>
          </w:p>
        </w:tc>
      </w:tr>
      <w:tr w:rsidR="00C4329A" w:rsidRPr="004C10DC" w14:paraId="71DC4F39" w14:textId="77777777" w:rsidTr="00C4329A">
        <w:trPr>
          <w:cantSplit/>
        </w:trPr>
        <w:tc>
          <w:tcPr>
            <w:tcW w:w="297" w:type="pct"/>
            <w:vAlign w:val="center"/>
          </w:tcPr>
          <w:p w14:paraId="6ED1CAD6" w14:textId="77777777" w:rsidR="009F6AC8" w:rsidRPr="008C72E5" w:rsidRDefault="009F6AC8" w:rsidP="00B558B7">
            <w:pPr>
              <w:pStyle w:val="TekstTabeli"/>
            </w:pPr>
            <w:r w:rsidRPr="008C72E5">
              <w:t>454</w:t>
            </w:r>
          </w:p>
        </w:tc>
        <w:tc>
          <w:tcPr>
            <w:tcW w:w="880" w:type="pct"/>
            <w:vAlign w:val="center"/>
          </w:tcPr>
          <w:p w14:paraId="015F77D8" w14:textId="70C3F64E" w:rsidR="009F6AC8" w:rsidRPr="008C72E5" w:rsidRDefault="009F6AC8" w:rsidP="00B558B7">
            <w:pPr>
              <w:pStyle w:val="TekstTabeli"/>
            </w:pPr>
            <w:proofErr w:type="spellStart"/>
            <w:r w:rsidRPr="008C72E5">
              <w:t>Imbar</w:t>
            </w:r>
            <w:proofErr w:type="spellEnd"/>
            <w:r w:rsidRPr="008C72E5">
              <w:t xml:space="preserve"> R.V., </w:t>
            </w:r>
            <w:proofErr w:type="spellStart"/>
            <w:r w:rsidRPr="008C72E5">
              <w:t>Supangkat</w:t>
            </w:r>
            <w:proofErr w:type="spellEnd"/>
            <w:r w:rsidRPr="008C72E5">
              <w:t xml:space="preserve"> S.H., </w:t>
            </w:r>
            <w:proofErr w:type="spellStart"/>
            <w:r w:rsidR="00705110" w:rsidRPr="008C72E5">
              <w:t>i</w:t>
            </w:r>
            <w:proofErr w:type="spellEnd"/>
            <w:r w:rsidR="00705110" w:rsidRPr="008C72E5">
              <w:t> in.</w:t>
            </w:r>
          </w:p>
        </w:tc>
        <w:tc>
          <w:tcPr>
            <w:tcW w:w="1771" w:type="pct"/>
            <w:vAlign w:val="center"/>
          </w:tcPr>
          <w:p w14:paraId="468555F0" w14:textId="77777777" w:rsidR="009F6AC8" w:rsidRPr="008C72E5" w:rsidRDefault="009F6AC8" w:rsidP="00B558B7">
            <w:pPr>
              <w:pStyle w:val="TekstTabeli"/>
            </w:pPr>
            <w:r w:rsidRPr="008C72E5">
              <w:t>Measurement of Campus Smartness: The Development of Smart Campus Model</w:t>
            </w:r>
          </w:p>
        </w:tc>
        <w:tc>
          <w:tcPr>
            <w:tcW w:w="2052" w:type="pct"/>
            <w:vAlign w:val="center"/>
          </w:tcPr>
          <w:p w14:paraId="043EA212" w14:textId="77777777" w:rsidR="009F6AC8" w:rsidRPr="008C72E5" w:rsidRDefault="009F6AC8" w:rsidP="00B558B7">
            <w:pPr>
              <w:pStyle w:val="TekstTabeli"/>
            </w:pPr>
            <w:r w:rsidRPr="008C72E5">
              <w:t>(2023) 10th International Conference on ICT for Smart Society, ICISS 2023 - Proceeding, DOI: 10.1109/ICISS59129.2023.10291750</w:t>
            </w:r>
          </w:p>
        </w:tc>
      </w:tr>
      <w:tr w:rsidR="00C4329A" w:rsidRPr="004C10DC" w14:paraId="786186EA" w14:textId="77777777" w:rsidTr="00C4329A">
        <w:trPr>
          <w:cantSplit/>
        </w:trPr>
        <w:tc>
          <w:tcPr>
            <w:tcW w:w="297" w:type="pct"/>
            <w:vAlign w:val="center"/>
          </w:tcPr>
          <w:p w14:paraId="2BD830E0" w14:textId="77777777" w:rsidR="009F6AC8" w:rsidRPr="008C72E5" w:rsidRDefault="009F6AC8" w:rsidP="00B558B7">
            <w:pPr>
              <w:pStyle w:val="TekstTabeli"/>
            </w:pPr>
            <w:r w:rsidRPr="008C72E5">
              <w:t>455</w:t>
            </w:r>
          </w:p>
        </w:tc>
        <w:tc>
          <w:tcPr>
            <w:tcW w:w="880" w:type="pct"/>
            <w:vAlign w:val="center"/>
          </w:tcPr>
          <w:p w14:paraId="1FD7BBE5" w14:textId="50020CF3" w:rsidR="009F6AC8" w:rsidRPr="008C72E5" w:rsidRDefault="009F6AC8" w:rsidP="00B558B7">
            <w:pPr>
              <w:pStyle w:val="TekstTabeli"/>
            </w:pPr>
            <w:r w:rsidRPr="008C72E5">
              <w:t xml:space="preserve">Barrett M., Jones G.J., </w:t>
            </w:r>
            <w:proofErr w:type="spellStart"/>
            <w:r w:rsidR="00705110" w:rsidRPr="008C72E5">
              <w:t>i</w:t>
            </w:r>
            <w:proofErr w:type="spellEnd"/>
            <w:r w:rsidR="00705110" w:rsidRPr="008C72E5">
              <w:t> in.</w:t>
            </w:r>
          </w:p>
        </w:tc>
        <w:tc>
          <w:tcPr>
            <w:tcW w:w="1771" w:type="pct"/>
            <w:vAlign w:val="center"/>
          </w:tcPr>
          <w:p w14:paraId="325014B6" w14:textId="77777777" w:rsidR="009F6AC8" w:rsidRPr="008C72E5" w:rsidRDefault="009F6AC8" w:rsidP="00B558B7">
            <w:pPr>
              <w:pStyle w:val="TekstTabeli"/>
            </w:pPr>
            <w:r w:rsidRPr="008C72E5">
              <w:t>Teamwork makes the net-work: participant-governed networks and athletics sustainability collaboration</w:t>
            </w:r>
          </w:p>
        </w:tc>
        <w:tc>
          <w:tcPr>
            <w:tcW w:w="2052" w:type="pct"/>
            <w:vAlign w:val="center"/>
          </w:tcPr>
          <w:p w14:paraId="45375FC3" w14:textId="77777777" w:rsidR="009F6AC8" w:rsidRPr="008C72E5" w:rsidRDefault="009F6AC8" w:rsidP="00B558B7">
            <w:pPr>
              <w:pStyle w:val="TekstTabeli"/>
            </w:pPr>
            <w:r w:rsidRPr="008C72E5">
              <w:t>(2022) International Journal of Sustainability in Higher Education, 23 (5), pp. 1090 - 1106, DOI: 10.1108/IJSHE-05-2021-0188</w:t>
            </w:r>
          </w:p>
        </w:tc>
      </w:tr>
      <w:tr w:rsidR="00C4329A" w:rsidRPr="004C10DC" w14:paraId="307E22BA" w14:textId="77777777" w:rsidTr="00C4329A">
        <w:trPr>
          <w:cantSplit/>
        </w:trPr>
        <w:tc>
          <w:tcPr>
            <w:tcW w:w="297" w:type="pct"/>
            <w:vAlign w:val="center"/>
          </w:tcPr>
          <w:p w14:paraId="5081BF5C" w14:textId="77777777" w:rsidR="009F6AC8" w:rsidRPr="008C72E5" w:rsidRDefault="009F6AC8" w:rsidP="00B558B7">
            <w:pPr>
              <w:pStyle w:val="TekstTabeli"/>
            </w:pPr>
            <w:r w:rsidRPr="008C72E5">
              <w:t>456</w:t>
            </w:r>
          </w:p>
        </w:tc>
        <w:tc>
          <w:tcPr>
            <w:tcW w:w="880" w:type="pct"/>
            <w:vAlign w:val="center"/>
          </w:tcPr>
          <w:p w14:paraId="1C970C1C" w14:textId="77777777" w:rsidR="009F6AC8" w:rsidRPr="008C72E5" w:rsidRDefault="009F6AC8" w:rsidP="00B558B7">
            <w:pPr>
              <w:pStyle w:val="TekstTabeli"/>
            </w:pPr>
            <w:r w:rsidRPr="008C72E5">
              <w:t>Shahjahan R.A., Baizhanov S.</w:t>
            </w:r>
          </w:p>
        </w:tc>
        <w:tc>
          <w:tcPr>
            <w:tcW w:w="1771" w:type="pct"/>
            <w:vAlign w:val="center"/>
          </w:tcPr>
          <w:p w14:paraId="69B83FEC" w14:textId="77777777" w:rsidR="009F6AC8" w:rsidRPr="008C72E5" w:rsidRDefault="009F6AC8" w:rsidP="00B558B7">
            <w:pPr>
              <w:pStyle w:val="TekstTabeli"/>
            </w:pPr>
            <w:r w:rsidRPr="008C72E5">
              <w:t>Global university rankings and geopolitics of knowledge</w:t>
            </w:r>
          </w:p>
        </w:tc>
        <w:tc>
          <w:tcPr>
            <w:tcW w:w="2052" w:type="pct"/>
            <w:vAlign w:val="center"/>
          </w:tcPr>
          <w:p w14:paraId="5C7931F3" w14:textId="77777777" w:rsidR="009F6AC8" w:rsidRPr="008C72E5" w:rsidRDefault="009F6AC8" w:rsidP="00B558B7">
            <w:pPr>
              <w:pStyle w:val="TekstTabeli"/>
            </w:pPr>
            <w:r w:rsidRPr="008C72E5">
              <w:t>(2022) International Encyclopedia of Education: Fourth Edition, pp. 261 - 271, DOI: 10.1016/B978-0-12-818630-5.08042-8</w:t>
            </w:r>
          </w:p>
        </w:tc>
      </w:tr>
      <w:tr w:rsidR="00C4329A" w:rsidRPr="004C10DC" w14:paraId="0CE740CC" w14:textId="77777777" w:rsidTr="00C4329A">
        <w:trPr>
          <w:cantSplit/>
        </w:trPr>
        <w:tc>
          <w:tcPr>
            <w:tcW w:w="297" w:type="pct"/>
            <w:vAlign w:val="center"/>
          </w:tcPr>
          <w:p w14:paraId="7206FF2D" w14:textId="77777777" w:rsidR="009F6AC8" w:rsidRPr="008C72E5" w:rsidRDefault="009F6AC8" w:rsidP="00B558B7">
            <w:pPr>
              <w:pStyle w:val="TekstTabeli"/>
            </w:pPr>
            <w:r w:rsidRPr="008C72E5">
              <w:t>457</w:t>
            </w:r>
          </w:p>
        </w:tc>
        <w:tc>
          <w:tcPr>
            <w:tcW w:w="880" w:type="pct"/>
            <w:vAlign w:val="center"/>
          </w:tcPr>
          <w:p w14:paraId="117857BD" w14:textId="548F8255" w:rsidR="009F6AC8" w:rsidRPr="008C72E5" w:rsidRDefault="009F6AC8" w:rsidP="00B558B7">
            <w:pPr>
              <w:pStyle w:val="TekstTabeli"/>
            </w:pPr>
            <w:r w:rsidRPr="008C72E5">
              <w:t xml:space="preserve">Robinson D., Suhr J., Buelow M., </w:t>
            </w:r>
            <w:proofErr w:type="spellStart"/>
            <w:r w:rsidR="00705110" w:rsidRPr="008C72E5">
              <w:t>i</w:t>
            </w:r>
            <w:proofErr w:type="spellEnd"/>
            <w:r w:rsidR="00705110" w:rsidRPr="008C72E5">
              <w:t> in.</w:t>
            </w:r>
          </w:p>
        </w:tc>
        <w:tc>
          <w:tcPr>
            <w:tcW w:w="1771" w:type="pct"/>
            <w:vAlign w:val="center"/>
          </w:tcPr>
          <w:p w14:paraId="50CAA0D6" w14:textId="77777777" w:rsidR="009F6AC8" w:rsidRPr="008C72E5" w:rsidRDefault="009F6AC8" w:rsidP="00B558B7">
            <w:pPr>
              <w:pStyle w:val="TekstTabeli"/>
            </w:pPr>
            <w:r w:rsidRPr="008C72E5">
              <w:t>Factors related to academic self-handicapping in Black students attending a predominantly White University</w:t>
            </w:r>
          </w:p>
        </w:tc>
        <w:tc>
          <w:tcPr>
            <w:tcW w:w="2052" w:type="pct"/>
            <w:vAlign w:val="center"/>
          </w:tcPr>
          <w:p w14:paraId="08890DE8" w14:textId="77777777" w:rsidR="009F6AC8" w:rsidRPr="008C72E5" w:rsidRDefault="009F6AC8" w:rsidP="00B558B7">
            <w:pPr>
              <w:pStyle w:val="TekstTabeli"/>
            </w:pPr>
            <w:r w:rsidRPr="008C72E5">
              <w:t>(2023) Social Psychology of Education, 26 (5), pp. 1437 - 1454, DOI: 10.1007/s11218-023-09798-8</w:t>
            </w:r>
          </w:p>
        </w:tc>
      </w:tr>
      <w:tr w:rsidR="00C4329A" w:rsidRPr="004C10DC" w14:paraId="02903E54" w14:textId="77777777" w:rsidTr="00C4329A">
        <w:trPr>
          <w:cantSplit/>
        </w:trPr>
        <w:tc>
          <w:tcPr>
            <w:tcW w:w="297" w:type="pct"/>
            <w:vAlign w:val="center"/>
          </w:tcPr>
          <w:p w14:paraId="1EAD787A" w14:textId="77777777" w:rsidR="009F6AC8" w:rsidRPr="008C72E5" w:rsidRDefault="009F6AC8" w:rsidP="00B558B7">
            <w:pPr>
              <w:pStyle w:val="TekstTabeli"/>
            </w:pPr>
            <w:r w:rsidRPr="008C72E5">
              <w:t>458</w:t>
            </w:r>
          </w:p>
        </w:tc>
        <w:tc>
          <w:tcPr>
            <w:tcW w:w="880" w:type="pct"/>
            <w:vAlign w:val="center"/>
          </w:tcPr>
          <w:p w14:paraId="7FF393CB" w14:textId="77777777" w:rsidR="009F6AC8" w:rsidRPr="008C72E5" w:rsidRDefault="009F6AC8" w:rsidP="00B558B7">
            <w:pPr>
              <w:pStyle w:val="TekstTabeli"/>
            </w:pPr>
            <w:r w:rsidRPr="008C72E5">
              <w:t xml:space="preserve">Vives Varela T., </w:t>
            </w:r>
            <w:proofErr w:type="spellStart"/>
            <w:r w:rsidRPr="008C72E5">
              <w:t>Hamui</w:t>
            </w:r>
            <w:proofErr w:type="spellEnd"/>
            <w:r w:rsidRPr="008C72E5">
              <w:t xml:space="preserve"> Sutton L.</w:t>
            </w:r>
          </w:p>
        </w:tc>
        <w:tc>
          <w:tcPr>
            <w:tcW w:w="1771" w:type="pct"/>
            <w:vAlign w:val="center"/>
          </w:tcPr>
          <w:p w14:paraId="3E79CAC8" w14:textId="0A9A2947" w:rsidR="009F6AC8" w:rsidRPr="008C72E5" w:rsidRDefault="009F6AC8" w:rsidP="00B558B7">
            <w:pPr>
              <w:pStyle w:val="TekstTabeli"/>
            </w:pPr>
            <w:r w:rsidRPr="008C72E5">
              <w:t>The electronic application “</w:t>
            </w:r>
            <w:proofErr w:type="spellStart"/>
            <w:r w:rsidRPr="008C72E5">
              <w:t>MedAPProc</w:t>
            </w:r>
            <w:proofErr w:type="spellEnd"/>
            <w:r w:rsidRPr="008C72E5">
              <w:t>” for the formative evaluation in the medical internship</w:t>
            </w:r>
          </w:p>
        </w:tc>
        <w:tc>
          <w:tcPr>
            <w:tcW w:w="2052" w:type="pct"/>
            <w:vAlign w:val="center"/>
          </w:tcPr>
          <w:p w14:paraId="61653432" w14:textId="77777777" w:rsidR="009F6AC8" w:rsidRPr="008C72E5" w:rsidRDefault="009F6AC8" w:rsidP="00B558B7">
            <w:pPr>
              <w:pStyle w:val="TekstTabeli"/>
            </w:pPr>
            <w:r w:rsidRPr="008C72E5">
              <w:t xml:space="preserve">(2023) </w:t>
            </w:r>
            <w:proofErr w:type="spellStart"/>
            <w:r w:rsidRPr="008C72E5">
              <w:t>Investigacion</w:t>
            </w:r>
            <w:proofErr w:type="spellEnd"/>
            <w:r w:rsidRPr="008C72E5">
              <w:t xml:space="preserve"> </w:t>
            </w:r>
            <w:proofErr w:type="spellStart"/>
            <w:r w:rsidRPr="008C72E5">
              <w:t>en</w:t>
            </w:r>
            <w:proofErr w:type="spellEnd"/>
            <w:r w:rsidRPr="008C72E5">
              <w:t xml:space="preserve"> </w:t>
            </w:r>
            <w:proofErr w:type="spellStart"/>
            <w:r w:rsidRPr="008C72E5">
              <w:t>Educacion</w:t>
            </w:r>
            <w:proofErr w:type="spellEnd"/>
            <w:r w:rsidRPr="008C72E5">
              <w:t xml:space="preserve"> Medica, 12 (45), pp. 73 - 81, DOI: 10.22201/fm.20075057e.2023.45.22486</w:t>
            </w:r>
          </w:p>
        </w:tc>
      </w:tr>
      <w:tr w:rsidR="00C4329A" w:rsidRPr="004C10DC" w14:paraId="23BE9E4D" w14:textId="77777777" w:rsidTr="00C4329A">
        <w:trPr>
          <w:cantSplit/>
        </w:trPr>
        <w:tc>
          <w:tcPr>
            <w:tcW w:w="297" w:type="pct"/>
            <w:vAlign w:val="center"/>
          </w:tcPr>
          <w:p w14:paraId="72B3E006" w14:textId="77777777" w:rsidR="009F6AC8" w:rsidRPr="008C72E5" w:rsidRDefault="009F6AC8" w:rsidP="00B558B7">
            <w:pPr>
              <w:pStyle w:val="TekstTabeli"/>
            </w:pPr>
            <w:r w:rsidRPr="008C72E5">
              <w:t>459</w:t>
            </w:r>
          </w:p>
        </w:tc>
        <w:tc>
          <w:tcPr>
            <w:tcW w:w="880" w:type="pct"/>
            <w:vAlign w:val="center"/>
          </w:tcPr>
          <w:p w14:paraId="79A63945" w14:textId="77777777" w:rsidR="009F6AC8" w:rsidRPr="008C72E5" w:rsidRDefault="009F6AC8" w:rsidP="00B558B7">
            <w:pPr>
              <w:pStyle w:val="TekstTabeli"/>
            </w:pPr>
            <w:r w:rsidRPr="008C72E5">
              <w:t>Sobel A.E.K.</w:t>
            </w:r>
          </w:p>
        </w:tc>
        <w:tc>
          <w:tcPr>
            <w:tcW w:w="1771" w:type="pct"/>
            <w:vAlign w:val="center"/>
          </w:tcPr>
          <w:p w14:paraId="78EFFCFB" w14:textId="77777777" w:rsidR="009F6AC8" w:rsidRPr="008C72E5" w:rsidRDefault="009F6AC8" w:rsidP="00B558B7">
            <w:pPr>
              <w:pStyle w:val="TekstTabeli"/>
            </w:pPr>
            <w:r w:rsidRPr="008C72E5">
              <w:t>The escalating cost of college</w:t>
            </w:r>
          </w:p>
        </w:tc>
        <w:tc>
          <w:tcPr>
            <w:tcW w:w="2052" w:type="pct"/>
            <w:vAlign w:val="center"/>
          </w:tcPr>
          <w:p w14:paraId="29C91F33" w14:textId="77777777" w:rsidR="009F6AC8" w:rsidRPr="008C72E5" w:rsidRDefault="009F6AC8" w:rsidP="00B558B7">
            <w:pPr>
              <w:pStyle w:val="TekstTabeli"/>
            </w:pPr>
            <w:r w:rsidRPr="008C72E5">
              <w:t>(2013) Computer, 46 (12), art. no. 6689259, pp. 85 - 87, DOI: 10.1109/MC.2013.438</w:t>
            </w:r>
          </w:p>
        </w:tc>
      </w:tr>
      <w:tr w:rsidR="00C4329A" w:rsidRPr="004C10DC" w14:paraId="7BE7B0CF" w14:textId="77777777" w:rsidTr="00C4329A">
        <w:trPr>
          <w:cantSplit/>
        </w:trPr>
        <w:tc>
          <w:tcPr>
            <w:tcW w:w="297" w:type="pct"/>
            <w:vAlign w:val="center"/>
          </w:tcPr>
          <w:p w14:paraId="62CBC158" w14:textId="77777777" w:rsidR="009F6AC8" w:rsidRPr="008C72E5" w:rsidRDefault="009F6AC8" w:rsidP="00B558B7">
            <w:pPr>
              <w:pStyle w:val="TekstTabeli"/>
            </w:pPr>
            <w:r w:rsidRPr="008C72E5">
              <w:t>460</w:t>
            </w:r>
          </w:p>
        </w:tc>
        <w:tc>
          <w:tcPr>
            <w:tcW w:w="880" w:type="pct"/>
            <w:vAlign w:val="center"/>
          </w:tcPr>
          <w:p w14:paraId="3DC530D9" w14:textId="4A54F998" w:rsidR="009F6AC8" w:rsidRPr="008C72E5" w:rsidRDefault="009F6AC8" w:rsidP="00B558B7">
            <w:pPr>
              <w:pStyle w:val="TekstTabeli"/>
            </w:pPr>
            <w:r w:rsidRPr="008C72E5">
              <w:t xml:space="preserve">Ho C., Goulden A., Hubley D., </w:t>
            </w:r>
            <w:proofErr w:type="spellStart"/>
            <w:r w:rsidR="00705110" w:rsidRPr="008C72E5">
              <w:t>i</w:t>
            </w:r>
            <w:proofErr w:type="spellEnd"/>
            <w:r w:rsidR="00705110" w:rsidRPr="008C72E5">
              <w:t> in.</w:t>
            </w:r>
          </w:p>
        </w:tc>
        <w:tc>
          <w:tcPr>
            <w:tcW w:w="1771" w:type="pct"/>
            <w:vAlign w:val="center"/>
          </w:tcPr>
          <w:p w14:paraId="50EFD38A" w14:textId="77777777" w:rsidR="009F6AC8" w:rsidRPr="008C72E5" w:rsidRDefault="009F6AC8" w:rsidP="00B558B7">
            <w:pPr>
              <w:pStyle w:val="TekstTabeli"/>
            </w:pPr>
            <w:r w:rsidRPr="008C72E5">
              <w:t>Teaching and Facilitation Course for Family as Faculty: Preparing Families to be Faculty Partners in Healthcare Education</w:t>
            </w:r>
          </w:p>
        </w:tc>
        <w:tc>
          <w:tcPr>
            <w:tcW w:w="2052" w:type="pct"/>
            <w:vAlign w:val="center"/>
          </w:tcPr>
          <w:p w14:paraId="1B9345C1" w14:textId="77777777" w:rsidR="009F6AC8" w:rsidRPr="008C72E5" w:rsidRDefault="009F6AC8" w:rsidP="00B558B7">
            <w:pPr>
              <w:pStyle w:val="TekstTabeli"/>
            </w:pPr>
            <w:r w:rsidRPr="008C72E5">
              <w:t>(2023) Clinical Social Work Journal, DOI: 10.1007/s10615-023-00886-y</w:t>
            </w:r>
          </w:p>
        </w:tc>
      </w:tr>
      <w:tr w:rsidR="00C4329A" w:rsidRPr="008C72E5" w14:paraId="761CE62A" w14:textId="77777777" w:rsidTr="00C4329A">
        <w:trPr>
          <w:cantSplit/>
        </w:trPr>
        <w:tc>
          <w:tcPr>
            <w:tcW w:w="297" w:type="pct"/>
            <w:vAlign w:val="center"/>
          </w:tcPr>
          <w:p w14:paraId="02770225" w14:textId="77777777" w:rsidR="009F6AC8" w:rsidRPr="008C72E5" w:rsidRDefault="009F6AC8" w:rsidP="00B558B7">
            <w:pPr>
              <w:pStyle w:val="TekstTabeli"/>
            </w:pPr>
            <w:r w:rsidRPr="008C72E5">
              <w:t>461</w:t>
            </w:r>
          </w:p>
        </w:tc>
        <w:tc>
          <w:tcPr>
            <w:tcW w:w="880" w:type="pct"/>
            <w:vAlign w:val="center"/>
          </w:tcPr>
          <w:p w14:paraId="2A99EC2E" w14:textId="77777777" w:rsidR="009F6AC8" w:rsidRPr="008C72E5" w:rsidRDefault="009F6AC8" w:rsidP="00B558B7">
            <w:pPr>
              <w:pStyle w:val="TekstTabeli"/>
            </w:pPr>
            <w:r w:rsidRPr="008C72E5">
              <w:t>Killian G., McClure T., Smith S.</w:t>
            </w:r>
          </w:p>
        </w:tc>
        <w:tc>
          <w:tcPr>
            <w:tcW w:w="1771" w:type="pct"/>
            <w:vAlign w:val="center"/>
          </w:tcPr>
          <w:p w14:paraId="6E067707" w14:textId="7AF31F86" w:rsidR="009F6AC8" w:rsidRPr="008C72E5" w:rsidRDefault="003B637D" w:rsidP="00B558B7">
            <w:pPr>
              <w:pStyle w:val="TekstTabeli"/>
            </w:pPr>
            <w:r w:rsidRPr="008C72E5">
              <w:t>Course Projects As Value Co-Creation Tools: Developing University Collaboration Opportunities</w:t>
            </w:r>
          </w:p>
        </w:tc>
        <w:tc>
          <w:tcPr>
            <w:tcW w:w="2052" w:type="pct"/>
            <w:vAlign w:val="center"/>
          </w:tcPr>
          <w:p w14:paraId="091141FB" w14:textId="77777777" w:rsidR="009F6AC8" w:rsidRPr="008C72E5" w:rsidRDefault="009F6AC8" w:rsidP="00B558B7">
            <w:pPr>
              <w:pStyle w:val="TekstTabeli"/>
            </w:pPr>
            <w:r w:rsidRPr="008C72E5">
              <w:t>(2023) Marketing Education Review, DOI: 10.1080/10528008.2023.2253799</w:t>
            </w:r>
          </w:p>
        </w:tc>
      </w:tr>
      <w:tr w:rsidR="00C4329A" w:rsidRPr="004C10DC" w14:paraId="253653F7" w14:textId="77777777" w:rsidTr="00C4329A">
        <w:trPr>
          <w:cantSplit/>
        </w:trPr>
        <w:tc>
          <w:tcPr>
            <w:tcW w:w="297" w:type="pct"/>
            <w:vAlign w:val="center"/>
          </w:tcPr>
          <w:p w14:paraId="4DB6CB00" w14:textId="77777777" w:rsidR="009F6AC8" w:rsidRPr="008C72E5" w:rsidRDefault="009F6AC8" w:rsidP="00B558B7">
            <w:pPr>
              <w:pStyle w:val="TekstTabeli"/>
            </w:pPr>
            <w:r w:rsidRPr="008C72E5">
              <w:t>462</w:t>
            </w:r>
          </w:p>
        </w:tc>
        <w:tc>
          <w:tcPr>
            <w:tcW w:w="880" w:type="pct"/>
            <w:vAlign w:val="center"/>
          </w:tcPr>
          <w:p w14:paraId="78968EA5" w14:textId="1EABE97C" w:rsidR="009F6AC8" w:rsidRPr="008C72E5" w:rsidRDefault="009F6AC8" w:rsidP="00B558B7">
            <w:pPr>
              <w:pStyle w:val="TekstTabeli"/>
            </w:pPr>
            <w:proofErr w:type="spellStart"/>
            <w:r w:rsidRPr="008C72E5">
              <w:t>Celniker</w:t>
            </w:r>
            <w:proofErr w:type="spellEnd"/>
            <w:r w:rsidRPr="008C72E5">
              <w:t xml:space="preserve"> J.B., Rode J.B., </w:t>
            </w:r>
            <w:proofErr w:type="spellStart"/>
            <w:r w:rsidR="00705110" w:rsidRPr="008C72E5">
              <w:t>i</w:t>
            </w:r>
            <w:proofErr w:type="spellEnd"/>
            <w:r w:rsidR="00705110" w:rsidRPr="008C72E5">
              <w:t> in.</w:t>
            </w:r>
          </w:p>
        </w:tc>
        <w:tc>
          <w:tcPr>
            <w:tcW w:w="1771" w:type="pct"/>
            <w:vAlign w:val="center"/>
          </w:tcPr>
          <w:p w14:paraId="42EB535E" w14:textId="77777777" w:rsidR="009F6AC8" w:rsidRPr="008C72E5" w:rsidRDefault="009F6AC8" w:rsidP="00B558B7">
            <w:pPr>
              <w:pStyle w:val="TekstTabeli"/>
            </w:pPr>
            <w:r w:rsidRPr="008C72E5">
              <w:t>College Students’ Perceptions of Ambiguous Hook-ups Involving Alcohol Intoxication</w:t>
            </w:r>
          </w:p>
        </w:tc>
        <w:tc>
          <w:tcPr>
            <w:tcW w:w="2052" w:type="pct"/>
            <w:vAlign w:val="center"/>
          </w:tcPr>
          <w:p w14:paraId="58EA07B3" w14:textId="77777777" w:rsidR="009F6AC8" w:rsidRPr="008C72E5" w:rsidRDefault="009F6AC8" w:rsidP="00B558B7">
            <w:pPr>
              <w:pStyle w:val="TekstTabeli"/>
            </w:pPr>
            <w:r w:rsidRPr="008C72E5">
              <w:t>(2022) Sex Roles, 87 (7-8), pp. 390 - 405, DOI: 10.1007/s11199-022-01323-z</w:t>
            </w:r>
          </w:p>
        </w:tc>
      </w:tr>
      <w:tr w:rsidR="00C4329A" w:rsidRPr="004C10DC" w14:paraId="0644B772" w14:textId="77777777" w:rsidTr="00C4329A">
        <w:trPr>
          <w:cantSplit/>
        </w:trPr>
        <w:tc>
          <w:tcPr>
            <w:tcW w:w="297" w:type="pct"/>
            <w:vAlign w:val="center"/>
          </w:tcPr>
          <w:p w14:paraId="304000D3" w14:textId="77777777" w:rsidR="009F6AC8" w:rsidRPr="008C72E5" w:rsidRDefault="009F6AC8" w:rsidP="00B558B7">
            <w:pPr>
              <w:pStyle w:val="TekstTabeli"/>
            </w:pPr>
            <w:r w:rsidRPr="008C72E5">
              <w:t>463</w:t>
            </w:r>
          </w:p>
        </w:tc>
        <w:tc>
          <w:tcPr>
            <w:tcW w:w="880" w:type="pct"/>
            <w:vAlign w:val="center"/>
          </w:tcPr>
          <w:p w14:paraId="226C6D2E" w14:textId="77777777" w:rsidR="009F6AC8" w:rsidRPr="008C72E5" w:rsidRDefault="009F6AC8" w:rsidP="00B558B7">
            <w:pPr>
              <w:pStyle w:val="TekstTabeli"/>
            </w:pPr>
            <w:r w:rsidRPr="008C72E5">
              <w:t>Daniels M., Berglund A., McDermott R.</w:t>
            </w:r>
          </w:p>
        </w:tc>
        <w:tc>
          <w:tcPr>
            <w:tcW w:w="1771" w:type="pct"/>
            <w:vAlign w:val="center"/>
          </w:tcPr>
          <w:p w14:paraId="34A53EF9" w14:textId="77777777" w:rsidR="009F6AC8" w:rsidRPr="008C72E5" w:rsidRDefault="009F6AC8" w:rsidP="00B558B7">
            <w:pPr>
              <w:pStyle w:val="TekstTabeli"/>
            </w:pPr>
            <w:r w:rsidRPr="008C72E5">
              <w:t>Influencing Student Academic Integrity Choices using Ethics Scenarios</w:t>
            </w:r>
          </w:p>
        </w:tc>
        <w:tc>
          <w:tcPr>
            <w:tcW w:w="2052" w:type="pct"/>
            <w:vAlign w:val="center"/>
          </w:tcPr>
          <w:p w14:paraId="426DB850" w14:textId="77777777" w:rsidR="009F6AC8" w:rsidRPr="008C72E5" w:rsidRDefault="009F6AC8" w:rsidP="00B558B7">
            <w:pPr>
              <w:pStyle w:val="TekstTabeli"/>
            </w:pPr>
            <w:r w:rsidRPr="008C72E5">
              <w:t>(2022) Proceedings - Frontiers in Education Conference, FIE, 2022-October, DOI: 10.1109/FIE56618.2022.9962607</w:t>
            </w:r>
          </w:p>
        </w:tc>
      </w:tr>
      <w:tr w:rsidR="00C4329A" w:rsidRPr="004C10DC" w14:paraId="60EF5031" w14:textId="77777777" w:rsidTr="00C4329A">
        <w:trPr>
          <w:cantSplit/>
        </w:trPr>
        <w:tc>
          <w:tcPr>
            <w:tcW w:w="297" w:type="pct"/>
            <w:vAlign w:val="center"/>
          </w:tcPr>
          <w:p w14:paraId="153E56D9" w14:textId="77777777" w:rsidR="009F6AC8" w:rsidRPr="008C72E5" w:rsidRDefault="009F6AC8" w:rsidP="00B558B7">
            <w:pPr>
              <w:pStyle w:val="TekstTabeli"/>
            </w:pPr>
            <w:r w:rsidRPr="008C72E5">
              <w:lastRenderedPageBreak/>
              <w:t>464</w:t>
            </w:r>
          </w:p>
        </w:tc>
        <w:tc>
          <w:tcPr>
            <w:tcW w:w="880" w:type="pct"/>
            <w:vAlign w:val="center"/>
          </w:tcPr>
          <w:p w14:paraId="139692C9" w14:textId="77777777" w:rsidR="009F6AC8" w:rsidRPr="008C72E5" w:rsidRDefault="009F6AC8" w:rsidP="00B558B7">
            <w:pPr>
              <w:pStyle w:val="TekstTabeli"/>
            </w:pPr>
            <w:r w:rsidRPr="008C72E5">
              <w:t>Nguyen-Viet B., Nguyen-Viet B.</w:t>
            </w:r>
          </w:p>
        </w:tc>
        <w:tc>
          <w:tcPr>
            <w:tcW w:w="1771" w:type="pct"/>
            <w:vAlign w:val="center"/>
          </w:tcPr>
          <w:p w14:paraId="1289D53B" w14:textId="77777777" w:rsidR="009F6AC8" w:rsidRPr="008C72E5" w:rsidRDefault="009F6AC8" w:rsidP="00B558B7">
            <w:pPr>
              <w:pStyle w:val="TekstTabeli"/>
            </w:pPr>
            <w:r w:rsidRPr="008C72E5">
              <w:t>Enhancing satisfaction among Vietnamese students through gamification: The mediating role of engagement and learning effectiveness</w:t>
            </w:r>
          </w:p>
        </w:tc>
        <w:tc>
          <w:tcPr>
            <w:tcW w:w="2052" w:type="pct"/>
            <w:vAlign w:val="center"/>
          </w:tcPr>
          <w:p w14:paraId="4CC5F25A" w14:textId="77777777" w:rsidR="009F6AC8" w:rsidRPr="008C72E5" w:rsidRDefault="009F6AC8" w:rsidP="00B558B7">
            <w:pPr>
              <w:pStyle w:val="TekstTabeli"/>
            </w:pPr>
            <w:r w:rsidRPr="008C72E5">
              <w:t>(2023) Cogent Education, 10 (2), art. no. 2265276, DOI: 10.1080/2331186X.2023.2265276</w:t>
            </w:r>
          </w:p>
        </w:tc>
      </w:tr>
      <w:tr w:rsidR="00C4329A" w:rsidRPr="004C10DC" w14:paraId="0FDCCF3B" w14:textId="77777777" w:rsidTr="00C4329A">
        <w:trPr>
          <w:cantSplit/>
        </w:trPr>
        <w:tc>
          <w:tcPr>
            <w:tcW w:w="297" w:type="pct"/>
            <w:vAlign w:val="center"/>
          </w:tcPr>
          <w:p w14:paraId="57E45E69" w14:textId="77777777" w:rsidR="009F6AC8" w:rsidRPr="008C72E5" w:rsidRDefault="009F6AC8" w:rsidP="00B558B7">
            <w:pPr>
              <w:pStyle w:val="TekstTabeli"/>
            </w:pPr>
            <w:r w:rsidRPr="008C72E5">
              <w:t>465</w:t>
            </w:r>
          </w:p>
        </w:tc>
        <w:tc>
          <w:tcPr>
            <w:tcW w:w="880" w:type="pct"/>
            <w:vAlign w:val="center"/>
          </w:tcPr>
          <w:p w14:paraId="6F06D096" w14:textId="77777777" w:rsidR="009F6AC8" w:rsidRPr="008C72E5" w:rsidRDefault="009F6AC8" w:rsidP="00B558B7">
            <w:pPr>
              <w:pStyle w:val="TekstTabeli"/>
            </w:pPr>
            <w:r w:rsidRPr="008C72E5">
              <w:t xml:space="preserve">Hendricks S., van Wyk J.P., Player B., </w:t>
            </w:r>
            <w:proofErr w:type="spellStart"/>
            <w:r w:rsidRPr="008C72E5">
              <w:t>Schlebusch</w:t>
            </w:r>
            <w:proofErr w:type="spellEnd"/>
            <w:r w:rsidRPr="008C72E5">
              <w:t xml:space="preserve"> R.</w:t>
            </w:r>
          </w:p>
        </w:tc>
        <w:tc>
          <w:tcPr>
            <w:tcW w:w="1771" w:type="pct"/>
            <w:vAlign w:val="center"/>
          </w:tcPr>
          <w:p w14:paraId="737D00A7" w14:textId="77777777" w:rsidR="009F6AC8" w:rsidRPr="008C72E5" w:rsidRDefault="009F6AC8" w:rsidP="00B558B7">
            <w:pPr>
              <w:pStyle w:val="TekstTabeli"/>
            </w:pPr>
            <w:r w:rsidRPr="008C72E5">
              <w:t>University and stakeholder partnerships to innovate in sport – the development of the South African Cricketers’ Association (SACA) career transition screening tool</w:t>
            </w:r>
          </w:p>
        </w:tc>
        <w:tc>
          <w:tcPr>
            <w:tcW w:w="2052" w:type="pct"/>
            <w:vAlign w:val="center"/>
          </w:tcPr>
          <w:p w14:paraId="1D8EF1BE" w14:textId="77777777" w:rsidR="009F6AC8" w:rsidRPr="008C72E5" w:rsidRDefault="009F6AC8" w:rsidP="00B558B7">
            <w:pPr>
              <w:pStyle w:val="TekstTabeli"/>
            </w:pPr>
            <w:r w:rsidRPr="008C72E5">
              <w:t>(2023) South African Journal of Sports Medicine, 35 (1), DOI: 10.17159/2078-516X/2023/v35i1a15218</w:t>
            </w:r>
          </w:p>
        </w:tc>
      </w:tr>
      <w:tr w:rsidR="00C4329A" w:rsidRPr="004C10DC" w14:paraId="3DC57B5F" w14:textId="77777777" w:rsidTr="00C4329A">
        <w:trPr>
          <w:cantSplit/>
        </w:trPr>
        <w:tc>
          <w:tcPr>
            <w:tcW w:w="297" w:type="pct"/>
            <w:vAlign w:val="center"/>
          </w:tcPr>
          <w:p w14:paraId="2506CFAB" w14:textId="77777777" w:rsidR="009F6AC8" w:rsidRPr="008C72E5" w:rsidRDefault="009F6AC8" w:rsidP="00B558B7">
            <w:pPr>
              <w:pStyle w:val="TekstTabeli"/>
            </w:pPr>
            <w:r w:rsidRPr="008C72E5">
              <w:t>466</w:t>
            </w:r>
          </w:p>
        </w:tc>
        <w:tc>
          <w:tcPr>
            <w:tcW w:w="880" w:type="pct"/>
            <w:vAlign w:val="center"/>
          </w:tcPr>
          <w:p w14:paraId="1159A6AB" w14:textId="77777777" w:rsidR="009F6AC8" w:rsidRPr="008C72E5" w:rsidRDefault="009F6AC8" w:rsidP="00B558B7">
            <w:pPr>
              <w:pStyle w:val="TekstTabeli"/>
            </w:pPr>
            <w:proofErr w:type="spellStart"/>
            <w:r w:rsidRPr="008C72E5">
              <w:t>Altakhaineh</w:t>
            </w:r>
            <w:proofErr w:type="spellEnd"/>
            <w:r w:rsidRPr="008C72E5">
              <w:t xml:space="preserve"> A.R.M., Mohammad M.A., Zibin A.</w:t>
            </w:r>
          </w:p>
        </w:tc>
        <w:tc>
          <w:tcPr>
            <w:tcW w:w="1771" w:type="pct"/>
            <w:vAlign w:val="center"/>
          </w:tcPr>
          <w:p w14:paraId="375BB5E7" w14:textId="77777777" w:rsidR="009F6AC8" w:rsidRPr="008C72E5" w:rsidRDefault="009F6AC8" w:rsidP="00B558B7">
            <w:pPr>
              <w:pStyle w:val="TekstTabeli"/>
            </w:pPr>
            <w:r w:rsidRPr="008C72E5">
              <w:t>“Open access and without fees”: Arab university professors' views on the journal access types</w:t>
            </w:r>
          </w:p>
        </w:tc>
        <w:tc>
          <w:tcPr>
            <w:tcW w:w="2052" w:type="pct"/>
            <w:vAlign w:val="center"/>
          </w:tcPr>
          <w:p w14:paraId="545E3935" w14:textId="77777777" w:rsidR="009F6AC8" w:rsidRPr="008C72E5" w:rsidRDefault="009F6AC8" w:rsidP="00B558B7">
            <w:pPr>
              <w:pStyle w:val="TekstTabeli"/>
            </w:pPr>
            <w:r w:rsidRPr="008C72E5">
              <w:t>(2023) Journal of Applied Research in Higher Education, DOI: 10.1108/JARHE-06-2023-0249</w:t>
            </w:r>
          </w:p>
        </w:tc>
      </w:tr>
      <w:tr w:rsidR="00C4329A" w:rsidRPr="008C72E5" w14:paraId="6E6AB41D" w14:textId="77777777" w:rsidTr="00C4329A">
        <w:trPr>
          <w:cantSplit/>
        </w:trPr>
        <w:tc>
          <w:tcPr>
            <w:tcW w:w="297" w:type="pct"/>
            <w:vAlign w:val="center"/>
          </w:tcPr>
          <w:p w14:paraId="5C1AD289" w14:textId="77777777" w:rsidR="009F6AC8" w:rsidRPr="008C72E5" w:rsidRDefault="009F6AC8" w:rsidP="00B558B7">
            <w:pPr>
              <w:pStyle w:val="TekstTabeli"/>
            </w:pPr>
            <w:r w:rsidRPr="008C72E5">
              <w:t>467</w:t>
            </w:r>
          </w:p>
        </w:tc>
        <w:tc>
          <w:tcPr>
            <w:tcW w:w="880" w:type="pct"/>
            <w:vAlign w:val="center"/>
          </w:tcPr>
          <w:p w14:paraId="0C0BC89C" w14:textId="0886988B" w:rsidR="009F6AC8" w:rsidRPr="008C72E5" w:rsidRDefault="009F6AC8" w:rsidP="00B558B7">
            <w:pPr>
              <w:pStyle w:val="TekstTabeli"/>
            </w:pPr>
            <w:proofErr w:type="spellStart"/>
            <w:r w:rsidRPr="008C72E5">
              <w:t>Watcharinrat</w:t>
            </w:r>
            <w:proofErr w:type="spellEnd"/>
            <w:r w:rsidRPr="008C72E5">
              <w:t xml:space="preserve"> D., </w:t>
            </w:r>
            <w:proofErr w:type="spellStart"/>
            <w:r w:rsidRPr="008C72E5">
              <w:t>Sirathanakul</w:t>
            </w:r>
            <w:proofErr w:type="spellEnd"/>
            <w:r w:rsidRPr="008C72E5">
              <w:t xml:space="preserve"> K., </w:t>
            </w:r>
            <w:proofErr w:type="spellStart"/>
            <w:r w:rsidR="003B637D" w:rsidRPr="008C72E5">
              <w:t>i</w:t>
            </w:r>
            <w:proofErr w:type="spellEnd"/>
            <w:r w:rsidR="003B637D" w:rsidRPr="008C72E5">
              <w:t> in.</w:t>
            </w:r>
          </w:p>
        </w:tc>
        <w:tc>
          <w:tcPr>
            <w:tcW w:w="1771" w:type="pct"/>
            <w:vAlign w:val="center"/>
          </w:tcPr>
          <w:p w14:paraId="3B1BBF4C" w14:textId="77777777" w:rsidR="009F6AC8" w:rsidRPr="008C72E5" w:rsidRDefault="009F6AC8" w:rsidP="00B558B7">
            <w:pPr>
              <w:pStyle w:val="TekstTabeli"/>
            </w:pPr>
            <w:r w:rsidRPr="008C72E5">
              <w:t xml:space="preserve">Policy Formation of the </w:t>
            </w:r>
            <w:proofErr w:type="spellStart"/>
            <w:r w:rsidRPr="008C72E5">
              <w:t>Rajamangala</w:t>
            </w:r>
            <w:proofErr w:type="spellEnd"/>
            <w:r w:rsidRPr="008C72E5">
              <w:t xml:space="preserve"> University of Technology </w:t>
            </w:r>
            <w:proofErr w:type="spellStart"/>
            <w:r w:rsidRPr="008C72E5">
              <w:t>Thanyaburi</w:t>
            </w:r>
            <w:proofErr w:type="spellEnd"/>
            <w:r w:rsidRPr="008C72E5">
              <w:t xml:space="preserve"> for the Fiscal Year 2022</w:t>
            </w:r>
          </w:p>
        </w:tc>
        <w:tc>
          <w:tcPr>
            <w:tcW w:w="2052" w:type="pct"/>
            <w:vAlign w:val="center"/>
          </w:tcPr>
          <w:p w14:paraId="32868A0C" w14:textId="77777777" w:rsidR="009F6AC8" w:rsidRPr="008C72E5" w:rsidRDefault="009F6AC8" w:rsidP="00B558B7">
            <w:pPr>
              <w:pStyle w:val="TekstTabeli"/>
            </w:pPr>
            <w:r w:rsidRPr="008C72E5">
              <w:t xml:space="preserve">(2022) Res </w:t>
            </w:r>
            <w:proofErr w:type="spellStart"/>
            <w:r w:rsidRPr="008C72E5">
              <w:t>Militaris</w:t>
            </w:r>
            <w:proofErr w:type="spellEnd"/>
            <w:r w:rsidRPr="008C72E5">
              <w:t>, 12 (2), pp. 7962 - 7976, 0</w:t>
            </w:r>
          </w:p>
        </w:tc>
      </w:tr>
      <w:tr w:rsidR="00C4329A" w:rsidRPr="004C10DC" w14:paraId="427155B3" w14:textId="77777777" w:rsidTr="00C4329A">
        <w:trPr>
          <w:cantSplit/>
        </w:trPr>
        <w:tc>
          <w:tcPr>
            <w:tcW w:w="297" w:type="pct"/>
            <w:vAlign w:val="center"/>
          </w:tcPr>
          <w:p w14:paraId="0E8CC0DD" w14:textId="77777777" w:rsidR="009F6AC8" w:rsidRPr="008C72E5" w:rsidRDefault="009F6AC8" w:rsidP="00B558B7">
            <w:pPr>
              <w:pStyle w:val="TekstTabeli"/>
            </w:pPr>
            <w:r w:rsidRPr="008C72E5">
              <w:t>468</w:t>
            </w:r>
          </w:p>
        </w:tc>
        <w:tc>
          <w:tcPr>
            <w:tcW w:w="880" w:type="pct"/>
            <w:vAlign w:val="center"/>
          </w:tcPr>
          <w:p w14:paraId="48CF895E" w14:textId="096A9177" w:rsidR="009F6AC8" w:rsidRPr="008C72E5" w:rsidRDefault="009F6AC8" w:rsidP="00B558B7">
            <w:pPr>
              <w:pStyle w:val="TekstTabeli"/>
            </w:pPr>
            <w:r w:rsidRPr="008C72E5">
              <w:t xml:space="preserve">Amoako G.K., Ampong G.O., </w:t>
            </w:r>
            <w:proofErr w:type="spellStart"/>
            <w:r w:rsidR="003B637D" w:rsidRPr="008C72E5">
              <w:t>i</w:t>
            </w:r>
            <w:proofErr w:type="spellEnd"/>
            <w:r w:rsidR="003B637D" w:rsidRPr="008C72E5">
              <w:t> in.</w:t>
            </w:r>
          </w:p>
        </w:tc>
        <w:tc>
          <w:tcPr>
            <w:tcW w:w="1771" w:type="pct"/>
            <w:vAlign w:val="center"/>
          </w:tcPr>
          <w:p w14:paraId="5CD5C5FF" w14:textId="77777777" w:rsidR="009F6AC8" w:rsidRPr="008C72E5" w:rsidRDefault="009F6AC8" w:rsidP="00B558B7">
            <w:pPr>
              <w:pStyle w:val="TekstTabeli"/>
            </w:pPr>
            <w:r w:rsidRPr="008C72E5">
              <w:t>Service quality affecting student satisfaction in higher education institutions in Ghana</w:t>
            </w:r>
          </w:p>
        </w:tc>
        <w:tc>
          <w:tcPr>
            <w:tcW w:w="2052" w:type="pct"/>
            <w:vAlign w:val="center"/>
          </w:tcPr>
          <w:p w14:paraId="1019A23A" w14:textId="77777777" w:rsidR="009F6AC8" w:rsidRPr="008C72E5" w:rsidRDefault="009F6AC8" w:rsidP="00B558B7">
            <w:pPr>
              <w:pStyle w:val="TekstTabeli"/>
            </w:pPr>
            <w:r w:rsidRPr="008C72E5">
              <w:t>(2023) Cogent Education, 10 (2), art. no. 2238468, DOI: 10.1080/2331186X.2023.2238468</w:t>
            </w:r>
          </w:p>
        </w:tc>
      </w:tr>
      <w:tr w:rsidR="00C4329A" w:rsidRPr="004C10DC" w14:paraId="7CB86EB3" w14:textId="77777777" w:rsidTr="00C4329A">
        <w:trPr>
          <w:cantSplit/>
        </w:trPr>
        <w:tc>
          <w:tcPr>
            <w:tcW w:w="297" w:type="pct"/>
            <w:vAlign w:val="center"/>
          </w:tcPr>
          <w:p w14:paraId="10F18A93" w14:textId="77777777" w:rsidR="009F6AC8" w:rsidRPr="008C72E5" w:rsidRDefault="009F6AC8" w:rsidP="00B558B7">
            <w:pPr>
              <w:pStyle w:val="TekstTabeli"/>
            </w:pPr>
            <w:r w:rsidRPr="008C72E5">
              <w:t>469</w:t>
            </w:r>
          </w:p>
        </w:tc>
        <w:tc>
          <w:tcPr>
            <w:tcW w:w="880" w:type="pct"/>
            <w:vAlign w:val="center"/>
          </w:tcPr>
          <w:p w14:paraId="1D5DD503" w14:textId="0EF804E6" w:rsidR="009F6AC8" w:rsidRPr="008C72E5" w:rsidRDefault="009F6AC8" w:rsidP="00B558B7">
            <w:pPr>
              <w:pStyle w:val="TekstTabeli"/>
            </w:pPr>
            <w:r w:rsidRPr="008C72E5">
              <w:t xml:space="preserve">Yasin N., Gilani S.A.M., </w:t>
            </w:r>
            <w:proofErr w:type="spellStart"/>
            <w:r w:rsidR="003B637D" w:rsidRPr="008C72E5">
              <w:t>i</w:t>
            </w:r>
            <w:proofErr w:type="spellEnd"/>
            <w:r w:rsidR="003B637D" w:rsidRPr="008C72E5">
              <w:t> in.</w:t>
            </w:r>
          </w:p>
        </w:tc>
        <w:tc>
          <w:tcPr>
            <w:tcW w:w="1771" w:type="pct"/>
            <w:vAlign w:val="center"/>
          </w:tcPr>
          <w:p w14:paraId="33C1A2FE" w14:textId="77777777" w:rsidR="009F6AC8" w:rsidRPr="008C72E5" w:rsidRDefault="009F6AC8" w:rsidP="00B558B7">
            <w:pPr>
              <w:pStyle w:val="TekstTabeli"/>
            </w:pPr>
            <w:r w:rsidRPr="008C72E5">
              <w:t>Establishing a nexus for effective university-industry collaborations in the MENA region: A multi-country comparative study</w:t>
            </w:r>
          </w:p>
        </w:tc>
        <w:tc>
          <w:tcPr>
            <w:tcW w:w="2052" w:type="pct"/>
            <w:vAlign w:val="center"/>
          </w:tcPr>
          <w:p w14:paraId="2696A804" w14:textId="77777777" w:rsidR="009F6AC8" w:rsidRPr="008C72E5" w:rsidRDefault="009F6AC8" w:rsidP="00B558B7">
            <w:pPr>
              <w:pStyle w:val="TekstTabeli"/>
            </w:pPr>
            <w:r w:rsidRPr="008C72E5">
              <w:t>(2023) Industry and Higher Education, DOI: 10.1177/09504222231175862</w:t>
            </w:r>
          </w:p>
        </w:tc>
      </w:tr>
      <w:tr w:rsidR="00C4329A" w:rsidRPr="004C10DC" w14:paraId="2A27E590" w14:textId="77777777" w:rsidTr="00C4329A">
        <w:trPr>
          <w:cantSplit/>
        </w:trPr>
        <w:tc>
          <w:tcPr>
            <w:tcW w:w="297" w:type="pct"/>
            <w:vAlign w:val="center"/>
          </w:tcPr>
          <w:p w14:paraId="4A7BD3A5" w14:textId="77777777" w:rsidR="009F6AC8" w:rsidRPr="008C72E5" w:rsidRDefault="009F6AC8" w:rsidP="00B558B7">
            <w:pPr>
              <w:pStyle w:val="TekstTabeli"/>
            </w:pPr>
            <w:r w:rsidRPr="008C72E5">
              <w:t>470</w:t>
            </w:r>
          </w:p>
        </w:tc>
        <w:tc>
          <w:tcPr>
            <w:tcW w:w="880" w:type="pct"/>
            <w:vAlign w:val="center"/>
          </w:tcPr>
          <w:p w14:paraId="0B733C48" w14:textId="089B2D4E" w:rsidR="009F6AC8" w:rsidRPr="008C72E5" w:rsidRDefault="009F6AC8" w:rsidP="00B558B7">
            <w:pPr>
              <w:pStyle w:val="TekstTabeli"/>
            </w:pPr>
            <w:proofErr w:type="spellStart"/>
            <w:r w:rsidRPr="008C72E5">
              <w:t>Astrini</w:t>
            </w:r>
            <w:proofErr w:type="spellEnd"/>
            <w:r w:rsidRPr="008C72E5">
              <w:t xml:space="preserve"> N., Bakti I.G.M.Y., </w:t>
            </w:r>
            <w:proofErr w:type="spellStart"/>
            <w:r w:rsidR="003B637D" w:rsidRPr="008C72E5">
              <w:t>i</w:t>
            </w:r>
            <w:proofErr w:type="spellEnd"/>
            <w:r w:rsidR="003B637D" w:rsidRPr="008C72E5">
              <w:t> in.</w:t>
            </w:r>
          </w:p>
        </w:tc>
        <w:tc>
          <w:tcPr>
            <w:tcW w:w="1771" w:type="pct"/>
            <w:vAlign w:val="center"/>
          </w:tcPr>
          <w:p w14:paraId="5EDC59BD" w14:textId="77777777" w:rsidR="009F6AC8" w:rsidRPr="008C72E5" w:rsidRDefault="009F6AC8" w:rsidP="00B558B7">
            <w:pPr>
              <w:pStyle w:val="TekstTabeli"/>
            </w:pPr>
            <w:r w:rsidRPr="008C72E5">
              <w:t>Quality management in R&amp;D organization: Critical success factors</w:t>
            </w:r>
          </w:p>
        </w:tc>
        <w:tc>
          <w:tcPr>
            <w:tcW w:w="2052" w:type="pct"/>
            <w:vAlign w:val="center"/>
          </w:tcPr>
          <w:p w14:paraId="466BA1B8" w14:textId="77777777" w:rsidR="009F6AC8" w:rsidRPr="008C72E5" w:rsidRDefault="009F6AC8" w:rsidP="00B558B7">
            <w:pPr>
              <w:pStyle w:val="TekstTabeli"/>
            </w:pPr>
            <w:r w:rsidRPr="008C72E5">
              <w:t>(2023) AIP Conference Proceedings, 2691, art. no. 070001, DOI: 10.1063/5.0114994</w:t>
            </w:r>
          </w:p>
        </w:tc>
      </w:tr>
      <w:tr w:rsidR="00C4329A" w:rsidRPr="004C10DC" w14:paraId="69E8501B" w14:textId="77777777" w:rsidTr="00C4329A">
        <w:trPr>
          <w:cantSplit/>
        </w:trPr>
        <w:tc>
          <w:tcPr>
            <w:tcW w:w="297" w:type="pct"/>
            <w:vAlign w:val="center"/>
          </w:tcPr>
          <w:p w14:paraId="579E975C" w14:textId="77777777" w:rsidR="009F6AC8" w:rsidRPr="008C72E5" w:rsidRDefault="009F6AC8" w:rsidP="00B558B7">
            <w:pPr>
              <w:pStyle w:val="TekstTabeli"/>
            </w:pPr>
            <w:r w:rsidRPr="008C72E5">
              <w:t>471</w:t>
            </w:r>
          </w:p>
        </w:tc>
        <w:tc>
          <w:tcPr>
            <w:tcW w:w="880" w:type="pct"/>
            <w:vAlign w:val="center"/>
          </w:tcPr>
          <w:p w14:paraId="7A217A49" w14:textId="2BA13580" w:rsidR="009F6AC8" w:rsidRPr="008C72E5" w:rsidRDefault="009F6AC8" w:rsidP="00B558B7">
            <w:pPr>
              <w:pStyle w:val="TekstTabeli"/>
            </w:pPr>
            <w:r w:rsidRPr="008C72E5">
              <w:t xml:space="preserve">Lim J.H., Dahlberg J.L., </w:t>
            </w:r>
            <w:proofErr w:type="spellStart"/>
            <w:r w:rsidR="003B637D" w:rsidRPr="008C72E5">
              <w:t>i</w:t>
            </w:r>
            <w:proofErr w:type="spellEnd"/>
            <w:r w:rsidR="003B637D" w:rsidRPr="008C72E5">
              <w:t> in.</w:t>
            </w:r>
            <w:r w:rsidRPr="008C72E5">
              <w:t>.</w:t>
            </w:r>
          </w:p>
        </w:tc>
        <w:tc>
          <w:tcPr>
            <w:tcW w:w="1771" w:type="pct"/>
            <w:vAlign w:val="center"/>
          </w:tcPr>
          <w:p w14:paraId="715D48DD" w14:textId="77777777" w:rsidR="009F6AC8" w:rsidRPr="008C72E5" w:rsidRDefault="009F6AC8" w:rsidP="00B558B7">
            <w:pPr>
              <w:pStyle w:val="TekstTabeli"/>
            </w:pPr>
            <w:r w:rsidRPr="008C72E5">
              <w:t>Half-fulfilled Promises: Creating a Veteran-friendly Space in Engineering Graduate Programs</w:t>
            </w:r>
          </w:p>
        </w:tc>
        <w:tc>
          <w:tcPr>
            <w:tcW w:w="2052" w:type="pct"/>
            <w:vAlign w:val="center"/>
          </w:tcPr>
          <w:p w14:paraId="22C13A5A" w14:textId="77777777" w:rsidR="009F6AC8" w:rsidRPr="008C72E5" w:rsidRDefault="009F6AC8" w:rsidP="00B558B7">
            <w:pPr>
              <w:pStyle w:val="TekstTabeli"/>
            </w:pPr>
            <w:r w:rsidRPr="008C72E5">
              <w:t>(2022) ASEE Annual Conference and Exposition, Conference Proceedings, 0</w:t>
            </w:r>
          </w:p>
        </w:tc>
      </w:tr>
      <w:tr w:rsidR="00C4329A" w:rsidRPr="004C10DC" w14:paraId="3A2E2456" w14:textId="77777777" w:rsidTr="00C4329A">
        <w:trPr>
          <w:cantSplit/>
        </w:trPr>
        <w:tc>
          <w:tcPr>
            <w:tcW w:w="297" w:type="pct"/>
            <w:vAlign w:val="center"/>
          </w:tcPr>
          <w:p w14:paraId="10560B9B" w14:textId="77777777" w:rsidR="009F6AC8" w:rsidRPr="008C72E5" w:rsidRDefault="009F6AC8" w:rsidP="00B558B7">
            <w:pPr>
              <w:pStyle w:val="TekstTabeli"/>
            </w:pPr>
            <w:r w:rsidRPr="008C72E5">
              <w:t>472</w:t>
            </w:r>
          </w:p>
        </w:tc>
        <w:tc>
          <w:tcPr>
            <w:tcW w:w="880" w:type="pct"/>
            <w:vAlign w:val="center"/>
          </w:tcPr>
          <w:p w14:paraId="5007ED15" w14:textId="48D1FCEE" w:rsidR="009F6AC8" w:rsidRPr="008C72E5" w:rsidRDefault="009F6AC8" w:rsidP="00B558B7">
            <w:pPr>
              <w:pStyle w:val="TekstTabeli"/>
            </w:pPr>
            <w:proofErr w:type="spellStart"/>
            <w:r w:rsidRPr="008C72E5">
              <w:t>Yarkent</w:t>
            </w:r>
            <w:proofErr w:type="spellEnd"/>
            <w:r w:rsidRPr="008C72E5">
              <w:t xml:space="preserve"> Ç., </w:t>
            </w:r>
            <w:proofErr w:type="spellStart"/>
            <w:r w:rsidRPr="008C72E5">
              <w:t>Mutaf</w:t>
            </w:r>
            <w:proofErr w:type="spellEnd"/>
            <w:r w:rsidRPr="008C72E5">
              <w:t xml:space="preserve"> T., </w:t>
            </w:r>
            <w:proofErr w:type="spellStart"/>
            <w:r w:rsidR="003B637D" w:rsidRPr="008C72E5">
              <w:t>i</w:t>
            </w:r>
            <w:proofErr w:type="spellEnd"/>
            <w:r w:rsidR="003B637D" w:rsidRPr="008C72E5">
              <w:t> in.</w:t>
            </w:r>
          </w:p>
        </w:tc>
        <w:tc>
          <w:tcPr>
            <w:tcW w:w="1771" w:type="pct"/>
            <w:vAlign w:val="center"/>
          </w:tcPr>
          <w:p w14:paraId="5B1F2C2C" w14:textId="77777777" w:rsidR="009F6AC8" w:rsidRPr="008C72E5" w:rsidRDefault="009F6AC8" w:rsidP="00B558B7">
            <w:pPr>
              <w:pStyle w:val="TekstTabeli"/>
            </w:pPr>
            <w:r w:rsidRPr="008C72E5">
              <w:t>University-Industry Collaboration: A Way to New Technologies</w:t>
            </w:r>
          </w:p>
        </w:tc>
        <w:tc>
          <w:tcPr>
            <w:tcW w:w="2052" w:type="pct"/>
            <w:vAlign w:val="center"/>
          </w:tcPr>
          <w:p w14:paraId="55EE8340" w14:textId="77777777" w:rsidR="009F6AC8" w:rsidRPr="008C72E5" w:rsidRDefault="009F6AC8" w:rsidP="00B558B7">
            <w:pPr>
              <w:pStyle w:val="TekstTabeli"/>
            </w:pPr>
            <w:r w:rsidRPr="008C72E5">
              <w:t>(2023) A Sustainable Green Future: Perspectives on Energy, Economy, Industry, Cities and Environment, pp. 53 - 68, DOI: 10.1007/978-3-031-24942-6_3</w:t>
            </w:r>
          </w:p>
        </w:tc>
      </w:tr>
      <w:tr w:rsidR="00C4329A" w:rsidRPr="004C10DC" w14:paraId="7D24DE06" w14:textId="77777777" w:rsidTr="00C4329A">
        <w:trPr>
          <w:cantSplit/>
        </w:trPr>
        <w:tc>
          <w:tcPr>
            <w:tcW w:w="297" w:type="pct"/>
            <w:vAlign w:val="center"/>
          </w:tcPr>
          <w:p w14:paraId="1734DB46" w14:textId="77777777" w:rsidR="009F6AC8" w:rsidRPr="008C72E5" w:rsidRDefault="009F6AC8" w:rsidP="00B558B7">
            <w:pPr>
              <w:pStyle w:val="TekstTabeli"/>
            </w:pPr>
            <w:r w:rsidRPr="008C72E5">
              <w:t>473</w:t>
            </w:r>
          </w:p>
        </w:tc>
        <w:tc>
          <w:tcPr>
            <w:tcW w:w="880" w:type="pct"/>
            <w:vAlign w:val="center"/>
          </w:tcPr>
          <w:p w14:paraId="61CCD2B6" w14:textId="77777777" w:rsidR="009F6AC8" w:rsidRPr="008C72E5" w:rsidRDefault="009F6AC8" w:rsidP="00B558B7">
            <w:pPr>
              <w:pStyle w:val="TekstTabeli"/>
            </w:pPr>
            <w:proofErr w:type="spellStart"/>
            <w:r w:rsidRPr="008C72E5">
              <w:t>Thi</w:t>
            </w:r>
            <w:proofErr w:type="spellEnd"/>
            <w:r w:rsidRPr="008C72E5">
              <w:t xml:space="preserve"> Ngoc Ha N.</w:t>
            </w:r>
          </w:p>
        </w:tc>
        <w:tc>
          <w:tcPr>
            <w:tcW w:w="1771" w:type="pct"/>
            <w:vAlign w:val="center"/>
          </w:tcPr>
          <w:p w14:paraId="09BC787F" w14:textId="77777777" w:rsidR="009F6AC8" w:rsidRPr="008C72E5" w:rsidRDefault="009F6AC8" w:rsidP="00B558B7">
            <w:pPr>
              <w:pStyle w:val="TekstTabeli"/>
            </w:pPr>
            <w:r w:rsidRPr="008C72E5">
              <w:t>Implementation of on-campus work-integrated learning activities in Vietnamese universities: ‘don’t rely on lecturers’</w:t>
            </w:r>
          </w:p>
        </w:tc>
        <w:tc>
          <w:tcPr>
            <w:tcW w:w="2052" w:type="pct"/>
            <w:vAlign w:val="center"/>
          </w:tcPr>
          <w:p w14:paraId="1E675497" w14:textId="77777777" w:rsidR="009F6AC8" w:rsidRPr="008C72E5" w:rsidRDefault="009F6AC8" w:rsidP="00B558B7">
            <w:pPr>
              <w:pStyle w:val="TekstTabeli"/>
            </w:pPr>
            <w:r w:rsidRPr="008C72E5">
              <w:t>(2023) Journal of Further and Higher Education, 47 (8), pp. 1124 - 1139, DOI: 10.1080/0309877X.2023.2217648</w:t>
            </w:r>
          </w:p>
        </w:tc>
      </w:tr>
      <w:tr w:rsidR="00C4329A" w:rsidRPr="004C10DC" w14:paraId="6B1124FD" w14:textId="77777777" w:rsidTr="00C4329A">
        <w:trPr>
          <w:cantSplit/>
        </w:trPr>
        <w:tc>
          <w:tcPr>
            <w:tcW w:w="297" w:type="pct"/>
            <w:vAlign w:val="center"/>
          </w:tcPr>
          <w:p w14:paraId="0A667CBA" w14:textId="77777777" w:rsidR="009F6AC8" w:rsidRPr="008C72E5" w:rsidRDefault="009F6AC8" w:rsidP="00B558B7">
            <w:pPr>
              <w:pStyle w:val="TekstTabeli"/>
            </w:pPr>
            <w:r w:rsidRPr="008C72E5">
              <w:t>474</w:t>
            </w:r>
          </w:p>
        </w:tc>
        <w:tc>
          <w:tcPr>
            <w:tcW w:w="880" w:type="pct"/>
            <w:vAlign w:val="center"/>
          </w:tcPr>
          <w:p w14:paraId="18CB9875" w14:textId="77777777" w:rsidR="009F6AC8" w:rsidRPr="008C72E5" w:rsidRDefault="009F6AC8" w:rsidP="00B558B7">
            <w:pPr>
              <w:pStyle w:val="TekstTabeli"/>
            </w:pPr>
            <w:r w:rsidRPr="008C72E5">
              <w:t>Crowther D., Isbell D.R., Nishizawa H.</w:t>
            </w:r>
          </w:p>
        </w:tc>
        <w:tc>
          <w:tcPr>
            <w:tcW w:w="1771" w:type="pct"/>
            <w:vAlign w:val="center"/>
          </w:tcPr>
          <w:p w14:paraId="55A46C69" w14:textId="77777777" w:rsidR="009F6AC8" w:rsidRPr="008C72E5" w:rsidRDefault="009F6AC8" w:rsidP="00B558B7">
            <w:pPr>
              <w:pStyle w:val="TekstTabeli"/>
            </w:pPr>
            <w:r w:rsidRPr="008C72E5">
              <w:t>Second language speech comprehensibility and acceptability in academic settings: Listener perceptions and speech stream influences</w:t>
            </w:r>
          </w:p>
        </w:tc>
        <w:tc>
          <w:tcPr>
            <w:tcW w:w="2052" w:type="pct"/>
            <w:vAlign w:val="center"/>
          </w:tcPr>
          <w:p w14:paraId="1FDFE2EB" w14:textId="77777777" w:rsidR="009F6AC8" w:rsidRPr="008C72E5" w:rsidRDefault="009F6AC8" w:rsidP="00B558B7">
            <w:pPr>
              <w:pStyle w:val="TekstTabeli"/>
            </w:pPr>
            <w:r w:rsidRPr="008C72E5">
              <w:t>(2023) Applied Psycholinguistics, 44 (5), pp. 858 - 888, DOI: 10.1017/S0142716423000346</w:t>
            </w:r>
          </w:p>
        </w:tc>
      </w:tr>
    </w:tbl>
    <w:p w14:paraId="2DD2000B" w14:textId="18587B7F" w:rsidR="00BC6853" w:rsidRPr="00BC6853" w:rsidRDefault="008C72E5" w:rsidP="00BC6853">
      <w:pPr>
        <w:pStyle w:val="rdo"/>
        <w:sectPr w:rsidR="00BC6853" w:rsidRPr="00BC6853" w:rsidSect="00083014">
          <w:pgSz w:w="11906" w:h="16838"/>
          <w:pgMar w:top="1417" w:right="1417" w:bottom="1417" w:left="1417" w:header="708" w:footer="708" w:gutter="0"/>
          <w:cols w:space="708"/>
          <w:docGrid w:linePitch="360"/>
        </w:sectPr>
      </w:pPr>
      <w:r w:rsidRPr="008C72E5">
        <w:t>Źródło: opracowanie własne</w:t>
      </w:r>
    </w:p>
    <w:p w14:paraId="72B4E5F4" w14:textId="02661520" w:rsidR="008C72E5" w:rsidRPr="00233788" w:rsidRDefault="008C72E5" w:rsidP="008C72E5">
      <w:pPr>
        <w:pStyle w:val="Nagwek1"/>
        <w:numPr>
          <w:ilvl w:val="0"/>
          <w:numId w:val="0"/>
        </w:numPr>
        <w:ind w:left="432"/>
      </w:pPr>
      <w:bookmarkStart w:id="159" w:name="_Toc157667034"/>
      <w:r w:rsidRPr="00233788">
        <w:lastRenderedPageBreak/>
        <w:t xml:space="preserve">Załącznik </w:t>
      </w:r>
      <w:r>
        <w:t>6</w:t>
      </w:r>
      <w:r w:rsidRPr="00233788">
        <w:t xml:space="preserve"> – </w:t>
      </w:r>
      <w:bookmarkStart w:id="160" w:name="_Hlk157755664"/>
      <w:r>
        <w:t xml:space="preserve">Szczegółowa Lista Analizowanych fraz </w:t>
      </w:r>
      <w:r w:rsidR="004C1815">
        <w:br/>
      </w:r>
      <w:r>
        <w:t>odnoszących się do inter</w:t>
      </w:r>
      <w:r w:rsidR="004C1815">
        <w:t>E</w:t>
      </w:r>
      <w:r>
        <w:t xml:space="preserve">sariuszy uczelni wyższych </w:t>
      </w:r>
      <w:r w:rsidR="004C1815">
        <w:br/>
      </w:r>
      <w:r>
        <w:t>w badaniu SLR</w:t>
      </w:r>
      <w:bookmarkEnd w:id="159"/>
      <w:bookmarkEnd w:id="160"/>
    </w:p>
    <w:tbl>
      <w:tblPr>
        <w:tblStyle w:val="Tabela-Siatka"/>
        <w:tblW w:w="9015" w:type="dxa"/>
        <w:tblLook w:val="04A0" w:firstRow="1" w:lastRow="0" w:firstColumn="1" w:lastColumn="0" w:noHBand="0" w:noVBand="1"/>
      </w:tblPr>
      <w:tblGrid>
        <w:gridCol w:w="567"/>
        <w:gridCol w:w="4479"/>
        <w:gridCol w:w="3969"/>
      </w:tblGrid>
      <w:tr w:rsidR="009F38EA" w:rsidRPr="00C278BA" w14:paraId="3574FCDB" w14:textId="77777777" w:rsidTr="009F38EA">
        <w:trPr>
          <w:cantSplit/>
          <w:trHeight w:val="285"/>
          <w:tblHeader/>
        </w:trPr>
        <w:tc>
          <w:tcPr>
            <w:tcW w:w="567" w:type="dxa"/>
            <w:noWrap/>
            <w:vAlign w:val="center"/>
            <w:hideMark/>
          </w:tcPr>
          <w:p w14:paraId="442CC737" w14:textId="0317507D" w:rsidR="009F38EA" w:rsidRPr="004C1815" w:rsidRDefault="009F38EA" w:rsidP="004C1815">
            <w:pPr>
              <w:pStyle w:val="TekstTabeli"/>
              <w:keepNext/>
              <w:rPr>
                <w:b/>
                <w:bCs w:val="0"/>
              </w:rPr>
            </w:pPr>
            <w:proofErr w:type="spellStart"/>
            <w:r w:rsidRPr="004C1815">
              <w:rPr>
                <w:b/>
                <w:bCs w:val="0"/>
              </w:rPr>
              <w:t>L.p.</w:t>
            </w:r>
            <w:proofErr w:type="spellEnd"/>
          </w:p>
        </w:tc>
        <w:tc>
          <w:tcPr>
            <w:tcW w:w="4479" w:type="dxa"/>
            <w:noWrap/>
            <w:vAlign w:val="center"/>
            <w:hideMark/>
          </w:tcPr>
          <w:p w14:paraId="04E36BAA" w14:textId="74D823C4" w:rsidR="009F38EA" w:rsidRPr="004C1815" w:rsidRDefault="009F38EA" w:rsidP="004C1815">
            <w:pPr>
              <w:pStyle w:val="TekstTabeli"/>
              <w:keepNext/>
              <w:rPr>
                <w:b/>
                <w:bCs w:val="0"/>
              </w:rPr>
            </w:pPr>
            <w:proofErr w:type="spellStart"/>
            <w:r w:rsidRPr="004C1815">
              <w:rPr>
                <w:b/>
                <w:bCs w:val="0"/>
              </w:rPr>
              <w:t>Wyszukiwana</w:t>
            </w:r>
            <w:proofErr w:type="spellEnd"/>
            <w:r w:rsidRPr="004C1815">
              <w:rPr>
                <w:b/>
                <w:bCs w:val="0"/>
              </w:rPr>
              <w:t xml:space="preserve"> </w:t>
            </w:r>
            <w:proofErr w:type="spellStart"/>
            <w:r w:rsidRPr="004C1815">
              <w:rPr>
                <w:b/>
                <w:bCs w:val="0"/>
              </w:rPr>
              <w:t>fraza</w:t>
            </w:r>
            <w:proofErr w:type="spellEnd"/>
          </w:p>
        </w:tc>
        <w:tc>
          <w:tcPr>
            <w:tcW w:w="3969" w:type="dxa"/>
            <w:noWrap/>
            <w:vAlign w:val="center"/>
            <w:hideMark/>
          </w:tcPr>
          <w:p w14:paraId="23A614B4" w14:textId="4C072954" w:rsidR="009F38EA" w:rsidRPr="004C1815" w:rsidRDefault="009F38EA" w:rsidP="004C1815">
            <w:pPr>
              <w:pStyle w:val="TekstTabeli"/>
              <w:keepNext/>
              <w:rPr>
                <w:b/>
                <w:bCs w:val="0"/>
                <w:lang w:val="pl-PL"/>
              </w:rPr>
            </w:pPr>
            <w:r w:rsidRPr="004C1815">
              <w:rPr>
                <w:b/>
                <w:bCs w:val="0"/>
                <w:lang w:val="pl-PL"/>
              </w:rPr>
              <w:t>Liczność w abstraktach (zgodny kontekst</w:t>
            </w:r>
            <w:r w:rsidR="000906B0" w:rsidRPr="004C1815">
              <w:rPr>
                <w:rStyle w:val="Odwoanieprzypisudolnego"/>
                <w:b/>
                <w:bCs w:val="0"/>
                <w:sz w:val="16"/>
                <w:szCs w:val="18"/>
              </w:rPr>
              <w:footnoteReference w:id="19"/>
            </w:r>
            <w:r w:rsidRPr="004C1815">
              <w:rPr>
                <w:b/>
                <w:bCs w:val="0"/>
                <w:lang w:val="pl-PL"/>
              </w:rPr>
              <w:t>)</w:t>
            </w:r>
          </w:p>
        </w:tc>
      </w:tr>
      <w:tr w:rsidR="009F38EA" w:rsidRPr="009F38EA" w14:paraId="50FCE0FB" w14:textId="77777777" w:rsidTr="009F38EA">
        <w:trPr>
          <w:cantSplit/>
          <w:trHeight w:val="285"/>
        </w:trPr>
        <w:tc>
          <w:tcPr>
            <w:tcW w:w="567" w:type="dxa"/>
            <w:noWrap/>
            <w:vAlign w:val="center"/>
            <w:hideMark/>
          </w:tcPr>
          <w:p w14:paraId="641531A0" w14:textId="77777777" w:rsidR="009F38EA" w:rsidRPr="009F38EA" w:rsidRDefault="009F38EA" w:rsidP="00B558B7">
            <w:pPr>
              <w:pStyle w:val="TekstTabeli"/>
            </w:pPr>
            <w:r w:rsidRPr="009F38EA">
              <w:t>1</w:t>
            </w:r>
          </w:p>
        </w:tc>
        <w:tc>
          <w:tcPr>
            <w:tcW w:w="4479" w:type="dxa"/>
            <w:noWrap/>
            <w:vAlign w:val="center"/>
            <w:hideMark/>
          </w:tcPr>
          <w:p w14:paraId="1C1DBFB0" w14:textId="77777777" w:rsidR="009F38EA" w:rsidRPr="009F38EA" w:rsidRDefault="009F38EA" w:rsidP="00B558B7">
            <w:pPr>
              <w:pStyle w:val="TekstTabeli"/>
            </w:pPr>
            <w:r w:rsidRPr="009F38EA">
              <w:t>academic</w:t>
            </w:r>
          </w:p>
        </w:tc>
        <w:tc>
          <w:tcPr>
            <w:tcW w:w="3969" w:type="dxa"/>
            <w:noWrap/>
            <w:vAlign w:val="center"/>
            <w:hideMark/>
          </w:tcPr>
          <w:p w14:paraId="3C4F8061" w14:textId="77777777" w:rsidR="009F38EA" w:rsidRPr="009F38EA" w:rsidRDefault="009F38EA" w:rsidP="00B558B7">
            <w:pPr>
              <w:pStyle w:val="TekstTabeli"/>
            </w:pPr>
            <w:r w:rsidRPr="009F38EA">
              <w:t>1</w:t>
            </w:r>
          </w:p>
        </w:tc>
      </w:tr>
      <w:tr w:rsidR="009F38EA" w:rsidRPr="009F38EA" w14:paraId="110F2FB2" w14:textId="77777777" w:rsidTr="009F38EA">
        <w:trPr>
          <w:cantSplit/>
          <w:trHeight w:val="285"/>
        </w:trPr>
        <w:tc>
          <w:tcPr>
            <w:tcW w:w="567" w:type="dxa"/>
            <w:noWrap/>
            <w:vAlign w:val="center"/>
            <w:hideMark/>
          </w:tcPr>
          <w:p w14:paraId="104FCB90" w14:textId="77777777" w:rsidR="009F38EA" w:rsidRPr="009F38EA" w:rsidRDefault="009F38EA" w:rsidP="00B558B7">
            <w:pPr>
              <w:pStyle w:val="TekstTabeli"/>
            </w:pPr>
            <w:r w:rsidRPr="009F38EA">
              <w:t>2</w:t>
            </w:r>
          </w:p>
        </w:tc>
        <w:tc>
          <w:tcPr>
            <w:tcW w:w="4479" w:type="dxa"/>
            <w:noWrap/>
            <w:vAlign w:val="center"/>
            <w:hideMark/>
          </w:tcPr>
          <w:p w14:paraId="604106A3" w14:textId="77777777" w:rsidR="009F38EA" w:rsidRPr="009F38EA" w:rsidRDefault="009F38EA" w:rsidP="00B558B7">
            <w:pPr>
              <w:pStyle w:val="TekstTabeli"/>
            </w:pPr>
            <w:r w:rsidRPr="009F38EA">
              <w:t>academic developer</w:t>
            </w:r>
          </w:p>
        </w:tc>
        <w:tc>
          <w:tcPr>
            <w:tcW w:w="3969" w:type="dxa"/>
            <w:noWrap/>
            <w:vAlign w:val="center"/>
            <w:hideMark/>
          </w:tcPr>
          <w:p w14:paraId="39A88550" w14:textId="77777777" w:rsidR="009F38EA" w:rsidRPr="009F38EA" w:rsidRDefault="009F38EA" w:rsidP="00B558B7">
            <w:pPr>
              <w:pStyle w:val="TekstTabeli"/>
            </w:pPr>
            <w:r w:rsidRPr="009F38EA">
              <w:t>1</w:t>
            </w:r>
          </w:p>
        </w:tc>
      </w:tr>
      <w:tr w:rsidR="009F38EA" w:rsidRPr="009F38EA" w14:paraId="707951A9" w14:textId="77777777" w:rsidTr="009F38EA">
        <w:trPr>
          <w:cantSplit/>
          <w:trHeight w:val="285"/>
        </w:trPr>
        <w:tc>
          <w:tcPr>
            <w:tcW w:w="567" w:type="dxa"/>
            <w:noWrap/>
            <w:vAlign w:val="center"/>
            <w:hideMark/>
          </w:tcPr>
          <w:p w14:paraId="0EA58D25" w14:textId="77777777" w:rsidR="009F38EA" w:rsidRPr="009F38EA" w:rsidRDefault="009F38EA" w:rsidP="00B558B7">
            <w:pPr>
              <w:pStyle w:val="TekstTabeli"/>
            </w:pPr>
            <w:r w:rsidRPr="009F38EA">
              <w:t>3</w:t>
            </w:r>
          </w:p>
        </w:tc>
        <w:tc>
          <w:tcPr>
            <w:tcW w:w="4479" w:type="dxa"/>
            <w:noWrap/>
            <w:vAlign w:val="center"/>
            <w:hideMark/>
          </w:tcPr>
          <w:p w14:paraId="002470E1" w14:textId="77777777" w:rsidR="009F38EA" w:rsidRPr="009F38EA" w:rsidRDefault="009F38EA" w:rsidP="00B558B7">
            <w:pPr>
              <w:pStyle w:val="TekstTabeli"/>
            </w:pPr>
            <w:r w:rsidRPr="009F38EA">
              <w:t>academics</w:t>
            </w:r>
          </w:p>
        </w:tc>
        <w:tc>
          <w:tcPr>
            <w:tcW w:w="3969" w:type="dxa"/>
            <w:noWrap/>
            <w:vAlign w:val="center"/>
            <w:hideMark/>
          </w:tcPr>
          <w:p w14:paraId="110B1034" w14:textId="77777777" w:rsidR="009F38EA" w:rsidRPr="009F38EA" w:rsidRDefault="009F38EA" w:rsidP="00B558B7">
            <w:pPr>
              <w:pStyle w:val="TekstTabeli"/>
            </w:pPr>
            <w:r w:rsidRPr="009F38EA">
              <w:t>33</w:t>
            </w:r>
          </w:p>
        </w:tc>
      </w:tr>
      <w:tr w:rsidR="009F38EA" w:rsidRPr="009F38EA" w14:paraId="128E16DE" w14:textId="77777777" w:rsidTr="009F38EA">
        <w:trPr>
          <w:cantSplit/>
          <w:trHeight w:val="285"/>
        </w:trPr>
        <w:tc>
          <w:tcPr>
            <w:tcW w:w="567" w:type="dxa"/>
            <w:noWrap/>
            <w:vAlign w:val="center"/>
            <w:hideMark/>
          </w:tcPr>
          <w:p w14:paraId="793EC67F" w14:textId="77777777" w:rsidR="009F38EA" w:rsidRPr="009F38EA" w:rsidRDefault="009F38EA" w:rsidP="00B558B7">
            <w:pPr>
              <w:pStyle w:val="TekstTabeli"/>
            </w:pPr>
            <w:r w:rsidRPr="009F38EA">
              <w:t>4</w:t>
            </w:r>
          </w:p>
        </w:tc>
        <w:tc>
          <w:tcPr>
            <w:tcW w:w="4479" w:type="dxa"/>
            <w:noWrap/>
            <w:vAlign w:val="center"/>
            <w:hideMark/>
          </w:tcPr>
          <w:p w14:paraId="7851DD29" w14:textId="77777777" w:rsidR="009F38EA" w:rsidRPr="009F38EA" w:rsidRDefault="009F38EA" w:rsidP="00B558B7">
            <w:pPr>
              <w:pStyle w:val="TekstTabeli"/>
            </w:pPr>
            <w:proofErr w:type="spellStart"/>
            <w:r w:rsidRPr="009F38EA">
              <w:t>accelera</w:t>
            </w:r>
            <w:proofErr w:type="spellEnd"/>
          </w:p>
        </w:tc>
        <w:tc>
          <w:tcPr>
            <w:tcW w:w="3969" w:type="dxa"/>
            <w:noWrap/>
            <w:vAlign w:val="center"/>
            <w:hideMark/>
          </w:tcPr>
          <w:p w14:paraId="779E64CD" w14:textId="77777777" w:rsidR="009F38EA" w:rsidRPr="009F38EA" w:rsidRDefault="009F38EA" w:rsidP="00B558B7">
            <w:pPr>
              <w:pStyle w:val="TekstTabeli"/>
            </w:pPr>
            <w:r w:rsidRPr="009F38EA">
              <w:t>0</w:t>
            </w:r>
          </w:p>
        </w:tc>
      </w:tr>
      <w:tr w:rsidR="009F38EA" w:rsidRPr="009F38EA" w14:paraId="1A4ABD11" w14:textId="77777777" w:rsidTr="009F38EA">
        <w:trPr>
          <w:cantSplit/>
          <w:trHeight w:val="285"/>
        </w:trPr>
        <w:tc>
          <w:tcPr>
            <w:tcW w:w="567" w:type="dxa"/>
            <w:noWrap/>
            <w:vAlign w:val="center"/>
            <w:hideMark/>
          </w:tcPr>
          <w:p w14:paraId="70100901" w14:textId="77777777" w:rsidR="009F38EA" w:rsidRPr="009F38EA" w:rsidRDefault="009F38EA" w:rsidP="00B558B7">
            <w:pPr>
              <w:pStyle w:val="TekstTabeli"/>
            </w:pPr>
            <w:r w:rsidRPr="009F38EA">
              <w:t>5</w:t>
            </w:r>
          </w:p>
        </w:tc>
        <w:tc>
          <w:tcPr>
            <w:tcW w:w="4479" w:type="dxa"/>
            <w:noWrap/>
            <w:vAlign w:val="center"/>
            <w:hideMark/>
          </w:tcPr>
          <w:p w14:paraId="32365AB5" w14:textId="77777777" w:rsidR="009F38EA" w:rsidRPr="009F38EA" w:rsidRDefault="009F38EA" w:rsidP="00B558B7">
            <w:pPr>
              <w:pStyle w:val="TekstTabeli"/>
            </w:pPr>
            <w:r w:rsidRPr="009F38EA">
              <w:t>accreditation board</w:t>
            </w:r>
          </w:p>
        </w:tc>
        <w:tc>
          <w:tcPr>
            <w:tcW w:w="3969" w:type="dxa"/>
            <w:noWrap/>
            <w:vAlign w:val="center"/>
            <w:hideMark/>
          </w:tcPr>
          <w:p w14:paraId="6A42A898" w14:textId="77777777" w:rsidR="009F38EA" w:rsidRPr="009F38EA" w:rsidRDefault="009F38EA" w:rsidP="00B558B7">
            <w:pPr>
              <w:pStyle w:val="TekstTabeli"/>
            </w:pPr>
            <w:r w:rsidRPr="009F38EA">
              <w:t>1</w:t>
            </w:r>
          </w:p>
        </w:tc>
      </w:tr>
      <w:tr w:rsidR="009F38EA" w:rsidRPr="009F38EA" w14:paraId="1C6DFC78" w14:textId="77777777" w:rsidTr="009F38EA">
        <w:trPr>
          <w:cantSplit/>
          <w:trHeight w:val="285"/>
        </w:trPr>
        <w:tc>
          <w:tcPr>
            <w:tcW w:w="567" w:type="dxa"/>
            <w:noWrap/>
            <w:vAlign w:val="center"/>
            <w:hideMark/>
          </w:tcPr>
          <w:p w14:paraId="4043F397" w14:textId="77777777" w:rsidR="009F38EA" w:rsidRPr="009F38EA" w:rsidRDefault="009F38EA" w:rsidP="00B558B7">
            <w:pPr>
              <w:pStyle w:val="TekstTabeli"/>
            </w:pPr>
            <w:r w:rsidRPr="009F38EA">
              <w:t>6</w:t>
            </w:r>
          </w:p>
        </w:tc>
        <w:tc>
          <w:tcPr>
            <w:tcW w:w="4479" w:type="dxa"/>
            <w:noWrap/>
            <w:vAlign w:val="center"/>
            <w:hideMark/>
          </w:tcPr>
          <w:p w14:paraId="09E4CD76" w14:textId="77777777" w:rsidR="009F38EA" w:rsidRPr="009F38EA" w:rsidRDefault="009F38EA" w:rsidP="00B558B7">
            <w:pPr>
              <w:pStyle w:val="TekstTabeli"/>
            </w:pPr>
            <w:r w:rsidRPr="009F38EA">
              <w:t>accreditation bodies</w:t>
            </w:r>
          </w:p>
        </w:tc>
        <w:tc>
          <w:tcPr>
            <w:tcW w:w="3969" w:type="dxa"/>
            <w:noWrap/>
            <w:vAlign w:val="center"/>
            <w:hideMark/>
          </w:tcPr>
          <w:p w14:paraId="29AAE709" w14:textId="77777777" w:rsidR="009F38EA" w:rsidRPr="009F38EA" w:rsidRDefault="009F38EA" w:rsidP="00B558B7">
            <w:pPr>
              <w:pStyle w:val="TekstTabeli"/>
            </w:pPr>
            <w:r w:rsidRPr="009F38EA">
              <w:t>1</w:t>
            </w:r>
          </w:p>
        </w:tc>
      </w:tr>
      <w:tr w:rsidR="009F38EA" w:rsidRPr="009F38EA" w14:paraId="75BE6AE0" w14:textId="77777777" w:rsidTr="009F38EA">
        <w:trPr>
          <w:cantSplit/>
          <w:trHeight w:val="285"/>
        </w:trPr>
        <w:tc>
          <w:tcPr>
            <w:tcW w:w="567" w:type="dxa"/>
            <w:noWrap/>
            <w:vAlign w:val="center"/>
            <w:hideMark/>
          </w:tcPr>
          <w:p w14:paraId="427B43E9" w14:textId="77777777" w:rsidR="009F38EA" w:rsidRPr="009F38EA" w:rsidRDefault="009F38EA" w:rsidP="00B558B7">
            <w:pPr>
              <w:pStyle w:val="TekstTabeli"/>
            </w:pPr>
            <w:r w:rsidRPr="009F38EA">
              <w:t>7</w:t>
            </w:r>
          </w:p>
        </w:tc>
        <w:tc>
          <w:tcPr>
            <w:tcW w:w="4479" w:type="dxa"/>
            <w:noWrap/>
            <w:vAlign w:val="center"/>
            <w:hideMark/>
          </w:tcPr>
          <w:p w14:paraId="0DE923F4" w14:textId="77777777" w:rsidR="009F38EA" w:rsidRPr="009F38EA" w:rsidRDefault="009F38EA" w:rsidP="00B558B7">
            <w:pPr>
              <w:pStyle w:val="TekstTabeli"/>
            </w:pPr>
            <w:r w:rsidRPr="009F38EA">
              <w:t>accreditation agencies</w:t>
            </w:r>
          </w:p>
        </w:tc>
        <w:tc>
          <w:tcPr>
            <w:tcW w:w="3969" w:type="dxa"/>
            <w:noWrap/>
            <w:vAlign w:val="center"/>
            <w:hideMark/>
          </w:tcPr>
          <w:p w14:paraId="4415071B" w14:textId="77777777" w:rsidR="009F38EA" w:rsidRPr="009F38EA" w:rsidRDefault="009F38EA" w:rsidP="00B558B7">
            <w:pPr>
              <w:pStyle w:val="TekstTabeli"/>
            </w:pPr>
            <w:r w:rsidRPr="009F38EA">
              <w:t>4</w:t>
            </w:r>
          </w:p>
        </w:tc>
      </w:tr>
      <w:tr w:rsidR="009F38EA" w:rsidRPr="009F38EA" w14:paraId="47C6B2B3" w14:textId="77777777" w:rsidTr="009F38EA">
        <w:trPr>
          <w:cantSplit/>
          <w:trHeight w:val="285"/>
        </w:trPr>
        <w:tc>
          <w:tcPr>
            <w:tcW w:w="567" w:type="dxa"/>
            <w:noWrap/>
            <w:vAlign w:val="center"/>
            <w:hideMark/>
          </w:tcPr>
          <w:p w14:paraId="25170BF0" w14:textId="77777777" w:rsidR="009F38EA" w:rsidRPr="009F38EA" w:rsidRDefault="009F38EA" w:rsidP="00B558B7">
            <w:pPr>
              <w:pStyle w:val="TekstTabeli"/>
            </w:pPr>
            <w:r w:rsidRPr="009F38EA">
              <w:t>8</w:t>
            </w:r>
          </w:p>
        </w:tc>
        <w:tc>
          <w:tcPr>
            <w:tcW w:w="4479" w:type="dxa"/>
            <w:noWrap/>
            <w:vAlign w:val="center"/>
            <w:hideMark/>
          </w:tcPr>
          <w:p w14:paraId="0031B3B5" w14:textId="77777777" w:rsidR="009F38EA" w:rsidRPr="009F38EA" w:rsidRDefault="009F38EA" w:rsidP="00B558B7">
            <w:pPr>
              <w:pStyle w:val="TekstTabeli"/>
            </w:pPr>
            <w:r w:rsidRPr="009F38EA">
              <w:t>accreditation teams</w:t>
            </w:r>
          </w:p>
        </w:tc>
        <w:tc>
          <w:tcPr>
            <w:tcW w:w="3969" w:type="dxa"/>
            <w:noWrap/>
            <w:vAlign w:val="center"/>
            <w:hideMark/>
          </w:tcPr>
          <w:p w14:paraId="0DC7DF1A" w14:textId="77777777" w:rsidR="009F38EA" w:rsidRPr="009F38EA" w:rsidRDefault="009F38EA" w:rsidP="00B558B7">
            <w:pPr>
              <w:pStyle w:val="TekstTabeli"/>
            </w:pPr>
            <w:r w:rsidRPr="009F38EA">
              <w:t>1</w:t>
            </w:r>
          </w:p>
        </w:tc>
      </w:tr>
      <w:tr w:rsidR="009F38EA" w:rsidRPr="009F38EA" w14:paraId="08AFFBE7" w14:textId="77777777" w:rsidTr="009F38EA">
        <w:trPr>
          <w:cantSplit/>
          <w:trHeight w:val="285"/>
        </w:trPr>
        <w:tc>
          <w:tcPr>
            <w:tcW w:w="567" w:type="dxa"/>
            <w:noWrap/>
            <w:vAlign w:val="center"/>
            <w:hideMark/>
          </w:tcPr>
          <w:p w14:paraId="2CC26576" w14:textId="77777777" w:rsidR="009F38EA" w:rsidRPr="009F38EA" w:rsidRDefault="009F38EA" w:rsidP="00B558B7">
            <w:pPr>
              <w:pStyle w:val="TekstTabeli"/>
            </w:pPr>
            <w:r w:rsidRPr="009F38EA">
              <w:t>9</w:t>
            </w:r>
          </w:p>
        </w:tc>
        <w:tc>
          <w:tcPr>
            <w:tcW w:w="4479" w:type="dxa"/>
            <w:noWrap/>
            <w:vAlign w:val="center"/>
            <w:hideMark/>
          </w:tcPr>
          <w:p w14:paraId="38BB2327" w14:textId="77777777" w:rsidR="009F38EA" w:rsidRPr="009F38EA" w:rsidRDefault="009F38EA" w:rsidP="00B558B7">
            <w:pPr>
              <w:pStyle w:val="TekstTabeli"/>
            </w:pPr>
            <w:r w:rsidRPr="009F38EA">
              <w:t>accreditors</w:t>
            </w:r>
          </w:p>
        </w:tc>
        <w:tc>
          <w:tcPr>
            <w:tcW w:w="3969" w:type="dxa"/>
            <w:noWrap/>
            <w:vAlign w:val="center"/>
            <w:hideMark/>
          </w:tcPr>
          <w:p w14:paraId="7E406D59" w14:textId="77777777" w:rsidR="009F38EA" w:rsidRPr="009F38EA" w:rsidRDefault="009F38EA" w:rsidP="00B558B7">
            <w:pPr>
              <w:pStyle w:val="TekstTabeli"/>
            </w:pPr>
            <w:r w:rsidRPr="009F38EA">
              <w:t>1</w:t>
            </w:r>
          </w:p>
        </w:tc>
      </w:tr>
      <w:tr w:rsidR="009F38EA" w:rsidRPr="009F38EA" w14:paraId="54A1CC6E" w14:textId="77777777" w:rsidTr="009F38EA">
        <w:trPr>
          <w:cantSplit/>
          <w:trHeight w:val="285"/>
        </w:trPr>
        <w:tc>
          <w:tcPr>
            <w:tcW w:w="567" w:type="dxa"/>
            <w:noWrap/>
            <w:vAlign w:val="center"/>
            <w:hideMark/>
          </w:tcPr>
          <w:p w14:paraId="625F771A" w14:textId="77777777" w:rsidR="009F38EA" w:rsidRPr="009F38EA" w:rsidRDefault="009F38EA" w:rsidP="00B558B7">
            <w:pPr>
              <w:pStyle w:val="TekstTabeli"/>
            </w:pPr>
            <w:r w:rsidRPr="009F38EA">
              <w:t>10</w:t>
            </w:r>
          </w:p>
        </w:tc>
        <w:tc>
          <w:tcPr>
            <w:tcW w:w="4479" w:type="dxa"/>
            <w:noWrap/>
            <w:vAlign w:val="center"/>
            <w:hideMark/>
          </w:tcPr>
          <w:p w14:paraId="03690467" w14:textId="77777777" w:rsidR="009F38EA" w:rsidRPr="009F38EA" w:rsidRDefault="009F38EA" w:rsidP="00B558B7">
            <w:pPr>
              <w:pStyle w:val="TekstTabeli"/>
            </w:pPr>
            <w:proofErr w:type="spellStart"/>
            <w:r w:rsidRPr="009F38EA">
              <w:t>administrat</w:t>
            </w:r>
            <w:proofErr w:type="spellEnd"/>
          </w:p>
        </w:tc>
        <w:tc>
          <w:tcPr>
            <w:tcW w:w="3969" w:type="dxa"/>
            <w:noWrap/>
            <w:vAlign w:val="center"/>
            <w:hideMark/>
          </w:tcPr>
          <w:p w14:paraId="6EDAA2BB" w14:textId="77777777" w:rsidR="009F38EA" w:rsidRPr="009F38EA" w:rsidRDefault="009F38EA" w:rsidP="00B558B7">
            <w:pPr>
              <w:pStyle w:val="TekstTabeli"/>
            </w:pPr>
            <w:r w:rsidRPr="009F38EA">
              <w:t>0</w:t>
            </w:r>
          </w:p>
        </w:tc>
      </w:tr>
      <w:tr w:rsidR="009F38EA" w:rsidRPr="009F38EA" w14:paraId="684D1E39" w14:textId="77777777" w:rsidTr="009F38EA">
        <w:trPr>
          <w:cantSplit/>
          <w:trHeight w:val="285"/>
        </w:trPr>
        <w:tc>
          <w:tcPr>
            <w:tcW w:w="567" w:type="dxa"/>
            <w:noWrap/>
            <w:vAlign w:val="center"/>
            <w:hideMark/>
          </w:tcPr>
          <w:p w14:paraId="5E2C7266" w14:textId="77777777" w:rsidR="009F38EA" w:rsidRPr="009F38EA" w:rsidRDefault="009F38EA" w:rsidP="00B558B7">
            <w:pPr>
              <w:pStyle w:val="TekstTabeli"/>
            </w:pPr>
            <w:r w:rsidRPr="009F38EA">
              <w:t>11</w:t>
            </w:r>
          </w:p>
        </w:tc>
        <w:tc>
          <w:tcPr>
            <w:tcW w:w="4479" w:type="dxa"/>
            <w:noWrap/>
            <w:vAlign w:val="center"/>
            <w:hideMark/>
          </w:tcPr>
          <w:p w14:paraId="6A2D961C" w14:textId="77777777" w:rsidR="009F38EA" w:rsidRPr="009F38EA" w:rsidRDefault="009F38EA" w:rsidP="00B558B7">
            <w:pPr>
              <w:pStyle w:val="TekstTabeli"/>
            </w:pPr>
            <w:r w:rsidRPr="009F38EA">
              <w:t>administrative</w:t>
            </w:r>
          </w:p>
        </w:tc>
        <w:tc>
          <w:tcPr>
            <w:tcW w:w="3969" w:type="dxa"/>
            <w:noWrap/>
            <w:vAlign w:val="center"/>
            <w:hideMark/>
          </w:tcPr>
          <w:p w14:paraId="71E48EF4" w14:textId="77777777" w:rsidR="009F38EA" w:rsidRPr="009F38EA" w:rsidRDefault="009F38EA" w:rsidP="00B558B7">
            <w:pPr>
              <w:pStyle w:val="TekstTabeli"/>
            </w:pPr>
            <w:r w:rsidRPr="009F38EA">
              <w:t>0</w:t>
            </w:r>
          </w:p>
        </w:tc>
      </w:tr>
      <w:tr w:rsidR="009F38EA" w:rsidRPr="009F38EA" w14:paraId="5EB6ED59" w14:textId="77777777" w:rsidTr="009F38EA">
        <w:trPr>
          <w:cantSplit/>
          <w:trHeight w:val="285"/>
        </w:trPr>
        <w:tc>
          <w:tcPr>
            <w:tcW w:w="567" w:type="dxa"/>
            <w:noWrap/>
            <w:vAlign w:val="center"/>
            <w:hideMark/>
          </w:tcPr>
          <w:p w14:paraId="718D6D03" w14:textId="77777777" w:rsidR="009F38EA" w:rsidRPr="009F38EA" w:rsidRDefault="009F38EA" w:rsidP="00B558B7">
            <w:pPr>
              <w:pStyle w:val="TekstTabeli"/>
            </w:pPr>
            <w:r w:rsidRPr="009F38EA">
              <w:t>12</w:t>
            </w:r>
          </w:p>
        </w:tc>
        <w:tc>
          <w:tcPr>
            <w:tcW w:w="4479" w:type="dxa"/>
            <w:noWrap/>
            <w:vAlign w:val="center"/>
            <w:hideMark/>
          </w:tcPr>
          <w:p w14:paraId="599BF30A" w14:textId="77777777" w:rsidR="009F38EA" w:rsidRPr="009F38EA" w:rsidRDefault="009F38EA" w:rsidP="00B558B7">
            <w:pPr>
              <w:pStyle w:val="TekstTabeli"/>
            </w:pPr>
            <w:r w:rsidRPr="009F38EA">
              <w:t>administrative units</w:t>
            </w:r>
          </w:p>
        </w:tc>
        <w:tc>
          <w:tcPr>
            <w:tcW w:w="3969" w:type="dxa"/>
            <w:noWrap/>
            <w:vAlign w:val="center"/>
            <w:hideMark/>
          </w:tcPr>
          <w:p w14:paraId="4EC7B6A6" w14:textId="77777777" w:rsidR="009F38EA" w:rsidRPr="009F38EA" w:rsidRDefault="009F38EA" w:rsidP="00B558B7">
            <w:pPr>
              <w:pStyle w:val="TekstTabeli"/>
            </w:pPr>
            <w:r w:rsidRPr="009F38EA">
              <w:t>1</w:t>
            </w:r>
          </w:p>
        </w:tc>
      </w:tr>
      <w:tr w:rsidR="009F38EA" w:rsidRPr="009F38EA" w14:paraId="677FBD54" w14:textId="77777777" w:rsidTr="009F38EA">
        <w:trPr>
          <w:cantSplit/>
          <w:trHeight w:val="285"/>
        </w:trPr>
        <w:tc>
          <w:tcPr>
            <w:tcW w:w="567" w:type="dxa"/>
            <w:noWrap/>
            <w:vAlign w:val="center"/>
            <w:hideMark/>
          </w:tcPr>
          <w:p w14:paraId="2ABC5084" w14:textId="77777777" w:rsidR="009F38EA" w:rsidRPr="009F38EA" w:rsidRDefault="009F38EA" w:rsidP="00B558B7">
            <w:pPr>
              <w:pStyle w:val="TekstTabeli"/>
            </w:pPr>
            <w:r w:rsidRPr="009F38EA">
              <w:t>13</w:t>
            </w:r>
          </w:p>
        </w:tc>
        <w:tc>
          <w:tcPr>
            <w:tcW w:w="4479" w:type="dxa"/>
            <w:noWrap/>
            <w:vAlign w:val="center"/>
            <w:hideMark/>
          </w:tcPr>
          <w:p w14:paraId="1569A1FC" w14:textId="77777777" w:rsidR="009F38EA" w:rsidRPr="009F38EA" w:rsidRDefault="009F38EA" w:rsidP="00B558B7">
            <w:pPr>
              <w:pStyle w:val="TekstTabeli"/>
            </w:pPr>
            <w:r w:rsidRPr="009F38EA">
              <w:t>administrative support</w:t>
            </w:r>
          </w:p>
        </w:tc>
        <w:tc>
          <w:tcPr>
            <w:tcW w:w="3969" w:type="dxa"/>
            <w:noWrap/>
            <w:vAlign w:val="center"/>
            <w:hideMark/>
          </w:tcPr>
          <w:p w14:paraId="107805B5" w14:textId="77777777" w:rsidR="009F38EA" w:rsidRPr="009F38EA" w:rsidRDefault="009F38EA" w:rsidP="00B558B7">
            <w:pPr>
              <w:pStyle w:val="TekstTabeli"/>
            </w:pPr>
            <w:r w:rsidRPr="009F38EA">
              <w:t>1</w:t>
            </w:r>
          </w:p>
        </w:tc>
      </w:tr>
      <w:tr w:rsidR="009F38EA" w:rsidRPr="009F38EA" w14:paraId="53F6F47A" w14:textId="77777777" w:rsidTr="009F38EA">
        <w:trPr>
          <w:cantSplit/>
          <w:trHeight w:val="285"/>
        </w:trPr>
        <w:tc>
          <w:tcPr>
            <w:tcW w:w="567" w:type="dxa"/>
            <w:noWrap/>
            <w:vAlign w:val="center"/>
            <w:hideMark/>
          </w:tcPr>
          <w:p w14:paraId="2A8F31C8" w14:textId="77777777" w:rsidR="009F38EA" w:rsidRPr="009F38EA" w:rsidRDefault="009F38EA" w:rsidP="00B558B7">
            <w:pPr>
              <w:pStyle w:val="TekstTabeli"/>
            </w:pPr>
            <w:r w:rsidRPr="009F38EA">
              <w:t>14</w:t>
            </w:r>
          </w:p>
        </w:tc>
        <w:tc>
          <w:tcPr>
            <w:tcW w:w="4479" w:type="dxa"/>
            <w:noWrap/>
            <w:vAlign w:val="center"/>
            <w:hideMark/>
          </w:tcPr>
          <w:p w14:paraId="52759F92" w14:textId="77777777" w:rsidR="009F38EA" w:rsidRPr="009F38EA" w:rsidRDefault="009F38EA" w:rsidP="00B558B7">
            <w:pPr>
              <w:pStyle w:val="TekstTabeli"/>
            </w:pPr>
            <w:r w:rsidRPr="009F38EA">
              <w:t>administrative leaders</w:t>
            </w:r>
          </w:p>
        </w:tc>
        <w:tc>
          <w:tcPr>
            <w:tcW w:w="3969" w:type="dxa"/>
            <w:noWrap/>
            <w:vAlign w:val="center"/>
            <w:hideMark/>
          </w:tcPr>
          <w:p w14:paraId="05777CAF" w14:textId="77777777" w:rsidR="009F38EA" w:rsidRPr="009F38EA" w:rsidRDefault="009F38EA" w:rsidP="00B558B7">
            <w:pPr>
              <w:pStyle w:val="TekstTabeli"/>
            </w:pPr>
            <w:r w:rsidRPr="009F38EA">
              <w:t>1</w:t>
            </w:r>
          </w:p>
        </w:tc>
      </w:tr>
      <w:tr w:rsidR="009F38EA" w:rsidRPr="009F38EA" w14:paraId="56F68BCD" w14:textId="77777777" w:rsidTr="009F38EA">
        <w:trPr>
          <w:cantSplit/>
          <w:trHeight w:val="285"/>
        </w:trPr>
        <w:tc>
          <w:tcPr>
            <w:tcW w:w="567" w:type="dxa"/>
            <w:noWrap/>
            <w:vAlign w:val="center"/>
            <w:hideMark/>
          </w:tcPr>
          <w:p w14:paraId="440DE149" w14:textId="77777777" w:rsidR="009F38EA" w:rsidRPr="009F38EA" w:rsidRDefault="009F38EA" w:rsidP="00B558B7">
            <w:pPr>
              <w:pStyle w:val="TekstTabeli"/>
            </w:pPr>
            <w:r w:rsidRPr="009F38EA">
              <w:t>15</w:t>
            </w:r>
          </w:p>
        </w:tc>
        <w:tc>
          <w:tcPr>
            <w:tcW w:w="4479" w:type="dxa"/>
            <w:noWrap/>
            <w:vAlign w:val="center"/>
            <w:hideMark/>
          </w:tcPr>
          <w:p w14:paraId="638875C0" w14:textId="77777777" w:rsidR="009F38EA" w:rsidRPr="009F38EA" w:rsidRDefault="009F38EA" w:rsidP="00B558B7">
            <w:pPr>
              <w:pStyle w:val="TekstTabeli"/>
            </w:pPr>
            <w:r w:rsidRPr="009F38EA">
              <w:t>janitor</w:t>
            </w:r>
          </w:p>
        </w:tc>
        <w:tc>
          <w:tcPr>
            <w:tcW w:w="3969" w:type="dxa"/>
            <w:noWrap/>
            <w:vAlign w:val="center"/>
            <w:hideMark/>
          </w:tcPr>
          <w:p w14:paraId="051A247D" w14:textId="77777777" w:rsidR="009F38EA" w:rsidRPr="009F38EA" w:rsidRDefault="009F38EA" w:rsidP="00B558B7">
            <w:pPr>
              <w:pStyle w:val="TekstTabeli"/>
            </w:pPr>
            <w:r w:rsidRPr="009F38EA">
              <w:t>1</w:t>
            </w:r>
          </w:p>
        </w:tc>
      </w:tr>
      <w:tr w:rsidR="009F38EA" w:rsidRPr="009F38EA" w14:paraId="78E29C01" w14:textId="77777777" w:rsidTr="009F38EA">
        <w:trPr>
          <w:cantSplit/>
          <w:trHeight w:val="285"/>
        </w:trPr>
        <w:tc>
          <w:tcPr>
            <w:tcW w:w="567" w:type="dxa"/>
            <w:noWrap/>
            <w:vAlign w:val="center"/>
            <w:hideMark/>
          </w:tcPr>
          <w:p w14:paraId="4B5E20BF" w14:textId="77777777" w:rsidR="009F38EA" w:rsidRPr="009F38EA" w:rsidRDefault="009F38EA" w:rsidP="00B558B7">
            <w:pPr>
              <w:pStyle w:val="TekstTabeli"/>
            </w:pPr>
            <w:r w:rsidRPr="009F38EA">
              <w:t>16</w:t>
            </w:r>
          </w:p>
        </w:tc>
        <w:tc>
          <w:tcPr>
            <w:tcW w:w="4479" w:type="dxa"/>
            <w:noWrap/>
            <w:vAlign w:val="center"/>
            <w:hideMark/>
          </w:tcPr>
          <w:p w14:paraId="751B2117" w14:textId="77777777" w:rsidR="009F38EA" w:rsidRPr="009F38EA" w:rsidRDefault="009F38EA" w:rsidP="00B558B7">
            <w:pPr>
              <w:pStyle w:val="TekstTabeli"/>
            </w:pPr>
            <w:r w:rsidRPr="009F38EA">
              <w:t>administrator</w:t>
            </w:r>
          </w:p>
        </w:tc>
        <w:tc>
          <w:tcPr>
            <w:tcW w:w="3969" w:type="dxa"/>
            <w:noWrap/>
            <w:vAlign w:val="center"/>
            <w:hideMark/>
          </w:tcPr>
          <w:p w14:paraId="2CD16A2A" w14:textId="77777777" w:rsidR="009F38EA" w:rsidRPr="009F38EA" w:rsidRDefault="009F38EA" w:rsidP="00B558B7">
            <w:pPr>
              <w:pStyle w:val="TekstTabeli"/>
            </w:pPr>
            <w:r w:rsidRPr="009F38EA">
              <w:t>34</w:t>
            </w:r>
          </w:p>
        </w:tc>
      </w:tr>
      <w:tr w:rsidR="009F38EA" w:rsidRPr="009F38EA" w14:paraId="51CA1A6D" w14:textId="77777777" w:rsidTr="009F38EA">
        <w:trPr>
          <w:cantSplit/>
          <w:trHeight w:val="285"/>
        </w:trPr>
        <w:tc>
          <w:tcPr>
            <w:tcW w:w="567" w:type="dxa"/>
            <w:noWrap/>
            <w:vAlign w:val="center"/>
            <w:hideMark/>
          </w:tcPr>
          <w:p w14:paraId="2887CEE5" w14:textId="77777777" w:rsidR="009F38EA" w:rsidRPr="009F38EA" w:rsidRDefault="009F38EA" w:rsidP="00B558B7">
            <w:pPr>
              <w:pStyle w:val="TekstTabeli"/>
            </w:pPr>
            <w:r w:rsidRPr="009F38EA">
              <w:t>17</w:t>
            </w:r>
          </w:p>
        </w:tc>
        <w:tc>
          <w:tcPr>
            <w:tcW w:w="4479" w:type="dxa"/>
            <w:noWrap/>
            <w:vAlign w:val="center"/>
            <w:hideMark/>
          </w:tcPr>
          <w:p w14:paraId="7D18FCD5" w14:textId="77777777" w:rsidR="009F38EA" w:rsidRPr="009F38EA" w:rsidRDefault="009F38EA" w:rsidP="00B558B7">
            <w:pPr>
              <w:pStyle w:val="TekstTabeli"/>
            </w:pPr>
            <w:proofErr w:type="spellStart"/>
            <w:r w:rsidRPr="009F38EA">
              <w:t>agenc</w:t>
            </w:r>
            <w:proofErr w:type="spellEnd"/>
          </w:p>
        </w:tc>
        <w:tc>
          <w:tcPr>
            <w:tcW w:w="3969" w:type="dxa"/>
            <w:noWrap/>
            <w:vAlign w:val="center"/>
            <w:hideMark/>
          </w:tcPr>
          <w:p w14:paraId="42A868D2" w14:textId="77777777" w:rsidR="009F38EA" w:rsidRPr="009F38EA" w:rsidRDefault="009F38EA" w:rsidP="00B558B7">
            <w:pPr>
              <w:pStyle w:val="TekstTabeli"/>
            </w:pPr>
            <w:r w:rsidRPr="009F38EA">
              <w:t>0</w:t>
            </w:r>
          </w:p>
        </w:tc>
      </w:tr>
      <w:tr w:rsidR="009F38EA" w:rsidRPr="009F38EA" w14:paraId="3DFA481E" w14:textId="77777777" w:rsidTr="009F38EA">
        <w:trPr>
          <w:cantSplit/>
          <w:trHeight w:val="285"/>
        </w:trPr>
        <w:tc>
          <w:tcPr>
            <w:tcW w:w="567" w:type="dxa"/>
            <w:noWrap/>
            <w:vAlign w:val="center"/>
            <w:hideMark/>
          </w:tcPr>
          <w:p w14:paraId="5164B524" w14:textId="77777777" w:rsidR="009F38EA" w:rsidRPr="009F38EA" w:rsidRDefault="009F38EA" w:rsidP="00B558B7">
            <w:pPr>
              <w:pStyle w:val="TekstTabeli"/>
            </w:pPr>
            <w:r w:rsidRPr="009F38EA">
              <w:t>18</w:t>
            </w:r>
          </w:p>
        </w:tc>
        <w:tc>
          <w:tcPr>
            <w:tcW w:w="4479" w:type="dxa"/>
            <w:noWrap/>
            <w:vAlign w:val="center"/>
            <w:hideMark/>
          </w:tcPr>
          <w:p w14:paraId="1F861559" w14:textId="77777777" w:rsidR="009F38EA" w:rsidRPr="009F38EA" w:rsidRDefault="009F38EA" w:rsidP="00B558B7">
            <w:pPr>
              <w:pStyle w:val="TekstTabeli"/>
            </w:pPr>
            <w:r w:rsidRPr="009F38EA">
              <w:t>education agencies</w:t>
            </w:r>
          </w:p>
        </w:tc>
        <w:tc>
          <w:tcPr>
            <w:tcW w:w="3969" w:type="dxa"/>
            <w:noWrap/>
            <w:vAlign w:val="center"/>
            <w:hideMark/>
          </w:tcPr>
          <w:p w14:paraId="75EDC70E" w14:textId="77777777" w:rsidR="009F38EA" w:rsidRPr="009F38EA" w:rsidRDefault="009F38EA" w:rsidP="00B558B7">
            <w:pPr>
              <w:pStyle w:val="TekstTabeli"/>
            </w:pPr>
            <w:r w:rsidRPr="009F38EA">
              <w:t>1</w:t>
            </w:r>
          </w:p>
        </w:tc>
      </w:tr>
      <w:tr w:rsidR="009F38EA" w:rsidRPr="009F38EA" w14:paraId="5D69F292" w14:textId="77777777" w:rsidTr="009F38EA">
        <w:trPr>
          <w:cantSplit/>
          <w:trHeight w:val="285"/>
        </w:trPr>
        <w:tc>
          <w:tcPr>
            <w:tcW w:w="567" w:type="dxa"/>
            <w:noWrap/>
            <w:vAlign w:val="center"/>
            <w:hideMark/>
          </w:tcPr>
          <w:p w14:paraId="45AD6D42" w14:textId="77777777" w:rsidR="009F38EA" w:rsidRPr="009F38EA" w:rsidRDefault="009F38EA" w:rsidP="00B558B7">
            <w:pPr>
              <w:pStyle w:val="TekstTabeli"/>
            </w:pPr>
            <w:r w:rsidRPr="009F38EA">
              <w:t>19</w:t>
            </w:r>
          </w:p>
        </w:tc>
        <w:tc>
          <w:tcPr>
            <w:tcW w:w="4479" w:type="dxa"/>
            <w:noWrap/>
            <w:vAlign w:val="center"/>
            <w:hideMark/>
          </w:tcPr>
          <w:p w14:paraId="294545F5" w14:textId="77777777" w:rsidR="009F38EA" w:rsidRPr="009F38EA" w:rsidRDefault="009F38EA" w:rsidP="00B558B7">
            <w:pPr>
              <w:pStyle w:val="TekstTabeli"/>
            </w:pPr>
            <w:r w:rsidRPr="009F38EA">
              <w:t>government agencies</w:t>
            </w:r>
          </w:p>
        </w:tc>
        <w:tc>
          <w:tcPr>
            <w:tcW w:w="3969" w:type="dxa"/>
            <w:noWrap/>
            <w:vAlign w:val="center"/>
            <w:hideMark/>
          </w:tcPr>
          <w:p w14:paraId="61999EB2" w14:textId="77777777" w:rsidR="009F38EA" w:rsidRPr="009F38EA" w:rsidRDefault="009F38EA" w:rsidP="00B558B7">
            <w:pPr>
              <w:pStyle w:val="TekstTabeli"/>
            </w:pPr>
            <w:r w:rsidRPr="009F38EA">
              <w:t>1</w:t>
            </w:r>
          </w:p>
        </w:tc>
      </w:tr>
      <w:tr w:rsidR="009F38EA" w:rsidRPr="009F38EA" w14:paraId="037A6FE8" w14:textId="77777777" w:rsidTr="009F38EA">
        <w:trPr>
          <w:cantSplit/>
          <w:trHeight w:val="285"/>
        </w:trPr>
        <w:tc>
          <w:tcPr>
            <w:tcW w:w="567" w:type="dxa"/>
            <w:noWrap/>
            <w:vAlign w:val="center"/>
            <w:hideMark/>
          </w:tcPr>
          <w:p w14:paraId="448BB80F" w14:textId="77777777" w:rsidR="009F38EA" w:rsidRPr="009F38EA" w:rsidRDefault="009F38EA" w:rsidP="00B558B7">
            <w:pPr>
              <w:pStyle w:val="TekstTabeli"/>
            </w:pPr>
            <w:r w:rsidRPr="009F38EA">
              <w:t>20</w:t>
            </w:r>
          </w:p>
        </w:tc>
        <w:tc>
          <w:tcPr>
            <w:tcW w:w="4479" w:type="dxa"/>
            <w:noWrap/>
            <w:vAlign w:val="center"/>
            <w:hideMark/>
          </w:tcPr>
          <w:p w14:paraId="3F20FC4E" w14:textId="77777777" w:rsidR="009F38EA" w:rsidRPr="009F38EA" w:rsidRDefault="009F38EA" w:rsidP="00B558B7">
            <w:pPr>
              <w:pStyle w:val="TekstTabeli"/>
            </w:pPr>
            <w:r w:rsidRPr="009F38EA">
              <w:t>quality agency</w:t>
            </w:r>
          </w:p>
        </w:tc>
        <w:tc>
          <w:tcPr>
            <w:tcW w:w="3969" w:type="dxa"/>
            <w:noWrap/>
            <w:vAlign w:val="center"/>
            <w:hideMark/>
          </w:tcPr>
          <w:p w14:paraId="6F7C028B" w14:textId="77777777" w:rsidR="009F38EA" w:rsidRPr="009F38EA" w:rsidRDefault="009F38EA" w:rsidP="00B558B7">
            <w:pPr>
              <w:pStyle w:val="TekstTabeli"/>
            </w:pPr>
            <w:r w:rsidRPr="009F38EA">
              <w:t>1</w:t>
            </w:r>
          </w:p>
        </w:tc>
      </w:tr>
      <w:tr w:rsidR="009F38EA" w:rsidRPr="009F38EA" w14:paraId="1A730F41" w14:textId="77777777" w:rsidTr="009F38EA">
        <w:trPr>
          <w:cantSplit/>
          <w:trHeight w:val="285"/>
        </w:trPr>
        <w:tc>
          <w:tcPr>
            <w:tcW w:w="567" w:type="dxa"/>
            <w:noWrap/>
            <w:vAlign w:val="center"/>
            <w:hideMark/>
          </w:tcPr>
          <w:p w14:paraId="0B23CFDB" w14:textId="77777777" w:rsidR="009F38EA" w:rsidRPr="009F38EA" w:rsidRDefault="009F38EA" w:rsidP="00B558B7">
            <w:pPr>
              <w:pStyle w:val="TekstTabeli"/>
            </w:pPr>
            <w:r w:rsidRPr="009F38EA">
              <w:t>21</w:t>
            </w:r>
          </w:p>
        </w:tc>
        <w:tc>
          <w:tcPr>
            <w:tcW w:w="4479" w:type="dxa"/>
            <w:noWrap/>
            <w:vAlign w:val="center"/>
            <w:hideMark/>
          </w:tcPr>
          <w:p w14:paraId="77E9BD5A" w14:textId="77777777" w:rsidR="009F38EA" w:rsidRPr="009F38EA" w:rsidRDefault="009F38EA" w:rsidP="00B558B7">
            <w:pPr>
              <w:pStyle w:val="TekstTabeli"/>
            </w:pPr>
            <w:r w:rsidRPr="009F38EA">
              <w:t>funding agencies</w:t>
            </w:r>
          </w:p>
        </w:tc>
        <w:tc>
          <w:tcPr>
            <w:tcW w:w="3969" w:type="dxa"/>
            <w:noWrap/>
            <w:vAlign w:val="center"/>
            <w:hideMark/>
          </w:tcPr>
          <w:p w14:paraId="5D1219C2" w14:textId="77777777" w:rsidR="009F38EA" w:rsidRPr="009F38EA" w:rsidRDefault="009F38EA" w:rsidP="00B558B7">
            <w:pPr>
              <w:pStyle w:val="TekstTabeli"/>
            </w:pPr>
            <w:r w:rsidRPr="009F38EA">
              <w:t>1</w:t>
            </w:r>
          </w:p>
        </w:tc>
      </w:tr>
      <w:tr w:rsidR="009F38EA" w:rsidRPr="009F38EA" w14:paraId="393C7376" w14:textId="77777777" w:rsidTr="009F38EA">
        <w:trPr>
          <w:cantSplit/>
          <w:trHeight w:val="285"/>
        </w:trPr>
        <w:tc>
          <w:tcPr>
            <w:tcW w:w="567" w:type="dxa"/>
            <w:noWrap/>
            <w:vAlign w:val="center"/>
            <w:hideMark/>
          </w:tcPr>
          <w:p w14:paraId="4B1CFA0B" w14:textId="77777777" w:rsidR="009F38EA" w:rsidRPr="009F38EA" w:rsidRDefault="009F38EA" w:rsidP="00B558B7">
            <w:pPr>
              <w:pStyle w:val="TekstTabeli"/>
            </w:pPr>
            <w:r w:rsidRPr="009F38EA">
              <w:t>22</w:t>
            </w:r>
          </w:p>
        </w:tc>
        <w:tc>
          <w:tcPr>
            <w:tcW w:w="4479" w:type="dxa"/>
            <w:noWrap/>
            <w:vAlign w:val="center"/>
            <w:hideMark/>
          </w:tcPr>
          <w:p w14:paraId="31B15223" w14:textId="77777777" w:rsidR="009F38EA" w:rsidRPr="009F38EA" w:rsidRDefault="009F38EA" w:rsidP="00B558B7">
            <w:pPr>
              <w:pStyle w:val="TekstTabeli"/>
            </w:pPr>
            <w:r w:rsidRPr="009F38EA">
              <w:t>state agency</w:t>
            </w:r>
          </w:p>
        </w:tc>
        <w:tc>
          <w:tcPr>
            <w:tcW w:w="3969" w:type="dxa"/>
            <w:noWrap/>
            <w:vAlign w:val="center"/>
            <w:hideMark/>
          </w:tcPr>
          <w:p w14:paraId="7AA8CFE5" w14:textId="77777777" w:rsidR="009F38EA" w:rsidRPr="009F38EA" w:rsidRDefault="009F38EA" w:rsidP="00B558B7">
            <w:pPr>
              <w:pStyle w:val="TekstTabeli"/>
            </w:pPr>
            <w:r w:rsidRPr="009F38EA">
              <w:t>1</w:t>
            </w:r>
          </w:p>
        </w:tc>
      </w:tr>
      <w:tr w:rsidR="009F38EA" w:rsidRPr="009F38EA" w14:paraId="146F36F8" w14:textId="77777777" w:rsidTr="009F38EA">
        <w:trPr>
          <w:cantSplit/>
          <w:trHeight w:val="285"/>
        </w:trPr>
        <w:tc>
          <w:tcPr>
            <w:tcW w:w="567" w:type="dxa"/>
            <w:noWrap/>
            <w:vAlign w:val="center"/>
            <w:hideMark/>
          </w:tcPr>
          <w:p w14:paraId="5F2645AA" w14:textId="77777777" w:rsidR="009F38EA" w:rsidRPr="009F38EA" w:rsidRDefault="009F38EA" w:rsidP="00B558B7">
            <w:pPr>
              <w:pStyle w:val="TekstTabeli"/>
            </w:pPr>
            <w:r w:rsidRPr="009F38EA">
              <w:t>23</w:t>
            </w:r>
          </w:p>
        </w:tc>
        <w:tc>
          <w:tcPr>
            <w:tcW w:w="4479" w:type="dxa"/>
            <w:noWrap/>
            <w:vAlign w:val="center"/>
            <w:hideMark/>
          </w:tcPr>
          <w:p w14:paraId="5A4B75C1" w14:textId="77777777" w:rsidR="009F38EA" w:rsidRPr="009F38EA" w:rsidRDefault="009F38EA" w:rsidP="00B558B7">
            <w:pPr>
              <w:pStyle w:val="TekstTabeli"/>
            </w:pPr>
            <w:r w:rsidRPr="009F38EA">
              <w:t>state agencies</w:t>
            </w:r>
          </w:p>
        </w:tc>
        <w:tc>
          <w:tcPr>
            <w:tcW w:w="3969" w:type="dxa"/>
            <w:noWrap/>
            <w:vAlign w:val="center"/>
            <w:hideMark/>
          </w:tcPr>
          <w:p w14:paraId="1BF155A4" w14:textId="77777777" w:rsidR="009F38EA" w:rsidRPr="009F38EA" w:rsidRDefault="009F38EA" w:rsidP="00B558B7">
            <w:pPr>
              <w:pStyle w:val="TekstTabeli"/>
            </w:pPr>
            <w:r w:rsidRPr="009F38EA">
              <w:t>1</w:t>
            </w:r>
          </w:p>
        </w:tc>
      </w:tr>
      <w:tr w:rsidR="009F38EA" w:rsidRPr="009F38EA" w14:paraId="07F90E90" w14:textId="77777777" w:rsidTr="009F38EA">
        <w:trPr>
          <w:cantSplit/>
          <w:trHeight w:val="285"/>
        </w:trPr>
        <w:tc>
          <w:tcPr>
            <w:tcW w:w="567" w:type="dxa"/>
            <w:noWrap/>
            <w:vAlign w:val="center"/>
            <w:hideMark/>
          </w:tcPr>
          <w:p w14:paraId="099C7907" w14:textId="77777777" w:rsidR="009F38EA" w:rsidRPr="009F38EA" w:rsidRDefault="009F38EA" w:rsidP="00B558B7">
            <w:pPr>
              <w:pStyle w:val="TekstTabeli"/>
            </w:pPr>
            <w:r w:rsidRPr="009F38EA">
              <w:t>24</w:t>
            </w:r>
          </w:p>
        </w:tc>
        <w:tc>
          <w:tcPr>
            <w:tcW w:w="4479" w:type="dxa"/>
            <w:noWrap/>
            <w:vAlign w:val="center"/>
            <w:hideMark/>
          </w:tcPr>
          <w:p w14:paraId="52DBA61B" w14:textId="77777777" w:rsidR="009F38EA" w:rsidRPr="009F38EA" w:rsidRDefault="009F38EA" w:rsidP="00B558B7">
            <w:pPr>
              <w:pStyle w:val="TekstTabeli"/>
            </w:pPr>
            <w:r w:rsidRPr="009F38EA">
              <w:t>partner agencies</w:t>
            </w:r>
          </w:p>
        </w:tc>
        <w:tc>
          <w:tcPr>
            <w:tcW w:w="3969" w:type="dxa"/>
            <w:noWrap/>
            <w:vAlign w:val="center"/>
            <w:hideMark/>
          </w:tcPr>
          <w:p w14:paraId="4F804C39" w14:textId="77777777" w:rsidR="009F38EA" w:rsidRPr="009F38EA" w:rsidRDefault="009F38EA" w:rsidP="00B558B7">
            <w:pPr>
              <w:pStyle w:val="TekstTabeli"/>
            </w:pPr>
            <w:r w:rsidRPr="009F38EA">
              <w:t>1</w:t>
            </w:r>
          </w:p>
        </w:tc>
      </w:tr>
      <w:tr w:rsidR="009F38EA" w:rsidRPr="009F38EA" w14:paraId="20D36700" w14:textId="77777777" w:rsidTr="009F38EA">
        <w:trPr>
          <w:cantSplit/>
          <w:trHeight w:val="285"/>
        </w:trPr>
        <w:tc>
          <w:tcPr>
            <w:tcW w:w="567" w:type="dxa"/>
            <w:noWrap/>
            <w:vAlign w:val="center"/>
            <w:hideMark/>
          </w:tcPr>
          <w:p w14:paraId="78B05458" w14:textId="77777777" w:rsidR="009F38EA" w:rsidRPr="009F38EA" w:rsidRDefault="009F38EA" w:rsidP="00B558B7">
            <w:pPr>
              <w:pStyle w:val="TekstTabeli"/>
            </w:pPr>
            <w:r w:rsidRPr="009F38EA">
              <w:t>25</w:t>
            </w:r>
          </w:p>
        </w:tc>
        <w:tc>
          <w:tcPr>
            <w:tcW w:w="4479" w:type="dxa"/>
            <w:noWrap/>
            <w:vAlign w:val="center"/>
            <w:hideMark/>
          </w:tcPr>
          <w:p w14:paraId="1FA0B05A" w14:textId="77777777" w:rsidR="009F38EA" w:rsidRPr="009F38EA" w:rsidRDefault="009F38EA" w:rsidP="00B558B7">
            <w:pPr>
              <w:pStyle w:val="TekstTabeli"/>
            </w:pPr>
            <w:r w:rsidRPr="009F38EA">
              <w:t>faculty agency</w:t>
            </w:r>
          </w:p>
        </w:tc>
        <w:tc>
          <w:tcPr>
            <w:tcW w:w="3969" w:type="dxa"/>
            <w:noWrap/>
            <w:vAlign w:val="center"/>
            <w:hideMark/>
          </w:tcPr>
          <w:p w14:paraId="729A3440" w14:textId="77777777" w:rsidR="009F38EA" w:rsidRPr="009F38EA" w:rsidRDefault="009F38EA" w:rsidP="00B558B7">
            <w:pPr>
              <w:pStyle w:val="TekstTabeli"/>
            </w:pPr>
            <w:r w:rsidRPr="009F38EA">
              <w:t>1</w:t>
            </w:r>
          </w:p>
        </w:tc>
      </w:tr>
      <w:tr w:rsidR="009F38EA" w:rsidRPr="009F38EA" w14:paraId="013AB913" w14:textId="77777777" w:rsidTr="009F38EA">
        <w:trPr>
          <w:cantSplit/>
          <w:trHeight w:val="285"/>
        </w:trPr>
        <w:tc>
          <w:tcPr>
            <w:tcW w:w="567" w:type="dxa"/>
            <w:noWrap/>
            <w:vAlign w:val="center"/>
            <w:hideMark/>
          </w:tcPr>
          <w:p w14:paraId="69232644" w14:textId="77777777" w:rsidR="009F38EA" w:rsidRPr="009F38EA" w:rsidRDefault="009F38EA" w:rsidP="00B558B7">
            <w:pPr>
              <w:pStyle w:val="TekstTabeli"/>
            </w:pPr>
            <w:r w:rsidRPr="009F38EA">
              <w:t>26</w:t>
            </w:r>
          </w:p>
        </w:tc>
        <w:tc>
          <w:tcPr>
            <w:tcW w:w="4479" w:type="dxa"/>
            <w:noWrap/>
            <w:vAlign w:val="center"/>
            <w:hideMark/>
          </w:tcPr>
          <w:p w14:paraId="047FF28C" w14:textId="77777777" w:rsidR="009F38EA" w:rsidRPr="009F38EA" w:rsidRDefault="009F38EA" w:rsidP="00B558B7">
            <w:pPr>
              <w:pStyle w:val="TekstTabeli"/>
            </w:pPr>
            <w:r w:rsidRPr="009F38EA">
              <w:t>bank</w:t>
            </w:r>
          </w:p>
        </w:tc>
        <w:tc>
          <w:tcPr>
            <w:tcW w:w="3969" w:type="dxa"/>
            <w:noWrap/>
            <w:vAlign w:val="center"/>
            <w:hideMark/>
          </w:tcPr>
          <w:p w14:paraId="3B88914B" w14:textId="77777777" w:rsidR="009F38EA" w:rsidRPr="009F38EA" w:rsidRDefault="009F38EA" w:rsidP="00B558B7">
            <w:pPr>
              <w:pStyle w:val="TekstTabeli"/>
            </w:pPr>
            <w:r w:rsidRPr="009F38EA">
              <w:t>0</w:t>
            </w:r>
          </w:p>
        </w:tc>
      </w:tr>
      <w:tr w:rsidR="009F38EA" w:rsidRPr="009F38EA" w14:paraId="174F5FA2" w14:textId="77777777" w:rsidTr="009F38EA">
        <w:trPr>
          <w:cantSplit/>
          <w:trHeight w:val="285"/>
        </w:trPr>
        <w:tc>
          <w:tcPr>
            <w:tcW w:w="567" w:type="dxa"/>
            <w:noWrap/>
            <w:vAlign w:val="center"/>
            <w:hideMark/>
          </w:tcPr>
          <w:p w14:paraId="44DAC4AD" w14:textId="77777777" w:rsidR="009F38EA" w:rsidRPr="009F38EA" w:rsidRDefault="009F38EA" w:rsidP="00B558B7">
            <w:pPr>
              <w:pStyle w:val="TekstTabeli"/>
            </w:pPr>
            <w:r w:rsidRPr="009F38EA">
              <w:t>27</w:t>
            </w:r>
          </w:p>
        </w:tc>
        <w:tc>
          <w:tcPr>
            <w:tcW w:w="4479" w:type="dxa"/>
            <w:noWrap/>
            <w:vAlign w:val="center"/>
            <w:hideMark/>
          </w:tcPr>
          <w:p w14:paraId="17B7F239" w14:textId="77777777" w:rsidR="009F38EA" w:rsidRPr="009F38EA" w:rsidRDefault="009F38EA" w:rsidP="00B558B7">
            <w:pPr>
              <w:pStyle w:val="TekstTabeli"/>
            </w:pPr>
            <w:r w:rsidRPr="009F38EA">
              <w:t>board members</w:t>
            </w:r>
          </w:p>
        </w:tc>
        <w:tc>
          <w:tcPr>
            <w:tcW w:w="3969" w:type="dxa"/>
            <w:noWrap/>
            <w:vAlign w:val="center"/>
            <w:hideMark/>
          </w:tcPr>
          <w:p w14:paraId="06D43DB1" w14:textId="77777777" w:rsidR="009F38EA" w:rsidRPr="009F38EA" w:rsidRDefault="009F38EA" w:rsidP="00B558B7">
            <w:pPr>
              <w:pStyle w:val="TekstTabeli"/>
            </w:pPr>
            <w:r w:rsidRPr="009F38EA">
              <w:t>1</w:t>
            </w:r>
          </w:p>
        </w:tc>
      </w:tr>
      <w:tr w:rsidR="009F38EA" w:rsidRPr="009F38EA" w14:paraId="66DEAEAA" w14:textId="77777777" w:rsidTr="009F38EA">
        <w:trPr>
          <w:cantSplit/>
          <w:trHeight w:val="285"/>
        </w:trPr>
        <w:tc>
          <w:tcPr>
            <w:tcW w:w="567" w:type="dxa"/>
            <w:noWrap/>
            <w:vAlign w:val="center"/>
            <w:hideMark/>
          </w:tcPr>
          <w:p w14:paraId="5B148365" w14:textId="77777777" w:rsidR="009F38EA" w:rsidRPr="009F38EA" w:rsidRDefault="009F38EA" w:rsidP="00B558B7">
            <w:pPr>
              <w:pStyle w:val="TekstTabeli"/>
            </w:pPr>
            <w:r w:rsidRPr="009F38EA">
              <w:t>28</w:t>
            </w:r>
          </w:p>
        </w:tc>
        <w:tc>
          <w:tcPr>
            <w:tcW w:w="4479" w:type="dxa"/>
            <w:noWrap/>
            <w:vAlign w:val="center"/>
            <w:hideMark/>
          </w:tcPr>
          <w:p w14:paraId="3D01A6B6" w14:textId="77777777" w:rsidR="009F38EA" w:rsidRPr="009F38EA" w:rsidRDefault="009F38EA" w:rsidP="00B558B7">
            <w:pPr>
              <w:pStyle w:val="TekstTabeli"/>
            </w:pPr>
            <w:r w:rsidRPr="009F38EA">
              <w:t>business</w:t>
            </w:r>
          </w:p>
        </w:tc>
        <w:tc>
          <w:tcPr>
            <w:tcW w:w="3969" w:type="dxa"/>
            <w:noWrap/>
            <w:vAlign w:val="center"/>
            <w:hideMark/>
          </w:tcPr>
          <w:p w14:paraId="036578FA" w14:textId="77777777" w:rsidR="009F38EA" w:rsidRPr="009F38EA" w:rsidRDefault="009F38EA" w:rsidP="00B558B7">
            <w:pPr>
              <w:pStyle w:val="TekstTabeli"/>
            </w:pPr>
            <w:r w:rsidRPr="009F38EA">
              <w:t>6</w:t>
            </w:r>
          </w:p>
        </w:tc>
      </w:tr>
      <w:tr w:rsidR="009F38EA" w:rsidRPr="009F38EA" w14:paraId="03411812" w14:textId="77777777" w:rsidTr="009F38EA">
        <w:trPr>
          <w:cantSplit/>
          <w:trHeight w:val="285"/>
        </w:trPr>
        <w:tc>
          <w:tcPr>
            <w:tcW w:w="567" w:type="dxa"/>
            <w:noWrap/>
            <w:vAlign w:val="center"/>
            <w:hideMark/>
          </w:tcPr>
          <w:p w14:paraId="07DF912B" w14:textId="77777777" w:rsidR="009F38EA" w:rsidRPr="009F38EA" w:rsidRDefault="009F38EA" w:rsidP="00B558B7">
            <w:pPr>
              <w:pStyle w:val="TekstTabeli"/>
            </w:pPr>
            <w:r w:rsidRPr="009F38EA">
              <w:t>29</w:t>
            </w:r>
          </w:p>
        </w:tc>
        <w:tc>
          <w:tcPr>
            <w:tcW w:w="4479" w:type="dxa"/>
            <w:noWrap/>
            <w:vAlign w:val="center"/>
            <w:hideMark/>
          </w:tcPr>
          <w:p w14:paraId="26D0D732" w14:textId="77777777" w:rsidR="009F38EA" w:rsidRPr="009F38EA" w:rsidRDefault="009F38EA" w:rsidP="00B558B7">
            <w:pPr>
              <w:pStyle w:val="TekstTabeli"/>
            </w:pPr>
            <w:r w:rsidRPr="009F38EA">
              <w:t>representatives of the business environment</w:t>
            </w:r>
          </w:p>
        </w:tc>
        <w:tc>
          <w:tcPr>
            <w:tcW w:w="3969" w:type="dxa"/>
            <w:noWrap/>
            <w:vAlign w:val="center"/>
            <w:hideMark/>
          </w:tcPr>
          <w:p w14:paraId="34DC51F6" w14:textId="77777777" w:rsidR="009F38EA" w:rsidRPr="009F38EA" w:rsidRDefault="009F38EA" w:rsidP="00B558B7">
            <w:pPr>
              <w:pStyle w:val="TekstTabeli"/>
            </w:pPr>
            <w:r w:rsidRPr="009F38EA">
              <w:t>1</w:t>
            </w:r>
          </w:p>
        </w:tc>
      </w:tr>
      <w:tr w:rsidR="009F38EA" w:rsidRPr="009F38EA" w14:paraId="68DE5F7C" w14:textId="77777777" w:rsidTr="009F38EA">
        <w:trPr>
          <w:cantSplit/>
          <w:trHeight w:val="285"/>
        </w:trPr>
        <w:tc>
          <w:tcPr>
            <w:tcW w:w="567" w:type="dxa"/>
            <w:noWrap/>
            <w:vAlign w:val="center"/>
            <w:hideMark/>
          </w:tcPr>
          <w:p w14:paraId="73452BE0" w14:textId="77777777" w:rsidR="009F38EA" w:rsidRPr="009F38EA" w:rsidRDefault="009F38EA" w:rsidP="00B558B7">
            <w:pPr>
              <w:pStyle w:val="TekstTabeli"/>
            </w:pPr>
            <w:r w:rsidRPr="009F38EA">
              <w:t>30</w:t>
            </w:r>
          </w:p>
        </w:tc>
        <w:tc>
          <w:tcPr>
            <w:tcW w:w="4479" w:type="dxa"/>
            <w:noWrap/>
            <w:vAlign w:val="center"/>
            <w:hideMark/>
          </w:tcPr>
          <w:p w14:paraId="3FB11934" w14:textId="77777777" w:rsidR="009F38EA" w:rsidRPr="009F38EA" w:rsidRDefault="009F38EA" w:rsidP="00B558B7">
            <w:pPr>
              <w:pStyle w:val="TekstTabeli"/>
            </w:pPr>
            <w:r w:rsidRPr="009F38EA">
              <w:t>business administration</w:t>
            </w:r>
          </w:p>
        </w:tc>
        <w:tc>
          <w:tcPr>
            <w:tcW w:w="3969" w:type="dxa"/>
            <w:noWrap/>
            <w:vAlign w:val="center"/>
            <w:hideMark/>
          </w:tcPr>
          <w:p w14:paraId="0820AECB" w14:textId="77777777" w:rsidR="009F38EA" w:rsidRPr="009F38EA" w:rsidRDefault="009F38EA" w:rsidP="00B558B7">
            <w:pPr>
              <w:pStyle w:val="TekstTabeli"/>
            </w:pPr>
            <w:r w:rsidRPr="009F38EA">
              <w:t>0</w:t>
            </w:r>
          </w:p>
        </w:tc>
      </w:tr>
      <w:tr w:rsidR="009F38EA" w:rsidRPr="009F38EA" w14:paraId="59D512C9" w14:textId="77777777" w:rsidTr="009F38EA">
        <w:trPr>
          <w:cantSplit/>
          <w:trHeight w:val="285"/>
        </w:trPr>
        <w:tc>
          <w:tcPr>
            <w:tcW w:w="567" w:type="dxa"/>
            <w:noWrap/>
            <w:vAlign w:val="center"/>
            <w:hideMark/>
          </w:tcPr>
          <w:p w14:paraId="36020BAA" w14:textId="77777777" w:rsidR="009F38EA" w:rsidRPr="009F38EA" w:rsidRDefault="009F38EA" w:rsidP="00B558B7">
            <w:pPr>
              <w:pStyle w:val="TekstTabeli"/>
            </w:pPr>
            <w:r w:rsidRPr="009F38EA">
              <w:t>31</w:t>
            </w:r>
          </w:p>
        </w:tc>
        <w:tc>
          <w:tcPr>
            <w:tcW w:w="4479" w:type="dxa"/>
            <w:noWrap/>
            <w:vAlign w:val="center"/>
            <w:hideMark/>
          </w:tcPr>
          <w:p w14:paraId="078636A7" w14:textId="77777777" w:rsidR="009F38EA" w:rsidRPr="009F38EA" w:rsidRDefault="009F38EA" w:rsidP="00B558B7">
            <w:pPr>
              <w:pStyle w:val="TekstTabeli"/>
            </w:pPr>
            <w:r w:rsidRPr="009F38EA">
              <w:t>business world</w:t>
            </w:r>
          </w:p>
        </w:tc>
        <w:tc>
          <w:tcPr>
            <w:tcW w:w="3969" w:type="dxa"/>
            <w:noWrap/>
            <w:vAlign w:val="center"/>
            <w:hideMark/>
          </w:tcPr>
          <w:p w14:paraId="42EB597E" w14:textId="77777777" w:rsidR="009F38EA" w:rsidRPr="009F38EA" w:rsidRDefault="009F38EA" w:rsidP="00B558B7">
            <w:pPr>
              <w:pStyle w:val="TekstTabeli"/>
            </w:pPr>
            <w:r w:rsidRPr="009F38EA">
              <w:t>1</w:t>
            </w:r>
          </w:p>
        </w:tc>
      </w:tr>
      <w:tr w:rsidR="009F38EA" w:rsidRPr="009F38EA" w14:paraId="0B4E6F94" w14:textId="77777777" w:rsidTr="009F38EA">
        <w:trPr>
          <w:cantSplit/>
          <w:trHeight w:val="285"/>
        </w:trPr>
        <w:tc>
          <w:tcPr>
            <w:tcW w:w="567" w:type="dxa"/>
            <w:noWrap/>
            <w:vAlign w:val="center"/>
            <w:hideMark/>
          </w:tcPr>
          <w:p w14:paraId="5E3E84F4" w14:textId="77777777" w:rsidR="009F38EA" w:rsidRPr="009F38EA" w:rsidRDefault="009F38EA" w:rsidP="00B558B7">
            <w:pPr>
              <w:pStyle w:val="TekstTabeli"/>
            </w:pPr>
            <w:r w:rsidRPr="009F38EA">
              <w:t>32</w:t>
            </w:r>
          </w:p>
        </w:tc>
        <w:tc>
          <w:tcPr>
            <w:tcW w:w="4479" w:type="dxa"/>
            <w:noWrap/>
            <w:vAlign w:val="center"/>
            <w:hideMark/>
          </w:tcPr>
          <w:p w14:paraId="1F7F7FFA" w14:textId="77777777" w:rsidR="009F38EA" w:rsidRPr="009F38EA" w:rsidRDefault="009F38EA" w:rsidP="00B558B7">
            <w:pPr>
              <w:pStyle w:val="TekstTabeli"/>
            </w:pPr>
            <w:r w:rsidRPr="009F38EA">
              <w:t>business press</w:t>
            </w:r>
          </w:p>
        </w:tc>
        <w:tc>
          <w:tcPr>
            <w:tcW w:w="3969" w:type="dxa"/>
            <w:noWrap/>
            <w:vAlign w:val="center"/>
            <w:hideMark/>
          </w:tcPr>
          <w:p w14:paraId="795D4C8B" w14:textId="77777777" w:rsidR="009F38EA" w:rsidRPr="009F38EA" w:rsidRDefault="009F38EA" w:rsidP="00B558B7">
            <w:pPr>
              <w:pStyle w:val="TekstTabeli"/>
            </w:pPr>
            <w:r w:rsidRPr="009F38EA">
              <w:t>1</w:t>
            </w:r>
          </w:p>
        </w:tc>
      </w:tr>
      <w:tr w:rsidR="009F38EA" w:rsidRPr="009F38EA" w14:paraId="3F29B74D" w14:textId="77777777" w:rsidTr="009F38EA">
        <w:trPr>
          <w:cantSplit/>
          <w:trHeight w:val="285"/>
        </w:trPr>
        <w:tc>
          <w:tcPr>
            <w:tcW w:w="567" w:type="dxa"/>
            <w:noWrap/>
            <w:vAlign w:val="center"/>
            <w:hideMark/>
          </w:tcPr>
          <w:p w14:paraId="5B1B36A3" w14:textId="77777777" w:rsidR="009F38EA" w:rsidRPr="009F38EA" w:rsidRDefault="009F38EA" w:rsidP="00B558B7">
            <w:pPr>
              <w:pStyle w:val="TekstTabeli"/>
            </w:pPr>
            <w:r w:rsidRPr="009F38EA">
              <w:t>33</w:t>
            </w:r>
          </w:p>
        </w:tc>
        <w:tc>
          <w:tcPr>
            <w:tcW w:w="4479" w:type="dxa"/>
            <w:noWrap/>
            <w:vAlign w:val="center"/>
            <w:hideMark/>
          </w:tcPr>
          <w:p w14:paraId="3E0BFC0F" w14:textId="77777777" w:rsidR="009F38EA" w:rsidRPr="009F38EA" w:rsidRDefault="009F38EA" w:rsidP="00B558B7">
            <w:pPr>
              <w:pStyle w:val="TekstTabeli"/>
            </w:pPr>
            <w:r w:rsidRPr="009F38EA">
              <w:t>business community</w:t>
            </w:r>
          </w:p>
        </w:tc>
        <w:tc>
          <w:tcPr>
            <w:tcW w:w="3969" w:type="dxa"/>
            <w:noWrap/>
            <w:vAlign w:val="center"/>
            <w:hideMark/>
          </w:tcPr>
          <w:p w14:paraId="6CD1940D" w14:textId="77777777" w:rsidR="009F38EA" w:rsidRPr="009F38EA" w:rsidRDefault="009F38EA" w:rsidP="00B558B7">
            <w:pPr>
              <w:pStyle w:val="TekstTabeli"/>
            </w:pPr>
            <w:r w:rsidRPr="009F38EA">
              <w:t>1</w:t>
            </w:r>
          </w:p>
        </w:tc>
      </w:tr>
      <w:tr w:rsidR="009F38EA" w:rsidRPr="009F38EA" w14:paraId="2740361C" w14:textId="77777777" w:rsidTr="009F38EA">
        <w:trPr>
          <w:cantSplit/>
          <w:trHeight w:val="285"/>
        </w:trPr>
        <w:tc>
          <w:tcPr>
            <w:tcW w:w="567" w:type="dxa"/>
            <w:noWrap/>
            <w:vAlign w:val="center"/>
            <w:hideMark/>
          </w:tcPr>
          <w:p w14:paraId="3E69D320" w14:textId="77777777" w:rsidR="009F38EA" w:rsidRPr="009F38EA" w:rsidRDefault="009F38EA" w:rsidP="00B558B7">
            <w:pPr>
              <w:pStyle w:val="TekstTabeli"/>
            </w:pPr>
            <w:r w:rsidRPr="009F38EA">
              <w:t>34</w:t>
            </w:r>
          </w:p>
        </w:tc>
        <w:tc>
          <w:tcPr>
            <w:tcW w:w="4479" w:type="dxa"/>
            <w:noWrap/>
            <w:vAlign w:val="center"/>
            <w:hideMark/>
          </w:tcPr>
          <w:p w14:paraId="7CD53768" w14:textId="77777777" w:rsidR="009F38EA" w:rsidRPr="009F38EA" w:rsidRDefault="009F38EA" w:rsidP="00B558B7">
            <w:pPr>
              <w:pStyle w:val="TekstTabeli"/>
            </w:pPr>
            <w:r w:rsidRPr="009F38EA">
              <w:t>business incubators</w:t>
            </w:r>
          </w:p>
        </w:tc>
        <w:tc>
          <w:tcPr>
            <w:tcW w:w="3969" w:type="dxa"/>
            <w:noWrap/>
            <w:vAlign w:val="center"/>
            <w:hideMark/>
          </w:tcPr>
          <w:p w14:paraId="1ABB873F" w14:textId="77777777" w:rsidR="009F38EA" w:rsidRPr="009F38EA" w:rsidRDefault="009F38EA" w:rsidP="00B558B7">
            <w:pPr>
              <w:pStyle w:val="TekstTabeli"/>
            </w:pPr>
            <w:r w:rsidRPr="009F38EA">
              <w:t>1</w:t>
            </w:r>
          </w:p>
        </w:tc>
      </w:tr>
      <w:tr w:rsidR="009F38EA" w:rsidRPr="009F38EA" w14:paraId="25751BFC" w14:textId="77777777" w:rsidTr="009F38EA">
        <w:trPr>
          <w:cantSplit/>
          <w:trHeight w:val="285"/>
        </w:trPr>
        <w:tc>
          <w:tcPr>
            <w:tcW w:w="567" w:type="dxa"/>
            <w:noWrap/>
            <w:vAlign w:val="center"/>
            <w:hideMark/>
          </w:tcPr>
          <w:p w14:paraId="656888D1" w14:textId="77777777" w:rsidR="009F38EA" w:rsidRPr="009F38EA" w:rsidRDefault="009F38EA" w:rsidP="00B558B7">
            <w:pPr>
              <w:pStyle w:val="TekstTabeli"/>
            </w:pPr>
            <w:r w:rsidRPr="009F38EA">
              <w:t>35</w:t>
            </w:r>
          </w:p>
        </w:tc>
        <w:tc>
          <w:tcPr>
            <w:tcW w:w="4479" w:type="dxa"/>
            <w:noWrap/>
            <w:vAlign w:val="center"/>
            <w:hideMark/>
          </w:tcPr>
          <w:p w14:paraId="7655A00D" w14:textId="77777777" w:rsidR="009F38EA" w:rsidRPr="009F38EA" w:rsidRDefault="009F38EA" w:rsidP="00B558B7">
            <w:pPr>
              <w:pStyle w:val="TekstTabeli"/>
            </w:pPr>
            <w:r w:rsidRPr="009F38EA">
              <w:t>businesses</w:t>
            </w:r>
          </w:p>
        </w:tc>
        <w:tc>
          <w:tcPr>
            <w:tcW w:w="3969" w:type="dxa"/>
            <w:noWrap/>
            <w:vAlign w:val="center"/>
            <w:hideMark/>
          </w:tcPr>
          <w:p w14:paraId="4DEA02AA" w14:textId="77777777" w:rsidR="009F38EA" w:rsidRPr="009F38EA" w:rsidRDefault="009F38EA" w:rsidP="00B558B7">
            <w:pPr>
              <w:pStyle w:val="TekstTabeli"/>
            </w:pPr>
            <w:r w:rsidRPr="009F38EA">
              <w:t>2</w:t>
            </w:r>
          </w:p>
        </w:tc>
      </w:tr>
      <w:tr w:rsidR="009F38EA" w:rsidRPr="009F38EA" w14:paraId="1D9E7E75" w14:textId="77777777" w:rsidTr="009F38EA">
        <w:trPr>
          <w:cantSplit/>
          <w:trHeight w:val="285"/>
        </w:trPr>
        <w:tc>
          <w:tcPr>
            <w:tcW w:w="567" w:type="dxa"/>
            <w:noWrap/>
            <w:vAlign w:val="center"/>
            <w:hideMark/>
          </w:tcPr>
          <w:p w14:paraId="18BF5F6D" w14:textId="77777777" w:rsidR="009F38EA" w:rsidRPr="009F38EA" w:rsidRDefault="009F38EA" w:rsidP="00B558B7">
            <w:pPr>
              <w:pStyle w:val="TekstTabeli"/>
            </w:pPr>
            <w:r w:rsidRPr="009F38EA">
              <w:t>36</w:t>
            </w:r>
          </w:p>
        </w:tc>
        <w:tc>
          <w:tcPr>
            <w:tcW w:w="4479" w:type="dxa"/>
            <w:noWrap/>
            <w:vAlign w:val="center"/>
            <w:hideMark/>
          </w:tcPr>
          <w:p w14:paraId="00BC9A04" w14:textId="77777777" w:rsidR="009F38EA" w:rsidRPr="009F38EA" w:rsidRDefault="009F38EA" w:rsidP="00B558B7">
            <w:pPr>
              <w:pStyle w:val="TekstTabeli"/>
            </w:pPr>
            <w:r w:rsidRPr="009F38EA">
              <w:t>chancellor</w:t>
            </w:r>
          </w:p>
        </w:tc>
        <w:tc>
          <w:tcPr>
            <w:tcW w:w="3969" w:type="dxa"/>
            <w:noWrap/>
            <w:vAlign w:val="center"/>
            <w:hideMark/>
          </w:tcPr>
          <w:p w14:paraId="5E6D2E85" w14:textId="77777777" w:rsidR="009F38EA" w:rsidRPr="009F38EA" w:rsidRDefault="009F38EA" w:rsidP="00B558B7">
            <w:pPr>
              <w:pStyle w:val="TekstTabeli"/>
            </w:pPr>
            <w:r w:rsidRPr="009F38EA">
              <w:t>3</w:t>
            </w:r>
          </w:p>
        </w:tc>
      </w:tr>
      <w:tr w:rsidR="009F38EA" w:rsidRPr="009F38EA" w14:paraId="3F9AB1DB" w14:textId="77777777" w:rsidTr="009F38EA">
        <w:trPr>
          <w:cantSplit/>
          <w:trHeight w:val="285"/>
        </w:trPr>
        <w:tc>
          <w:tcPr>
            <w:tcW w:w="567" w:type="dxa"/>
            <w:noWrap/>
            <w:vAlign w:val="center"/>
            <w:hideMark/>
          </w:tcPr>
          <w:p w14:paraId="64662126" w14:textId="77777777" w:rsidR="009F38EA" w:rsidRPr="009F38EA" w:rsidRDefault="009F38EA" w:rsidP="00B558B7">
            <w:pPr>
              <w:pStyle w:val="TekstTabeli"/>
            </w:pPr>
            <w:r w:rsidRPr="009F38EA">
              <w:lastRenderedPageBreak/>
              <w:t>37</w:t>
            </w:r>
          </w:p>
        </w:tc>
        <w:tc>
          <w:tcPr>
            <w:tcW w:w="4479" w:type="dxa"/>
            <w:noWrap/>
            <w:vAlign w:val="center"/>
            <w:hideMark/>
          </w:tcPr>
          <w:p w14:paraId="3D12960E" w14:textId="77777777" w:rsidR="009F38EA" w:rsidRPr="009F38EA" w:rsidRDefault="009F38EA" w:rsidP="00B558B7">
            <w:pPr>
              <w:pStyle w:val="TekstTabeli"/>
            </w:pPr>
            <w:r w:rsidRPr="009F38EA">
              <w:t>vice-chancellor</w:t>
            </w:r>
          </w:p>
        </w:tc>
        <w:tc>
          <w:tcPr>
            <w:tcW w:w="3969" w:type="dxa"/>
            <w:noWrap/>
            <w:vAlign w:val="center"/>
            <w:hideMark/>
          </w:tcPr>
          <w:p w14:paraId="0D137C78" w14:textId="77777777" w:rsidR="009F38EA" w:rsidRPr="009F38EA" w:rsidRDefault="009F38EA" w:rsidP="00B558B7">
            <w:pPr>
              <w:pStyle w:val="TekstTabeli"/>
            </w:pPr>
            <w:r w:rsidRPr="009F38EA">
              <w:t>1</w:t>
            </w:r>
          </w:p>
        </w:tc>
      </w:tr>
      <w:tr w:rsidR="009F38EA" w:rsidRPr="009F38EA" w14:paraId="3AE3CC15" w14:textId="77777777" w:rsidTr="009F38EA">
        <w:trPr>
          <w:cantSplit/>
          <w:trHeight w:val="285"/>
        </w:trPr>
        <w:tc>
          <w:tcPr>
            <w:tcW w:w="567" w:type="dxa"/>
            <w:noWrap/>
            <w:vAlign w:val="center"/>
            <w:hideMark/>
          </w:tcPr>
          <w:p w14:paraId="2CA5E31F" w14:textId="77777777" w:rsidR="009F38EA" w:rsidRPr="009F38EA" w:rsidRDefault="009F38EA" w:rsidP="00B558B7">
            <w:pPr>
              <w:pStyle w:val="TekstTabeli"/>
            </w:pPr>
            <w:r w:rsidRPr="009F38EA">
              <w:t>38</w:t>
            </w:r>
          </w:p>
        </w:tc>
        <w:tc>
          <w:tcPr>
            <w:tcW w:w="4479" w:type="dxa"/>
            <w:noWrap/>
            <w:vAlign w:val="center"/>
            <w:hideMark/>
          </w:tcPr>
          <w:p w14:paraId="7306D774" w14:textId="77777777" w:rsidR="009F38EA" w:rsidRPr="009F38EA" w:rsidRDefault="009F38EA" w:rsidP="00B558B7">
            <w:pPr>
              <w:pStyle w:val="TekstTabeli"/>
            </w:pPr>
            <w:proofErr w:type="spellStart"/>
            <w:r w:rsidRPr="009F38EA">
              <w:t>communit</w:t>
            </w:r>
            <w:proofErr w:type="spellEnd"/>
          </w:p>
        </w:tc>
        <w:tc>
          <w:tcPr>
            <w:tcW w:w="3969" w:type="dxa"/>
            <w:noWrap/>
            <w:vAlign w:val="center"/>
            <w:hideMark/>
          </w:tcPr>
          <w:p w14:paraId="68846A02" w14:textId="77777777" w:rsidR="009F38EA" w:rsidRPr="009F38EA" w:rsidRDefault="009F38EA" w:rsidP="00B558B7">
            <w:pPr>
              <w:pStyle w:val="TekstTabeli"/>
            </w:pPr>
            <w:r w:rsidRPr="009F38EA">
              <w:t>0</w:t>
            </w:r>
          </w:p>
        </w:tc>
      </w:tr>
      <w:tr w:rsidR="009F38EA" w:rsidRPr="009F38EA" w14:paraId="05720922" w14:textId="77777777" w:rsidTr="009F38EA">
        <w:trPr>
          <w:cantSplit/>
          <w:trHeight w:val="285"/>
        </w:trPr>
        <w:tc>
          <w:tcPr>
            <w:tcW w:w="567" w:type="dxa"/>
            <w:noWrap/>
            <w:vAlign w:val="center"/>
            <w:hideMark/>
          </w:tcPr>
          <w:p w14:paraId="5019170C" w14:textId="77777777" w:rsidR="009F38EA" w:rsidRPr="009F38EA" w:rsidRDefault="009F38EA" w:rsidP="00B558B7">
            <w:pPr>
              <w:pStyle w:val="TekstTabeli"/>
            </w:pPr>
            <w:r w:rsidRPr="009F38EA">
              <w:t>39</w:t>
            </w:r>
          </w:p>
        </w:tc>
        <w:tc>
          <w:tcPr>
            <w:tcW w:w="4479" w:type="dxa"/>
            <w:noWrap/>
            <w:vAlign w:val="center"/>
            <w:hideMark/>
          </w:tcPr>
          <w:p w14:paraId="6D9603E5" w14:textId="77777777" w:rsidR="009F38EA" w:rsidRPr="009F38EA" w:rsidRDefault="009F38EA" w:rsidP="00B558B7">
            <w:pPr>
              <w:pStyle w:val="TekstTabeli"/>
            </w:pPr>
            <w:r w:rsidRPr="009F38EA">
              <w:t>community</w:t>
            </w:r>
          </w:p>
        </w:tc>
        <w:tc>
          <w:tcPr>
            <w:tcW w:w="3969" w:type="dxa"/>
            <w:noWrap/>
            <w:vAlign w:val="center"/>
            <w:hideMark/>
          </w:tcPr>
          <w:p w14:paraId="2F204E8B" w14:textId="77777777" w:rsidR="009F38EA" w:rsidRPr="009F38EA" w:rsidRDefault="009F38EA" w:rsidP="00B558B7">
            <w:pPr>
              <w:pStyle w:val="TekstTabeli"/>
            </w:pPr>
            <w:r w:rsidRPr="009F38EA">
              <w:t>31</w:t>
            </w:r>
          </w:p>
        </w:tc>
      </w:tr>
      <w:tr w:rsidR="009F38EA" w:rsidRPr="009F38EA" w14:paraId="601E6187" w14:textId="77777777" w:rsidTr="009F38EA">
        <w:trPr>
          <w:cantSplit/>
          <w:trHeight w:val="285"/>
        </w:trPr>
        <w:tc>
          <w:tcPr>
            <w:tcW w:w="567" w:type="dxa"/>
            <w:noWrap/>
            <w:vAlign w:val="center"/>
            <w:hideMark/>
          </w:tcPr>
          <w:p w14:paraId="02D520A4" w14:textId="77777777" w:rsidR="009F38EA" w:rsidRPr="009F38EA" w:rsidRDefault="009F38EA" w:rsidP="00B558B7">
            <w:pPr>
              <w:pStyle w:val="TekstTabeli"/>
            </w:pPr>
            <w:r w:rsidRPr="009F38EA">
              <w:t>40</w:t>
            </w:r>
          </w:p>
        </w:tc>
        <w:tc>
          <w:tcPr>
            <w:tcW w:w="4479" w:type="dxa"/>
            <w:noWrap/>
            <w:vAlign w:val="center"/>
            <w:hideMark/>
          </w:tcPr>
          <w:p w14:paraId="4551EB66" w14:textId="77777777" w:rsidR="009F38EA" w:rsidRPr="009F38EA" w:rsidRDefault="009F38EA" w:rsidP="00B558B7">
            <w:pPr>
              <w:pStyle w:val="TekstTabeli"/>
            </w:pPr>
            <w:r w:rsidRPr="009F38EA">
              <w:t>community partner</w:t>
            </w:r>
          </w:p>
        </w:tc>
        <w:tc>
          <w:tcPr>
            <w:tcW w:w="3969" w:type="dxa"/>
            <w:noWrap/>
            <w:vAlign w:val="center"/>
            <w:hideMark/>
          </w:tcPr>
          <w:p w14:paraId="72C08E42" w14:textId="77777777" w:rsidR="009F38EA" w:rsidRPr="009F38EA" w:rsidRDefault="009F38EA" w:rsidP="00B558B7">
            <w:pPr>
              <w:pStyle w:val="TekstTabeli"/>
            </w:pPr>
            <w:r w:rsidRPr="009F38EA">
              <w:t>2</w:t>
            </w:r>
          </w:p>
        </w:tc>
      </w:tr>
      <w:tr w:rsidR="009F38EA" w:rsidRPr="009F38EA" w14:paraId="0B026843" w14:textId="77777777" w:rsidTr="009F38EA">
        <w:trPr>
          <w:cantSplit/>
          <w:trHeight w:val="285"/>
        </w:trPr>
        <w:tc>
          <w:tcPr>
            <w:tcW w:w="567" w:type="dxa"/>
            <w:noWrap/>
            <w:vAlign w:val="center"/>
            <w:hideMark/>
          </w:tcPr>
          <w:p w14:paraId="08905316" w14:textId="77777777" w:rsidR="009F38EA" w:rsidRPr="009F38EA" w:rsidRDefault="009F38EA" w:rsidP="00B558B7">
            <w:pPr>
              <w:pStyle w:val="TekstTabeli"/>
            </w:pPr>
            <w:r w:rsidRPr="009F38EA">
              <w:t>41</w:t>
            </w:r>
          </w:p>
        </w:tc>
        <w:tc>
          <w:tcPr>
            <w:tcW w:w="4479" w:type="dxa"/>
            <w:noWrap/>
            <w:vAlign w:val="center"/>
            <w:hideMark/>
          </w:tcPr>
          <w:p w14:paraId="23D01AB5" w14:textId="77777777" w:rsidR="009F38EA" w:rsidRPr="009F38EA" w:rsidRDefault="009F38EA" w:rsidP="00B558B7">
            <w:pPr>
              <w:pStyle w:val="TekstTabeli"/>
            </w:pPr>
            <w:r w:rsidRPr="009F38EA">
              <w:t>community partnership</w:t>
            </w:r>
          </w:p>
        </w:tc>
        <w:tc>
          <w:tcPr>
            <w:tcW w:w="3969" w:type="dxa"/>
            <w:noWrap/>
            <w:vAlign w:val="center"/>
            <w:hideMark/>
          </w:tcPr>
          <w:p w14:paraId="019D4F93" w14:textId="77777777" w:rsidR="009F38EA" w:rsidRPr="009F38EA" w:rsidRDefault="009F38EA" w:rsidP="00B558B7">
            <w:pPr>
              <w:pStyle w:val="TekstTabeli"/>
            </w:pPr>
            <w:r w:rsidRPr="009F38EA">
              <w:t>1</w:t>
            </w:r>
          </w:p>
        </w:tc>
      </w:tr>
      <w:tr w:rsidR="009F38EA" w:rsidRPr="009F38EA" w14:paraId="0A405FDF" w14:textId="77777777" w:rsidTr="009F38EA">
        <w:trPr>
          <w:cantSplit/>
          <w:trHeight w:val="285"/>
        </w:trPr>
        <w:tc>
          <w:tcPr>
            <w:tcW w:w="567" w:type="dxa"/>
            <w:noWrap/>
            <w:vAlign w:val="center"/>
            <w:hideMark/>
          </w:tcPr>
          <w:p w14:paraId="76668C1C" w14:textId="77777777" w:rsidR="009F38EA" w:rsidRPr="009F38EA" w:rsidRDefault="009F38EA" w:rsidP="00B558B7">
            <w:pPr>
              <w:pStyle w:val="TekstTabeli"/>
            </w:pPr>
            <w:r w:rsidRPr="009F38EA">
              <w:t>42</w:t>
            </w:r>
          </w:p>
        </w:tc>
        <w:tc>
          <w:tcPr>
            <w:tcW w:w="4479" w:type="dxa"/>
            <w:noWrap/>
            <w:vAlign w:val="center"/>
            <w:hideMark/>
          </w:tcPr>
          <w:p w14:paraId="5719F53C" w14:textId="77777777" w:rsidR="009F38EA" w:rsidRPr="009F38EA" w:rsidRDefault="009F38EA" w:rsidP="00B558B7">
            <w:pPr>
              <w:pStyle w:val="TekstTabeli"/>
            </w:pPr>
            <w:r w:rsidRPr="009F38EA">
              <w:t>academic community</w:t>
            </w:r>
          </w:p>
        </w:tc>
        <w:tc>
          <w:tcPr>
            <w:tcW w:w="3969" w:type="dxa"/>
            <w:noWrap/>
            <w:vAlign w:val="center"/>
            <w:hideMark/>
          </w:tcPr>
          <w:p w14:paraId="19E1E5FA" w14:textId="77777777" w:rsidR="009F38EA" w:rsidRPr="009F38EA" w:rsidRDefault="009F38EA" w:rsidP="00B558B7">
            <w:pPr>
              <w:pStyle w:val="TekstTabeli"/>
            </w:pPr>
            <w:r w:rsidRPr="009F38EA">
              <w:t>6</w:t>
            </w:r>
          </w:p>
        </w:tc>
      </w:tr>
      <w:tr w:rsidR="009F38EA" w:rsidRPr="009F38EA" w14:paraId="276DBD41" w14:textId="77777777" w:rsidTr="009F38EA">
        <w:trPr>
          <w:cantSplit/>
          <w:trHeight w:val="285"/>
        </w:trPr>
        <w:tc>
          <w:tcPr>
            <w:tcW w:w="567" w:type="dxa"/>
            <w:noWrap/>
            <w:vAlign w:val="center"/>
            <w:hideMark/>
          </w:tcPr>
          <w:p w14:paraId="62AA9C64" w14:textId="77777777" w:rsidR="009F38EA" w:rsidRPr="009F38EA" w:rsidRDefault="009F38EA" w:rsidP="00B558B7">
            <w:pPr>
              <w:pStyle w:val="TekstTabeli"/>
            </w:pPr>
            <w:r w:rsidRPr="009F38EA">
              <w:t>43</w:t>
            </w:r>
          </w:p>
        </w:tc>
        <w:tc>
          <w:tcPr>
            <w:tcW w:w="4479" w:type="dxa"/>
            <w:noWrap/>
            <w:vAlign w:val="center"/>
            <w:hideMark/>
          </w:tcPr>
          <w:p w14:paraId="463E92E0" w14:textId="77777777" w:rsidR="009F38EA" w:rsidRPr="009F38EA" w:rsidRDefault="009F38EA" w:rsidP="00B558B7">
            <w:pPr>
              <w:pStyle w:val="TekstTabeli"/>
            </w:pPr>
            <w:r w:rsidRPr="009F38EA">
              <w:t>university community</w:t>
            </w:r>
          </w:p>
        </w:tc>
        <w:tc>
          <w:tcPr>
            <w:tcW w:w="3969" w:type="dxa"/>
            <w:noWrap/>
            <w:vAlign w:val="center"/>
            <w:hideMark/>
          </w:tcPr>
          <w:p w14:paraId="69958073" w14:textId="77777777" w:rsidR="009F38EA" w:rsidRPr="009F38EA" w:rsidRDefault="009F38EA" w:rsidP="00B558B7">
            <w:pPr>
              <w:pStyle w:val="TekstTabeli"/>
            </w:pPr>
            <w:r w:rsidRPr="009F38EA">
              <w:t>4</w:t>
            </w:r>
          </w:p>
        </w:tc>
      </w:tr>
      <w:tr w:rsidR="009F38EA" w:rsidRPr="009F38EA" w14:paraId="6D1B10E3" w14:textId="77777777" w:rsidTr="009F38EA">
        <w:trPr>
          <w:cantSplit/>
          <w:trHeight w:val="285"/>
        </w:trPr>
        <w:tc>
          <w:tcPr>
            <w:tcW w:w="567" w:type="dxa"/>
            <w:noWrap/>
            <w:vAlign w:val="center"/>
            <w:hideMark/>
          </w:tcPr>
          <w:p w14:paraId="38023BA8" w14:textId="77777777" w:rsidR="009F38EA" w:rsidRPr="009F38EA" w:rsidRDefault="009F38EA" w:rsidP="00B558B7">
            <w:pPr>
              <w:pStyle w:val="TekstTabeli"/>
            </w:pPr>
            <w:r w:rsidRPr="009F38EA">
              <w:t>44</w:t>
            </w:r>
          </w:p>
        </w:tc>
        <w:tc>
          <w:tcPr>
            <w:tcW w:w="4479" w:type="dxa"/>
            <w:noWrap/>
            <w:vAlign w:val="center"/>
            <w:hideMark/>
          </w:tcPr>
          <w:p w14:paraId="48B77C17" w14:textId="77777777" w:rsidR="009F38EA" w:rsidRPr="009F38EA" w:rsidRDefault="009F38EA" w:rsidP="00B558B7">
            <w:pPr>
              <w:pStyle w:val="TekstTabeli"/>
            </w:pPr>
            <w:r w:rsidRPr="009F38EA">
              <w:t>higher education community</w:t>
            </w:r>
          </w:p>
        </w:tc>
        <w:tc>
          <w:tcPr>
            <w:tcW w:w="3969" w:type="dxa"/>
            <w:noWrap/>
            <w:vAlign w:val="center"/>
            <w:hideMark/>
          </w:tcPr>
          <w:p w14:paraId="422052F3" w14:textId="77777777" w:rsidR="009F38EA" w:rsidRPr="009F38EA" w:rsidRDefault="009F38EA" w:rsidP="00B558B7">
            <w:pPr>
              <w:pStyle w:val="TekstTabeli"/>
            </w:pPr>
            <w:r w:rsidRPr="009F38EA">
              <w:t>3</w:t>
            </w:r>
          </w:p>
        </w:tc>
      </w:tr>
      <w:tr w:rsidR="009F38EA" w:rsidRPr="009F38EA" w14:paraId="1C5E71BC" w14:textId="77777777" w:rsidTr="009F38EA">
        <w:trPr>
          <w:cantSplit/>
          <w:trHeight w:val="285"/>
        </w:trPr>
        <w:tc>
          <w:tcPr>
            <w:tcW w:w="567" w:type="dxa"/>
            <w:noWrap/>
            <w:vAlign w:val="center"/>
            <w:hideMark/>
          </w:tcPr>
          <w:p w14:paraId="4263C1C9" w14:textId="77777777" w:rsidR="009F38EA" w:rsidRPr="009F38EA" w:rsidRDefault="009F38EA" w:rsidP="00B558B7">
            <w:pPr>
              <w:pStyle w:val="TekstTabeli"/>
            </w:pPr>
            <w:r w:rsidRPr="009F38EA">
              <w:t>45</w:t>
            </w:r>
          </w:p>
        </w:tc>
        <w:tc>
          <w:tcPr>
            <w:tcW w:w="4479" w:type="dxa"/>
            <w:noWrap/>
            <w:vAlign w:val="center"/>
            <w:hideMark/>
          </w:tcPr>
          <w:p w14:paraId="080E1676" w14:textId="77777777" w:rsidR="009F38EA" w:rsidRPr="009F38EA" w:rsidRDefault="009F38EA" w:rsidP="00B558B7">
            <w:pPr>
              <w:pStyle w:val="TekstTabeli"/>
            </w:pPr>
            <w:r w:rsidRPr="009F38EA">
              <w:t>research community</w:t>
            </w:r>
          </w:p>
        </w:tc>
        <w:tc>
          <w:tcPr>
            <w:tcW w:w="3969" w:type="dxa"/>
            <w:noWrap/>
            <w:vAlign w:val="center"/>
            <w:hideMark/>
          </w:tcPr>
          <w:p w14:paraId="1F806990" w14:textId="77777777" w:rsidR="009F38EA" w:rsidRPr="009F38EA" w:rsidRDefault="009F38EA" w:rsidP="00B558B7">
            <w:pPr>
              <w:pStyle w:val="TekstTabeli"/>
            </w:pPr>
            <w:r w:rsidRPr="009F38EA">
              <w:t>1</w:t>
            </w:r>
          </w:p>
        </w:tc>
      </w:tr>
      <w:tr w:rsidR="009F38EA" w:rsidRPr="009F38EA" w14:paraId="6AEACBD5" w14:textId="77777777" w:rsidTr="009F38EA">
        <w:trPr>
          <w:cantSplit/>
          <w:trHeight w:val="285"/>
        </w:trPr>
        <w:tc>
          <w:tcPr>
            <w:tcW w:w="567" w:type="dxa"/>
            <w:noWrap/>
            <w:vAlign w:val="center"/>
            <w:hideMark/>
          </w:tcPr>
          <w:p w14:paraId="6E3E0A84" w14:textId="77777777" w:rsidR="009F38EA" w:rsidRPr="009F38EA" w:rsidRDefault="009F38EA" w:rsidP="00B558B7">
            <w:pPr>
              <w:pStyle w:val="TekstTabeli"/>
            </w:pPr>
            <w:r w:rsidRPr="009F38EA">
              <w:t>46</w:t>
            </w:r>
          </w:p>
        </w:tc>
        <w:tc>
          <w:tcPr>
            <w:tcW w:w="4479" w:type="dxa"/>
            <w:noWrap/>
            <w:vAlign w:val="center"/>
            <w:hideMark/>
          </w:tcPr>
          <w:p w14:paraId="5D266642" w14:textId="77777777" w:rsidR="009F38EA" w:rsidRPr="009F38EA" w:rsidRDefault="009F38EA" w:rsidP="00B558B7">
            <w:pPr>
              <w:pStyle w:val="TekstTabeli"/>
            </w:pPr>
            <w:r w:rsidRPr="009F38EA">
              <w:t>campus community</w:t>
            </w:r>
          </w:p>
        </w:tc>
        <w:tc>
          <w:tcPr>
            <w:tcW w:w="3969" w:type="dxa"/>
            <w:noWrap/>
            <w:vAlign w:val="center"/>
            <w:hideMark/>
          </w:tcPr>
          <w:p w14:paraId="252DD901" w14:textId="77777777" w:rsidR="009F38EA" w:rsidRPr="009F38EA" w:rsidRDefault="009F38EA" w:rsidP="00B558B7">
            <w:pPr>
              <w:pStyle w:val="TekstTabeli"/>
            </w:pPr>
            <w:r w:rsidRPr="009F38EA">
              <w:t>1</w:t>
            </w:r>
          </w:p>
        </w:tc>
      </w:tr>
      <w:tr w:rsidR="009F38EA" w:rsidRPr="009F38EA" w14:paraId="38118AEB" w14:textId="77777777" w:rsidTr="009F38EA">
        <w:trPr>
          <w:cantSplit/>
          <w:trHeight w:val="285"/>
        </w:trPr>
        <w:tc>
          <w:tcPr>
            <w:tcW w:w="567" w:type="dxa"/>
            <w:noWrap/>
            <w:vAlign w:val="center"/>
            <w:hideMark/>
          </w:tcPr>
          <w:p w14:paraId="4C9AADBA" w14:textId="77777777" w:rsidR="009F38EA" w:rsidRPr="009F38EA" w:rsidRDefault="009F38EA" w:rsidP="00B558B7">
            <w:pPr>
              <w:pStyle w:val="TekstTabeli"/>
            </w:pPr>
            <w:r w:rsidRPr="009F38EA">
              <w:t>47</w:t>
            </w:r>
          </w:p>
        </w:tc>
        <w:tc>
          <w:tcPr>
            <w:tcW w:w="4479" w:type="dxa"/>
            <w:noWrap/>
            <w:vAlign w:val="center"/>
            <w:hideMark/>
          </w:tcPr>
          <w:p w14:paraId="6507A271" w14:textId="77777777" w:rsidR="009F38EA" w:rsidRPr="009F38EA" w:rsidRDefault="009F38EA" w:rsidP="00B558B7">
            <w:pPr>
              <w:pStyle w:val="TekstTabeli"/>
            </w:pPr>
            <w:r w:rsidRPr="009F38EA">
              <w:t>local community</w:t>
            </w:r>
          </w:p>
        </w:tc>
        <w:tc>
          <w:tcPr>
            <w:tcW w:w="3969" w:type="dxa"/>
            <w:noWrap/>
            <w:vAlign w:val="center"/>
            <w:hideMark/>
          </w:tcPr>
          <w:p w14:paraId="70EFBC23" w14:textId="77777777" w:rsidR="009F38EA" w:rsidRPr="009F38EA" w:rsidRDefault="009F38EA" w:rsidP="00B558B7">
            <w:pPr>
              <w:pStyle w:val="TekstTabeli"/>
            </w:pPr>
            <w:r w:rsidRPr="009F38EA">
              <w:t>1</w:t>
            </w:r>
          </w:p>
        </w:tc>
      </w:tr>
      <w:tr w:rsidR="009F38EA" w:rsidRPr="009F38EA" w14:paraId="53B795C1" w14:textId="77777777" w:rsidTr="009F38EA">
        <w:trPr>
          <w:cantSplit/>
          <w:trHeight w:val="285"/>
        </w:trPr>
        <w:tc>
          <w:tcPr>
            <w:tcW w:w="567" w:type="dxa"/>
            <w:noWrap/>
            <w:vAlign w:val="center"/>
            <w:hideMark/>
          </w:tcPr>
          <w:p w14:paraId="140B2B1F" w14:textId="77777777" w:rsidR="009F38EA" w:rsidRPr="009F38EA" w:rsidRDefault="009F38EA" w:rsidP="00B558B7">
            <w:pPr>
              <w:pStyle w:val="TekstTabeli"/>
            </w:pPr>
            <w:r w:rsidRPr="009F38EA">
              <w:t>48</w:t>
            </w:r>
          </w:p>
        </w:tc>
        <w:tc>
          <w:tcPr>
            <w:tcW w:w="4479" w:type="dxa"/>
            <w:noWrap/>
            <w:vAlign w:val="center"/>
            <w:hideMark/>
          </w:tcPr>
          <w:p w14:paraId="0B81FE42" w14:textId="77777777" w:rsidR="009F38EA" w:rsidRPr="009F38EA" w:rsidRDefault="009F38EA" w:rsidP="00B558B7">
            <w:pPr>
              <w:pStyle w:val="TekstTabeli"/>
            </w:pPr>
            <w:r w:rsidRPr="009F38EA">
              <w:t>local communities</w:t>
            </w:r>
          </w:p>
        </w:tc>
        <w:tc>
          <w:tcPr>
            <w:tcW w:w="3969" w:type="dxa"/>
            <w:noWrap/>
            <w:vAlign w:val="center"/>
            <w:hideMark/>
          </w:tcPr>
          <w:p w14:paraId="1503F415" w14:textId="77777777" w:rsidR="009F38EA" w:rsidRPr="009F38EA" w:rsidRDefault="009F38EA" w:rsidP="00B558B7">
            <w:pPr>
              <w:pStyle w:val="TekstTabeli"/>
            </w:pPr>
            <w:r w:rsidRPr="009F38EA">
              <w:t>1</w:t>
            </w:r>
          </w:p>
        </w:tc>
      </w:tr>
      <w:tr w:rsidR="009F38EA" w:rsidRPr="009F38EA" w14:paraId="0A0C1725" w14:textId="77777777" w:rsidTr="009F38EA">
        <w:trPr>
          <w:cantSplit/>
          <w:trHeight w:val="285"/>
        </w:trPr>
        <w:tc>
          <w:tcPr>
            <w:tcW w:w="567" w:type="dxa"/>
            <w:noWrap/>
            <w:vAlign w:val="center"/>
            <w:hideMark/>
          </w:tcPr>
          <w:p w14:paraId="44F8FBEF" w14:textId="77777777" w:rsidR="009F38EA" w:rsidRPr="009F38EA" w:rsidRDefault="009F38EA" w:rsidP="00B558B7">
            <w:pPr>
              <w:pStyle w:val="TekstTabeli"/>
            </w:pPr>
            <w:r w:rsidRPr="009F38EA">
              <w:t>49</w:t>
            </w:r>
          </w:p>
        </w:tc>
        <w:tc>
          <w:tcPr>
            <w:tcW w:w="4479" w:type="dxa"/>
            <w:noWrap/>
            <w:vAlign w:val="center"/>
            <w:hideMark/>
          </w:tcPr>
          <w:p w14:paraId="1EE5CC1B" w14:textId="77777777" w:rsidR="009F38EA" w:rsidRPr="009F38EA" w:rsidRDefault="009F38EA" w:rsidP="00B558B7">
            <w:pPr>
              <w:pStyle w:val="TekstTabeli"/>
            </w:pPr>
            <w:r w:rsidRPr="009F38EA">
              <w:t>local people</w:t>
            </w:r>
          </w:p>
        </w:tc>
        <w:tc>
          <w:tcPr>
            <w:tcW w:w="3969" w:type="dxa"/>
            <w:noWrap/>
            <w:vAlign w:val="center"/>
            <w:hideMark/>
          </w:tcPr>
          <w:p w14:paraId="70D3D7D6" w14:textId="77777777" w:rsidR="009F38EA" w:rsidRPr="009F38EA" w:rsidRDefault="009F38EA" w:rsidP="00B558B7">
            <w:pPr>
              <w:pStyle w:val="TekstTabeli"/>
            </w:pPr>
            <w:r w:rsidRPr="009F38EA">
              <w:t>1</w:t>
            </w:r>
          </w:p>
        </w:tc>
      </w:tr>
      <w:tr w:rsidR="009F38EA" w:rsidRPr="009F38EA" w14:paraId="78C58DE3" w14:textId="77777777" w:rsidTr="009F38EA">
        <w:trPr>
          <w:cantSplit/>
          <w:trHeight w:val="285"/>
        </w:trPr>
        <w:tc>
          <w:tcPr>
            <w:tcW w:w="567" w:type="dxa"/>
            <w:noWrap/>
            <w:vAlign w:val="center"/>
            <w:hideMark/>
          </w:tcPr>
          <w:p w14:paraId="0CE09739" w14:textId="77777777" w:rsidR="009F38EA" w:rsidRPr="009F38EA" w:rsidRDefault="009F38EA" w:rsidP="00B558B7">
            <w:pPr>
              <w:pStyle w:val="TekstTabeli"/>
            </w:pPr>
            <w:r w:rsidRPr="009F38EA">
              <w:t>50</w:t>
            </w:r>
          </w:p>
        </w:tc>
        <w:tc>
          <w:tcPr>
            <w:tcW w:w="4479" w:type="dxa"/>
            <w:noWrap/>
            <w:vAlign w:val="center"/>
            <w:hideMark/>
          </w:tcPr>
          <w:p w14:paraId="1F1622B3" w14:textId="77777777" w:rsidR="009F38EA" w:rsidRPr="009F38EA" w:rsidRDefault="009F38EA" w:rsidP="00B558B7">
            <w:pPr>
              <w:pStyle w:val="TekstTabeli"/>
            </w:pPr>
            <w:r w:rsidRPr="009F38EA">
              <w:t>consortia (partnerships)</w:t>
            </w:r>
          </w:p>
        </w:tc>
        <w:tc>
          <w:tcPr>
            <w:tcW w:w="3969" w:type="dxa"/>
            <w:noWrap/>
            <w:vAlign w:val="center"/>
            <w:hideMark/>
          </w:tcPr>
          <w:p w14:paraId="2F3E0153" w14:textId="77777777" w:rsidR="009F38EA" w:rsidRPr="009F38EA" w:rsidRDefault="009F38EA" w:rsidP="00B558B7">
            <w:pPr>
              <w:pStyle w:val="TekstTabeli"/>
            </w:pPr>
            <w:r w:rsidRPr="009F38EA">
              <w:t>0</w:t>
            </w:r>
          </w:p>
        </w:tc>
      </w:tr>
      <w:tr w:rsidR="009F38EA" w:rsidRPr="009F38EA" w14:paraId="306E6B58" w14:textId="77777777" w:rsidTr="009F38EA">
        <w:trPr>
          <w:cantSplit/>
          <w:trHeight w:val="285"/>
        </w:trPr>
        <w:tc>
          <w:tcPr>
            <w:tcW w:w="567" w:type="dxa"/>
            <w:noWrap/>
            <w:vAlign w:val="center"/>
            <w:hideMark/>
          </w:tcPr>
          <w:p w14:paraId="4DE13B45" w14:textId="77777777" w:rsidR="009F38EA" w:rsidRPr="009F38EA" w:rsidRDefault="009F38EA" w:rsidP="00B558B7">
            <w:pPr>
              <w:pStyle w:val="TekstTabeli"/>
            </w:pPr>
            <w:r w:rsidRPr="009F38EA">
              <w:t>51</w:t>
            </w:r>
          </w:p>
        </w:tc>
        <w:tc>
          <w:tcPr>
            <w:tcW w:w="4479" w:type="dxa"/>
            <w:noWrap/>
            <w:vAlign w:val="center"/>
            <w:hideMark/>
          </w:tcPr>
          <w:p w14:paraId="54AB9F01" w14:textId="77777777" w:rsidR="009F38EA" w:rsidRPr="009F38EA" w:rsidRDefault="009F38EA" w:rsidP="00B558B7">
            <w:pPr>
              <w:pStyle w:val="TekstTabeli"/>
            </w:pPr>
            <w:r w:rsidRPr="009F38EA">
              <w:t>corporate training programs (or for companies)</w:t>
            </w:r>
          </w:p>
        </w:tc>
        <w:tc>
          <w:tcPr>
            <w:tcW w:w="3969" w:type="dxa"/>
            <w:noWrap/>
            <w:vAlign w:val="center"/>
            <w:hideMark/>
          </w:tcPr>
          <w:p w14:paraId="56FFDA81" w14:textId="77777777" w:rsidR="009F38EA" w:rsidRPr="009F38EA" w:rsidRDefault="009F38EA" w:rsidP="00B558B7">
            <w:pPr>
              <w:pStyle w:val="TekstTabeli"/>
            </w:pPr>
            <w:r w:rsidRPr="009F38EA">
              <w:t>0</w:t>
            </w:r>
          </w:p>
        </w:tc>
      </w:tr>
      <w:tr w:rsidR="009F38EA" w:rsidRPr="009F38EA" w14:paraId="1111240D" w14:textId="77777777" w:rsidTr="009F38EA">
        <w:trPr>
          <w:cantSplit/>
          <w:trHeight w:val="285"/>
        </w:trPr>
        <w:tc>
          <w:tcPr>
            <w:tcW w:w="567" w:type="dxa"/>
            <w:noWrap/>
            <w:vAlign w:val="center"/>
            <w:hideMark/>
          </w:tcPr>
          <w:p w14:paraId="1718D8B3" w14:textId="77777777" w:rsidR="009F38EA" w:rsidRPr="009F38EA" w:rsidRDefault="009F38EA" w:rsidP="00B558B7">
            <w:pPr>
              <w:pStyle w:val="TekstTabeli"/>
            </w:pPr>
            <w:r w:rsidRPr="009F38EA">
              <w:t>52</w:t>
            </w:r>
          </w:p>
        </w:tc>
        <w:tc>
          <w:tcPr>
            <w:tcW w:w="4479" w:type="dxa"/>
            <w:noWrap/>
            <w:vAlign w:val="center"/>
            <w:hideMark/>
          </w:tcPr>
          <w:p w14:paraId="2F3E1AAD" w14:textId="77777777" w:rsidR="009F38EA" w:rsidRPr="009F38EA" w:rsidRDefault="009F38EA" w:rsidP="00B558B7">
            <w:pPr>
              <w:pStyle w:val="TekstTabeli"/>
            </w:pPr>
            <w:r w:rsidRPr="009F38EA">
              <w:t>country</w:t>
            </w:r>
          </w:p>
        </w:tc>
        <w:tc>
          <w:tcPr>
            <w:tcW w:w="3969" w:type="dxa"/>
            <w:noWrap/>
            <w:vAlign w:val="center"/>
            <w:hideMark/>
          </w:tcPr>
          <w:p w14:paraId="7C923BE8" w14:textId="77777777" w:rsidR="009F38EA" w:rsidRPr="009F38EA" w:rsidRDefault="009F38EA" w:rsidP="00B558B7">
            <w:pPr>
              <w:pStyle w:val="TekstTabeli"/>
            </w:pPr>
            <w:r w:rsidRPr="009F38EA">
              <w:t>1</w:t>
            </w:r>
          </w:p>
        </w:tc>
      </w:tr>
      <w:tr w:rsidR="009F38EA" w:rsidRPr="009F38EA" w14:paraId="76753D1E" w14:textId="77777777" w:rsidTr="009F38EA">
        <w:trPr>
          <w:cantSplit/>
          <w:trHeight w:val="285"/>
        </w:trPr>
        <w:tc>
          <w:tcPr>
            <w:tcW w:w="567" w:type="dxa"/>
            <w:noWrap/>
            <w:vAlign w:val="center"/>
            <w:hideMark/>
          </w:tcPr>
          <w:p w14:paraId="59A0C86F" w14:textId="77777777" w:rsidR="009F38EA" w:rsidRPr="009F38EA" w:rsidRDefault="009F38EA" w:rsidP="00B558B7">
            <w:pPr>
              <w:pStyle w:val="TekstTabeli"/>
            </w:pPr>
            <w:r w:rsidRPr="009F38EA">
              <w:t>53</w:t>
            </w:r>
          </w:p>
        </w:tc>
        <w:tc>
          <w:tcPr>
            <w:tcW w:w="4479" w:type="dxa"/>
            <w:noWrap/>
            <w:vAlign w:val="center"/>
            <w:hideMark/>
          </w:tcPr>
          <w:p w14:paraId="08362FA2" w14:textId="77777777" w:rsidR="009F38EA" w:rsidRPr="009F38EA" w:rsidRDefault="009F38EA" w:rsidP="00B558B7">
            <w:pPr>
              <w:pStyle w:val="TekstTabeli"/>
            </w:pPr>
            <w:r w:rsidRPr="009F38EA">
              <w:t>course developer</w:t>
            </w:r>
          </w:p>
        </w:tc>
        <w:tc>
          <w:tcPr>
            <w:tcW w:w="3969" w:type="dxa"/>
            <w:noWrap/>
            <w:vAlign w:val="center"/>
            <w:hideMark/>
          </w:tcPr>
          <w:p w14:paraId="21CDFD25" w14:textId="77777777" w:rsidR="009F38EA" w:rsidRPr="009F38EA" w:rsidRDefault="009F38EA" w:rsidP="00B558B7">
            <w:pPr>
              <w:pStyle w:val="TekstTabeli"/>
            </w:pPr>
            <w:r w:rsidRPr="009F38EA">
              <w:t>1</w:t>
            </w:r>
          </w:p>
        </w:tc>
      </w:tr>
      <w:tr w:rsidR="009F38EA" w:rsidRPr="009F38EA" w14:paraId="35FDF1DF" w14:textId="77777777" w:rsidTr="009F38EA">
        <w:trPr>
          <w:cantSplit/>
          <w:trHeight w:val="285"/>
        </w:trPr>
        <w:tc>
          <w:tcPr>
            <w:tcW w:w="567" w:type="dxa"/>
            <w:noWrap/>
            <w:vAlign w:val="center"/>
            <w:hideMark/>
          </w:tcPr>
          <w:p w14:paraId="0AB6AF73" w14:textId="77777777" w:rsidR="009F38EA" w:rsidRPr="009F38EA" w:rsidRDefault="009F38EA" w:rsidP="00B558B7">
            <w:pPr>
              <w:pStyle w:val="TekstTabeli"/>
            </w:pPr>
            <w:r w:rsidRPr="009F38EA">
              <w:t>54</w:t>
            </w:r>
          </w:p>
        </w:tc>
        <w:tc>
          <w:tcPr>
            <w:tcW w:w="4479" w:type="dxa"/>
            <w:noWrap/>
            <w:vAlign w:val="center"/>
            <w:hideMark/>
          </w:tcPr>
          <w:p w14:paraId="1D757285" w14:textId="77777777" w:rsidR="009F38EA" w:rsidRPr="009F38EA" w:rsidRDefault="009F38EA" w:rsidP="00B558B7">
            <w:pPr>
              <w:pStyle w:val="TekstTabeli"/>
            </w:pPr>
            <w:r w:rsidRPr="009F38EA">
              <w:t>curriculum developer</w:t>
            </w:r>
          </w:p>
        </w:tc>
        <w:tc>
          <w:tcPr>
            <w:tcW w:w="3969" w:type="dxa"/>
            <w:noWrap/>
            <w:vAlign w:val="center"/>
            <w:hideMark/>
          </w:tcPr>
          <w:p w14:paraId="3DB72472" w14:textId="77777777" w:rsidR="009F38EA" w:rsidRPr="009F38EA" w:rsidRDefault="009F38EA" w:rsidP="00B558B7">
            <w:pPr>
              <w:pStyle w:val="TekstTabeli"/>
            </w:pPr>
            <w:r w:rsidRPr="009F38EA">
              <w:t>1</w:t>
            </w:r>
          </w:p>
        </w:tc>
      </w:tr>
      <w:tr w:rsidR="009F38EA" w:rsidRPr="009F38EA" w14:paraId="06E0F029" w14:textId="77777777" w:rsidTr="009F38EA">
        <w:trPr>
          <w:cantSplit/>
          <w:trHeight w:val="285"/>
        </w:trPr>
        <w:tc>
          <w:tcPr>
            <w:tcW w:w="567" w:type="dxa"/>
            <w:noWrap/>
            <w:vAlign w:val="center"/>
            <w:hideMark/>
          </w:tcPr>
          <w:p w14:paraId="6A34C449" w14:textId="77777777" w:rsidR="009F38EA" w:rsidRPr="009F38EA" w:rsidRDefault="009F38EA" w:rsidP="00B558B7">
            <w:pPr>
              <w:pStyle w:val="TekstTabeli"/>
            </w:pPr>
            <w:r w:rsidRPr="009F38EA">
              <w:t>55</w:t>
            </w:r>
          </w:p>
        </w:tc>
        <w:tc>
          <w:tcPr>
            <w:tcW w:w="4479" w:type="dxa"/>
            <w:noWrap/>
            <w:vAlign w:val="center"/>
            <w:hideMark/>
          </w:tcPr>
          <w:p w14:paraId="055B2147" w14:textId="77777777" w:rsidR="009F38EA" w:rsidRPr="009F38EA" w:rsidRDefault="009F38EA" w:rsidP="00B558B7">
            <w:pPr>
              <w:pStyle w:val="TekstTabeli"/>
            </w:pPr>
            <w:r w:rsidRPr="009F38EA">
              <w:t>dean</w:t>
            </w:r>
          </w:p>
        </w:tc>
        <w:tc>
          <w:tcPr>
            <w:tcW w:w="3969" w:type="dxa"/>
            <w:noWrap/>
            <w:vAlign w:val="center"/>
            <w:hideMark/>
          </w:tcPr>
          <w:p w14:paraId="141864D5" w14:textId="77777777" w:rsidR="009F38EA" w:rsidRPr="009F38EA" w:rsidRDefault="009F38EA" w:rsidP="00B558B7">
            <w:pPr>
              <w:pStyle w:val="TekstTabeli"/>
            </w:pPr>
            <w:r w:rsidRPr="009F38EA">
              <w:t>6</w:t>
            </w:r>
          </w:p>
        </w:tc>
      </w:tr>
      <w:tr w:rsidR="009F38EA" w:rsidRPr="009F38EA" w14:paraId="21F54714" w14:textId="77777777" w:rsidTr="009F38EA">
        <w:trPr>
          <w:cantSplit/>
          <w:trHeight w:val="285"/>
        </w:trPr>
        <w:tc>
          <w:tcPr>
            <w:tcW w:w="567" w:type="dxa"/>
            <w:noWrap/>
            <w:vAlign w:val="center"/>
            <w:hideMark/>
          </w:tcPr>
          <w:p w14:paraId="7E6A11E2" w14:textId="77777777" w:rsidR="009F38EA" w:rsidRPr="009F38EA" w:rsidRDefault="009F38EA" w:rsidP="00B558B7">
            <w:pPr>
              <w:pStyle w:val="TekstTabeli"/>
            </w:pPr>
            <w:r w:rsidRPr="009F38EA">
              <w:t>56</w:t>
            </w:r>
          </w:p>
        </w:tc>
        <w:tc>
          <w:tcPr>
            <w:tcW w:w="4479" w:type="dxa"/>
            <w:noWrap/>
            <w:vAlign w:val="center"/>
            <w:hideMark/>
          </w:tcPr>
          <w:p w14:paraId="463D05C2" w14:textId="77777777" w:rsidR="009F38EA" w:rsidRPr="009F38EA" w:rsidRDefault="009F38EA" w:rsidP="00B558B7">
            <w:pPr>
              <w:pStyle w:val="TekstTabeli"/>
            </w:pPr>
            <w:r w:rsidRPr="009F38EA">
              <w:t>deans (and associate deans)</w:t>
            </w:r>
          </w:p>
        </w:tc>
        <w:tc>
          <w:tcPr>
            <w:tcW w:w="3969" w:type="dxa"/>
            <w:noWrap/>
            <w:vAlign w:val="center"/>
            <w:hideMark/>
          </w:tcPr>
          <w:p w14:paraId="2E12CAA7" w14:textId="77777777" w:rsidR="009F38EA" w:rsidRPr="009F38EA" w:rsidRDefault="009F38EA" w:rsidP="00B558B7">
            <w:pPr>
              <w:pStyle w:val="TekstTabeli"/>
            </w:pPr>
            <w:r w:rsidRPr="009F38EA">
              <w:t>0</w:t>
            </w:r>
          </w:p>
        </w:tc>
      </w:tr>
      <w:tr w:rsidR="009F38EA" w:rsidRPr="009F38EA" w14:paraId="5CE53A57" w14:textId="77777777" w:rsidTr="009F38EA">
        <w:trPr>
          <w:cantSplit/>
          <w:trHeight w:val="285"/>
        </w:trPr>
        <w:tc>
          <w:tcPr>
            <w:tcW w:w="567" w:type="dxa"/>
            <w:noWrap/>
            <w:vAlign w:val="center"/>
            <w:hideMark/>
          </w:tcPr>
          <w:p w14:paraId="59B49F02" w14:textId="77777777" w:rsidR="009F38EA" w:rsidRPr="009F38EA" w:rsidRDefault="009F38EA" w:rsidP="00B558B7">
            <w:pPr>
              <w:pStyle w:val="TekstTabeli"/>
            </w:pPr>
            <w:r w:rsidRPr="009F38EA">
              <w:t>57</w:t>
            </w:r>
          </w:p>
        </w:tc>
        <w:tc>
          <w:tcPr>
            <w:tcW w:w="4479" w:type="dxa"/>
            <w:noWrap/>
            <w:vAlign w:val="center"/>
            <w:hideMark/>
          </w:tcPr>
          <w:p w14:paraId="0144FA47" w14:textId="77777777" w:rsidR="009F38EA" w:rsidRPr="009F38EA" w:rsidRDefault="009F38EA" w:rsidP="00B558B7">
            <w:pPr>
              <w:pStyle w:val="TekstTabeli"/>
            </w:pPr>
            <w:r w:rsidRPr="009F38EA">
              <w:t>developer</w:t>
            </w:r>
          </w:p>
        </w:tc>
        <w:tc>
          <w:tcPr>
            <w:tcW w:w="3969" w:type="dxa"/>
            <w:noWrap/>
            <w:vAlign w:val="center"/>
            <w:hideMark/>
          </w:tcPr>
          <w:p w14:paraId="4E423482" w14:textId="77777777" w:rsidR="009F38EA" w:rsidRPr="009F38EA" w:rsidRDefault="009F38EA" w:rsidP="00B558B7">
            <w:pPr>
              <w:pStyle w:val="TekstTabeli"/>
            </w:pPr>
            <w:r w:rsidRPr="009F38EA">
              <w:t>0</w:t>
            </w:r>
          </w:p>
        </w:tc>
      </w:tr>
      <w:tr w:rsidR="009F38EA" w:rsidRPr="009F38EA" w14:paraId="5D57F8DF" w14:textId="77777777" w:rsidTr="009F38EA">
        <w:trPr>
          <w:cantSplit/>
          <w:trHeight w:val="285"/>
        </w:trPr>
        <w:tc>
          <w:tcPr>
            <w:tcW w:w="567" w:type="dxa"/>
            <w:noWrap/>
            <w:vAlign w:val="center"/>
            <w:hideMark/>
          </w:tcPr>
          <w:p w14:paraId="60FBFC1D" w14:textId="77777777" w:rsidR="009F38EA" w:rsidRPr="009F38EA" w:rsidRDefault="009F38EA" w:rsidP="00B558B7">
            <w:pPr>
              <w:pStyle w:val="TekstTabeli"/>
            </w:pPr>
            <w:r w:rsidRPr="009F38EA">
              <w:t>58</w:t>
            </w:r>
          </w:p>
        </w:tc>
        <w:tc>
          <w:tcPr>
            <w:tcW w:w="4479" w:type="dxa"/>
            <w:noWrap/>
            <w:vAlign w:val="center"/>
            <w:hideMark/>
          </w:tcPr>
          <w:p w14:paraId="3E03BC94" w14:textId="77777777" w:rsidR="009F38EA" w:rsidRPr="009F38EA" w:rsidRDefault="009F38EA" w:rsidP="00B558B7">
            <w:pPr>
              <w:pStyle w:val="TekstTabeli"/>
            </w:pPr>
            <w:r w:rsidRPr="009F38EA">
              <w:t>directors</w:t>
            </w:r>
          </w:p>
        </w:tc>
        <w:tc>
          <w:tcPr>
            <w:tcW w:w="3969" w:type="dxa"/>
            <w:noWrap/>
            <w:vAlign w:val="center"/>
            <w:hideMark/>
          </w:tcPr>
          <w:p w14:paraId="30663DA7" w14:textId="77777777" w:rsidR="009F38EA" w:rsidRPr="009F38EA" w:rsidRDefault="009F38EA" w:rsidP="00B558B7">
            <w:pPr>
              <w:pStyle w:val="TekstTabeli"/>
            </w:pPr>
            <w:r w:rsidRPr="009F38EA">
              <w:t>0</w:t>
            </w:r>
          </w:p>
        </w:tc>
      </w:tr>
      <w:tr w:rsidR="009F38EA" w:rsidRPr="009F38EA" w14:paraId="22CC9BEA" w14:textId="77777777" w:rsidTr="009F38EA">
        <w:trPr>
          <w:cantSplit/>
          <w:trHeight w:val="285"/>
        </w:trPr>
        <w:tc>
          <w:tcPr>
            <w:tcW w:w="567" w:type="dxa"/>
            <w:noWrap/>
            <w:vAlign w:val="center"/>
            <w:hideMark/>
          </w:tcPr>
          <w:p w14:paraId="12F36E9D" w14:textId="77777777" w:rsidR="009F38EA" w:rsidRPr="009F38EA" w:rsidRDefault="009F38EA" w:rsidP="00B558B7">
            <w:pPr>
              <w:pStyle w:val="TekstTabeli"/>
            </w:pPr>
            <w:r w:rsidRPr="009F38EA">
              <w:t>59</w:t>
            </w:r>
          </w:p>
        </w:tc>
        <w:tc>
          <w:tcPr>
            <w:tcW w:w="4479" w:type="dxa"/>
            <w:noWrap/>
            <w:vAlign w:val="center"/>
            <w:hideMark/>
          </w:tcPr>
          <w:p w14:paraId="1FE72A38" w14:textId="77777777" w:rsidR="009F38EA" w:rsidRPr="009F38EA" w:rsidRDefault="009F38EA" w:rsidP="00B558B7">
            <w:pPr>
              <w:pStyle w:val="TekstTabeli"/>
            </w:pPr>
            <w:r w:rsidRPr="009F38EA">
              <w:t>library director</w:t>
            </w:r>
          </w:p>
        </w:tc>
        <w:tc>
          <w:tcPr>
            <w:tcW w:w="3969" w:type="dxa"/>
            <w:noWrap/>
            <w:vAlign w:val="center"/>
            <w:hideMark/>
          </w:tcPr>
          <w:p w14:paraId="024B6E21" w14:textId="77777777" w:rsidR="009F38EA" w:rsidRPr="009F38EA" w:rsidRDefault="009F38EA" w:rsidP="00B558B7">
            <w:pPr>
              <w:pStyle w:val="TekstTabeli"/>
            </w:pPr>
            <w:r w:rsidRPr="009F38EA">
              <w:t>2</w:t>
            </w:r>
          </w:p>
        </w:tc>
      </w:tr>
      <w:tr w:rsidR="009F38EA" w:rsidRPr="009F38EA" w14:paraId="14822480" w14:textId="77777777" w:rsidTr="009F38EA">
        <w:trPr>
          <w:cantSplit/>
          <w:trHeight w:val="285"/>
        </w:trPr>
        <w:tc>
          <w:tcPr>
            <w:tcW w:w="567" w:type="dxa"/>
            <w:noWrap/>
            <w:vAlign w:val="center"/>
            <w:hideMark/>
          </w:tcPr>
          <w:p w14:paraId="1E863522" w14:textId="77777777" w:rsidR="009F38EA" w:rsidRPr="009F38EA" w:rsidRDefault="009F38EA" w:rsidP="00B558B7">
            <w:pPr>
              <w:pStyle w:val="TekstTabeli"/>
            </w:pPr>
            <w:r w:rsidRPr="009F38EA">
              <w:t>60</w:t>
            </w:r>
          </w:p>
        </w:tc>
        <w:tc>
          <w:tcPr>
            <w:tcW w:w="4479" w:type="dxa"/>
            <w:noWrap/>
            <w:vAlign w:val="center"/>
            <w:hideMark/>
          </w:tcPr>
          <w:p w14:paraId="1DB10AA8" w14:textId="77777777" w:rsidR="009F38EA" w:rsidRPr="009F38EA" w:rsidRDefault="009F38EA" w:rsidP="00B558B7">
            <w:pPr>
              <w:pStyle w:val="TekstTabeli"/>
            </w:pPr>
            <w:r w:rsidRPr="009F38EA">
              <w:t xml:space="preserve">directors of the </w:t>
            </w:r>
            <w:proofErr w:type="spellStart"/>
            <w:r w:rsidRPr="009F38EA">
              <w:t>programme</w:t>
            </w:r>
            <w:proofErr w:type="spellEnd"/>
          </w:p>
        </w:tc>
        <w:tc>
          <w:tcPr>
            <w:tcW w:w="3969" w:type="dxa"/>
            <w:noWrap/>
            <w:vAlign w:val="center"/>
            <w:hideMark/>
          </w:tcPr>
          <w:p w14:paraId="2BF29671" w14:textId="77777777" w:rsidR="009F38EA" w:rsidRPr="009F38EA" w:rsidRDefault="009F38EA" w:rsidP="00B558B7">
            <w:pPr>
              <w:pStyle w:val="TekstTabeli"/>
            </w:pPr>
            <w:r w:rsidRPr="009F38EA">
              <w:t>1</w:t>
            </w:r>
          </w:p>
        </w:tc>
      </w:tr>
      <w:tr w:rsidR="009F38EA" w:rsidRPr="009F38EA" w14:paraId="1553C479" w14:textId="77777777" w:rsidTr="009F38EA">
        <w:trPr>
          <w:cantSplit/>
          <w:trHeight w:val="285"/>
        </w:trPr>
        <w:tc>
          <w:tcPr>
            <w:tcW w:w="567" w:type="dxa"/>
            <w:noWrap/>
            <w:vAlign w:val="center"/>
            <w:hideMark/>
          </w:tcPr>
          <w:p w14:paraId="5FBF05DC" w14:textId="77777777" w:rsidR="009F38EA" w:rsidRPr="009F38EA" w:rsidRDefault="009F38EA" w:rsidP="00B558B7">
            <w:pPr>
              <w:pStyle w:val="TekstTabeli"/>
            </w:pPr>
            <w:r w:rsidRPr="009F38EA">
              <w:t>61</w:t>
            </w:r>
          </w:p>
        </w:tc>
        <w:tc>
          <w:tcPr>
            <w:tcW w:w="4479" w:type="dxa"/>
            <w:noWrap/>
            <w:vAlign w:val="center"/>
            <w:hideMark/>
          </w:tcPr>
          <w:p w14:paraId="3E50AE13" w14:textId="77777777" w:rsidR="009F38EA" w:rsidRPr="009F38EA" w:rsidRDefault="009F38EA" w:rsidP="00B558B7">
            <w:pPr>
              <w:pStyle w:val="TekstTabeli"/>
            </w:pPr>
            <w:r w:rsidRPr="009F38EA">
              <w:t>program director</w:t>
            </w:r>
          </w:p>
        </w:tc>
        <w:tc>
          <w:tcPr>
            <w:tcW w:w="3969" w:type="dxa"/>
            <w:noWrap/>
            <w:vAlign w:val="center"/>
            <w:hideMark/>
          </w:tcPr>
          <w:p w14:paraId="3832F0FC" w14:textId="77777777" w:rsidR="009F38EA" w:rsidRPr="009F38EA" w:rsidRDefault="009F38EA" w:rsidP="00B558B7">
            <w:pPr>
              <w:pStyle w:val="TekstTabeli"/>
            </w:pPr>
            <w:r w:rsidRPr="009F38EA">
              <w:t>1</w:t>
            </w:r>
          </w:p>
        </w:tc>
      </w:tr>
      <w:tr w:rsidR="009F38EA" w:rsidRPr="009F38EA" w14:paraId="527DB49C" w14:textId="77777777" w:rsidTr="009F38EA">
        <w:trPr>
          <w:cantSplit/>
          <w:trHeight w:val="285"/>
        </w:trPr>
        <w:tc>
          <w:tcPr>
            <w:tcW w:w="567" w:type="dxa"/>
            <w:noWrap/>
            <w:vAlign w:val="center"/>
            <w:hideMark/>
          </w:tcPr>
          <w:p w14:paraId="49A51007" w14:textId="77777777" w:rsidR="009F38EA" w:rsidRPr="009F38EA" w:rsidRDefault="009F38EA" w:rsidP="00B558B7">
            <w:pPr>
              <w:pStyle w:val="TekstTabeli"/>
            </w:pPr>
            <w:r w:rsidRPr="009F38EA">
              <w:t>62</w:t>
            </w:r>
          </w:p>
        </w:tc>
        <w:tc>
          <w:tcPr>
            <w:tcW w:w="4479" w:type="dxa"/>
            <w:noWrap/>
            <w:vAlign w:val="center"/>
            <w:hideMark/>
          </w:tcPr>
          <w:p w14:paraId="5C64AD9D" w14:textId="77777777" w:rsidR="009F38EA" w:rsidRPr="009F38EA" w:rsidRDefault="009F38EA" w:rsidP="00B558B7">
            <w:pPr>
              <w:pStyle w:val="TekstTabeli"/>
            </w:pPr>
            <w:r w:rsidRPr="009F38EA">
              <w:t>directors of corporate training</w:t>
            </w:r>
          </w:p>
        </w:tc>
        <w:tc>
          <w:tcPr>
            <w:tcW w:w="3969" w:type="dxa"/>
            <w:noWrap/>
            <w:vAlign w:val="center"/>
            <w:hideMark/>
          </w:tcPr>
          <w:p w14:paraId="1D654E68" w14:textId="77777777" w:rsidR="009F38EA" w:rsidRPr="009F38EA" w:rsidRDefault="009F38EA" w:rsidP="00B558B7">
            <w:pPr>
              <w:pStyle w:val="TekstTabeli"/>
            </w:pPr>
            <w:r w:rsidRPr="009F38EA">
              <w:t>1</w:t>
            </w:r>
          </w:p>
        </w:tc>
      </w:tr>
      <w:tr w:rsidR="009F38EA" w:rsidRPr="009F38EA" w14:paraId="1E46A5BF" w14:textId="77777777" w:rsidTr="009F38EA">
        <w:trPr>
          <w:cantSplit/>
          <w:trHeight w:val="285"/>
        </w:trPr>
        <w:tc>
          <w:tcPr>
            <w:tcW w:w="567" w:type="dxa"/>
            <w:noWrap/>
            <w:vAlign w:val="center"/>
            <w:hideMark/>
          </w:tcPr>
          <w:p w14:paraId="3B86B3CB" w14:textId="77777777" w:rsidR="009F38EA" w:rsidRPr="009F38EA" w:rsidRDefault="009F38EA" w:rsidP="00B558B7">
            <w:pPr>
              <w:pStyle w:val="TekstTabeli"/>
            </w:pPr>
            <w:r w:rsidRPr="009F38EA">
              <w:t>63</w:t>
            </w:r>
          </w:p>
        </w:tc>
        <w:tc>
          <w:tcPr>
            <w:tcW w:w="4479" w:type="dxa"/>
            <w:noWrap/>
            <w:vAlign w:val="center"/>
            <w:hideMark/>
          </w:tcPr>
          <w:p w14:paraId="39AC3489" w14:textId="77777777" w:rsidR="009F38EA" w:rsidRPr="009F38EA" w:rsidRDefault="009F38EA" w:rsidP="00B558B7">
            <w:pPr>
              <w:pStyle w:val="TekstTabeli"/>
            </w:pPr>
            <w:r w:rsidRPr="009F38EA">
              <w:t>distance higher education institutions</w:t>
            </w:r>
          </w:p>
        </w:tc>
        <w:tc>
          <w:tcPr>
            <w:tcW w:w="3969" w:type="dxa"/>
            <w:noWrap/>
            <w:vAlign w:val="center"/>
            <w:hideMark/>
          </w:tcPr>
          <w:p w14:paraId="1E6831AE" w14:textId="77777777" w:rsidR="009F38EA" w:rsidRPr="009F38EA" w:rsidRDefault="009F38EA" w:rsidP="00B558B7">
            <w:pPr>
              <w:pStyle w:val="TekstTabeli"/>
            </w:pPr>
            <w:r w:rsidRPr="009F38EA">
              <w:t>0</w:t>
            </w:r>
          </w:p>
        </w:tc>
      </w:tr>
      <w:tr w:rsidR="009F38EA" w:rsidRPr="009F38EA" w14:paraId="48C97150" w14:textId="77777777" w:rsidTr="009F38EA">
        <w:trPr>
          <w:cantSplit/>
          <w:trHeight w:val="285"/>
        </w:trPr>
        <w:tc>
          <w:tcPr>
            <w:tcW w:w="567" w:type="dxa"/>
            <w:noWrap/>
            <w:vAlign w:val="center"/>
            <w:hideMark/>
          </w:tcPr>
          <w:p w14:paraId="17515972" w14:textId="77777777" w:rsidR="009F38EA" w:rsidRPr="009F38EA" w:rsidRDefault="009F38EA" w:rsidP="00B558B7">
            <w:pPr>
              <w:pStyle w:val="TekstTabeli"/>
            </w:pPr>
            <w:r w:rsidRPr="009F38EA">
              <w:t>64</w:t>
            </w:r>
          </w:p>
        </w:tc>
        <w:tc>
          <w:tcPr>
            <w:tcW w:w="4479" w:type="dxa"/>
            <w:noWrap/>
            <w:vAlign w:val="center"/>
            <w:hideMark/>
          </w:tcPr>
          <w:p w14:paraId="26E121B7" w14:textId="77777777" w:rsidR="009F38EA" w:rsidRPr="009F38EA" w:rsidRDefault="009F38EA" w:rsidP="00B558B7">
            <w:pPr>
              <w:pStyle w:val="TekstTabeli"/>
            </w:pPr>
            <w:r w:rsidRPr="009F38EA">
              <w:t>donors</w:t>
            </w:r>
          </w:p>
        </w:tc>
        <w:tc>
          <w:tcPr>
            <w:tcW w:w="3969" w:type="dxa"/>
            <w:noWrap/>
            <w:vAlign w:val="center"/>
            <w:hideMark/>
          </w:tcPr>
          <w:p w14:paraId="25D71EE8" w14:textId="77777777" w:rsidR="009F38EA" w:rsidRPr="009F38EA" w:rsidRDefault="009F38EA" w:rsidP="00B558B7">
            <w:pPr>
              <w:pStyle w:val="TekstTabeli"/>
            </w:pPr>
            <w:r w:rsidRPr="009F38EA">
              <w:t>1</w:t>
            </w:r>
          </w:p>
        </w:tc>
      </w:tr>
      <w:tr w:rsidR="009F38EA" w:rsidRPr="009F38EA" w14:paraId="1CB43B22" w14:textId="77777777" w:rsidTr="009F38EA">
        <w:trPr>
          <w:cantSplit/>
          <w:trHeight w:val="285"/>
        </w:trPr>
        <w:tc>
          <w:tcPr>
            <w:tcW w:w="567" w:type="dxa"/>
            <w:noWrap/>
            <w:vAlign w:val="center"/>
            <w:hideMark/>
          </w:tcPr>
          <w:p w14:paraId="730CEB64" w14:textId="77777777" w:rsidR="009F38EA" w:rsidRPr="009F38EA" w:rsidRDefault="009F38EA" w:rsidP="00B558B7">
            <w:pPr>
              <w:pStyle w:val="TekstTabeli"/>
            </w:pPr>
            <w:r w:rsidRPr="009F38EA">
              <w:t>65</w:t>
            </w:r>
          </w:p>
        </w:tc>
        <w:tc>
          <w:tcPr>
            <w:tcW w:w="4479" w:type="dxa"/>
            <w:noWrap/>
            <w:vAlign w:val="center"/>
            <w:hideMark/>
          </w:tcPr>
          <w:p w14:paraId="51AF59A8" w14:textId="77777777" w:rsidR="009F38EA" w:rsidRPr="009F38EA" w:rsidRDefault="009F38EA" w:rsidP="00B558B7">
            <w:pPr>
              <w:pStyle w:val="TekstTabeli"/>
            </w:pPr>
            <w:r w:rsidRPr="009F38EA">
              <w:t>educator</w:t>
            </w:r>
          </w:p>
        </w:tc>
        <w:tc>
          <w:tcPr>
            <w:tcW w:w="3969" w:type="dxa"/>
            <w:noWrap/>
            <w:vAlign w:val="center"/>
            <w:hideMark/>
          </w:tcPr>
          <w:p w14:paraId="4F0F6576" w14:textId="77777777" w:rsidR="009F38EA" w:rsidRPr="009F38EA" w:rsidRDefault="009F38EA" w:rsidP="00B558B7">
            <w:pPr>
              <w:pStyle w:val="TekstTabeli"/>
            </w:pPr>
            <w:r w:rsidRPr="009F38EA">
              <w:t>1</w:t>
            </w:r>
          </w:p>
        </w:tc>
      </w:tr>
      <w:tr w:rsidR="009F38EA" w:rsidRPr="009F38EA" w14:paraId="19BF3A7B" w14:textId="77777777" w:rsidTr="009F38EA">
        <w:trPr>
          <w:cantSplit/>
          <w:trHeight w:val="285"/>
        </w:trPr>
        <w:tc>
          <w:tcPr>
            <w:tcW w:w="567" w:type="dxa"/>
            <w:noWrap/>
            <w:vAlign w:val="center"/>
            <w:hideMark/>
          </w:tcPr>
          <w:p w14:paraId="494D43F8" w14:textId="77777777" w:rsidR="009F38EA" w:rsidRPr="009F38EA" w:rsidRDefault="009F38EA" w:rsidP="00B558B7">
            <w:pPr>
              <w:pStyle w:val="TekstTabeli"/>
            </w:pPr>
            <w:r w:rsidRPr="009F38EA">
              <w:t>66</w:t>
            </w:r>
          </w:p>
        </w:tc>
        <w:tc>
          <w:tcPr>
            <w:tcW w:w="4479" w:type="dxa"/>
            <w:noWrap/>
            <w:vAlign w:val="center"/>
            <w:hideMark/>
          </w:tcPr>
          <w:p w14:paraId="343558E9" w14:textId="77777777" w:rsidR="009F38EA" w:rsidRPr="009F38EA" w:rsidRDefault="009F38EA" w:rsidP="00B558B7">
            <w:pPr>
              <w:pStyle w:val="TekstTabeli"/>
            </w:pPr>
            <w:r w:rsidRPr="009F38EA">
              <w:t>educators</w:t>
            </w:r>
          </w:p>
        </w:tc>
        <w:tc>
          <w:tcPr>
            <w:tcW w:w="3969" w:type="dxa"/>
            <w:noWrap/>
            <w:vAlign w:val="center"/>
            <w:hideMark/>
          </w:tcPr>
          <w:p w14:paraId="7DA0B7FC" w14:textId="77777777" w:rsidR="009F38EA" w:rsidRPr="009F38EA" w:rsidRDefault="009F38EA" w:rsidP="00B558B7">
            <w:pPr>
              <w:pStyle w:val="TekstTabeli"/>
            </w:pPr>
            <w:r w:rsidRPr="009F38EA">
              <w:t>13</w:t>
            </w:r>
          </w:p>
        </w:tc>
      </w:tr>
      <w:tr w:rsidR="009F38EA" w:rsidRPr="009F38EA" w14:paraId="5C7E75D2" w14:textId="77777777" w:rsidTr="009F38EA">
        <w:trPr>
          <w:cantSplit/>
          <w:trHeight w:val="285"/>
        </w:trPr>
        <w:tc>
          <w:tcPr>
            <w:tcW w:w="567" w:type="dxa"/>
            <w:noWrap/>
            <w:vAlign w:val="center"/>
            <w:hideMark/>
          </w:tcPr>
          <w:p w14:paraId="583344F1" w14:textId="77777777" w:rsidR="009F38EA" w:rsidRPr="009F38EA" w:rsidRDefault="009F38EA" w:rsidP="00B558B7">
            <w:pPr>
              <w:pStyle w:val="TekstTabeli"/>
            </w:pPr>
            <w:r w:rsidRPr="009F38EA">
              <w:t>67</w:t>
            </w:r>
          </w:p>
        </w:tc>
        <w:tc>
          <w:tcPr>
            <w:tcW w:w="4479" w:type="dxa"/>
            <w:noWrap/>
            <w:vAlign w:val="center"/>
            <w:hideMark/>
          </w:tcPr>
          <w:p w14:paraId="41E8BD99" w14:textId="77777777" w:rsidR="009F38EA" w:rsidRPr="009F38EA" w:rsidRDefault="009F38EA" w:rsidP="00B558B7">
            <w:pPr>
              <w:pStyle w:val="TekstTabeli"/>
            </w:pPr>
            <w:r w:rsidRPr="009F38EA">
              <w:t>employee</w:t>
            </w:r>
          </w:p>
        </w:tc>
        <w:tc>
          <w:tcPr>
            <w:tcW w:w="3969" w:type="dxa"/>
            <w:noWrap/>
            <w:vAlign w:val="center"/>
            <w:hideMark/>
          </w:tcPr>
          <w:p w14:paraId="18BE6D94" w14:textId="77777777" w:rsidR="009F38EA" w:rsidRPr="009F38EA" w:rsidRDefault="009F38EA" w:rsidP="00B558B7">
            <w:pPr>
              <w:pStyle w:val="TekstTabeli"/>
            </w:pPr>
            <w:r w:rsidRPr="009F38EA">
              <w:t>15</w:t>
            </w:r>
          </w:p>
        </w:tc>
      </w:tr>
      <w:tr w:rsidR="009F38EA" w:rsidRPr="009F38EA" w14:paraId="36792A49" w14:textId="77777777" w:rsidTr="009F38EA">
        <w:trPr>
          <w:cantSplit/>
          <w:trHeight w:val="285"/>
        </w:trPr>
        <w:tc>
          <w:tcPr>
            <w:tcW w:w="567" w:type="dxa"/>
            <w:noWrap/>
            <w:vAlign w:val="center"/>
            <w:hideMark/>
          </w:tcPr>
          <w:p w14:paraId="7A7AD5D2" w14:textId="77777777" w:rsidR="009F38EA" w:rsidRPr="009F38EA" w:rsidRDefault="009F38EA" w:rsidP="00B558B7">
            <w:pPr>
              <w:pStyle w:val="TekstTabeli"/>
            </w:pPr>
            <w:r w:rsidRPr="009F38EA">
              <w:t>68</w:t>
            </w:r>
          </w:p>
        </w:tc>
        <w:tc>
          <w:tcPr>
            <w:tcW w:w="4479" w:type="dxa"/>
            <w:noWrap/>
            <w:vAlign w:val="center"/>
            <w:hideMark/>
          </w:tcPr>
          <w:p w14:paraId="5569E601" w14:textId="77777777" w:rsidR="009F38EA" w:rsidRPr="009F38EA" w:rsidRDefault="009F38EA" w:rsidP="00B558B7">
            <w:pPr>
              <w:pStyle w:val="TekstTabeli"/>
            </w:pPr>
            <w:r w:rsidRPr="009F38EA">
              <w:t>employer</w:t>
            </w:r>
          </w:p>
        </w:tc>
        <w:tc>
          <w:tcPr>
            <w:tcW w:w="3969" w:type="dxa"/>
            <w:noWrap/>
            <w:vAlign w:val="center"/>
            <w:hideMark/>
          </w:tcPr>
          <w:p w14:paraId="5AA992FF" w14:textId="77777777" w:rsidR="009F38EA" w:rsidRPr="009F38EA" w:rsidRDefault="009F38EA" w:rsidP="00B558B7">
            <w:pPr>
              <w:pStyle w:val="TekstTabeli"/>
            </w:pPr>
            <w:r w:rsidRPr="009F38EA">
              <w:t>2</w:t>
            </w:r>
          </w:p>
        </w:tc>
      </w:tr>
      <w:tr w:rsidR="009F38EA" w:rsidRPr="009F38EA" w14:paraId="45AB8528" w14:textId="77777777" w:rsidTr="009F38EA">
        <w:trPr>
          <w:cantSplit/>
          <w:trHeight w:val="285"/>
        </w:trPr>
        <w:tc>
          <w:tcPr>
            <w:tcW w:w="567" w:type="dxa"/>
            <w:noWrap/>
            <w:vAlign w:val="center"/>
            <w:hideMark/>
          </w:tcPr>
          <w:p w14:paraId="615810B4" w14:textId="77777777" w:rsidR="009F38EA" w:rsidRPr="009F38EA" w:rsidRDefault="009F38EA" w:rsidP="00B558B7">
            <w:pPr>
              <w:pStyle w:val="TekstTabeli"/>
            </w:pPr>
            <w:r w:rsidRPr="009F38EA">
              <w:t>69</w:t>
            </w:r>
          </w:p>
        </w:tc>
        <w:tc>
          <w:tcPr>
            <w:tcW w:w="4479" w:type="dxa"/>
            <w:noWrap/>
            <w:vAlign w:val="center"/>
            <w:hideMark/>
          </w:tcPr>
          <w:p w14:paraId="0A85AF99" w14:textId="77777777" w:rsidR="009F38EA" w:rsidRPr="009F38EA" w:rsidRDefault="009F38EA" w:rsidP="00B558B7">
            <w:pPr>
              <w:pStyle w:val="TekstTabeli"/>
            </w:pPr>
            <w:r w:rsidRPr="009F38EA">
              <w:t>employers</w:t>
            </w:r>
          </w:p>
        </w:tc>
        <w:tc>
          <w:tcPr>
            <w:tcW w:w="3969" w:type="dxa"/>
            <w:noWrap/>
            <w:vAlign w:val="center"/>
            <w:hideMark/>
          </w:tcPr>
          <w:p w14:paraId="45AE2AC4" w14:textId="77777777" w:rsidR="009F38EA" w:rsidRPr="009F38EA" w:rsidRDefault="009F38EA" w:rsidP="00B558B7">
            <w:pPr>
              <w:pStyle w:val="TekstTabeli"/>
            </w:pPr>
            <w:r w:rsidRPr="009F38EA">
              <w:t>15</w:t>
            </w:r>
          </w:p>
        </w:tc>
      </w:tr>
      <w:tr w:rsidR="009F38EA" w:rsidRPr="009F38EA" w14:paraId="6D86C27E" w14:textId="77777777" w:rsidTr="009F38EA">
        <w:trPr>
          <w:cantSplit/>
          <w:trHeight w:val="285"/>
        </w:trPr>
        <w:tc>
          <w:tcPr>
            <w:tcW w:w="567" w:type="dxa"/>
            <w:noWrap/>
            <w:vAlign w:val="center"/>
            <w:hideMark/>
          </w:tcPr>
          <w:p w14:paraId="60203535" w14:textId="77777777" w:rsidR="009F38EA" w:rsidRPr="009F38EA" w:rsidRDefault="009F38EA" w:rsidP="00B558B7">
            <w:pPr>
              <w:pStyle w:val="TekstTabeli"/>
            </w:pPr>
            <w:r w:rsidRPr="009F38EA">
              <w:t>70</w:t>
            </w:r>
          </w:p>
        </w:tc>
        <w:tc>
          <w:tcPr>
            <w:tcW w:w="4479" w:type="dxa"/>
            <w:noWrap/>
            <w:vAlign w:val="center"/>
            <w:hideMark/>
          </w:tcPr>
          <w:p w14:paraId="4EA61EC0" w14:textId="77777777" w:rsidR="009F38EA" w:rsidRPr="009F38EA" w:rsidRDefault="009F38EA" w:rsidP="00B558B7">
            <w:pPr>
              <w:pStyle w:val="TekstTabeli"/>
            </w:pPr>
            <w:r w:rsidRPr="009F38EA">
              <w:t>employers (current and future)</w:t>
            </w:r>
          </w:p>
        </w:tc>
        <w:tc>
          <w:tcPr>
            <w:tcW w:w="3969" w:type="dxa"/>
            <w:noWrap/>
            <w:vAlign w:val="center"/>
            <w:hideMark/>
          </w:tcPr>
          <w:p w14:paraId="55F68630" w14:textId="77777777" w:rsidR="009F38EA" w:rsidRPr="009F38EA" w:rsidRDefault="009F38EA" w:rsidP="00B558B7">
            <w:pPr>
              <w:pStyle w:val="TekstTabeli"/>
            </w:pPr>
            <w:r w:rsidRPr="009F38EA">
              <w:t>0</w:t>
            </w:r>
          </w:p>
        </w:tc>
      </w:tr>
      <w:tr w:rsidR="009F38EA" w:rsidRPr="009F38EA" w14:paraId="51CB06F0" w14:textId="77777777" w:rsidTr="009F38EA">
        <w:trPr>
          <w:cantSplit/>
          <w:trHeight w:val="285"/>
        </w:trPr>
        <w:tc>
          <w:tcPr>
            <w:tcW w:w="567" w:type="dxa"/>
            <w:noWrap/>
            <w:vAlign w:val="center"/>
            <w:hideMark/>
          </w:tcPr>
          <w:p w14:paraId="65E03A8E" w14:textId="77777777" w:rsidR="009F38EA" w:rsidRPr="009F38EA" w:rsidRDefault="009F38EA" w:rsidP="00B558B7">
            <w:pPr>
              <w:pStyle w:val="TekstTabeli"/>
            </w:pPr>
            <w:r w:rsidRPr="009F38EA">
              <w:t>71</w:t>
            </w:r>
          </w:p>
        </w:tc>
        <w:tc>
          <w:tcPr>
            <w:tcW w:w="4479" w:type="dxa"/>
            <w:noWrap/>
            <w:vAlign w:val="center"/>
            <w:hideMark/>
          </w:tcPr>
          <w:p w14:paraId="6633513F" w14:textId="77777777" w:rsidR="009F38EA" w:rsidRPr="009F38EA" w:rsidRDefault="009F38EA" w:rsidP="00B558B7">
            <w:pPr>
              <w:pStyle w:val="TekstTabeli"/>
            </w:pPr>
            <w:r w:rsidRPr="009F38EA">
              <w:t>employment agencies</w:t>
            </w:r>
          </w:p>
        </w:tc>
        <w:tc>
          <w:tcPr>
            <w:tcW w:w="3969" w:type="dxa"/>
            <w:noWrap/>
            <w:vAlign w:val="center"/>
            <w:hideMark/>
          </w:tcPr>
          <w:p w14:paraId="59C0BACC" w14:textId="77777777" w:rsidR="009F38EA" w:rsidRPr="009F38EA" w:rsidRDefault="009F38EA" w:rsidP="00B558B7">
            <w:pPr>
              <w:pStyle w:val="TekstTabeli"/>
            </w:pPr>
            <w:r w:rsidRPr="009F38EA">
              <w:t>0</w:t>
            </w:r>
          </w:p>
        </w:tc>
      </w:tr>
      <w:tr w:rsidR="009F38EA" w:rsidRPr="009F38EA" w14:paraId="2E823B3C" w14:textId="77777777" w:rsidTr="009F38EA">
        <w:trPr>
          <w:cantSplit/>
          <w:trHeight w:val="285"/>
        </w:trPr>
        <w:tc>
          <w:tcPr>
            <w:tcW w:w="567" w:type="dxa"/>
            <w:noWrap/>
            <w:vAlign w:val="center"/>
            <w:hideMark/>
          </w:tcPr>
          <w:p w14:paraId="74D6156D" w14:textId="77777777" w:rsidR="009F38EA" w:rsidRPr="009F38EA" w:rsidRDefault="009F38EA" w:rsidP="00B558B7">
            <w:pPr>
              <w:pStyle w:val="TekstTabeli"/>
            </w:pPr>
            <w:r w:rsidRPr="009F38EA">
              <w:t>72</w:t>
            </w:r>
          </w:p>
        </w:tc>
        <w:tc>
          <w:tcPr>
            <w:tcW w:w="4479" w:type="dxa"/>
            <w:noWrap/>
            <w:vAlign w:val="center"/>
            <w:hideMark/>
          </w:tcPr>
          <w:p w14:paraId="5400FA8C" w14:textId="77777777" w:rsidR="009F38EA" w:rsidRPr="009F38EA" w:rsidRDefault="009F38EA" w:rsidP="00B558B7">
            <w:pPr>
              <w:pStyle w:val="TekstTabeli"/>
            </w:pPr>
            <w:r w:rsidRPr="009F38EA">
              <w:t>faculty</w:t>
            </w:r>
          </w:p>
        </w:tc>
        <w:tc>
          <w:tcPr>
            <w:tcW w:w="3969" w:type="dxa"/>
            <w:noWrap/>
            <w:vAlign w:val="center"/>
            <w:hideMark/>
          </w:tcPr>
          <w:p w14:paraId="4498A1C1" w14:textId="77777777" w:rsidR="009F38EA" w:rsidRPr="009F38EA" w:rsidRDefault="009F38EA" w:rsidP="00B558B7">
            <w:pPr>
              <w:pStyle w:val="TekstTabeli"/>
            </w:pPr>
            <w:r w:rsidRPr="009F38EA">
              <w:t>35</w:t>
            </w:r>
          </w:p>
        </w:tc>
      </w:tr>
      <w:tr w:rsidR="009F38EA" w:rsidRPr="009F38EA" w14:paraId="0F667CE6" w14:textId="77777777" w:rsidTr="009F38EA">
        <w:trPr>
          <w:cantSplit/>
          <w:trHeight w:val="285"/>
        </w:trPr>
        <w:tc>
          <w:tcPr>
            <w:tcW w:w="567" w:type="dxa"/>
            <w:noWrap/>
            <w:vAlign w:val="center"/>
            <w:hideMark/>
          </w:tcPr>
          <w:p w14:paraId="552749A2" w14:textId="77777777" w:rsidR="009F38EA" w:rsidRPr="009F38EA" w:rsidRDefault="009F38EA" w:rsidP="00B558B7">
            <w:pPr>
              <w:pStyle w:val="TekstTabeli"/>
            </w:pPr>
            <w:r w:rsidRPr="009F38EA">
              <w:t>73</w:t>
            </w:r>
          </w:p>
        </w:tc>
        <w:tc>
          <w:tcPr>
            <w:tcW w:w="4479" w:type="dxa"/>
            <w:noWrap/>
            <w:vAlign w:val="center"/>
            <w:hideMark/>
          </w:tcPr>
          <w:p w14:paraId="5F40A7B6" w14:textId="77777777" w:rsidR="009F38EA" w:rsidRPr="009F38EA" w:rsidRDefault="009F38EA" w:rsidP="00B558B7">
            <w:pPr>
              <w:pStyle w:val="TekstTabeli"/>
            </w:pPr>
            <w:r w:rsidRPr="009F38EA">
              <w:t>faculty member</w:t>
            </w:r>
          </w:p>
        </w:tc>
        <w:tc>
          <w:tcPr>
            <w:tcW w:w="3969" w:type="dxa"/>
            <w:noWrap/>
            <w:vAlign w:val="center"/>
            <w:hideMark/>
          </w:tcPr>
          <w:p w14:paraId="4E6EE57B" w14:textId="77777777" w:rsidR="009F38EA" w:rsidRPr="009F38EA" w:rsidRDefault="009F38EA" w:rsidP="00B558B7">
            <w:pPr>
              <w:pStyle w:val="TekstTabeli"/>
            </w:pPr>
            <w:r w:rsidRPr="009F38EA">
              <w:t>17</w:t>
            </w:r>
          </w:p>
        </w:tc>
      </w:tr>
      <w:tr w:rsidR="009F38EA" w:rsidRPr="009F38EA" w14:paraId="1BE84AB4" w14:textId="77777777" w:rsidTr="009F38EA">
        <w:trPr>
          <w:cantSplit/>
          <w:trHeight w:val="285"/>
        </w:trPr>
        <w:tc>
          <w:tcPr>
            <w:tcW w:w="567" w:type="dxa"/>
            <w:noWrap/>
            <w:vAlign w:val="center"/>
            <w:hideMark/>
          </w:tcPr>
          <w:p w14:paraId="69D23588" w14:textId="77777777" w:rsidR="009F38EA" w:rsidRPr="009F38EA" w:rsidRDefault="009F38EA" w:rsidP="00B558B7">
            <w:pPr>
              <w:pStyle w:val="TekstTabeli"/>
            </w:pPr>
            <w:r w:rsidRPr="009F38EA">
              <w:t>74</w:t>
            </w:r>
          </w:p>
        </w:tc>
        <w:tc>
          <w:tcPr>
            <w:tcW w:w="4479" w:type="dxa"/>
            <w:noWrap/>
            <w:vAlign w:val="center"/>
            <w:hideMark/>
          </w:tcPr>
          <w:p w14:paraId="405C822A" w14:textId="77777777" w:rsidR="009F38EA" w:rsidRPr="009F38EA" w:rsidRDefault="009F38EA" w:rsidP="00B558B7">
            <w:pPr>
              <w:pStyle w:val="TekstTabeli"/>
            </w:pPr>
            <w:r w:rsidRPr="009F38EA">
              <w:t>faculty/staff</w:t>
            </w:r>
          </w:p>
        </w:tc>
        <w:tc>
          <w:tcPr>
            <w:tcW w:w="3969" w:type="dxa"/>
            <w:noWrap/>
            <w:vAlign w:val="center"/>
            <w:hideMark/>
          </w:tcPr>
          <w:p w14:paraId="37FA6458" w14:textId="77777777" w:rsidR="009F38EA" w:rsidRPr="009F38EA" w:rsidRDefault="009F38EA" w:rsidP="00B558B7">
            <w:pPr>
              <w:pStyle w:val="TekstTabeli"/>
            </w:pPr>
            <w:r w:rsidRPr="009F38EA">
              <w:t>1</w:t>
            </w:r>
          </w:p>
        </w:tc>
      </w:tr>
      <w:tr w:rsidR="009F38EA" w:rsidRPr="009F38EA" w14:paraId="55F0A6AD" w14:textId="77777777" w:rsidTr="009F38EA">
        <w:trPr>
          <w:cantSplit/>
          <w:trHeight w:val="285"/>
        </w:trPr>
        <w:tc>
          <w:tcPr>
            <w:tcW w:w="567" w:type="dxa"/>
            <w:noWrap/>
            <w:vAlign w:val="center"/>
            <w:hideMark/>
          </w:tcPr>
          <w:p w14:paraId="3986A0DA" w14:textId="77777777" w:rsidR="009F38EA" w:rsidRPr="009F38EA" w:rsidRDefault="009F38EA" w:rsidP="00B558B7">
            <w:pPr>
              <w:pStyle w:val="TekstTabeli"/>
            </w:pPr>
            <w:r w:rsidRPr="009F38EA">
              <w:t>75</w:t>
            </w:r>
          </w:p>
        </w:tc>
        <w:tc>
          <w:tcPr>
            <w:tcW w:w="4479" w:type="dxa"/>
            <w:noWrap/>
            <w:vAlign w:val="center"/>
            <w:hideMark/>
          </w:tcPr>
          <w:p w14:paraId="7CD58D47" w14:textId="77777777" w:rsidR="009F38EA" w:rsidRPr="009F38EA" w:rsidRDefault="009F38EA" w:rsidP="00B558B7">
            <w:pPr>
              <w:pStyle w:val="TekstTabeli"/>
            </w:pPr>
            <w:r w:rsidRPr="009F38EA">
              <w:t>faculty developer</w:t>
            </w:r>
          </w:p>
        </w:tc>
        <w:tc>
          <w:tcPr>
            <w:tcW w:w="3969" w:type="dxa"/>
            <w:noWrap/>
            <w:vAlign w:val="center"/>
            <w:hideMark/>
          </w:tcPr>
          <w:p w14:paraId="2799E4F1" w14:textId="77777777" w:rsidR="009F38EA" w:rsidRPr="009F38EA" w:rsidRDefault="009F38EA" w:rsidP="00B558B7">
            <w:pPr>
              <w:pStyle w:val="TekstTabeli"/>
            </w:pPr>
            <w:r w:rsidRPr="009F38EA">
              <w:t>1</w:t>
            </w:r>
          </w:p>
        </w:tc>
      </w:tr>
      <w:tr w:rsidR="009F38EA" w:rsidRPr="009F38EA" w14:paraId="7A635C87" w14:textId="77777777" w:rsidTr="009F38EA">
        <w:trPr>
          <w:cantSplit/>
          <w:trHeight w:val="285"/>
        </w:trPr>
        <w:tc>
          <w:tcPr>
            <w:tcW w:w="567" w:type="dxa"/>
            <w:noWrap/>
            <w:vAlign w:val="center"/>
            <w:hideMark/>
          </w:tcPr>
          <w:p w14:paraId="0C370C60" w14:textId="77777777" w:rsidR="009F38EA" w:rsidRPr="009F38EA" w:rsidRDefault="009F38EA" w:rsidP="00B558B7">
            <w:pPr>
              <w:pStyle w:val="TekstTabeli"/>
            </w:pPr>
            <w:r w:rsidRPr="009F38EA">
              <w:t>76</w:t>
            </w:r>
          </w:p>
        </w:tc>
        <w:tc>
          <w:tcPr>
            <w:tcW w:w="4479" w:type="dxa"/>
            <w:noWrap/>
            <w:vAlign w:val="center"/>
            <w:hideMark/>
          </w:tcPr>
          <w:p w14:paraId="36E263F7" w14:textId="77777777" w:rsidR="009F38EA" w:rsidRPr="009F38EA" w:rsidRDefault="009F38EA" w:rsidP="00B558B7">
            <w:pPr>
              <w:pStyle w:val="TekstTabeli"/>
            </w:pPr>
            <w:r w:rsidRPr="009F38EA">
              <w:t>faculty leaders</w:t>
            </w:r>
          </w:p>
        </w:tc>
        <w:tc>
          <w:tcPr>
            <w:tcW w:w="3969" w:type="dxa"/>
            <w:noWrap/>
            <w:vAlign w:val="center"/>
            <w:hideMark/>
          </w:tcPr>
          <w:p w14:paraId="2621D133" w14:textId="77777777" w:rsidR="009F38EA" w:rsidRPr="009F38EA" w:rsidRDefault="009F38EA" w:rsidP="00B558B7">
            <w:pPr>
              <w:pStyle w:val="TekstTabeli"/>
            </w:pPr>
            <w:r w:rsidRPr="009F38EA">
              <w:t>2</w:t>
            </w:r>
          </w:p>
        </w:tc>
      </w:tr>
      <w:tr w:rsidR="009F38EA" w:rsidRPr="009F38EA" w14:paraId="560B3587" w14:textId="77777777" w:rsidTr="009F38EA">
        <w:trPr>
          <w:cantSplit/>
          <w:trHeight w:val="285"/>
        </w:trPr>
        <w:tc>
          <w:tcPr>
            <w:tcW w:w="567" w:type="dxa"/>
            <w:noWrap/>
            <w:vAlign w:val="center"/>
            <w:hideMark/>
          </w:tcPr>
          <w:p w14:paraId="50E1A06D" w14:textId="77777777" w:rsidR="009F38EA" w:rsidRPr="009F38EA" w:rsidRDefault="009F38EA" w:rsidP="00B558B7">
            <w:pPr>
              <w:pStyle w:val="TekstTabeli"/>
            </w:pPr>
            <w:r w:rsidRPr="009F38EA">
              <w:t>77</w:t>
            </w:r>
          </w:p>
        </w:tc>
        <w:tc>
          <w:tcPr>
            <w:tcW w:w="4479" w:type="dxa"/>
            <w:noWrap/>
            <w:vAlign w:val="center"/>
            <w:hideMark/>
          </w:tcPr>
          <w:p w14:paraId="7AD45953" w14:textId="77777777" w:rsidR="009F38EA" w:rsidRPr="009F38EA" w:rsidRDefault="009F38EA" w:rsidP="00B558B7">
            <w:pPr>
              <w:pStyle w:val="TekstTabeli"/>
            </w:pPr>
            <w:r w:rsidRPr="009F38EA">
              <w:t>faculty decision makers</w:t>
            </w:r>
          </w:p>
        </w:tc>
        <w:tc>
          <w:tcPr>
            <w:tcW w:w="3969" w:type="dxa"/>
            <w:noWrap/>
            <w:vAlign w:val="center"/>
            <w:hideMark/>
          </w:tcPr>
          <w:p w14:paraId="3F73BC4A" w14:textId="77777777" w:rsidR="009F38EA" w:rsidRPr="009F38EA" w:rsidRDefault="009F38EA" w:rsidP="00B558B7">
            <w:pPr>
              <w:pStyle w:val="TekstTabeli"/>
            </w:pPr>
            <w:r w:rsidRPr="009F38EA">
              <w:t>1</w:t>
            </w:r>
          </w:p>
        </w:tc>
      </w:tr>
      <w:tr w:rsidR="009F38EA" w:rsidRPr="009F38EA" w14:paraId="343E8D4F" w14:textId="77777777" w:rsidTr="009F38EA">
        <w:trPr>
          <w:cantSplit/>
          <w:trHeight w:val="285"/>
        </w:trPr>
        <w:tc>
          <w:tcPr>
            <w:tcW w:w="567" w:type="dxa"/>
            <w:noWrap/>
            <w:vAlign w:val="center"/>
            <w:hideMark/>
          </w:tcPr>
          <w:p w14:paraId="0711634C" w14:textId="77777777" w:rsidR="009F38EA" w:rsidRPr="009F38EA" w:rsidRDefault="009F38EA" w:rsidP="00B558B7">
            <w:pPr>
              <w:pStyle w:val="TekstTabeli"/>
            </w:pPr>
            <w:r w:rsidRPr="009F38EA">
              <w:t>78</w:t>
            </w:r>
          </w:p>
        </w:tc>
        <w:tc>
          <w:tcPr>
            <w:tcW w:w="4479" w:type="dxa"/>
            <w:noWrap/>
            <w:vAlign w:val="center"/>
            <w:hideMark/>
          </w:tcPr>
          <w:p w14:paraId="411B19A0" w14:textId="77777777" w:rsidR="009F38EA" w:rsidRPr="009F38EA" w:rsidRDefault="009F38EA" w:rsidP="00B558B7">
            <w:pPr>
              <w:pStyle w:val="TekstTabeli"/>
            </w:pPr>
            <w:r w:rsidRPr="009F38EA">
              <w:t>faculty mentor</w:t>
            </w:r>
          </w:p>
        </w:tc>
        <w:tc>
          <w:tcPr>
            <w:tcW w:w="3969" w:type="dxa"/>
            <w:noWrap/>
            <w:vAlign w:val="center"/>
            <w:hideMark/>
          </w:tcPr>
          <w:p w14:paraId="47B2DFBF" w14:textId="77777777" w:rsidR="009F38EA" w:rsidRPr="009F38EA" w:rsidRDefault="009F38EA" w:rsidP="00B558B7">
            <w:pPr>
              <w:pStyle w:val="TekstTabeli"/>
            </w:pPr>
            <w:r w:rsidRPr="009F38EA">
              <w:t>1</w:t>
            </w:r>
          </w:p>
        </w:tc>
      </w:tr>
      <w:tr w:rsidR="009F38EA" w:rsidRPr="009F38EA" w14:paraId="66D2E02E" w14:textId="77777777" w:rsidTr="009F38EA">
        <w:trPr>
          <w:cantSplit/>
          <w:trHeight w:val="285"/>
        </w:trPr>
        <w:tc>
          <w:tcPr>
            <w:tcW w:w="567" w:type="dxa"/>
            <w:noWrap/>
            <w:vAlign w:val="center"/>
            <w:hideMark/>
          </w:tcPr>
          <w:p w14:paraId="5EBFF141" w14:textId="77777777" w:rsidR="009F38EA" w:rsidRPr="009F38EA" w:rsidRDefault="009F38EA" w:rsidP="00B558B7">
            <w:pPr>
              <w:pStyle w:val="TekstTabeli"/>
            </w:pPr>
            <w:r w:rsidRPr="009F38EA">
              <w:t>79</w:t>
            </w:r>
          </w:p>
        </w:tc>
        <w:tc>
          <w:tcPr>
            <w:tcW w:w="4479" w:type="dxa"/>
            <w:noWrap/>
            <w:vAlign w:val="center"/>
            <w:hideMark/>
          </w:tcPr>
          <w:p w14:paraId="0497377D" w14:textId="77777777" w:rsidR="009F38EA" w:rsidRPr="009F38EA" w:rsidRDefault="009F38EA" w:rsidP="00B558B7">
            <w:pPr>
              <w:pStyle w:val="TekstTabeli"/>
            </w:pPr>
            <w:r w:rsidRPr="009F38EA">
              <w:t>teaching faculty</w:t>
            </w:r>
          </w:p>
        </w:tc>
        <w:tc>
          <w:tcPr>
            <w:tcW w:w="3969" w:type="dxa"/>
            <w:noWrap/>
            <w:vAlign w:val="center"/>
            <w:hideMark/>
          </w:tcPr>
          <w:p w14:paraId="383866F7" w14:textId="77777777" w:rsidR="009F38EA" w:rsidRPr="009F38EA" w:rsidRDefault="009F38EA" w:rsidP="00B558B7">
            <w:pPr>
              <w:pStyle w:val="TekstTabeli"/>
            </w:pPr>
            <w:r w:rsidRPr="009F38EA">
              <w:t>1</w:t>
            </w:r>
          </w:p>
        </w:tc>
      </w:tr>
      <w:tr w:rsidR="009F38EA" w:rsidRPr="009F38EA" w14:paraId="6B0E7ECE" w14:textId="77777777" w:rsidTr="009F38EA">
        <w:trPr>
          <w:cantSplit/>
          <w:trHeight w:val="285"/>
        </w:trPr>
        <w:tc>
          <w:tcPr>
            <w:tcW w:w="567" w:type="dxa"/>
            <w:noWrap/>
            <w:vAlign w:val="center"/>
            <w:hideMark/>
          </w:tcPr>
          <w:p w14:paraId="42EF255E" w14:textId="77777777" w:rsidR="009F38EA" w:rsidRPr="009F38EA" w:rsidRDefault="009F38EA" w:rsidP="00B558B7">
            <w:pPr>
              <w:pStyle w:val="TekstTabeli"/>
            </w:pPr>
            <w:r w:rsidRPr="009F38EA">
              <w:t>80</w:t>
            </w:r>
          </w:p>
        </w:tc>
        <w:tc>
          <w:tcPr>
            <w:tcW w:w="4479" w:type="dxa"/>
            <w:noWrap/>
            <w:vAlign w:val="center"/>
            <w:hideMark/>
          </w:tcPr>
          <w:p w14:paraId="6B796D20" w14:textId="77777777" w:rsidR="009F38EA" w:rsidRPr="009F38EA" w:rsidRDefault="009F38EA" w:rsidP="00B558B7">
            <w:pPr>
              <w:pStyle w:val="TekstTabeli"/>
            </w:pPr>
            <w:r w:rsidRPr="009F38EA">
              <w:t>food supplier</w:t>
            </w:r>
          </w:p>
        </w:tc>
        <w:tc>
          <w:tcPr>
            <w:tcW w:w="3969" w:type="dxa"/>
            <w:noWrap/>
            <w:vAlign w:val="center"/>
            <w:hideMark/>
          </w:tcPr>
          <w:p w14:paraId="2C5C46A2" w14:textId="77777777" w:rsidR="009F38EA" w:rsidRPr="009F38EA" w:rsidRDefault="009F38EA" w:rsidP="00B558B7">
            <w:pPr>
              <w:pStyle w:val="TekstTabeli"/>
            </w:pPr>
            <w:r w:rsidRPr="009F38EA">
              <w:t>0</w:t>
            </w:r>
          </w:p>
        </w:tc>
      </w:tr>
      <w:tr w:rsidR="009F38EA" w:rsidRPr="009F38EA" w14:paraId="089A7DC2" w14:textId="77777777" w:rsidTr="009F38EA">
        <w:trPr>
          <w:cantSplit/>
          <w:trHeight w:val="285"/>
        </w:trPr>
        <w:tc>
          <w:tcPr>
            <w:tcW w:w="567" w:type="dxa"/>
            <w:noWrap/>
            <w:vAlign w:val="center"/>
            <w:hideMark/>
          </w:tcPr>
          <w:p w14:paraId="26238964" w14:textId="77777777" w:rsidR="009F38EA" w:rsidRPr="009F38EA" w:rsidRDefault="009F38EA" w:rsidP="00B558B7">
            <w:pPr>
              <w:pStyle w:val="TekstTabeli"/>
            </w:pPr>
            <w:r w:rsidRPr="009F38EA">
              <w:lastRenderedPageBreak/>
              <w:t>81</w:t>
            </w:r>
          </w:p>
        </w:tc>
        <w:tc>
          <w:tcPr>
            <w:tcW w:w="4479" w:type="dxa"/>
            <w:noWrap/>
            <w:vAlign w:val="center"/>
            <w:hideMark/>
          </w:tcPr>
          <w:p w14:paraId="3C5A922D" w14:textId="77777777" w:rsidR="009F38EA" w:rsidRPr="009F38EA" w:rsidRDefault="009F38EA" w:rsidP="00B558B7">
            <w:pPr>
              <w:pStyle w:val="TekstTabeli"/>
            </w:pPr>
            <w:r w:rsidRPr="009F38EA">
              <w:t>foundation</w:t>
            </w:r>
          </w:p>
        </w:tc>
        <w:tc>
          <w:tcPr>
            <w:tcW w:w="3969" w:type="dxa"/>
            <w:noWrap/>
            <w:vAlign w:val="center"/>
            <w:hideMark/>
          </w:tcPr>
          <w:p w14:paraId="79A6A1CF" w14:textId="77777777" w:rsidR="009F38EA" w:rsidRPr="009F38EA" w:rsidRDefault="009F38EA" w:rsidP="00B558B7">
            <w:pPr>
              <w:pStyle w:val="TekstTabeli"/>
            </w:pPr>
            <w:r w:rsidRPr="009F38EA">
              <w:t>1</w:t>
            </w:r>
          </w:p>
        </w:tc>
      </w:tr>
      <w:tr w:rsidR="009F38EA" w:rsidRPr="009F38EA" w14:paraId="61A85D1C" w14:textId="77777777" w:rsidTr="009F38EA">
        <w:trPr>
          <w:cantSplit/>
          <w:trHeight w:val="285"/>
        </w:trPr>
        <w:tc>
          <w:tcPr>
            <w:tcW w:w="567" w:type="dxa"/>
            <w:noWrap/>
            <w:vAlign w:val="center"/>
            <w:hideMark/>
          </w:tcPr>
          <w:p w14:paraId="29D7432F" w14:textId="77777777" w:rsidR="009F38EA" w:rsidRPr="009F38EA" w:rsidRDefault="009F38EA" w:rsidP="00B558B7">
            <w:pPr>
              <w:pStyle w:val="TekstTabeli"/>
            </w:pPr>
            <w:r w:rsidRPr="009F38EA">
              <w:t>82</w:t>
            </w:r>
          </w:p>
        </w:tc>
        <w:tc>
          <w:tcPr>
            <w:tcW w:w="4479" w:type="dxa"/>
            <w:noWrap/>
            <w:vAlign w:val="center"/>
            <w:hideMark/>
          </w:tcPr>
          <w:p w14:paraId="42393565" w14:textId="77777777" w:rsidR="009F38EA" w:rsidRPr="009F38EA" w:rsidRDefault="009F38EA" w:rsidP="00B558B7">
            <w:pPr>
              <w:pStyle w:val="TekstTabeli"/>
            </w:pPr>
            <w:r w:rsidRPr="009F38EA">
              <w:t>friends</w:t>
            </w:r>
          </w:p>
        </w:tc>
        <w:tc>
          <w:tcPr>
            <w:tcW w:w="3969" w:type="dxa"/>
            <w:noWrap/>
            <w:vAlign w:val="center"/>
            <w:hideMark/>
          </w:tcPr>
          <w:p w14:paraId="27C23CEF" w14:textId="77777777" w:rsidR="009F38EA" w:rsidRPr="009F38EA" w:rsidRDefault="009F38EA" w:rsidP="00B558B7">
            <w:pPr>
              <w:pStyle w:val="TekstTabeli"/>
            </w:pPr>
            <w:r w:rsidRPr="009F38EA">
              <w:t>2</w:t>
            </w:r>
          </w:p>
        </w:tc>
      </w:tr>
      <w:tr w:rsidR="009F38EA" w:rsidRPr="009F38EA" w14:paraId="689CB4A8" w14:textId="77777777" w:rsidTr="009F38EA">
        <w:trPr>
          <w:cantSplit/>
          <w:trHeight w:val="285"/>
        </w:trPr>
        <w:tc>
          <w:tcPr>
            <w:tcW w:w="567" w:type="dxa"/>
            <w:noWrap/>
            <w:vAlign w:val="center"/>
            <w:hideMark/>
          </w:tcPr>
          <w:p w14:paraId="1308F588" w14:textId="77777777" w:rsidR="009F38EA" w:rsidRPr="009F38EA" w:rsidRDefault="009F38EA" w:rsidP="00B558B7">
            <w:pPr>
              <w:pStyle w:val="TekstTabeli"/>
            </w:pPr>
            <w:r w:rsidRPr="009F38EA">
              <w:t>83</w:t>
            </w:r>
          </w:p>
        </w:tc>
        <w:tc>
          <w:tcPr>
            <w:tcW w:w="4479" w:type="dxa"/>
            <w:noWrap/>
            <w:vAlign w:val="center"/>
            <w:hideMark/>
          </w:tcPr>
          <w:p w14:paraId="59C02DA2" w14:textId="77777777" w:rsidR="009F38EA" w:rsidRPr="009F38EA" w:rsidRDefault="009F38EA" w:rsidP="00B558B7">
            <w:pPr>
              <w:pStyle w:val="TekstTabeli"/>
            </w:pPr>
            <w:r w:rsidRPr="009F38EA">
              <w:t>relatives</w:t>
            </w:r>
          </w:p>
        </w:tc>
        <w:tc>
          <w:tcPr>
            <w:tcW w:w="3969" w:type="dxa"/>
            <w:noWrap/>
            <w:vAlign w:val="center"/>
            <w:hideMark/>
          </w:tcPr>
          <w:p w14:paraId="3CA387C7" w14:textId="77777777" w:rsidR="009F38EA" w:rsidRPr="009F38EA" w:rsidRDefault="009F38EA" w:rsidP="00B558B7">
            <w:pPr>
              <w:pStyle w:val="TekstTabeli"/>
            </w:pPr>
            <w:r w:rsidRPr="009F38EA">
              <w:t>1</w:t>
            </w:r>
          </w:p>
        </w:tc>
      </w:tr>
      <w:tr w:rsidR="009F38EA" w:rsidRPr="009F38EA" w14:paraId="6078BC47" w14:textId="77777777" w:rsidTr="009F38EA">
        <w:trPr>
          <w:cantSplit/>
          <w:trHeight w:val="285"/>
        </w:trPr>
        <w:tc>
          <w:tcPr>
            <w:tcW w:w="567" w:type="dxa"/>
            <w:noWrap/>
            <w:vAlign w:val="center"/>
            <w:hideMark/>
          </w:tcPr>
          <w:p w14:paraId="5ECB894A" w14:textId="77777777" w:rsidR="009F38EA" w:rsidRPr="009F38EA" w:rsidRDefault="009F38EA" w:rsidP="00B558B7">
            <w:pPr>
              <w:pStyle w:val="TekstTabeli"/>
            </w:pPr>
            <w:r w:rsidRPr="009F38EA">
              <w:t>84</w:t>
            </w:r>
          </w:p>
        </w:tc>
        <w:tc>
          <w:tcPr>
            <w:tcW w:w="4479" w:type="dxa"/>
            <w:noWrap/>
            <w:vAlign w:val="center"/>
            <w:hideMark/>
          </w:tcPr>
          <w:p w14:paraId="415ECA2D" w14:textId="77777777" w:rsidR="009F38EA" w:rsidRPr="009F38EA" w:rsidRDefault="009F38EA" w:rsidP="00B558B7">
            <w:pPr>
              <w:pStyle w:val="TekstTabeli"/>
            </w:pPr>
            <w:r w:rsidRPr="009F38EA">
              <w:t>fund managers</w:t>
            </w:r>
          </w:p>
        </w:tc>
        <w:tc>
          <w:tcPr>
            <w:tcW w:w="3969" w:type="dxa"/>
            <w:noWrap/>
            <w:vAlign w:val="center"/>
            <w:hideMark/>
          </w:tcPr>
          <w:p w14:paraId="6C7F0892" w14:textId="77777777" w:rsidR="009F38EA" w:rsidRPr="009F38EA" w:rsidRDefault="009F38EA" w:rsidP="00B558B7">
            <w:pPr>
              <w:pStyle w:val="TekstTabeli"/>
            </w:pPr>
            <w:r w:rsidRPr="009F38EA">
              <w:t>0</w:t>
            </w:r>
          </w:p>
        </w:tc>
      </w:tr>
      <w:tr w:rsidR="009F38EA" w:rsidRPr="009F38EA" w14:paraId="1E8FA1E3" w14:textId="77777777" w:rsidTr="009F38EA">
        <w:trPr>
          <w:cantSplit/>
          <w:trHeight w:val="285"/>
        </w:trPr>
        <w:tc>
          <w:tcPr>
            <w:tcW w:w="567" w:type="dxa"/>
            <w:noWrap/>
            <w:vAlign w:val="center"/>
            <w:hideMark/>
          </w:tcPr>
          <w:p w14:paraId="12DBD7B9" w14:textId="77777777" w:rsidR="009F38EA" w:rsidRPr="009F38EA" w:rsidRDefault="009F38EA" w:rsidP="00B558B7">
            <w:pPr>
              <w:pStyle w:val="TekstTabeli"/>
            </w:pPr>
            <w:r w:rsidRPr="009F38EA">
              <w:t>85</w:t>
            </w:r>
          </w:p>
        </w:tc>
        <w:tc>
          <w:tcPr>
            <w:tcW w:w="4479" w:type="dxa"/>
            <w:noWrap/>
            <w:vAlign w:val="center"/>
            <w:hideMark/>
          </w:tcPr>
          <w:p w14:paraId="16EF8537" w14:textId="77777777" w:rsidR="009F38EA" w:rsidRPr="009F38EA" w:rsidRDefault="009F38EA" w:rsidP="00B558B7">
            <w:pPr>
              <w:pStyle w:val="TekstTabeli"/>
            </w:pPr>
            <w:r w:rsidRPr="009F38EA">
              <w:t>funder</w:t>
            </w:r>
          </w:p>
        </w:tc>
        <w:tc>
          <w:tcPr>
            <w:tcW w:w="3969" w:type="dxa"/>
            <w:noWrap/>
            <w:vAlign w:val="center"/>
            <w:hideMark/>
          </w:tcPr>
          <w:p w14:paraId="7DD63A83" w14:textId="77777777" w:rsidR="009F38EA" w:rsidRPr="009F38EA" w:rsidRDefault="009F38EA" w:rsidP="00B558B7">
            <w:pPr>
              <w:pStyle w:val="TekstTabeli"/>
            </w:pPr>
            <w:r w:rsidRPr="009F38EA">
              <w:t>2</w:t>
            </w:r>
          </w:p>
        </w:tc>
      </w:tr>
      <w:tr w:rsidR="009F38EA" w:rsidRPr="009F38EA" w14:paraId="1BB3B33E" w14:textId="77777777" w:rsidTr="009F38EA">
        <w:trPr>
          <w:cantSplit/>
          <w:trHeight w:val="285"/>
        </w:trPr>
        <w:tc>
          <w:tcPr>
            <w:tcW w:w="567" w:type="dxa"/>
            <w:noWrap/>
            <w:vAlign w:val="center"/>
            <w:hideMark/>
          </w:tcPr>
          <w:p w14:paraId="07424355" w14:textId="77777777" w:rsidR="009F38EA" w:rsidRPr="009F38EA" w:rsidRDefault="009F38EA" w:rsidP="00B558B7">
            <w:pPr>
              <w:pStyle w:val="TekstTabeli"/>
            </w:pPr>
            <w:r w:rsidRPr="009F38EA">
              <w:t>86</w:t>
            </w:r>
          </w:p>
        </w:tc>
        <w:tc>
          <w:tcPr>
            <w:tcW w:w="4479" w:type="dxa"/>
            <w:noWrap/>
            <w:vAlign w:val="center"/>
            <w:hideMark/>
          </w:tcPr>
          <w:p w14:paraId="141DBA65" w14:textId="77777777" w:rsidR="009F38EA" w:rsidRPr="009F38EA" w:rsidRDefault="009F38EA" w:rsidP="00B558B7">
            <w:pPr>
              <w:pStyle w:val="TekstTabeli"/>
            </w:pPr>
            <w:r w:rsidRPr="009F38EA">
              <w:t>funds</w:t>
            </w:r>
          </w:p>
        </w:tc>
        <w:tc>
          <w:tcPr>
            <w:tcW w:w="3969" w:type="dxa"/>
            <w:noWrap/>
            <w:vAlign w:val="center"/>
            <w:hideMark/>
          </w:tcPr>
          <w:p w14:paraId="5384761A" w14:textId="77777777" w:rsidR="009F38EA" w:rsidRPr="009F38EA" w:rsidRDefault="009F38EA" w:rsidP="00B558B7">
            <w:pPr>
              <w:pStyle w:val="TekstTabeli"/>
            </w:pPr>
            <w:r w:rsidRPr="009F38EA">
              <w:t>0</w:t>
            </w:r>
          </w:p>
        </w:tc>
      </w:tr>
      <w:tr w:rsidR="009F38EA" w:rsidRPr="009F38EA" w14:paraId="3DF69569" w14:textId="77777777" w:rsidTr="009F38EA">
        <w:trPr>
          <w:cantSplit/>
          <w:trHeight w:val="285"/>
        </w:trPr>
        <w:tc>
          <w:tcPr>
            <w:tcW w:w="567" w:type="dxa"/>
            <w:noWrap/>
            <w:vAlign w:val="center"/>
            <w:hideMark/>
          </w:tcPr>
          <w:p w14:paraId="57F0054C" w14:textId="77777777" w:rsidR="009F38EA" w:rsidRPr="009F38EA" w:rsidRDefault="009F38EA" w:rsidP="00B558B7">
            <w:pPr>
              <w:pStyle w:val="TekstTabeli"/>
            </w:pPr>
            <w:r w:rsidRPr="009F38EA">
              <w:t>87</w:t>
            </w:r>
          </w:p>
        </w:tc>
        <w:tc>
          <w:tcPr>
            <w:tcW w:w="4479" w:type="dxa"/>
            <w:noWrap/>
            <w:vAlign w:val="center"/>
            <w:hideMark/>
          </w:tcPr>
          <w:p w14:paraId="2E082228" w14:textId="77777777" w:rsidR="009F38EA" w:rsidRPr="009F38EA" w:rsidRDefault="009F38EA" w:rsidP="00B558B7">
            <w:pPr>
              <w:pStyle w:val="TekstTabeli"/>
            </w:pPr>
            <w:r w:rsidRPr="009F38EA">
              <w:t>private research funds</w:t>
            </w:r>
          </w:p>
        </w:tc>
        <w:tc>
          <w:tcPr>
            <w:tcW w:w="3969" w:type="dxa"/>
            <w:noWrap/>
            <w:vAlign w:val="center"/>
            <w:hideMark/>
          </w:tcPr>
          <w:p w14:paraId="09132171" w14:textId="77777777" w:rsidR="009F38EA" w:rsidRPr="009F38EA" w:rsidRDefault="009F38EA" w:rsidP="00B558B7">
            <w:pPr>
              <w:pStyle w:val="TekstTabeli"/>
            </w:pPr>
            <w:r w:rsidRPr="009F38EA">
              <w:t>1</w:t>
            </w:r>
          </w:p>
        </w:tc>
      </w:tr>
      <w:tr w:rsidR="009F38EA" w:rsidRPr="009F38EA" w14:paraId="4E6A4A19" w14:textId="77777777" w:rsidTr="009F38EA">
        <w:trPr>
          <w:cantSplit/>
          <w:trHeight w:val="285"/>
        </w:trPr>
        <w:tc>
          <w:tcPr>
            <w:tcW w:w="567" w:type="dxa"/>
            <w:noWrap/>
            <w:vAlign w:val="center"/>
            <w:hideMark/>
          </w:tcPr>
          <w:p w14:paraId="37CEC12D" w14:textId="77777777" w:rsidR="009F38EA" w:rsidRPr="009F38EA" w:rsidRDefault="009F38EA" w:rsidP="00B558B7">
            <w:pPr>
              <w:pStyle w:val="TekstTabeli"/>
            </w:pPr>
            <w:r w:rsidRPr="009F38EA">
              <w:t>88</w:t>
            </w:r>
          </w:p>
        </w:tc>
        <w:tc>
          <w:tcPr>
            <w:tcW w:w="4479" w:type="dxa"/>
            <w:noWrap/>
            <w:vAlign w:val="center"/>
            <w:hideMark/>
          </w:tcPr>
          <w:p w14:paraId="11D5A1A2" w14:textId="77777777" w:rsidR="009F38EA" w:rsidRPr="009F38EA" w:rsidRDefault="009F38EA" w:rsidP="00B558B7">
            <w:pPr>
              <w:pStyle w:val="TekstTabeli"/>
            </w:pPr>
            <w:r w:rsidRPr="009F38EA">
              <w:t>government</w:t>
            </w:r>
          </w:p>
        </w:tc>
        <w:tc>
          <w:tcPr>
            <w:tcW w:w="3969" w:type="dxa"/>
            <w:noWrap/>
            <w:vAlign w:val="center"/>
            <w:hideMark/>
          </w:tcPr>
          <w:p w14:paraId="4BA685DD" w14:textId="77777777" w:rsidR="009F38EA" w:rsidRPr="009F38EA" w:rsidRDefault="009F38EA" w:rsidP="00B558B7">
            <w:pPr>
              <w:pStyle w:val="TekstTabeli"/>
            </w:pPr>
            <w:r w:rsidRPr="009F38EA">
              <w:t>26</w:t>
            </w:r>
          </w:p>
        </w:tc>
      </w:tr>
      <w:tr w:rsidR="009F38EA" w:rsidRPr="009F38EA" w14:paraId="72B0D19E" w14:textId="77777777" w:rsidTr="009F38EA">
        <w:trPr>
          <w:cantSplit/>
          <w:trHeight w:val="285"/>
        </w:trPr>
        <w:tc>
          <w:tcPr>
            <w:tcW w:w="567" w:type="dxa"/>
            <w:noWrap/>
            <w:vAlign w:val="center"/>
            <w:hideMark/>
          </w:tcPr>
          <w:p w14:paraId="5EA9809D" w14:textId="77777777" w:rsidR="009F38EA" w:rsidRPr="009F38EA" w:rsidRDefault="009F38EA" w:rsidP="00B558B7">
            <w:pPr>
              <w:pStyle w:val="TekstTabeli"/>
            </w:pPr>
            <w:r w:rsidRPr="009F38EA">
              <w:t>89</w:t>
            </w:r>
          </w:p>
        </w:tc>
        <w:tc>
          <w:tcPr>
            <w:tcW w:w="4479" w:type="dxa"/>
            <w:noWrap/>
            <w:vAlign w:val="center"/>
            <w:hideMark/>
          </w:tcPr>
          <w:p w14:paraId="27B7F794" w14:textId="77777777" w:rsidR="009F38EA" w:rsidRPr="009F38EA" w:rsidRDefault="009F38EA" w:rsidP="00B558B7">
            <w:pPr>
              <w:pStyle w:val="TekstTabeli"/>
            </w:pPr>
            <w:r w:rsidRPr="009F38EA">
              <w:t>government officials</w:t>
            </w:r>
          </w:p>
        </w:tc>
        <w:tc>
          <w:tcPr>
            <w:tcW w:w="3969" w:type="dxa"/>
            <w:noWrap/>
            <w:vAlign w:val="center"/>
            <w:hideMark/>
          </w:tcPr>
          <w:p w14:paraId="57A1BBDC" w14:textId="77777777" w:rsidR="009F38EA" w:rsidRPr="009F38EA" w:rsidRDefault="009F38EA" w:rsidP="00B558B7">
            <w:pPr>
              <w:pStyle w:val="TekstTabeli"/>
            </w:pPr>
            <w:r w:rsidRPr="009F38EA">
              <w:t>2</w:t>
            </w:r>
          </w:p>
        </w:tc>
      </w:tr>
      <w:tr w:rsidR="009F38EA" w:rsidRPr="009F38EA" w14:paraId="63B3D6F6" w14:textId="77777777" w:rsidTr="009F38EA">
        <w:trPr>
          <w:cantSplit/>
          <w:trHeight w:val="285"/>
        </w:trPr>
        <w:tc>
          <w:tcPr>
            <w:tcW w:w="567" w:type="dxa"/>
            <w:noWrap/>
            <w:vAlign w:val="center"/>
            <w:hideMark/>
          </w:tcPr>
          <w:p w14:paraId="04668D6B" w14:textId="77777777" w:rsidR="009F38EA" w:rsidRPr="009F38EA" w:rsidRDefault="009F38EA" w:rsidP="00B558B7">
            <w:pPr>
              <w:pStyle w:val="TekstTabeli"/>
            </w:pPr>
            <w:r w:rsidRPr="009F38EA">
              <w:t>90</w:t>
            </w:r>
          </w:p>
        </w:tc>
        <w:tc>
          <w:tcPr>
            <w:tcW w:w="4479" w:type="dxa"/>
            <w:noWrap/>
            <w:vAlign w:val="center"/>
            <w:hideMark/>
          </w:tcPr>
          <w:p w14:paraId="6D4BEE73" w14:textId="77777777" w:rsidR="009F38EA" w:rsidRPr="009F38EA" w:rsidRDefault="009F38EA" w:rsidP="00B558B7">
            <w:pPr>
              <w:pStyle w:val="TekstTabeli"/>
            </w:pPr>
            <w:r w:rsidRPr="009F38EA">
              <w:t>government bodies</w:t>
            </w:r>
          </w:p>
        </w:tc>
        <w:tc>
          <w:tcPr>
            <w:tcW w:w="3969" w:type="dxa"/>
            <w:noWrap/>
            <w:vAlign w:val="center"/>
            <w:hideMark/>
          </w:tcPr>
          <w:p w14:paraId="1507B4E8" w14:textId="77777777" w:rsidR="009F38EA" w:rsidRPr="009F38EA" w:rsidRDefault="009F38EA" w:rsidP="00B558B7">
            <w:pPr>
              <w:pStyle w:val="TekstTabeli"/>
            </w:pPr>
            <w:r w:rsidRPr="009F38EA">
              <w:t>1</w:t>
            </w:r>
          </w:p>
        </w:tc>
      </w:tr>
      <w:tr w:rsidR="009F38EA" w:rsidRPr="009F38EA" w14:paraId="449FEE77" w14:textId="77777777" w:rsidTr="009F38EA">
        <w:trPr>
          <w:cantSplit/>
          <w:trHeight w:val="285"/>
        </w:trPr>
        <w:tc>
          <w:tcPr>
            <w:tcW w:w="567" w:type="dxa"/>
            <w:noWrap/>
            <w:vAlign w:val="center"/>
            <w:hideMark/>
          </w:tcPr>
          <w:p w14:paraId="054A7B6E" w14:textId="77777777" w:rsidR="009F38EA" w:rsidRPr="009F38EA" w:rsidRDefault="009F38EA" w:rsidP="00B558B7">
            <w:pPr>
              <w:pStyle w:val="TekstTabeli"/>
            </w:pPr>
            <w:r w:rsidRPr="009F38EA">
              <w:t>91</w:t>
            </w:r>
          </w:p>
        </w:tc>
        <w:tc>
          <w:tcPr>
            <w:tcW w:w="4479" w:type="dxa"/>
            <w:noWrap/>
            <w:vAlign w:val="center"/>
            <w:hideMark/>
          </w:tcPr>
          <w:p w14:paraId="156DD932" w14:textId="77777777" w:rsidR="009F38EA" w:rsidRPr="009F38EA" w:rsidRDefault="009F38EA" w:rsidP="00B558B7">
            <w:pPr>
              <w:pStyle w:val="TekstTabeli"/>
            </w:pPr>
            <w:r w:rsidRPr="009F38EA">
              <w:t>government institutions</w:t>
            </w:r>
          </w:p>
        </w:tc>
        <w:tc>
          <w:tcPr>
            <w:tcW w:w="3969" w:type="dxa"/>
            <w:noWrap/>
            <w:vAlign w:val="center"/>
            <w:hideMark/>
          </w:tcPr>
          <w:p w14:paraId="3232096A" w14:textId="77777777" w:rsidR="009F38EA" w:rsidRPr="009F38EA" w:rsidRDefault="009F38EA" w:rsidP="00B558B7">
            <w:pPr>
              <w:pStyle w:val="TekstTabeli"/>
            </w:pPr>
            <w:r w:rsidRPr="009F38EA">
              <w:t>1</w:t>
            </w:r>
          </w:p>
        </w:tc>
      </w:tr>
      <w:tr w:rsidR="009F38EA" w:rsidRPr="009F38EA" w14:paraId="30CC365F" w14:textId="77777777" w:rsidTr="009F38EA">
        <w:trPr>
          <w:cantSplit/>
          <w:trHeight w:val="285"/>
        </w:trPr>
        <w:tc>
          <w:tcPr>
            <w:tcW w:w="567" w:type="dxa"/>
            <w:noWrap/>
            <w:vAlign w:val="center"/>
            <w:hideMark/>
          </w:tcPr>
          <w:p w14:paraId="468C2598" w14:textId="77777777" w:rsidR="009F38EA" w:rsidRPr="009F38EA" w:rsidRDefault="009F38EA" w:rsidP="00B558B7">
            <w:pPr>
              <w:pStyle w:val="TekstTabeli"/>
            </w:pPr>
            <w:r w:rsidRPr="009F38EA">
              <w:t>92</w:t>
            </w:r>
          </w:p>
        </w:tc>
        <w:tc>
          <w:tcPr>
            <w:tcW w:w="4479" w:type="dxa"/>
            <w:noWrap/>
            <w:vAlign w:val="center"/>
            <w:hideMark/>
          </w:tcPr>
          <w:p w14:paraId="098B144F" w14:textId="77777777" w:rsidR="009F38EA" w:rsidRPr="009F38EA" w:rsidRDefault="009F38EA" w:rsidP="00B558B7">
            <w:pPr>
              <w:pStyle w:val="TekstTabeli"/>
            </w:pPr>
            <w:r w:rsidRPr="009F38EA">
              <w:t>governmental agencies</w:t>
            </w:r>
          </w:p>
        </w:tc>
        <w:tc>
          <w:tcPr>
            <w:tcW w:w="3969" w:type="dxa"/>
            <w:noWrap/>
            <w:vAlign w:val="center"/>
            <w:hideMark/>
          </w:tcPr>
          <w:p w14:paraId="3796D73E" w14:textId="77777777" w:rsidR="009F38EA" w:rsidRPr="009F38EA" w:rsidRDefault="009F38EA" w:rsidP="00B558B7">
            <w:pPr>
              <w:pStyle w:val="TekstTabeli"/>
            </w:pPr>
            <w:r w:rsidRPr="009F38EA">
              <w:t>2</w:t>
            </w:r>
          </w:p>
        </w:tc>
      </w:tr>
      <w:tr w:rsidR="009F38EA" w:rsidRPr="009F38EA" w14:paraId="5B4D8058" w14:textId="77777777" w:rsidTr="009F38EA">
        <w:trPr>
          <w:cantSplit/>
          <w:trHeight w:val="285"/>
        </w:trPr>
        <w:tc>
          <w:tcPr>
            <w:tcW w:w="567" w:type="dxa"/>
            <w:noWrap/>
            <w:vAlign w:val="center"/>
            <w:hideMark/>
          </w:tcPr>
          <w:p w14:paraId="254EB3FA" w14:textId="77777777" w:rsidR="009F38EA" w:rsidRPr="009F38EA" w:rsidRDefault="009F38EA" w:rsidP="00B558B7">
            <w:pPr>
              <w:pStyle w:val="TekstTabeli"/>
            </w:pPr>
            <w:r w:rsidRPr="009F38EA">
              <w:t>93</w:t>
            </w:r>
          </w:p>
        </w:tc>
        <w:tc>
          <w:tcPr>
            <w:tcW w:w="4479" w:type="dxa"/>
            <w:noWrap/>
            <w:vAlign w:val="center"/>
            <w:hideMark/>
          </w:tcPr>
          <w:p w14:paraId="575B5303" w14:textId="77777777" w:rsidR="009F38EA" w:rsidRPr="009F38EA" w:rsidRDefault="009F38EA" w:rsidP="00B558B7">
            <w:pPr>
              <w:pStyle w:val="TekstTabeli"/>
            </w:pPr>
            <w:r w:rsidRPr="009F38EA">
              <w:t>local government</w:t>
            </w:r>
          </w:p>
        </w:tc>
        <w:tc>
          <w:tcPr>
            <w:tcW w:w="3969" w:type="dxa"/>
            <w:noWrap/>
            <w:vAlign w:val="center"/>
            <w:hideMark/>
          </w:tcPr>
          <w:p w14:paraId="658C8815" w14:textId="77777777" w:rsidR="009F38EA" w:rsidRPr="009F38EA" w:rsidRDefault="009F38EA" w:rsidP="00B558B7">
            <w:pPr>
              <w:pStyle w:val="TekstTabeli"/>
            </w:pPr>
            <w:r w:rsidRPr="009F38EA">
              <w:t>3</w:t>
            </w:r>
          </w:p>
        </w:tc>
      </w:tr>
      <w:tr w:rsidR="009F38EA" w:rsidRPr="009F38EA" w14:paraId="52BE5E2C" w14:textId="77777777" w:rsidTr="009F38EA">
        <w:trPr>
          <w:cantSplit/>
          <w:trHeight w:val="285"/>
        </w:trPr>
        <w:tc>
          <w:tcPr>
            <w:tcW w:w="567" w:type="dxa"/>
            <w:noWrap/>
            <w:vAlign w:val="center"/>
            <w:hideMark/>
          </w:tcPr>
          <w:p w14:paraId="47418D54" w14:textId="77777777" w:rsidR="009F38EA" w:rsidRPr="009F38EA" w:rsidRDefault="009F38EA" w:rsidP="00B558B7">
            <w:pPr>
              <w:pStyle w:val="TekstTabeli"/>
            </w:pPr>
            <w:r w:rsidRPr="009F38EA">
              <w:t>94</w:t>
            </w:r>
          </w:p>
        </w:tc>
        <w:tc>
          <w:tcPr>
            <w:tcW w:w="4479" w:type="dxa"/>
            <w:noWrap/>
            <w:vAlign w:val="center"/>
            <w:hideMark/>
          </w:tcPr>
          <w:p w14:paraId="38D7B5CB" w14:textId="77777777" w:rsidR="009F38EA" w:rsidRPr="009F38EA" w:rsidRDefault="009F38EA" w:rsidP="00B558B7">
            <w:pPr>
              <w:pStyle w:val="TekstTabeli"/>
            </w:pPr>
            <w:r w:rsidRPr="009F38EA">
              <w:t>non-governmental</w:t>
            </w:r>
          </w:p>
        </w:tc>
        <w:tc>
          <w:tcPr>
            <w:tcW w:w="3969" w:type="dxa"/>
            <w:noWrap/>
            <w:vAlign w:val="center"/>
            <w:hideMark/>
          </w:tcPr>
          <w:p w14:paraId="46660443" w14:textId="77777777" w:rsidR="009F38EA" w:rsidRPr="009F38EA" w:rsidRDefault="009F38EA" w:rsidP="00B558B7">
            <w:pPr>
              <w:pStyle w:val="TekstTabeli"/>
            </w:pPr>
            <w:r w:rsidRPr="009F38EA">
              <w:t>3</w:t>
            </w:r>
          </w:p>
        </w:tc>
      </w:tr>
      <w:tr w:rsidR="009F38EA" w:rsidRPr="009F38EA" w14:paraId="423AFBB8" w14:textId="77777777" w:rsidTr="009F38EA">
        <w:trPr>
          <w:cantSplit/>
          <w:trHeight w:val="285"/>
        </w:trPr>
        <w:tc>
          <w:tcPr>
            <w:tcW w:w="567" w:type="dxa"/>
            <w:noWrap/>
            <w:vAlign w:val="center"/>
            <w:hideMark/>
          </w:tcPr>
          <w:p w14:paraId="6C2FA409" w14:textId="77777777" w:rsidR="009F38EA" w:rsidRPr="009F38EA" w:rsidRDefault="009F38EA" w:rsidP="00B558B7">
            <w:pPr>
              <w:pStyle w:val="TekstTabeli"/>
            </w:pPr>
            <w:r w:rsidRPr="009F38EA">
              <w:t>95</w:t>
            </w:r>
          </w:p>
        </w:tc>
        <w:tc>
          <w:tcPr>
            <w:tcW w:w="4479" w:type="dxa"/>
            <w:noWrap/>
            <w:vAlign w:val="center"/>
            <w:hideMark/>
          </w:tcPr>
          <w:p w14:paraId="7AB4D63E" w14:textId="77777777" w:rsidR="009F38EA" w:rsidRPr="009F38EA" w:rsidRDefault="009F38EA" w:rsidP="00B558B7">
            <w:pPr>
              <w:pStyle w:val="TekstTabeli"/>
            </w:pPr>
            <w:r w:rsidRPr="009F38EA">
              <w:t>national governing bodies</w:t>
            </w:r>
          </w:p>
        </w:tc>
        <w:tc>
          <w:tcPr>
            <w:tcW w:w="3969" w:type="dxa"/>
            <w:noWrap/>
            <w:vAlign w:val="center"/>
            <w:hideMark/>
          </w:tcPr>
          <w:p w14:paraId="068BF4CC" w14:textId="77777777" w:rsidR="009F38EA" w:rsidRPr="009F38EA" w:rsidRDefault="009F38EA" w:rsidP="00B558B7">
            <w:pPr>
              <w:pStyle w:val="TekstTabeli"/>
            </w:pPr>
            <w:r w:rsidRPr="009F38EA">
              <w:t>1</w:t>
            </w:r>
          </w:p>
        </w:tc>
      </w:tr>
      <w:tr w:rsidR="009F38EA" w:rsidRPr="009F38EA" w14:paraId="3836D354" w14:textId="77777777" w:rsidTr="009F38EA">
        <w:trPr>
          <w:cantSplit/>
          <w:trHeight w:val="285"/>
        </w:trPr>
        <w:tc>
          <w:tcPr>
            <w:tcW w:w="567" w:type="dxa"/>
            <w:noWrap/>
            <w:vAlign w:val="center"/>
            <w:hideMark/>
          </w:tcPr>
          <w:p w14:paraId="6BD791DD" w14:textId="77777777" w:rsidR="009F38EA" w:rsidRPr="009F38EA" w:rsidRDefault="009F38EA" w:rsidP="00B558B7">
            <w:pPr>
              <w:pStyle w:val="TekstTabeli"/>
            </w:pPr>
            <w:r w:rsidRPr="009F38EA">
              <w:t>96</w:t>
            </w:r>
          </w:p>
        </w:tc>
        <w:tc>
          <w:tcPr>
            <w:tcW w:w="4479" w:type="dxa"/>
            <w:noWrap/>
            <w:vAlign w:val="center"/>
            <w:hideMark/>
          </w:tcPr>
          <w:p w14:paraId="4803CB30" w14:textId="77777777" w:rsidR="009F38EA" w:rsidRPr="009F38EA" w:rsidRDefault="009F38EA" w:rsidP="00B558B7">
            <w:pPr>
              <w:pStyle w:val="TekstTabeli"/>
            </w:pPr>
            <w:r w:rsidRPr="009F38EA">
              <w:t>governing boards</w:t>
            </w:r>
          </w:p>
        </w:tc>
        <w:tc>
          <w:tcPr>
            <w:tcW w:w="3969" w:type="dxa"/>
            <w:noWrap/>
            <w:vAlign w:val="center"/>
            <w:hideMark/>
          </w:tcPr>
          <w:p w14:paraId="5496CCAC" w14:textId="77777777" w:rsidR="009F38EA" w:rsidRPr="009F38EA" w:rsidRDefault="009F38EA" w:rsidP="00B558B7">
            <w:pPr>
              <w:pStyle w:val="TekstTabeli"/>
            </w:pPr>
            <w:r w:rsidRPr="009F38EA">
              <w:t>2</w:t>
            </w:r>
          </w:p>
        </w:tc>
      </w:tr>
      <w:tr w:rsidR="009F38EA" w:rsidRPr="009F38EA" w14:paraId="798BB9BD" w14:textId="77777777" w:rsidTr="009F38EA">
        <w:trPr>
          <w:cantSplit/>
          <w:trHeight w:val="285"/>
        </w:trPr>
        <w:tc>
          <w:tcPr>
            <w:tcW w:w="567" w:type="dxa"/>
            <w:noWrap/>
            <w:vAlign w:val="center"/>
            <w:hideMark/>
          </w:tcPr>
          <w:p w14:paraId="2A56061F" w14:textId="77777777" w:rsidR="009F38EA" w:rsidRPr="009F38EA" w:rsidRDefault="009F38EA" w:rsidP="00B558B7">
            <w:pPr>
              <w:pStyle w:val="TekstTabeli"/>
            </w:pPr>
            <w:r w:rsidRPr="009F38EA">
              <w:t>97</w:t>
            </w:r>
          </w:p>
        </w:tc>
        <w:tc>
          <w:tcPr>
            <w:tcW w:w="4479" w:type="dxa"/>
            <w:noWrap/>
            <w:vAlign w:val="center"/>
            <w:hideMark/>
          </w:tcPr>
          <w:p w14:paraId="4135AD7A" w14:textId="77777777" w:rsidR="009F38EA" w:rsidRPr="009F38EA" w:rsidRDefault="009F38EA" w:rsidP="00B558B7">
            <w:pPr>
              <w:pStyle w:val="TekstTabeli"/>
            </w:pPr>
            <w:r w:rsidRPr="009F38EA">
              <w:t>governing agency</w:t>
            </w:r>
          </w:p>
        </w:tc>
        <w:tc>
          <w:tcPr>
            <w:tcW w:w="3969" w:type="dxa"/>
            <w:noWrap/>
            <w:vAlign w:val="center"/>
            <w:hideMark/>
          </w:tcPr>
          <w:p w14:paraId="434CEF78" w14:textId="77777777" w:rsidR="009F38EA" w:rsidRPr="009F38EA" w:rsidRDefault="009F38EA" w:rsidP="00B558B7">
            <w:pPr>
              <w:pStyle w:val="TekstTabeli"/>
            </w:pPr>
            <w:r w:rsidRPr="009F38EA">
              <w:t>1</w:t>
            </w:r>
          </w:p>
        </w:tc>
      </w:tr>
      <w:tr w:rsidR="009F38EA" w:rsidRPr="009F38EA" w14:paraId="22E648D6" w14:textId="77777777" w:rsidTr="009F38EA">
        <w:trPr>
          <w:cantSplit/>
          <w:trHeight w:val="285"/>
        </w:trPr>
        <w:tc>
          <w:tcPr>
            <w:tcW w:w="567" w:type="dxa"/>
            <w:noWrap/>
            <w:vAlign w:val="center"/>
            <w:hideMark/>
          </w:tcPr>
          <w:p w14:paraId="00617E20" w14:textId="77777777" w:rsidR="009F38EA" w:rsidRPr="009F38EA" w:rsidRDefault="009F38EA" w:rsidP="00B558B7">
            <w:pPr>
              <w:pStyle w:val="TekstTabeli"/>
            </w:pPr>
            <w:r w:rsidRPr="009F38EA">
              <w:t>98</w:t>
            </w:r>
          </w:p>
        </w:tc>
        <w:tc>
          <w:tcPr>
            <w:tcW w:w="4479" w:type="dxa"/>
            <w:noWrap/>
            <w:vAlign w:val="center"/>
            <w:hideMark/>
          </w:tcPr>
          <w:p w14:paraId="37304BD8" w14:textId="77777777" w:rsidR="009F38EA" w:rsidRPr="009F38EA" w:rsidRDefault="009F38EA" w:rsidP="00B558B7">
            <w:pPr>
              <w:pStyle w:val="TekstTabeli"/>
            </w:pPr>
            <w:r w:rsidRPr="009F38EA">
              <w:t>graduate</w:t>
            </w:r>
          </w:p>
        </w:tc>
        <w:tc>
          <w:tcPr>
            <w:tcW w:w="3969" w:type="dxa"/>
            <w:noWrap/>
            <w:vAlign w:val="center"/>
            <w:hideMark/>
          </w:tcPr>
          <w:p w14:paraId="52DA7C7A" w14:textId="77777777" w:rsidR="009F38EA" w:rsidRPr="009F38EA" w:rsidRDefault="009F38EA" w:rsidP="00B558B7">
            <w:pPr>
              <w:pStyle w:val="TekstTabeli"/>
            </w:pPr>
            <w:r w:rsidRPr="009F38EA">
              <w:t>6</w:t>
            </w:r>
          </w:p>
        </w:tc>
      </w:tr>
      <w:tr w:rsidR="009F38EA" w:rsidRPr="009F38EA" w14:paraId="2420DC68" w14:textId="77777777" w:rsidTr="009F38EA">
        <w:trPr>
          <w:cantSplit/>
          <w:trHeight w:val="285"/>
        </w:trPr>
        <w:tc>
          <w:tcPr>
            <w:tcW w:w="567" w:type="dxa"/>
            <w:noWrap/>
            <w:vAlign w:val="center"/>
            <w:hideMark/>
          </w:tcPr>
          <w:p w14:paraId="7784FE86" w14:textId="77777777" w:rsidR="009F38EA" w:rsidRPr="009F38EA" w:rsidRDefault="009F38EA" w:rsidP="00B558B7">
            <w:pPr>
              <w:pStyle w:val="TekstTabeli"/>
            </w:pPr>
            <w:r w:rsidRPr="009F38EA">
              <w:t>99</w:t>
            </w:r>
          </w:p>
        </w:tc>
        <w:tc>
          <w:tcPr>
            <w:tcW w:w="4479" w:type="dxa"/>
            <w:noWrap/>
            <w:vAlign w:val="center"/>
            <w:hideMark/>
          </w:tcPr>
          <w:p w14:paraId="44255124" w14:textId="77777777" w:rsidR="009F38EA" w:rsidRPr="009F38EA" w:rsidRDefault="009F38EA" w:rsidP="00B558B7">
            <w:pPr>
              <w:pStyle w:val="TekstTabeli"/>
            </w:pPr>
            <w:r w:rsidRPr="009F38EA">
              <w:t>graduates</w:t>
            </w:r>
          </w:p>
        </w:tc>
        <w:tc>
          <w:tcPr>
            <w:tcW w:w="3969" w:type="dxa"/>
            <w:noWrap/>
            <w:vAlign w:val="center"/>
            <w:hideMark/>
          </w:tcPr>
          <w:p w14:paraId="66A6B2A9" w14:textId="77777777" w:rsidR="009F38EA" w:rsidRPr="009F38EA" w:rsidRDefault="009F38EA" w:rsidP="00B558B7">
            <w:pPr>
              <w:pStyle w:val="TekstTabeli"/>
            </w:pPr>
            <w:r w:rsidRPr="009F38EA">
              <w:t>26</w:t>
            </w:r>
          </w:p>
        </w:tc>
      </w:tr>
      <w:tr w:rsidR="009F38EA" w:rsidRPr="009F38EA" w14:paraId="44973738" w14:textId="77777777" w:rsidTr="009F38EA">
        <w:trPr>
          <w:cantSplit/>
          <w:trHeight w:val="285"/>
        </w:trPr>
        <w:tc>
          <w:tcPr>
            <w:tcW w:w="567" w:type="dxa"/>
            <w:noWrap/>
            <w:vAlign w:val="center"/>
            <w:hideMark/>
          </w:tcPr>
          <w:p w14:paraId="1BB4418C" w14:textId="77777777" w:rsidR="009F38EA" w:rsidRPr="009F38EA" w:rsidRDefault="009F38EA" w:rsidP="00B558B7">
            <w:pPr>
              <w:pStyle w:val="TekstTabeli"/>
            </w:pPr>
            <w:r w:rsidRPr="009F38EA">
              <w:t>100</w:t>
            </w:r>
          </w:p>
        </w:tc>
        <w:tc>
          <w:tcPr>
            <w:tcW w:w="4479" w:type="dxa"/>
            <w:noWrap/>
            <w:vAlign w:val="center"/>
            <w:hideMark/>
          </w:tcPr>
          <w:p w14:paraId="6D436170" w14:textId="77777777" w:rsidR="009F38EA" w:rsidRPr="009F38EA" w:rsidRDefault="009F38EA" w:rsidP="00B558B7">
            <w:pPr>
              <w:pStyle w:val="TekstTabeli"/>
            </w:pPr>
            <w:r w:rsidRPr="009F38EA">
              <w:t>graduate student</w:t>
            </w:r>
          </w:p>
        </w:tc>
        <w:tc>
          <w:tcPr>
            <w:tcW w:w="3969" w:type="dxa"/>
            <w:noWrap/>
            <w:vAlign w:val="center"/>
            <w:hideMark/>
          </w:tcPr>
          <w:p w14:paraId="4CFDEDC3" w14:textId="77777777" w:rsidR="009F38EA" w:rsidRPr="009F38EA" w:rsidRDefault="009F38EA" w:rsidP="00B558B7">
            <w:pPr>
              <w:pStyle w:val="TekstTabeli"/>
            </w:pPr>
            <w:r w:rsidRPr="009F38EA">
              <w:t>6</w:t>
            </w:r>
          </w:p>
        </w:tc>
      </w:tr>
      <w:tr w:rsidR="009F38EA" w:rsidRPr="009F38EA" w14:paraId="0BD66874" w14:textId="77777777" w:rsidTr="009F38EA">
        <w:trPr>
          <w:cantSplit/>
          <w:trHeight w:val="285"/>
        </w:trPr>
        <w:tc>
          <w:tcPr>
            <w:tcW w:w="567" w:type="dxa"/>
            <w:noWrap/>
            <w:vAlign w:val="center"/>
            <w:hideMark/>
          </w:tcPr>
          <w:p w14:paraId="782E2FF7" w14:textId="77777777" w:rsidR="009F38EA" w:rsidRPr="009F38EA" w:rsidRDefault="009F38EA" w:rsidP="00B558B7">
            <w:pPr>
              <w:pStyle w:val="TekstTabeli"/>
            </w:pPr>
            <w:r w:rsidRPr="009F38EA">
              <w:t>101</w:t>
            </w:r>
          </w:p>
        </w:tc>
        <w:tc>
          <w:tcPr>
            <w:tcW w:w="4479" w:type="dxa"/>
            <w:noWrap/>
            <w:vAlign w:val="center"/>
            <w:hideMark/>
          </w:tcPr>
          <w:p w14:paraId="1EF301A8" w14:textId="77777777" w:rsidR="009F38EA" w:rsidRPr="009F38EA" w:rsidRDefault="009F38EA" w:rsidP="00B558B7">
            <w:pPr>
              <w:pStyle w:val="TekstTabeli"/>
            </w:pPr>
            <w:r w:rsidRPr="009F38EA">
              <w:t>graduate intern</w:t>
            </w:r>
          </w:p>
        </w:tc>
        <w:tc>
          <w:tcPr>
            <w:tcW w:w="3969" w:type="dxa"/>
            <w:noWrap/>
            <w:vAlign w:val="center"/>
            <w:hideMark/>
          </w:tcPr>
          <w:p w14:paraId="6B93454C" w14:textId="77777777" w:rsidR="009F38EA" w:rsidRPr="009F38EA" w:rsidRDefault="009F38EA" w:rsidP="00B558B7">
            <w:pPr>
              <w:pStyle w:val="TekstTabeli"/>
            </w:pPr>
            <w:r w:rsidRPr="009F38EA">
              <w:t>1</w:t>
            </w:r>
          </w:p>
        </w:tc>
      </w:tr>
      <w:tr w:rsidR="009F38EA" w:rsidRPr="009F38EA" w14:paraId="56572D08" w14:textId="77777777" w:rsidTr="009F38EA">
        <w:trPr>
          <w:cantSplit/>
          <w:trHeight w:val="285"/>
        </w:trPr>
        <w:tc>
          <w:tcPr>
            <w:tcW w:w="567" w:type="dxa"/>
            <w:noWrap/>
            <w:vAlign w:val="center"/>
            <w:hideMark/>
          </w:tcPr>
          <w:p w14:paraId="3B71D6B9" w14:textId="77777777" w:rsidR="009F38EA" w:rsidRPr="009F38EA" w:rsidRDefault="009F38EA" w:rsidP="00B558B7">
            <w:pPr>
              <w:pStyle w:val="TekstTabeli"/>
            </w:pPr>
            <w:r w:rsidRPr="009F38EA">
              <w:t>102</w:t>
            </w:r>
          </w:p>
        </w:tc>
        <w:tc>
          <w:tcPr>
            <w:tcW w:w="4479" w:type="dxa"/>
            <w:noWrap/>
            <w:vAlign w:val="center"/>
            <w:hideMark/>
          </w:tcPr>
          <w:p w14:paraId="194753F9" w14:textId="77777777" w:rsidR="009F38EA" w:rsidRPr="009F38EA" w:rsidRDefault="009F38EA" w:rsidP="00B558B7">
            <w:pPr>
              <w:pStyle w:val="TekstTabeli"/>
            </w:pPr>
            <w:r w:rsidRPr="009F38EA">
              <w:t>undergraduate</w:t>
            </w:r>
          </w:p>
        </w:tc>
        <w:tc>
          <w:tcPr>
            <w:tcW w:w="3969" w:type="dxa"/>
            <w:noWrap/>
            <w:vAlign w:val="center"/>
            <w:hideMark/>
          </w:tcPr>
          <w:p w14:paraId="606D25FC" w14:textId="77777777" w:rsidR="009F38EA" w:rsidRPr="009F38EA" w:rsidRDefault="009F38EA" w:rsidP="00B558B7">
            <w:pPr>
              <w:pStyle w:val="TekstTabeli"/>
            </w:pPr>
            <w:r w:rsidRPr="009F38EA">
              <w:t>4</w:t>
            </w:r>
          </w:p>
        </w:tc>
      </w:tr>
      <w:tr w:rsidR="009F38EA" w:rsidRPr="009F38EA" w14:paraId="0108F872" w14:textId="77777777" w:rsidTr="009F38EA">
        <w:trPr>
          <w:cantSplit/>
          <w:trHeight w:val="285"/>
        </w:trPr>
        <w:tc>
          <w:tcPr>
            <w:tcW w:w="567" w:type="dxa"/>
            <w:noWrap/>
            <w:vAlign w:val="center"/>
            <w:hideMark/>
          </w:tcPr>
          <w:p w14:paraId="696768BD" w14:textId="77777777" w:rsidR="009F38EA" w:rsidRPr="009F38EA" w:rsidRDefault="009F38EA" w:rsidP="00B558B7">
            <w:pPr>
              <w:pStyle w:val="TekstTabeli"/>
            </w:pPr>
            <w:r w:rsidRPr="009F38EA">
              <w:t>103</w:t>
            </w:r>
          </w:p>
        </w:tc>
        <w:tc>
          <w:tcPr>
            <w:tcW w:w="4479" w:type="dxa"/>
            <w:noWrap/>
            <w:vAlign w:val="center"/>
            <w:hideMark/>
          </w:tcPr>
          <w:p w14:paraId="3F2A1CE3" w14:textId="77777777" w:rsidR="009F38EA" w:rsidRPr="009F38EA" w:rsidRDefault="009F38EA" w:rsidP="00B558B7">
            <w:pPr>
              <w:pStyle w:val="TekstTabeli"/>
            </w:pPr>
            <w:r w:rsidRPr="009F38EA">
              <w:t>undergraduate student</w:t>
            </w:r>
          </w:p>
        </w:tc>
        <w:tc>
          <w:tcPr>
            <w:tcW w:w="3969" w:type="dxa"/>
            <w:noWrap/>
            <w:vAlign w:val="center"/>
            <w:hideMark/>
          </w:tcPr>
          <w:p w14:paraId="4DA2FE77" w14:textId="77777777" w:rsidR="009F38EA" w:rsidRPr="009F38EA" w:rsidRDefault="009F38EA" w:rsidP="00B558B7">
            <w:pPr>
              <w:pStyle w:val="TekstTabeli"/>
            </w:pPr>
            <w:r w:rsidRPr="009F38EA">
              <w:t>11</w:t>
            </w:r>
          </w:p>
        </w:tc>
      </w:tr>
      <w:tr w:rsidR="009F38EA" w:rsidRPr="009F38EA" w14:paraId="1A7C4837" w14:textId="77777777" w:rsidTr="009F38EA">
        <w:trPr>
          <w:cantSplit/>
          <w:trHeight w:val="285"/>
        </w:trPr>
        <w:tc>
          <w:tcPr>
            <w:tcW w:w="567" w:type="dxa"/>
            <w:noWrap/>
            <w:vAlign w:val="center"/>
            <w:hideMark/>
          </w:tcPr>
          <w:p w14:paraId="502FDF64" w14:textId="77777777" w:rsidR="009F38EA" w:rsidRPr="009F38EA" w:rsidRDefault="009F38EA" w:rsidP="00B558B7">
            <w:pPr>
              <w:pStyle w:val="TekstTabeli"/>
            </w:pPr>
            <w:r w:rsidRPr="009F38EA">
              <w:t>104</w:t>
            </w:r>
          </w:p>
        </w:tc>
        <w:tc>
          <w:tcPr>
            <w:tcW w:w="4479" w:type="dxa"/>
            <w:noWrap/>
            <w:vAlign w:val="center"/>
            <w:hideMark/>
          </w:tcPr>
          <w:p w14:paraId="5799DF16" w14:textId="77777777" w:rsidR="009F38EA" w:rsidRPr="009F38EA" w:rsidRDefault="009F38EA" w:rsidP="00B558B7">
            <w:pPr>
              <w:pStyle w:val="TekstTabeli"/>
            </w:pPr>
            <w:r w:rsidRPr="009F38EA">
              <w:t>undergraduate engineering student</w:t>
            </w:r>
          </w:p>
        </w:tc>
        <w:tc>
          <w:tcPr>
            <w:tcW w:w="3969" w:type="dxa"/>
            <w:noWrap/>
            <w:vAlign w:val="center"/>
            <w:hideMark/>
          </w:tcPr>
          <w:p w14:paraId="4510398A" w14:textId="77777777" w:rsidR="009F38EA" w:rsidRPr="009F38EA" w:rsidRDefault="009F38EA" w:rsidP="00B558B7">
            <w:pPr>
              <w:pStyle w:val="TekstTabeli"/>
            </w:pPr>
            <w:r w:rsidRPr="009F38EA">
              <w:t>1</w:t>
            </w:r>
          </w:p>
        </w:tc>
      </w:tr>
      <w:tr w:rsidR="009F38EA" w:rsidRPr="009F38EA" w14:paraId="12287656" w14:textId="77777777" w:rsidTr="009F38EA">
        <w:trPr>
          <w:cantSplit/>
          <w:trHeight w:val="285"/>
        </w:trPr>
        <w:tc>
          <w:tcPr>
            <w:tcW w:w="567" w:type="dxa"/>
            <w:noWrap/>
            <w:vAlign w:val="center"/>
            <w:hideMark/>
          </w:tcPr>
          <w:p w14:paraId="2CEB1ABB" w14:textId="77777777" w:rsidR="009F38EA" w:rsidRPr="009F38EA" w:rsidRDefault="009F38EA" w:rsidP="00B558B7">
            <w:pPr>
              <w:pStyle w:val="TekstTabeli"/>
            </w:pPr>
            <w:r w:rsidRPr="009F38EA">
              <w:t>105</w:t>
            </w:r>
          </w:p>
        </w:tc>
        <w:tc>
          <w:tcPr>
            <w:tcW w:w="4479" w:type="dxa"/>
            <w:noWrap/>
            <w:vAlign w:val="center"/>
            <w:hideMark/>
          </w:tcPr>
          <w:p w14:paraId="526D4CFA" w14:textId="77777777" w:rsidR="009F38EA" w:rsidRPr="009F38EA" w:rsidRDefault="009F38EA" w:rsidP="00B558B7">
            <w:pPr>
              <w:pStyle w:val="TekstTabeli"/>
            </w:pPr>
            <w:r w:rsidRPr="009F38EA">
              <w:t>undergraduates</w:t>
            </w:r>
          </w:p>
        </w:tc>
        <w:tc>
          <w:tcPr>
            <w:tcW w:w="3969" w:type="dxa"/>
            <w:noWrap/>
            <w:vAlign w:val="center"/>
            <w:hideMark/>
          </w:tcPr>
          <w:p w14:paraId="462EF2E1" w14:textId="77777777" w:rsidR="009F38EA" w:rsidRPr="009F38EA" w:rsidRDefault="009F38EA" w:rsidP="00B558B7">
            <w:pPr>
              <w:pStyle w:val="TekstTabeli"/>
            </w:pPr>
            <w:r w:rsidRPr="009F38EA">
              <w:t>4</w:t>
            </w:r>
          </w:p>
        </w:tc>
      </w:tr>
      <w:tr w:rsidR="009F38EA" w:rsidRPr="009F38EA" w14:paraId="099EDADA" w14:textId="77777777" w:rsidTr="009F38EA">
        <w:trPr>
          <w:cantSplit/>
          <w:trHeight w:val="285"/>
        </w:trPr>
        <w:tc>
          <w:tcPr>
            <w:tcW w:w="567" w:type="dxa"/>
            <w:noWrap/>
            <w:vAlign w:val="center"/>
            <w:hideMark/>
          </w:tcPr>
          <w:p w14:paraId="3550777E" w14:textId="77777777" w:rsidR="009F38EA" w:rsidRPr="009F38EA" w:rsidRDefault="009F38EA" w:rsidP="00B558B7">
            <w:pPr>
              <w:pStyle w:val="TekstTabeli"/>
            </w:pPr>
            <w:r w:rsidRPr="009F38EA">
              <w:t>106</w:t>
            </w:r>
          </w:p>
        </w:tc>
        <w:tc>
          <w:tcPr>
            <w:tcW w:w="4479" w:type="dxa"/>
            <w:noWrap/>
            <w:vAlign w:val="center"/>
            <w:hideMark/>
          </w:tcPr>
          <w:p w14:paraId="6B04E3BA" w14:textId="77777777" w:rsidR="009F38EA" w:rsidRPr="009F38EA" w:rsidRDefault="009F38EA" w:rsidP="00B558B7">
            <w:pPr>
              <w:pStyle w:val="TekstTabeli"/>
            </w:pPr>
            <w:r w:rsidRPr="009F38EA">
              <w:t>postgraduate students</w:t>
            </w:r>
          </w:p>
        </w:tc>
        <w:tc>
          <w:tcPr>
            <w:tcW w:w="3969" w:type="dxa"/>
            <w:noWrap/>
            <w:vAlign w:val="center"/>
            <w:hideMark/>
          </w:tcPr>
          <w:p w14:paraId="35A1574C" w14:textId="77777777" w:rsidR="009F38EA" w:rsidRPr="009F38EA" w:rsidRDefault="009F38EA" w:rsidP="00B558B7">
            <w:pPr>
              <w:pStyle w:val="TekstTabeli"/>
            </w:pPr>
            <w:r w:rsidRPr="009F38EA">
              <w:t>2</w:t>
            </w:r>
          </w:p>
        </w:tc>
      </w:tr>
      <w:tr w:rsidR="009F38EA" w:rsidRPr="009F38EA" w14:paraId="48143564" w14:textId="77777777" w:rsidTr="009F38EA">
        <w:trPr>
          <w:cantSplit/>
          <w:trHeight w:val="285"/>
        </w:trPr>
        <w:tc>
          <w:tcPr>
            <w:tcW w:w="567" w:type="dxa"/>
            <w:noWrap/>
            <w:vAlign w:val="center"/>
            <w:hideMark/>
          </w:tcPr>
          <w:p w14:paraId="2E3E8150" w14:textId="77777777" w:rsidR="009F38EA" w:rsidRPr="009F38EA" w:rsidRDefault="009F38EA" w:rsidP="00B558B7">
            <w:pPr>
              <w:pStyle w:val="TekstTabeli"/>
            </w:pPr>
            <w:r w:rsidRPr="009F38EA">
              <w:t>107</w:t>
            </w:r>
          </w:p>
        </w:tc>
        <w:tc>
          <w:tcPr>
            <w:tcW w:w="4479" w:type="dxa"/>
            <w:noWrap/>
            <w:vAlign w:val="center"/>
            <w:hideMark/>
          </w:tcPr>
          <w:p w14:paraId="2EF3A2AB" w14:textId="77777777" w:rsidR="009F38EA" w:rsidRPr="009F38EA" w:rsidRDefault="009F38EA" w:rsidP="00B558B7">
            <w:pPr>
              <w:pStyle w:val="TekstTabeli"/>
            </w:pPr>
            <w:r w:rsidRPr="009F38EA">
              <w:t>post-graduate students</w:t>
            </w:r>
          </w:p>
        </w:tc>
        <w:tc>
          <w:tcPr>
            <w:tcW w:w="3969" w:type="dxa"/>
            <w:noWrap/>
            <w:vAlign w:val="center"/>
            <w:hideMark/>
          </w:tcPr>
          <w:p w14:paraId="53B45455" w14:textId="77777777" w:rsidR="009F38EA" w:rsidRPr="009F38EA" w:rsidRDefault="009F38EA" w:rsidP="00B558B7">
            <w:pPr>
              <w:pStyle w:val="TekstTabeli"/>
            </w:pPr>
            <w:r w:rsidRPr="009F38EA">
              <w:t>1</w:t>
            </w:r>
          </w:p>
        </w:tc>
      </w:tr>
      <w:tr w:rsidR="009F38EA" w:rsidRPr="009F38EA" w14:paraId="3A29A648" w14:textId="77777777" w:rsidTr="009F38EA">
        <w:trPr>
          <w:cantSplit/>
          <w:trHeight w:val="285"/>
        </w:trPr>
        <w:tc>
          <w:tcPr>
            <w:tcW w:w="567" w:type="dxa"/>
            <w:noWrap/>
            <w:vAlign w:val="center"/>
            <w:hideMark/>
          </w:tcPr>
          <w:p w14:paraId="4A51287A" w14:textId="77777777" w:rsidR="009F38EA" w:rsidRPr="009F38EA" w:rsidRDefault="009F38EA" w:rsidP="00B558B7">
            <w:pPr>
              <w:pStyle w:val="TekstTabeli"/>
            </w:pPr>
            <w:r w:rsidRPr="009F38EA">
              <w:t>108</w:t>
            </w:r>
          </w:p>
        </w:tc>
        <w:tc>
          <w:tcPr>
            <w:tcW w:w="4479" w:type="dxa"/>
            <w:noWrap/>
            <w:vAlign w:val="center"/>
            <w:hideMark/>
          </w:tcPr>
          <w:p w14:paraId="268AA06C" w14:textId="77777777" w:rsidR="009F38EA" w:rsidRPr="009F38EA" w:rsidRDefault="009F38EA" w:rsidP="00B558B7">
            <w:pPr>
              <w:pStyle w:val="TekstTabeli"/>
            </w:pPr>
            <w:r w:rsidRPr="009F38EA">
              <w:t>alumni</w:t>
            </w:r>
          </w:p>
        </w:tc>
        <w:tc>
          <w:tcPr>
            <w:tcW w:w="3969" w:type="dxa"/>
            <w:noWrap/>
            <w:vAlign w:val="center"/>
            <w:hideMark/>
          </w:tcPr>
          <w:p w14:paraId="2F390961" w14:textId="77777777" w:rsidR="009F38EA" w:rsidRPr="009F38EA" w:rsidRDefault="009F38EA" w:rsidP="00B558B7">
            <w:pPr>
              <w:pStyle w:val="TekstTabeli"/>
            </w:pPr>
            <w:r w:rsidRPr="009F38EA">
              <w:t>7</w:t>
            </w:r>
          </w:p>
        </w:tc>
      </w:tr>
      <w:tr w:rsidR="009F38EA" w:rsidRPr="009F38EA" w14:paraId="2C65420B" w14:textId="77777777" w:rsidTr="009F38EA">
        <w:trPr>
          <w:cantSplit/>
          <w:trHeight w:val="285"/>
        </w:trPr>
        <w:tc>
          <w:tcPr>
            <w:tcW w:w="567" w:type="dxa"/>
            <w:noWrap/>
            <w:vAlign w:val="center"/>
            <w:hideMark/>
          </w:tcPr>
          <w:p w14:paraId="6ADCDC0A" w14:textId="77777777" w:rsidR="009F38EA" w:rsidRPr="009F38EA" w:rsidRDefault="009F38EA" w:rsidP="00B558B7">
            <w:pPr>
              <w:pStyle w:val="TekstTabeli"/>
            </w:pPr>
            <w:r w:rsidRPr="009F38EA">
              <w:t>109</w:t>
            </w:r>
          </w:p>
        </w:tc>
        <w:tc>
          <w:tcPr>
            <w:tcW w:w="4479" w:type="dxa"/>
            <w:noWrap/>
            <w:vAlign w:val="center"/>
            <w:hideMark/>
          </w:tcPr>
          <w:p w14:paraId="35F25B34" w14:textId="77777777" w:rsidR="009F38EA" w:rsidRPr="009F38EA" w:rsidRDefault="009F38EA" w:rsidP="00B558B7">
            <w:pPr>
              <w:pStyle w:val="TekstTabeli"/>
            </w:pPr>
            <w:proofErr w:type="spellStart"/>
            <w:r w:rsidRPr="009F38EA">
              <w:t>industr</w:t>
            </w:r>
            <w:proofErr w:type="spellEnd"/>
          </w:p>
        </w:tc>
        <w:tc>
          <w:tcPr>
            <w:tcW w:w="3969" w:type="dxa"/>
            <w:noWrap/>
            <w:vAlign w:val="center"/>
            <w:hideMark/>
          </w:tcPr>
          <w:p w14:paraId="2DA19F33" w14:textId="77777777" w:rsidR="009F38EA" w:rsidRPr="009F38EA" w:rsidRDefault="009F38EA" w:rsidP="00B558B7">
            <w:pPr>
              <w:pStyle w:val="TekstTabeli"/>
            </w:pPr>
            <w:r w:rsidRPr="009F38EA">
              <w:t>0</w:t>
            </w:r>
          </w:p>
        </w:tc>
      </w:tr>
      <w:tr w:rsidR="009F38EA" w:rsidRPr="009F38EA" w14:paraId="02B310D7" w14:textId="77777777" w:rsidTr="009F38EA">
        <w:trPr>
          <w:cantSplit/>
          <w:trHeight w:val="285"/>
        </w:trPr>
        <w:tc>
          <w:tcPr>
            <w:tcW w:w="567" w:type="dxa"/>
            <w:noWrap/>
            <w:vAlign w:val="center"/>
            <w:hideMark/>
          </w:tcPr>
          <w:p w14:paraId="43A363A8" w14:textId="77777777" w:rsidR="009F38EA" w:rsidRPr="009F38EA" w:rsidRDefault="009F38EA" w:rsidP="00B558B7">
            <w:pPr>
              <w:pStyle w:val="TekstTabeli"/>
            </w:pPr>
            <w:r w:rsidRPr="009F38EA">
              <w:t>110</w:t>
            </w:r>
          </w:p>
        </w:tc>
        <w:tc>
          <w:tcPr>
            <w:tcW w:w="4479" w:type="dxa"/>
            <w:noWrap/>
            <w:vAlign w:val="center"/>
            <w:hideMark/>
          </w:tcPr>
          <w:p w14:paraId="6E32FEB1" w14:textId="77777777" w:rsidR="009F38EA" w:rsidRPr="009F38EA" w:rsidRDefault="009F38EA" w:rsidP="00B558B7">
            <w:pPr>
              <w:pStyle w:val="TekstTabeli"/>
            </w:pPr>
            <w:r w:rsidRPr="009F38EA">
              <w:t>industry</w:t>
            </w:r>
          </w:p>
        </w:tc>
        <w:tc>
          <w:tcPr>
            <w:tcW w:w="3969" w:type="dxa"/>
            <w:noWrap/>
            <w:vAlign w:val="center"/>
            <w:hideMark/>
          </w:tcPr>
          <w:p w14:paraId="3561C443" w14:textId="77777777" w:rsidR="009F38EA" w:rsidRPr="009F38EA" w:rsidRDefault="009F38EA" w:rsidP="00B558B7">
            <w:pPr>
              <w:pStyle w:val="TekstTabeli"/>
            </w:pPr>
            <w:r w:rsidRPr="009F38EA">
              <w:t>22</w:t>
            </w:r>
          </w:p>
        </w:tc>
      </w:tr>
      <w:tr w:rsidR="009F38EA" w:rsidRPr="009F38EA" w14:paraId="49E59463" w14:textId="77777777" w:rsidTr="009F38EA">
        <w:trPr>
          <w:cantSplit/>
          <w:trHeight w:val="285"/>
        </w:trPr>
        <w:tc>
          <w:tcPr>
            <w:tcW w:w="567" w:type="dxa"/>
            <w:noWrap/>
            <w:vAlign w:val="center"/>
            <w:hideMark/>
          </w:tcPr>
          <w:p w14:paraId="2A99BB0F" w14:textId="77777777" w:rsidR="009F38EA" w:rsidRPr="009F38EA" w:rsidRDefault="009F38EA" w:rsidP="00B558B7">
            <w:pPr>
              <w:pStyle w:val="TekstTabeli"/>
            </w:pPr>
            <w:r w:rsidRPr="009F38EA">
              <w:t>111</w:t>
            </w:r>
          </w:p>
        </w:tc>
        <w:tc>
          <w:tcPr>
            <w:tcW w:w="4479" w:type="dxa"/>
            <w:noWrap/>
            <w:vAlign w:val="center"/>
            <w:hideMark/>
          </w:tcPr>
          <w:p w14:paraId="66A9F5B5" w14:textId="77777777" w:rsidR="009F38EA" w:rsidRPr="009F38EA" w:rsidRDefault="009F38EA" w:rsidP="00B558B7">
            <w:pPr>
              <w:pStyle w:val="TekstTabeli"/>
            </w:pPr>
            <w:r w:rsidRPr="009F38EA">
              <w:t>industry bodies</w:t>
            </w:r>
          </w:p>
        </w:tc>
        <w:tc>
          <w:tcPr>
            <w:tcW w:w="3969" w:type="dxa"/>
            <w:noWrap/>
            <w:vAlign w:val="center"/>
            <w:hideMark/>
          </w:tcPr>
          <w:p w14:paraId="214407A2" w14:textId="77777777" w:rsidR="009F38EA" w:rsidRPr="009F38EA" w:rsidRDefault="009F38EA" w:rsidP="00B558B7">
            <w:pPr>
              <w:pStyle w:val="TekstTabeli"/>
            </w:pPr>
            <w:r w:rsidRPr="009F38EA">
              <w:t>1</w:t>
            </w:r>
          </w:p>
        </w:tc>
      </w:tr>
      <w:tr w:rsidR="009F38EA" w:rsidRPr="009F38EA" w14:paraId="36240D72" w14:textId="77777777" w:rsidTr="009F38EA">
        <w:trPr>
          <w:cantSplit/>
          <w:trHeight w:val="285"/>
        </w:trPr>
        <w:tc>
          <w:tcPr>
            <w:tcW w:w="567" w:type="dxa"/>
            <w:noWrap/>
            <w:vAlign w:val="center"/>
            <w:hideMark/>
          </w:tcPr>
          <w:p w14:paraId="077A7F32" w14:textId="77777777" w:rsidR="009F38EA" w:rsidRPr="009F38EA" w:rsidRDefault="009F38EA" w:rsidP="00B558B7">
            <w:pPr>
              <w:pStyle w:val="TekstTabeli"/>
            </w:pPr>
            <w:r w:rsidRPr="009F38EA">
              <w:t>112</w:t>
            </w:r>
          </w:p>
        </w:tc>
        <w:tc>
          <w:tcPr>
            <w:tcW w:w="4479" w:type="dxa"/>
            <w:noWrap/>
            <w:vAlign w:val="center"/>
            <w:hideMark/>
          </w:tcPr>
          <w:p w14:paraId="016E63DB" w14:textId="77777777" w:rsidR="009F38EA" w:rsidRPr="009F38EA" w:rsidRDefault="009F38EA" w:rsidP="00B558B7">
            <w:pPr>
              <w:pStyle w:val="TekstTabeli"/>
            </w:pPr>
            <w:r w:rsidRPr="009F38EA">
              <w:t>industry practitioner</w:t>
            </w:r>
          </w:p>
        </w:tc>
        <w:tc>
          <w:tcPr>
            <w:tcW w:w="3969" w:type="dxa"/>
            <w:noWrap/>
            <w:vAlign w:val="center"/>
            <w:hideMark/>
          </w:tcPr>
          <w:p w14:paraId="02F96F00" w14:textId="77777777" w:rsidR="009F38EA" w:rsidRPr="009F38EA" w:rsidRDefault="009F38EA" w:rsidP="00B558B7">
            <w:pPr>
              <w:pStyle w:val="TekstTabeli"/>
            </w:pPr>
            <w:r w:rsidRPr="009F38EA">
              <w:t>1</w:t>
            </w:r>
          </w:p>
        </w:tc>
      </w:tr>
      <w:tr w:rsidR="009F38EA" w:rsidRPr="009F38EA" w14:paraId="69FB3B40" w14:textId="77777777" w:rsidTr="009F38EA">
        <w:trPr>
          <w:cantSplit/>
          <w:trHeight w:val="285"/>
        </w:trPr>
        <w:tc>
          <w:tcPr>
            <w:tcW w:w="567" w:type="dxa"/>
            <w:noWrap/>
            <w:vAlign w:val="center"/>
            <w:hideMark/>
          </w:tcPr>
          <w:p w14:paraId="2024A777" w14:textId="77777777" w:rsidR="009F38EA" w:rsidRPr="009F38EA" w:rsidRDefault="009F38EA" w:rsidP="00B558B7">
            <w:pPr>
              <w:pStyle w:val="TekstTabeli"/>
            </w:pPr>
            <w:r w:rsidRPr="009F38EA">
              <w:t>113</w:t>
            </w:r>
          </w:p>
        </w:tc>
        <w:tc>
          <w:tcPr>
            <w:tcW w:w="4479" w:type="dxa"/>
            <w:noWrap/>
            <w:vAlign w:val="center"/>
            <w:hideMark/>
          </w:tcPr>
          <w:p w14:paraId="393951AE" w14:textId="77777777" w:rsidR="009F38EA" w:rsidRPr="009F38EA" w:rsidRDefault="009F38EA" w:rsidP="00B558B7">
            <w:pPr>
              <w:pStyle w:val="TekstTabeli"/>
            </w:pPr>
            <w:r w:rsidRPr="009F38EA">
              <w:t>industrial partner</w:t>
            </w:r>
          </w:p>
        </w:tc>
        <w:tc>
          <w:tcPr>
            <w:tcW w:w="3969" w:type="dxa"/>
            <w:noWrap/>
            <w:vAlign w:val="center"/>
            <w:hideMark/>
          </w:tcPr>
          <w:p w14:paraId="66FF44B1" w14:textId="77777777" w:rsidR="009F38EA" w:rsidRPr="009F38EA" w:rsidRDefault="009F38EA" w:rsidP="00B558B7">
            <w:pPr>
              <w:pStyle w:val="TekstTabeli"/>
            </w:pPr>
            <w:r w:rsidRPr="009F38EA">
              <w:t>1</w:t>
            </w:r>
          </w:p>
        </w:tc>
      </w:tr>
      <w:tr w:rsidR="009F38EA" w:rsidRPr="009F38EA" w14:paraId="25E162B5" w14:textId="77777777" w:rsidTr="009F38EA">
        <w:trPr>
          <w:cantSplit/>
          <w:trHeight w:val="285"/>
        </w:trPr>
        <w:tc>
          <w:tcPr>
            <w:tcW w:w="567" w:type="dxa"/>
            <w:noWrap/>
            <w:vAlign w:val="center"/>
            <w:hideMark/>
          </w:tcPr>
          <w:p w14:paraId="661CF73D" w14:textId="77777777" w:rsidR="009F38EA" w:rsidRPr="009F38EA" w:rsidRDefault="009F38EA" w:rsidP="00B558B7">
            <w:pPr>
              <w:pStyle w:val="TekstTabeli"/>
            </w:pPr>
            <w:r w:rsidRPr="009F38EA">
              <w:t>114</w:t>
            </w:r>
          </w:p>
        </w:tc>
        <w:tc>
          <w:tcPr>
            <w:tcW w:w="4479" w:type="dxa"/>
            <w:noWrap/>
            <w:vAlign w:val="center"/>
            <w:hideMark/>
          </w:tcPr>
          <w:p w14:paraId="0045DC12" w14:textId="77777777" w:rsidR="009F38EA" w:rsidRPr="009F38EA" w:rsidRDefault="009F38EA" w:rsidP="00B558B7">
            <w:pPr>
              <w:pStyle w:val="TekstTabeli"/>
            </w:pPr>
            <w:r w:rsidRPr="009F38EA">
              <w:t>institution</w:t>
            </w:r>
          </w:p>
        </w:tc>
        <w:tc>
          <w:tcPr>
            <w:tcW w:w="3969" w:type="dxa"/>
            <w:noWrap/>
            <w:vAlign w:val="center"/>
            <w:hideMark/>
          </w:tcPr>
          <w:p w14:paraId="13184A27" w14:textId="77777777" w:rsidR="009F38EA" w:rsidRPr="009F38EA" w:rsidRDefault="009F38EA" w:rsidP="00B558B7">
            <w:pPr>
              <w:pStyle w:val="TekstTabeli"/>
            </w:pPr>
            <w:r w:rsidRPr="009F38EA">
              <w:t>0</w:t>
            </w:r>
          </w:p>
        </w:tc>
      </w:tr>
      <w:tr w:rsidR="009F38EA" w:rsidRPr="009F38EA" w14:paraId="6BDC0EE2" w14:textId="77777777" w:rsidTr="009F38EA">
        <w:trPr>
          <w:cantSplit/>
          <w:trHeight w:val="285"/>
        </w:trPr>
        <w:tc>
          <w:tcPr>
            <w:tcW w:w="567" w:type="dxa"/>
            <w:noWrap/>
            <w:vAlign w:val="center"/>
            <w:hideMark/>
          </w:tcPr>
          <w:p w14:paraId="529485DD" w14:textId="77777777" w:rsidR="009F38EA" w:rsidRPr="009F38EA" w:rsidRDefault="009F38EA" w:rsidP="00B558B7">
            <w:pPr>
              <w:pStyle w:val="TekstTabeli"/>
            </w:pPr>
            <w:r w:rsidRPr="009F38EA">
              <w:t>115</w:t>
            </w:r>
          </w:p>
        </w:tc>
        <w:tc>
          <w:tcPr>
            <w:tcW w:w="4479" w:type="dxa"/>
            <w:noWrap/>
            <w:vAlign w:val="center"/>
            <w:hideMark/>
          </w:tcPr>
          <w:p w14:paraId="26E03F9C" w14:textId="77777777" w:rsidR="009F38EA" w:rsidRPr="009F38EA" w:rsidRDefault="009F38EA" w:rsidP="00B558B7">
            <w:pPr>
              <w:pStyle w:val="TekstTabeli"/>
            </w:pPr>
            <w:r w:rsidRPr="009F38EA">
              <w:t>institutions</w:t>
            </w:r>
          </w:p>
        </w:tc>
        <w:tc>
          <w:tcPr>
            <w:tcW w:w="3969" w:type="dxa"/>
            <w:noWrap/>
            <w:vAlign w:val="center"/>
            <w:hideMark/>
          </w:tcPr>
          <w:p w14:paraId="03F512BA" w14:textId="77777777" w:rsidR="009F38EA" w:rsidRPr="009F38EA" w:rsidRDefault="009F38EA" w:rsidP="00B558B7">
            <w:pPr>
              <w:pStyle w:val="TekstTabeli"/>
            </w:pPr>
            <w:r w:rsidRPr="009F38EA">
              <w:t>2</w:t>
            </w:r>
          </w:p>
        </w:tc>
      </w:tr>
      <w:tr w:rsidR="009F38EA" w:rsidRPr="009F38EA" w14:paraId="0FC22285" w14:textId="77777777" w:rsidTr="009F38EA">
        <w:trPr>
          <w:cantSplit/>
          <w:trHeight w:val="285"/>
        </w:trPr>
        <w:tc>
          <w:tcPr>
            <w:tcW w:w="567" w:type="dxa"/>
            <w:noWrap/>
            <w:vAlign w:val="center"/>
            <w:hideMark/>
          </w:tcPr>
          <w:p w14:paraId="7433DF79" w14:textId="77777777" w:rsidR="009F38EA" w:rsidRPr="009F38EA" w:rsidRDefault="009F38EA" w:rsidP="00B558B7">
            <w:pPr>
              <w:pStyle w:val="TekstTabeli"/>
            </w:pPr>
            <w:r w:rsidRPr="009F38EA">
              <w:t>116</w:t>
            </w:r>
          </w:p>
        </w:tc>
        <w:tc>
          <w:tcPr>
            <w:tcW w:w="4479" w:type="dxa"/>
            <w:noWrap/>
            <w:vAlign w:val="center"/>
            <w:hideMark/>
          </w:tcPr>
          <w:p w14:paraId="05110A0A" w14:textId="77777777" w:rsidR="009F38EA" w:rsidRPr="009F38EA" w:rsidRDefault="009F38EA" w:rsidP="00B558B7">
            <w:pPr>
              <w:pStyle w:val="TekstTabeli"/>
            </w:pPr>
            <w:r w:rsidRPr="009F38EA">
              <w:t>partner institutions</w:t>
            </w:r>
          </w:p>
        </w:tc>
        <w:tc>
          <w:tcPr>
            <w:tcW w:w="3969" w:type="dxa"/>
            <w:noWrap/>
            <w:vAlign w:val="center"/>
            <w:hideMark/>
          </w:tcPr>
          <w:p w14:paraId="79BAD674" w14:textId="77777777" w:rsidR="009F38EA" w:rsidRPr="009F38EA" w:rsidRDefault="009F38EA" w:rsidP="00B558B7">
            <w:pPr>
              <w:pStyle w:val="TekstTabeli"/>
            </w:pPr>
            <w:r w:rsidRPr="009F38EA">
              <w:t>1</w:t>
            </w:r>
          </w:p>
        </w:tc>
      </w:tr>
      <w:tr w:rsidR="009F38EA" w:rsidRPr="009F38EA" w14:paraId="500C843E" w14:textId="77777777" w:rsidTr="009F38EA">
        <w:trPr>
          <w:cantSplit/>
          <w:trHeight w:val="285"/>
        </w:trPr>
        <w:tc>
          <w:tcPr>
            <w:tcW w:w="567" w:type="dxa"/>
            <w:noWrap/>
            <w:vAlign w:val="center"/>
            <w:hideMark/>
          </w:tcPr>
          <w:p w14:paraId="25B2FDE4" w14:textId="77777777" w:rsidR="009F38EA" w:rsidRPr="009F38EA" w:rsidRDefault="009F38EA" w:rsidP="00B558B7">
            <w:pPr>
              <w:pStyle w:val="TekstTabeli"/>
            </w:pPr>
            <w:r w:rsidRPr="009F38EA">
              <w:t>117</w:t>
            </w:r>
          </w:p>
        </w:tc>
        <w:tc>
          <w:tcPr>
            <w:tcW w:w="4479" w:type="dxa"/>
            <w:noWrap/>
            <w:vAlign w:val="center"/>
            <w:hideMark/>
          </w:tcPr>
          <w:p w14:paraId="5EC2E8CC" w14:textId="77777777" w:rsidR="009F38EA" w:rsidRPr="009F38EA" w:rsidRDefault="009F38EA" w:rsidP="00B558B7">
            <w:pPr>
              <w:pStyle w:val="TekstTabeli"/>
            </w:pPr>
            <w:r w:rsidRPr="009F38EA">
              <w:t>corporatist institutions</w:t>
            </w:r>
          </w:p>
        </w:tc>
        <w:tc>
          <w:tcPr>
            <w:tcW w:w="3969" w:type="dxa"/>
            <w:noWrap/>
            <w:vAlign w:val="center"/>
            <w:hideMark/>
          </w:tcPr>
          <w:p w14:paraId="7669B332" w14:textId="77777777" w:rsidR="009F38EA" w:rsidRPr="009F38EA" w:rsidRDefault="009F38EA" w:rsidP="00B558B7">
            <w:pPr>
              <w:pStyle w:val="TekstTabeli"/>
            </w:pPr>
            <w:r w:rsidRPr="009F38EA">
              <w:t>1</w:t>
            </w:r>
          </w:p>
        </w:tc>
      </w:tr>
      <w:tr w:rsidR="009F38EA" w:rsidRPr="009F38EA" w14:paraId="4B8963E8" w14:textId="77777777" w:rsidTr="009F38EA">
        <w:trPr>
          <w:cantSplit/>
          <w:trHeight w:val="285"/>
        </w:trPr>
        <w:tc>
          <w:tcPr>
            <w:tcW w:w="567" w:type="dxa"/>
            <w:noWrap/>
            <w:vAlign w:val="center"/>
            <w:hideMark/>
          </w:tcPr>
          <w:p w14:paraId="0B3A1AC4" w14:textId="77777777" w:rsidR="009F38EA" w:rsidRPr="009F38EA" w:rsidRDefault="009F38EA" w:rsidP="00B558B7">
            <w:pPr>
              <w:pStyle w:val="TekstTabeli"/>
            </w:pPr>
            <w:r w:rsidRPr="009F38EA">
              <w:t>118</w:t>
            </w:r>
          </w:p>
        </w:tc>
        <w:tc>
          <w:tcPr>
            <w:tcW w:w="4479" w:type="dxa"/>
            <w:noWrap/>
            <w:vAlign w:val="center"/>
            <w:hideMark/>
          </w:tcPr>
          <w:p w14:paraId="4F217551" w14:textId="77777777" w:rsidR="009F38EA" w:rsidRPr="009F38EA" w:rsidRDefault="009F38EA" w:rsidP="00B558B7">
            <w:pPr>
              <w:pStyle w:val="TekstTabeli"/>
            </w:pPr>
            <w:r w:rsidRPr="009F38EA">
              <w:t>institutions around</w:t>
            </w:r>
          </w:p>
        </w:tc>
        <w:tc>
          <w:tcPr>
            <w:tcW w:w="3969" w:type="dxa"/>
            <w:noWrap/>
            <w:vAlign w:val="center"/>
            <w:hideMark/>
          </w:tcPr>
          <w:p w14:paraId="519E9365" w14:textId="77777777" w:rsidR="009F38EA" w:rsidRPr="009F38EA" w:rsidRDefault="009F38EA" w:rsidP="00B558B7">
            <w:pPr>
              <w:pStyle w:val="TekstTabeli"/>
            </w:pPr>
            <w:r w:rsidRPr="009F38EA">
              <w:t>1</w:t>
            </w:r>
          </w:p>
        </w:tc>
      </w:tr>
      <w:tr w:rsidR="009F38EA" w:rsidRPr="009F38EA" w14:paraId="28B43D51" w14:textId="77777777" w:rsidTr="009F38EA">
        <w:trPr>
          <w:cantSplit/>
          <w:trHeight w:val="285"/>
        </w:trPr>
        <w:tc>
          <w:tcPr>
            <w:tcW w:w="567" w:type="dxa"/>
            <w:noWrap/>
            <w:vAlign w:val="center"/>
            <w:hideMark/>
          </w:tcPr>
          <w:p w14:paraId="70CA896E" w14:textId="77777777" w:rsidR="009F38EA" w:rsidRPr="009F38EA" w:rsidRDefault="009F38EA" w:rsidP="00B558B7">
            <w:pPr>
              <w:pStyle w:val="TekstTabeli"/>
            </w:pPr>
            <w:r w:rsidRPr="009F38EA">
              <w:t>119</w:t>
            </w:r>
          </w:p>
        </w:tc>
        <w:tc>
          <w:tcPr>
            <w:tcW w:w="4479" w:type="dxa"/>
            <w:noWrap/>
            <w:vAlign w:val="center"/>
            <w:hideMark/>
          </w:tcPr>
          <w:p w14:paraId="25072C1C" w14:textId="77777777" w:rsidR="009F38EA" w:rsidRPr="009F38EA" w:rsidRDefault="009F38EA" w:rsidP="00B558B7">
            <w:pPr>
              <w:pStyle w:val="TekstTabeli"/>
            </w:pPr>
            <w:r w:rsidRPr="009F38EA">
              <w:t>institutional environments</w:t>
            </w:r>
          </w:p>
        </w:tc>
        <w:tc>
          <w:tcPr>
            <w:tcW w:w="3969" w:type="dxa"/>
            <w:noWrap/>
            <w:vAlign w:val="center"/>
            <w:hideMark/>
          </w:tcPr>
          <w:p w14:paraId="1F33FE6C" w14:textId="77777777" w:rsidR="009F38EA" w:rsidRPr="009F38EA" w:rsidRDefault="009F38EA" w:rsidP="00B558B7">
            <w:pPr>
              <w:pStyle w:val="TekstTabeli"/>
            </w:pPr>
            <w:r w:rsidRPr="009F38EA">
              <w:t>1</w:t>
            </w:r>
          </w:p>
        </w:tc>
      </w:tr>
      <w:tr w:rsidR="009F38EA" w:rsidRPr="009F38EA" w14:paraId="78521FC1" w14:textId="77777777" w:rsidTr="009F38EA">
        <w:trPr>
          <w:cantSplit/>
          <w:trHeight w:val="285"/>
        </w:trPr>
        <w:tc>
          <w:tcPr>
            <w:tcW w:w="567" w:type="dxa"/>
            <w:noWrap/>
            <w:vAlign w:val="center"/>
            <w:hideMark/>
          </w:tcPr>
          <w:p w14:paraId="25A11C3A" w14:textId="77777777" w:rsidR="009F38EA" w:rsidRPr="009F38EA" w:rsidRDefault="009F38EA" w:rsidP="00B558B7">
            <w:pPr>
              <w:pStyle w:val="TekstTabeli"/>
            </w:pPr>
            <w:r w:rsidRPr="009F38EA">
              <w:t>120</w:t>
            </w:r>
          </w:p>
        </w:tc>
        <w:tc>
          <w:tcPr>
            <w:tcW w:w="4479" w:type="dxa"/>
            <w:noWrap/>
            <w:vAlign w:val="center"/>
            <w:hideMark/>
          </w:tcPr>
          <w:p w14:paraId="30C4A1B5" w14:textId="77777777" w:rsidR="009F38EA" w:rsidRPr="009F38EA" w:rsidRDefault="009F38EA" w:rsidP="00B558B7">
            <w:pPr>
              <w:pStyle w:val="TekstTabeli"/>
            </w:pPr>
            <w:r w:rsidRPr="009F38EA">
              <w:t>institutional leaders</w:t>
            </w:r>
          </w:p>
        </w:tc>
        <w:tc>
          <w:tcPr>
            <w:tcW w:w="3969" w:type="dxa"/>
            <w:noWrap/>
            <w:vAlign w:val="center"/>
            <w:hideMark/>
          </w:tcPr>
          <w:p w14:paraId="027C5EEB" w14:textId="77777777" w:rsidR="009F38EA" w:rsidRPr="009F38EA" w:rsidRDefault="009F38EA" w:rsidP="00B558B7">
            <w:pPr>
              <w:pStyle w:val="TekstTabeli"/>
            </w:pPr>
            <w:r w:rsidRPr="009F38EA">
              <w:t>3</w:t>
            </w:r>
          </w:p>
        </w:tc>
      </w:tr>
      <w:tr w:rsidR="009F38EA" w:rsidRPr="009F38EA" w14:paraId="2533D143" w14:textId="77777777" w:rsidTr="009F38EA">
        <w:trPr>
          <w:cantSplit/>
          <w:trHeight w:val="285"/>
        </w:trPr>
        <w:tc>
          <w:tcPr>
            <w:tcW w:w="567" w:type="dxa"/>
            <w:noWrap/>
            <w:vAlign w:val="center"/>
            <w:hideMark/>
          </w:tcPr>
          <w:p w14:paraId="01992CC6" w14:textId="77777777" w:rsidR="009F38EA" w:rsidRPr="009F38EA" w:rsidRDefault="009F38EA" w:rsidP="00B558B7">
            <w:pPr>
              <w:pStyle w:val="TekstTabeli"/>
            </w:pPr>
            <w:r w:rsidRPr="009F38EA">
              <w:t>121</w:t>
            </w:r>
          </w:p>
        </w:tc>
        <w:tc>
          <w:tcPr>
            <w:tcW w:w="4479" w:type="dxa"/>
            <w:noWrap/>
            <w:vAlign w:val="center"/>
            <w:hideMark/>
          </w:tcPr>
          <w:p w14:paraId="6C57637F" w14:textId="77777777" w:rsidR="009F38EA" w:rsidRPr="009F38EA" w:rsidRDefault="009F38EA" w:rsidP="00B558B7">
            <w:pPr>
              <w:pStyle w:val="TekstTabeli"/>
            </w:pPr>
            <w:r w:rsidRPr="009F38EA">
              <w:t xml:space="preserve">institutional and </w:t>
            </w:r>
            <w:proofErr w:type="spellStart"/>
            <w:r w:rsidRPr="009F38EA">
              <w:t>organisational</w:t>
            </w:r>
            <w:proofErr w:type="spellEnd"/>
            <w:r w:rsidRPr="009F38EA">
              <w:t xml:space="preserve"> environment</w:t>
            </w:r>
          </w:p>
        </w:tc>
        <w:tc>
          <w:tcPr>
            <w:tcW w:w="3969" w:type="dxa"/>
            <w:noWrap/>
            <w:vAlign w:val="center"/>
            <w:hideMark/>
          </w:tcPr>
          <w:p w14:paraId="6F90E87C" w14:textId="77777777" w:rsidR="009F38EA" w:rsidRPr="009F38EA" w:rsidRDefault="009F38EA" w:rsidP="00B558B7">
            <w:pPr>
              <w:pStyle w:val="TekstTabeli"/>
            </w:pPr>
            <w:r w:rsidRPr="009F38EA">
              <w:t>1</w:t>
            </w:r>
          </w:p>
        </w:tc>
      </w:tr>
      <w:tr w:rsidR="009F38EA" w:rsidRPr="009F38EA" w14:paraId="0476651E" w14:textId="77777777" w:rsidTr="009F38EA">
        <w:trPr>
          <w:cantSplit/>
          <w:trHeight w:val="285"/>
        </w:trPr>
        <w:tc>
          <w:tcPr>
            <w:tcW w:w="567" w:type="dxa"/>
            <w:noWrap/>
            <w:vAlign w:val="center"/>
            <w:hideMark/>
          </w:tcPr>
          <w:p w14:paraId="4FEFC6B0" w14:textId="77777777" w:rsidR="009F38EA" w:rsidRPr="009F38EA" w:rsidRDefault="009F38EA" w:rsidP="00B558B7">
            <w:pPr>
              <w:pStyle w:val="TekstTabeli"/>
            </w:pPr>
            <w:r w:rsidRPr="009F38EA">
              <w:t>122</w:t>
            </w:r>
          </w:p>
        </w:tc>
        <w:tc>
          <w:tcPr>
            <w:tcW w:w="4479" w:type="dxa"/>
            <w:noWrap/>
            <w:vAlign w:val="center"/>
            <w:hideMark/>
          </w:tcPr>
          <w:p w14:paraId="3CA6357D" w14:textId="77777777" w:rsidR="009F38EA" w:rsidRPr="009F38EA" w:rsidRDefault="009F38EA" w:rsidP="00B558B7">
            <w:pPr>
              <w:pStyle w:val="TekstTabeli"/>
            </w:pPr>
            <w:r w:rsidRPr="009F38EA">
              <w:t>instructor</w:t>
            </w:r>
          </w:p>
        </w:tc>
        <w:tc>
          <w:tcPr>
            <w:tcW w:w="3969" w:type="dxa"/>
            <w:noWrap/>
            <w:vAlign w:val="center"/>
            <w:hideMark/>
          </w:tcPr>
          <w:p w14:paraId="4F5ED74C" w14:textId="77777777" w:rsidR="009F38EA" w:rsidRPr="009F38EA" w:rsidRDefault="009F38EA" w:rsidP="00B558B7">
            <w:pPr>
              <w:pStyle w:val="TekstTabeli"/>
            </w:pPr>
            <w:r w:rsidRPr="009F38EA">
              <w:t>6</w:t>
            </w:r>
          </w:p>
        </w:tc>
      </w:tr>
      <w:tr w:rsidR="009F38EA" w:rsidRPr="009F38EA" w14:paraId="5296F6F2" w14:textId="77777777" w:rsidTr="009F38EA">
        <w:trPr>
          <w:cantSplit/>
          <w:trHeight w:val="285"/>
        </w:trPr>
        <w:tc>
          <w:tcPr>
            <w:tcW w:w="567" w:type="dxa"/>
            <w:noWrap/>
            <w:vAlign w:val="center"/>
            <w:hideMark/>
          </w:tcPr>
          <w:p w14:paraId="4D11CF98" w14:textId="77777777" w:rsidR="009F38EA" w:rsidRPr="009F38EA" w:rsidRDefault="009F38EA" w:rsidP="00B558B7">
            <w:pPr>
              <w:pStyle w:val="TekstTabeli"/>
            </w:pPr>
            <w:r w:rsidRPr="009F38EA">
              <w:t>123</w:t>
            </w:r>
          </w:p>
        </w:tc>
        <w:tc>
          <w:tcPr>
            <w:tcW w:w="4479" w:type="dxa"/>
            <w:noWrap/>
            <w:vAlign w:val="center"/>
            <w:hideMark/>
          </w:tcPr>
          <w:p w14:paraId="3F55CDB0" w14:textId="77777777" w:rsidR="009F38EA" w:rsidRPr="009F38EA" w:rsidRDefault="009F38EA" w:rsidP="00B558B7">
            <w:pPr>
              <w:pStyle w:val="TekstTabeli"/>
            </w:pPr>
            <w:r w:rsidRPr="009F38EA">
              <w:t>insurance companies</w:t>
            </w:r>
          </w:p>
        </w:tc>
        <w:tc>
          <w:tcPr>
            <w:tcW w:w="3969" w:type="dxa"/>
            <w:noWrap/>
            <w:vAlign w:val="center"/>
            <w:hideMark/>
          </w:tcPr>
          <w:p w14:paraId="59C0C01D" w14:textId="77777777" w:rsidR="009F38EA" w:rsidRPr="009F38EA" w:rsidRDefault="009F38EA" w:rsidP="00B558B7">
            <w:pPr>
              <w:pStyle w:val="TekstTabeli"/>
            </w:pPr>
            <w:r w:rsidRPr="009F38EA">
              <w:t>0</w:t>
            </w:r>
          </w:p>
        </w:tc>
      </w:tr>
      <w:tr w:rsidR="009F38EA" w:rsidRPr="009F38EA" w14:paraId="59682095" w14:textId="77777777" w:rsidTr="009F38EA">
        <w:trPr>
          <w:cantSplit/>
          <w:trHeight w:val="285"/>
        </w:trPr>
        <w:tc>
          <w:tcPr>
            <w:tcW w:w="567" w:type="dxa"/>
            <w:noWrap/>
            <w:vAlign w:val="center"/>
            <w:hideMark/>
          </w:tcPr>
          <w:p w14:paraId="048C76A9" w14:textId="77777777" w:rsidR="009F38EA" w:rsidRPr="009F38EA" w:rsidRDefault="009F38EA" w:rsidP="00B558B7">
            <w:pPr>
              <w:pStyle w:val="TekstTabeli"/>
            </w:pPr>
            <w:r w:rsidRPr="009F38EA">
              <w:t>124</w:t>
            </w:r>
          </w:p>
        </w:tc>
        <w:tc>
          <w:tcPr>
            <w:tcW w:w="4479" w:type="dxa"/>
            <w:noWrap/>
            <w:vAlign w:val="center"/>
            <w:hideMark/>
          </w:tcPr>
          <w:p w14:paraId="1BB0F595" w14:textId="77777777" w:rsidR="009F38EA" w:rsidRPr="009F38EA" w:rsidRDefault="009F38EA" w:rsidP="00B558B7">
            <w:pPr>
              <w:pStyle w:val="TekstTabeli"/>
            </w:pPr>
            <w:r w:rsidRPr="009F38EA">
              <w:t>joint venture partners</w:t>
            </w:r>
          </w:p>
        </w:tc>
        <w:tc>
          <w:tcPr>
            <w:tcW w:w="3969" w:type="dxa"/>
            <w:noWrap/>
            <w:vAlign w:val="center"/>
            <w:hideMark/>
          </w:tcPr>
          <w:p w14:paraId="6ECA13D7" w14:textId="77777777" w:rsidR="009F38EA" w:rsidRPr="009F38EA" w:rsidRDefault="009F38EA" w:rsidP="00B558B7">
            <w:pPr>
              <w:pStyle w:val="TekstTabeli"/>
            </w:pPr>
            <w:r w:rsidRPr="009F38EA">
              <w:t>2</w:t>
            </w:r>
          </w:p>
        </w:tc>
      </w:tr>
      <w:tr w:rsidR="009F38EA" w:rsidRPr="009F38EA" w14:paraId="6CFCF477" w14:textId="77777777" w:rsidTr="009F38EA">
        <w:trPr>
          <w:cantSplit/>
          <w:trHeight w:val="285"/>
        </w:trPr>
        <w:tc>
          <w:tcPr>
            <w:tcW w:w="567" w:type="dxa"/>
            <w:noWrap/>
            <w:vAlign w:val="center"/>
            <w:hideMark/>
          </w:tcPr>
          <w:p w14:paraId="0AB6C92D" w14:textId="77777777" w:rsidR="009F38EA" w:rsidRPr="009F38EA" w:rsidRDefault="009F38EA" w:rsidP="00B558B7">
            <w:pPr>
              <w:pStyle w:val="TekstTabeli"/>
            </w:pPr>
            <w:r w:rsidRPr="009F38EA">
              <w:lastRenderedPageBreak/>
              <w:t>125</w:t>
            </w:r>
          </w:p>
        </w:tc>
        <w:tc>
          <w:tcPr>
            <w:tcW w:w="4479" w:type="dxa"/>
            <w:noWrap/>
            <w:vAlign w:val="center"/>
            <w:hideMark/>
          </w:tcPr>
          <w:p w14:paraId="21507D0B" w14:textId="77777777" w:rsidR="009F38EA" w:rsidRPr="009F38EA" w:rsidRDefault="009F38EA" w:rsidP="00B558B7">
            <w:pPr>
              <w:pStyle w:val="TekstTabeli"/>
            </w:pPr>
            <w:r w:rsidRPr="009F38EA">
              <w:t>leader</w:t>
            </w:r>
          </w:p>
        </w:tc>
        <w:tc>
          <w:tcPr>
            <w:tcW w:w="3969" w:type="dxa"/>
            <w:noWrap/>
            <w:vAlign w:val="center"/>
            <w:hideMark/>
          </w:tcPr>
          <w:p w14:paraId="27D9E398" w14:textId="77777777" w:rsidR="009F38EA" w:rsidRPr="009F38EA" w:rsidRDefault="009F38EA" w:rsidP="00B558B7">
            <w:pPr>
              <w:pStyle w:val="TekstTabeli"/>
            </w:pPr>
            <w:r w:rsidRPr="009F38EA">
              <w:t>0</w:t>
            </w:r>
          </w:p>
        </w:tc>
      </w:tr>
      <w:tr w:rsidR="009F38EA" w:rsidRPr="009F38EA" w14:paraId="02D9C991" w14:textId="77777777" w:rsidTr="009F38EA">
        <w:trPr>
          <w:cantSplit/>
          <w:trHeight w:val="285"/>
        </w:trPr>
        <w:tc>
          <w:tcPr>
            <w:tcW w:w="567" w:type="dxa"/>
            <w:noWrap/>
            <w:vAlign w:val="center"/>
            <w:hideMark/>
          </w:tcPr>
          <w:p w14:paraId="3F3B668D" w14:textId="77777777" w:rsidR="009F38EA" w:rsidRPr="009F38EA" w:rsidRDefault="009F38EA" w:rsidP="00B558B7">
            <w:pPr>
              <w:pStyle w:val="TekstTabeli"/>
            </w:pPr>
            <w:r w:rsidRPr="009F38EA">
              <w:t>126</w:t>
            </w:r>
          </w:p>
        </w:tc>
        <w:tc>
          <w:tcPr>
            <w:tcW w:w="4479" w:type="dxa"/>
            <w:noWrap/>
            <w:vAlign w:val="center"/>
            <w:hideMark/>
          </w:tcPr>
          <w:p w14:paraId="64DA09A9" w14:textId="77777777" w:rsidR="009F38EA" w:rsidRPr="009F38EA" w:rsidRDefault="009F38EA" w:rsidP="00B558B7">
            <w:pPr>
              <w:pStyle w:val="TekstTabeli"/>
            </w:pPr>
            <w:r w:rsidRPr="009F38EA">
              <w:t>leaders</w:t>
            </w:r>
          </w:p>
        </w:tc>
        <w:tc>
          <w:tcPr>
            <w:tcW w:w="3969" w:type="dxa"/>
            <w:noWrap/>
            <w:vAlign w:val="center"/>
            <w:hideMark/>
          </w:tcPr>
          <w:p w14:paraId="1BB17B74" w14:textId="77777777" w:rsidR="009F38EA" w:rsidRPr="009F38EA" w:rsidRDefault="009F38EA" w:rsidP="00B558B7">
            <w:pPr>
              <w:pStyle w:val="TekstTabeli"/>
            </w:pPr>
            <w:r w:rsidRPr="009F38EA">
              <w:t>0</w:t>
            </w:r>
          </w:p>
        </w:tc>
      </w:tr>
      <w:tr w:rsidR="009F38EA" w:rsidRPr="009F38EA" w14:paraId="7DE36456" w14:textId="77777777" w:rsidTr="009F38EA">
        <w:trPr>
          <w:cantSplit/>
          <w:trHeight w:val="285"/>
        </w:trPr>
        <w:tc>
          <w:tcPr>
            <w:tcW w:w="567" w:type="dxa"/>
            <w:noWrap/>
            <w:vAlign w:val="center"/>
            <w:hideMark/>
          </w:tcPr>
          <w:p w14:paraId="78166A88" w14:textId="77777777" w:rsidR="009F38EA" w:rsidRPr="009F38EA" w:rsidRDefault="009F38EA" w:rsidP="00B558B7">
            <w:pPr>
              <w:pStyle w:val="TekstTabeli"/>
            </w:pPr>
            <w:r w:rsidRPr="009F38EA">
              <w:t>127</w:t>
            </w:r>
          </w:p>
        </w:tc>
        <w:tc>
          <w:tcPr>
            <w:tcW w:w="4479" w:type="dxa"/>
            <w:noWrap/>
            <w:vAlign w:val="center"/>
            <w:hideMark/>
          </w:tcPr>
          <w:p w14:paraId="0F01DFB8" w14:textId="77777777" w:rsidR="009F38EA" w:rsidRPr="009F38EA" w:rsidRDefault="009F38EA" w:rsidP="00B558B7">
            <w:pPr>
              <w:pStyle w:val="TekstTabeli"/>
            </w:pPr>
            <w:r w:rsidRPr="009F38EA">
              <w:t>academic leaders</w:t>
            </w:r>
          </w:p>
        </w:tc>
        <w:tc>
          <w:tcPr>
            <w:tcW w:w="3969" w:type="dxa"/>
            <w:noWrap/>
            <w:vAlign w:val="center"/>
            <w:hideMark/>
          </w:tcPr>
          <w:p w14:paraId="55F04712" w14:textId="77777777" w:rsidR="009F38EA" w:rsidRPr="009F38EA" w:rsidRDefault="009F38EA" w:rsidP="00B558B7">
            <w:pPr>
              <w:pStyle w:val="TekstTabeli"/>
            </w:pPr>
            <w:r w:rsidRPr="009F38EA">
              <w:t>1</w:t>
            </w:r>
          </w:p>
        </w:tc>
      </w:tr>
      <w:tr w:rsidR="009F38EA" w:rsidRPr="009F38EA" w14:paraId="7CAEA09D" w14:textId="77777777" w:rsidTr="009F38EA">
        <w:trPr>
          <w:cantSplit/>
          <w:trHeight w:val="285"/>
        </w:trPr>
        <w:tc>
          <w:tcPr>
            <w:tcW w:w="567" w:type="dxa"/>
            <w:noWrap/>
            <w:vAlign w:val="center"/>
            <w:hideMark/>
          </w:tcPr>
          <w:p w14:paraId="178D3F8A" w14:textId="77777777" w:rsidR="009F38EA" w:rsidRPr="009F38EA" w:rsidRDefault="009F38EA" w:rsidP="00B558B7">
            <w:pPr>
              <w:pStyle w:val="TekstTabeli"/>
            </w:pPr>
            <w:r w:rsidRPr="009F38EA">
              <w:t>128</w:t>
            </w:r>
          </w:p>
        </w:tc>
        <w:tc>
          <w:tcPr>
            <w:tcW w:w="4479" w:type="dxa"/>
            <w:noWrap/>
            <w:vAlign w:val="center"/>
            <w:hideMark/>
          </w:tcPr>
          <w:p w14:paraId="20CB5432" w14:textId="77777777" w:rsidR="009F38EA" w:rsidRPr="009F38EA" w:rsidRDefault="009F38EA" w:rsidP="00B558B7">
            <w:pPr>
              <w:pStyle w:val="TekstTabeli"/>
            </w:pPr>
            <w:r w:rsidRPr="009F38EA">
              <w:t>community leaders</w:t>
            </w:r>
          </w:p>
        </w:tc>
        <w:tc>
          <w:tcPr>
            <w:tcW w:w="3969" w:type="dxa"/>
            <w:noWrap/>
            <w:vAlign w:val="center"/>
            <w:hideMark/>
          </w:tcPr>
          <w:p w14:paraId="3369CB72" w14:textId="77777777" w:rsidR="009F38EA" w:rsidRPr="009F38EA" w:rsidRDefault="009F38EA" w:rsidP="00B558B7">
            <w:pPr>
              <w:pStyle w:val="TekstTabeli"/>
            </w:pPr>
            <w:r w:rsidRPr="009F38EA">
              <w:t>1</w:t>
            </w:r>
          </w:p>
        </w:tc>
      </w:tr>
      <w:tr w:rsidR="009F38EA" w:rsidRPr="009F38EA" w14:paraId="7D539B9B" w14:textId="77777777" w:rsidTr="009F38EA">
        <w:trPr>
          <w:cantSplit/>
          <w:trHeight w:val="285"/>
        </w:trPr>
        <w:tc>
          <w:tcPr>
            <w:tcW w:w="567" w:type="dxa"/>
            <w:noWrap/>
            <w:vAlign w:val="center"/>
            <w:hideMark/>
          </w:tcPr>
          <w:p w14:paraId="52549CD2" w14:textId="77777777" w:rsidR="009F38EA" w:rsidRPr="009F38EA" w:rsidRDefault="009F38EA" w:rsidP="00B558B7">
            <w:pPr>
              <w:pStyle w:val="TekstTabeli"/>
            </w:pPr>
            <w:r w:rsidRPr="009F38EA">
              <w:t>129</w:t>
            </w:r>
          </w:p>
        </w:tc>
        <w:tc>
          <w:tcPr>
            <w:tcW w:w="4479" w:type="dxa"/>
            <w:noWrap/>
            <w:vAlign w:val="center"/>
            <w:hideMark/>
          </w:tcPr>
          <w:p w14:paraId="131112D0" w14:textId="77777777" w:rsidR="009F38EA" w:rsidRPr="009F38EA" w:rsidRDefault="009F38EA" w:rsidP="00B558B7">
            <w:pPr>
              <w:pStyle w:val="TekstTabeli"/>
            </w:pPr>
            <w:r w:rsidRPr="009F38EA">
              <w:t>HEIs’ leaders</w:t>
            </w:r>
          </w:p>
        </w:tc>
        <w:tc>
          <w:tcPr>
            <w:tcW w:w="3969" w:type="dxa"/>
            <w:noWrap/>
            <w:vAlign w:val="center"/>
            <w:hideMark/>
          </w:tcPr>
          <w:p w14:paraId="110B65F8" w14:textId="77777777" w:rsidR="009F38EA" w:rsidRPr="009F38EA" w:rsidRDefault="009F38EA" w:rsidP="00B558B7">
            <w:pPr>
              <w:pStyle w:val="TekstTabeli"/>
            </w:pPr>
            <w:r w:rsidRPr="009F38EA">
              <w:t>1</w:t>
            </w:r>
          </w:p>
        </w:tc>
      </w:tr>
      <w:tr w:rsidR="009F38EA" w:rsidRPr="009F38EA" w14:paraId="5C7AD419" w14:textId="77777777" w:rsidTr="009F38EA">
        <w:trPr>
          <w:cantSplit/>
          <w:trHeight w:val="285"/>
        </w:trPr>
        <w:tc>
          <w:tcPr>
            <w:tcW w:w="567" w:type="dxa"/>
            <w:noWrap/>
            <w:vAlign w:val="center"/>
            <w:hideMark/>
          </w:tcPr>
          <w:p w14:paraId="0B857236" w14:textId="77777777" w:rsidR="009F38EA" w:rsidRPr="009F38EA" w:rsidRDefault="009F38EA" w:rsidP="00B558B7">
            <w:pPr>
              <w:pStyle w:val="TekstTabeli"/>
            </w:pPr>
            <w:r w:rsidRPr="009F38EA">
              <w:t>130</w:t>
            </w:r>
          </w:p>
        </w:tc>
        <w:tc>
          <w:tcPr>
            <w:tcW w:w="4479" w:type="dxa"/>
            <w:noWrap/>
            <w:vAlign w:val="center"/>
            <w:hideMark/>
          </w:tcPr>
          <w:p w14:paraId="197B407C" w14:textId="77777777" w:rsidR="009F38EA" w:rsidRPr="009F38EA" w:rsidRDefault="009F38EA" w:rsidP="00B558B7">
            <w:pPr>
              <w:pStyle w:val="TekstTabeli"/>
            </w:pPr>
            <w:r w:rsidRPr="009F38EA">
              <w:t>school leaders</w:t>
            </w:r>
          </w:p>
        </w:tc>
        <w:tc>
          <w:tcPr>
            <w:tcW w:w="3969" w:type="dxa"/>
            <w:noWrap/>
            <w:vAlign w:val="center"/>
            <w:hideMark/>
          </w:tcPr>
          <w:p w14:paraId="286597BC" w14:textId="77777777" w:rsidR="009F38EA" w:rsidRPr="009F38EA" w:rsidRDefault="009F38EA" w:rsidP="00B558B7">
            <w:pPr>
              <w:pStyle w:val="TekstTabeli"/>
            </w:pPr>
            <w:r w:rsidRPr="009F38EA">
              <w:t>1</w:t>
            </w:r>
          </w:p>
        </w:tc>
      </w:tr>
      <w:tr w:rsidR="009F38EA" w:rsidRPr="009F38EA" w14:paraId="0DCBAEF1" w14:textId="77777777" w:rsidTr="009F38EA">
        <w:trPr>
          <w:cantSplit/>
          <w:trHeight w:val="285"/>
        </w:trPr>
        <w:tc>
          <w:tcPr>
            <w:tcW w:w="567" w:type="dxa"/>
            <w:noWrap/>
            <w:vAlign w:val="center"/>
            <w:hideMark/>
          </w:tcPr>
          <w:p w14:paraId="6F27A3E3" w14:textId="77777777" w:rsidR="009F38EA" w:rsidRPr="009F38EA" w:rsidRDefault="009F38EA" w:rsidP="00B558B7">
            <w:pPr>
              <w:pStyle w:val="TekstTabeli"/>
            </w:pPr>
            <w:r w:rsidRPr="009F38EA">
              <w:t>131</w:t>
            </w:r>
          </w:p>
        </w:tc>
        <w:tc>
          <w:tcPr>
            <w:tcW w:w="4479" w:type="dxa"/>
            <w:noWrap/>
            <w:vAlign w:val="center"/>
            <w:hideMark/>
          </w:tcPr>
          <w:p w14:paraId="5EC72F61" w14:textId="77777777" w:rsidR="009F38EA" w:rsidRPr="009F38EA" w:rsidRDefault="009F38EA" w:rsidP="00B558B7">
            <w:pPr>
              <w:pStyle w:val="TekstTabeli"/>
            </w:pPr>
            <w:r w:rsidRPr="009F38EA">
              <w:t>university leaders</w:t>
            </w:r>
          </w:p>
        </w:tc>
        <w:tc>
          <w:tcPr>
            <w:tcW w:w="3969" w:type="dxa"/>
            <w:noWrap/>
            <w:vAlign w:val="center"/>
            <w:hideMark/>
          </w:tcPr>
          <w:p w14:paraId="1A717614" w14:textId="77777777" w:rsidR="009F38EA" w:rsidRPr="009F38EA" w:rsidRDefault="009F38EA" w:rsidP="00B558B7">
            <w:pPr>
              <w:pStyle w:val="TekstTabeli"/>
            </w:pPr>
            <w:r w:rsidRPr="009F38EA">
              <w:t>3</w:t>
            </w:r>
          </w:p>
        </w:tc>
      </w:tr>
      <w:tr w:rsidR="009F38EA" w:rsidRPr="009F38EA" w14:paraId="00B4F586" w14:textId="77777777" w:rsidTr="009F38EA">
        <w:trPr>
          <w:cantSplit/>
          <w:trHeight w:val="285"/>
        </w:trPr>
        <w:tc>
          <w:tcPr>
            <w:tcW w:w="567" w:type="dxa"/>
            <w:noWrap/>
            <w:vAlign w:val="center"/>
            <w:hideMark/>
          </w:tcPr>
          <w:p w14:paraId="5A030693" w14:textId="77777777" w:rsidR="009F38EA" w:rsidRPr="009F38EA" w:rsidRDefault="009F38EA" w:rsidP="00B558B7">
            <w:pPr>
              <w:pStyle w:val="TekstTabeli"/>
            </w:pPr>
            <w:r w:rsidRPr="009F38EA">
              <w:t>132</w:t>
            </w:r>
          </w:p>
        </w:tc>
        <w:tc>
          <w:tcPr>
            <w:tcW w:w="4479" w:type="dxa"/>
            <w:noWrap/>
            <w:vAlign w:val="center"/>
            <w:hideMark/>
          </w:tcPr>
          <w:p w14:paraId="412029FE" w14:textId="77777777" w:rsidR="009F38EA" w:rsidRPr="009F38EA" w:rsidRDefault="009F38EA" w:rsidP="00B558B7">
            <w:pPr>
              <w:pStyle w:val="TekstTabeli"/>
            </w:pPr>
            <w:r w:rsidRPr="009F38EA">
              <w:t>universities leaders</w:t>
            </w:r>
          </w:p>
        </w:tc>
        <w:tc>
          <w:tcPr>
            <w:tcW w:w="3969" w:type="dxa"/>
            <w:noWrap/>
            <w:vAlign w:val="center"/>
            <w:hideMark/>
          </w:tcPr>
          <w:p w14:paraId="09F7C108" w14:textId="77777777" w:rsidR="009F38EA" w:rsidRPr="009F38EA" w:rsidRDefault="009F38EA" w:rsidP="00B558B7">
            <w:pPr>
              <w:pStyle w:val="TekstTabeli"/>
            </w:pPr>
            <w:r w:rsidRPr="009F38EA">
              <w:t>1</w:t>
            </w:r>
          </w:p>
        </w:tc>
      </w:tr>
      <w:tr w:rsidR="009F38EA" w:rsidRPr="009F38EA" w14:paraId="0D34A8A8" w14:textId="77777777" w:rsidTr="009F38EA">
        <w:trPr>
          <w:cantSplit/>
          <w:trHeight w:val="285"/>
        </w:trPr>
        <w:tc>
          <w:tcPr>
            <w:tcW w:w="567" w:type="dxa"/>
            <w:noWrap/>
            <w:vAlign w:val="center"/>
            <w:hideMark/>
          </w:tcPr>
          <w:p w14:paraId="393BD033" w14:textId="77777777" w:rsidR="009F38EA" w:rsidRPr="009F38EA" w:rsidRDefault="009F38EA" w:rsidP="00B558B7">
            <w:pPr>
              <w:pStyle w:val="TekstTabeli"/>
            </w:pPr>
            <w:r w:rsidRPr="009F38EA">
              <w:t>133</w:t>
            </w:r>
          </w:p>
        </w:tc>
        <w:tc>
          <w:tcPr>
            <w:tcW w:w="4479" w:type="dxa"/>
            <w:noWrap/>
            <w:vAlign w:val="center"/>
            <w:hideMark/>
          </w:tcPr>
          <w:p w14:paraId="46AF090C" w14:textId="77777777" w:rsidR="009F38EA" w:rsidRPr="009F38EA" w:rsidRDefault="009F38EA" w:rsidP="00B558B7">
            <w:pPr>
              <w:pStyle w:val="TekstTabeli"/>
            </w:pPr>
            <w:r w:rsidRPr="009F38EA">
              <w:t>family leaders</w:t>
            </w:r>
          </w:p>
        </w:tc>
        <w:tc>
          <w:tcPr>
            <w:tcW w:w="3969" w:type="dxa"/>
            <w:noWrap/>
            <w:vAlign w:val="center"/>
            <w:hideMark/>
          </w:tcPr>
          <w:p w14:paraId="43FAF277" w14:textId="77777777" w:rsidR="009F38EA" w:rsidRPr="009F38EA" w:rsidRDefault="009F38EA" w:rsidP="00B558B7">
            <w:pPr>
              <w:pStyle w:val="TekstTabeli"/>
            </w:pPr>
            <w:r w:rsidRPr="009F38EA">
              <w:t>1</w:t>
            </w:r>
          </w:p>
        </w:tc>
      </w:tr>
      <w:tr w:rsidR="009F38EA" w:rsidRPr="009F38EA" w14:paraId="4FCA8125" w14:textId="77777777" w:rsidTr="009F38EA">
        <w:trPr>
          <w:cantSplit/>
          <w:trHeight w:val="285"/>
        </w:trPr>
        <w:tc>
          <w:tcPr>
            <w:tcW w:w="567" w:type="dxa"/>
            <w:noWrap/>
            <w:vAlign w:val="center"/>
            <w:hideMark/>
          </w:tcPr>
          <w:p w14:paraId="3836FE50" w14:textId="77777777" w:rsidR="009F38EA" w:rsidRPr="009F38EA" w:rsidRDefault="009F38EA" w:rsidP="00B558B7">
            <w:pPr>
              <w:pStyle w:val="TekstTabeli"/>
            </w:pPr>
            <w:r w:rsidRPr="009F38EA">
              <w:t>134</w:t>
            </w:r>
          </w:p>
        </w:tc>
        <w:tc>
          <w:tcPr>
            <w:tcW w:w="4479" w:type="dxa"/>
            <w:noWrap/>
            <w:vAlign w:val="center"/>
            <w:hideMark/>
          </w:tcPr>
          <w:p w14:paraId="30C70F44" w14:textId="77777777" w:rsidR="009F38EA" w:rsidRPr="009F38EA" w:rsidRDefault="009F38EA" w:rsidP="00B558B7">
            <w:pPr>
              <w:pStyle w:val="TekstTabeli"/>
            </w:pPr>
            <w:r w:rsidRPr="009F38EA">
              <w:t>leadership</w:t>
            </w:r>
          </w:p>
        </w:tc>
        <w:tc>
          <w:tcPr>
            <w:tcW w:w="3969" w:type="dxa"/>
            <w:noWrap/>
            <w:vAlign w:val="center"/>
            <w:hideMark/>
          </w:tcPr>
          <w:p w14:paraId="5FA17320" w14:textId="77777777" w:rsidR="009F38EA" w:rsidRPr="009F38EA" w:rsidRDefault="009F38EA" w:rsidP="00B558B7">
            <w:pPr>
              <w:pStyle w:val="TekstTabeli"/>
            </w:pPr>
            <w:r w:rsidRPr="009F38EA">
              <w:t>5</w:t>
            </w:r>
          </w:p>
        </w:tc>
      </w:tr>
      <w:tr w:rsidR="009F38EA" w:rsidRPr="009F38EA" w14:paraId="4E02EEB1" w14:textId="77777777" w:rsidTr="009F38EA">
        <w:trPr>
          <w:cantSplit/>
          <w:trHeight w:val="285"/>
        </w:trPr>
        <w:tc>
          <w:tcPr>
            <w:tcW w:w="567" w:type="dxa"/>
            <w:noWrap/>
            <w:vAlign w:val="center"/>
            <w:hideMark/>
          </w:tcPr>
          <w:p w14:paraId="26C93F36" w14:textId="77777777" w:rsidR="009F38EA" w:rsidRPr="009F38EA" w:rsidRDefault="009F38EA" w:rsidP="00B558B7">
            <w:pPr>
              <w:pStyle w:val="TekstTabeli"/>
            </w:pPr>
            <w:r w:rsidRPr="009F38EA">
              <w:t>135</w:t>
            </w:r>
          </w:p>
        </w:tc>
        <w:tc>
          <w:tcPr>
            <w:tcW w:w="4479" w:type="dxa"/>
            <w:noWrap/>
            <w:vAlign w:val="center"/>
            <w:hideMark/>
          </w:tcPr>
          <w:p w14:paraId="118ABB22" w14:textId="77777777" w:rsidR="009F38EA" w:rsidRPr="009F38EA" w:rsidRDefault="009F38EA" w:rsidP="00B558B7">
            <w:pPr>
              <w:pStyle w:val="TekstTabeli"/>
            </w:pPr>
            <w:r w:rsidRPr="009F38EA">
              <w:t>university leadership</w:t>
            </w:r>
          </w:p>
        </w:tc>
        <w:tc>
          <w:tcPr>
            <w:tcW w:w="3969" w:type="dxa"/>
            <w:noWrap/>
            <w:vAlign w:val="center"/>
            <w:hideMark/>
          </w:tcPr>
          <w:p w14:paraId="1239C9E4" w14:textId="77777777" w:rsidR="009F38EA" w:rsidRPr="009F38EA" w:rsidRDefault="009F38EA" w:rsidP="00B558B7">
            <w:pPr>
              <w:pStyle w:val="TekstTabeli"/>
            </w:pPr>
            <w:r w:rsidRPr="009F38EA">
              <w:t>1</w:t>
            </w:r>
          </w:p>
        </w:tc>
      </w:tr>
      <w:tr w:rsidR="009F38EA" w:rsidRPr="009F38EA" w14:paraId="4A642377" w14:textId="77777777" w:rsidTr="009F38EA">
        <w:trPr>
          <w:cantSplit/>
          <w:trHeight w:val="285"/>
        </w:trPr>
        <w:tc>
          <w:tcPr>
            <w:tcW w:w="567" w:type="dxa"/>
            <w:noWrap/>
            <w:vAlign w:val="center"/>
            <w:hideMark/>
          </w:tcPr>
          <w:p w14:paraId="618BE559" w14:textId="77777777" w:rsidR="009F38EA" w:rsidRPr="009F38EA" w:rsidRDefault="009F38EA" w:rsidP="00B558B7">
            <w:pPr>
              <w:pStyle w:val="TekstTabeli"/>
            </w:pPr>
            <w:r w:rsidRPr="009F38EA">
              <w:t>136</w:t>
            </w:r>
          </w:p>
        </w:tc>
        <w:tc>
          <w:tcPr>
            <w:tcW w:w="4479" w:type="dxa"/>
            <w:noWrap/>
            <w:vAlign w:val="center"/>
            <w:hideMark/>
          </w:tcPr>
          <w:p w14:paraId="4EEA7A7F" w14:textId="77777777" w:rsidR="009F38EA" w:rsidRPr="009F38EA" w:rsidRDefault="009F38EA" w:rsidP="00B558B7">
            <w:pPr>
              <w:pStyle w:val="TekstTabeli"/>
            </w:pPr>
            <w:r w:rsidRPr="009F38EA">
              <w:t>university department leaders</w:t>
            </w:r>
          </w:p>
        </w:tc>
        <w:tc>
          <w:tcPr>
            <w:tcW w:w="3969" w:type="dxa"/>
            <w:noWrap/>
            <w:vAlign w:val="center"/>
            <w:hideMark/>
          </w:tcPr>
          <w:p w14:paraId="146A3AF2" w14:textId="77777777" w:rsidR="009F38EA" w:rsidRPr="009F38EA" w:rsidRDefault="009F38EA" w:rsidP="00B558B7">
            <w:pPr>
              <w:pStyle w:val="TekstTabeli"/>
            </w:pPr>
            <w:r w:rsidRPr="009F38EA">
              <w:t>1</w:t>
            </w:r>
          </w:p>
        </w:tc>
      </w:tr>
      <w:tr w:rsidR="009F38EA" w:rsidRPr="009F38EA" w14:paraId="5CEED9B1" w14:textId="77777777" w:rsidTr="009F38EA">
        <w:trPr>
          <w:cantSplit/>
          <w:trHeight w:val="285"/>
        </w:trPr>
        <w:tc>
          <w:tcPr>
            <w:tcW w:w="567" w:type="dxa"/>
            <w:noWrap/>
            <w:vAlign w:val="center"/>
            <w:hideMark/>
          </w:tcPr>
          <w:p w14:paraId="7EB165FE" w14:textId="77777777" w:rsidR="009F38EA" w:rsidRPr="009F38EA" w:rsidRDefault="009F38EA" w:rsidP="00B558B7">
            <w:pPr>
              <w:pStyle w:val="TekstTabeli"/>
            </w:pPr>
            <w:r w:rsidRPr="009F38EA">
              <w:t>137</w:t>
            </w:r>
          </w:p>
        </w:tc>
        <w:tc>
          <w:tcPr>
            <w:tcW w:w="4479" w:type="dxa"/>
            <w:noWrap/>
            <w:vAlign w:val="center"/>
            <w:hideMark/>
          </w:tcPr>
          <w:p w14:paraId="76A2B256" w14:textId="77777777" w:rsidR="009F38EA" w:rsidRPr="009F38EA" w:rsidRDefault="009F38EA" w:rsidP="00B558B7">
            <w:pPr>
              <w:pStyle w:val="TekstTabeli"/>
            </w:pPr>
            <w:r w:rsidRPr="009F38EA">
              <w:t>academic leadership</w:t>
            </w:r>
          </w:p>
        </w:tc>
        <w:tc>
          <w:tcPr>
            <w:tcW w:w="3969" w:type="dxa"/>
            <w:noWrap/>
            <w:vAlign w:val="center"/>
            <w:hideMark/>
          </w:tcPr>
          <w:p w14:paraId="5AA09131" w14:textId="77777777" w:rsidR="009F38EA" w:rsidRPr="009F38EA" w:rsidRDefault="009F38EA" w:rsidP="00B558B7">
            <w:pPr>
              <w:pStyle w:val="TekstTabeli"/>
            </w:pPr>
            <w:r w:rsidRPr="009F38EA">
              <w:t>1</w:t>
            </w:r>
          </w:p>
        </w:tc>
      </w:tr>
      <w:tr w:rsidR="009F38EA" w:rsidRPr="009F38EA" w14:paraId="6BF4883B" w14:textId="77777777" w:rsidTr="009F38EA">
        <w:trPr>
          <w:cantSplit/>
          <w:trHeight w:val="285"/>
        </w:trPr>
        <w:tc>
          <w:tcPr>
            <w:tcW w:w="567" w:type="dxa"/>
            <w:noWrap/>
            <w:vAlign w:val="center"/>
            <w:hideMark/>
          </w:tcPr>
          <w:p w14:paraId="522253C9" w14:textId="77777777" w:rsidR="009F38EA" w:rsidRPr="009F38EA" w:rsidRDefault="009F38EA" w:rsidP="00B558B7">
            <w:pPr>
              <w:pStyle w:val="TekstTabeli"/>
            </w:pPr>
            <w:r w:rsidRPr="009F38EA">
              <w:t>138</w:t>
            </w:r>
          </w:p>
        </w:tc>
        <w:tc>
          <w:tcPr>
            <w:tcW w:w="4479" w:type="dxa"/>
            <w:noWrap/>
            <w:vAlign w:val="center"/>
            <w:hideMark/>
          </w:tcPr>
          <w:p w14:paraId="09F522DC" w14:textId="77777777" w:rsidR="009F38EA" w:rsidRPr="009F38EA" w:rsidRDefault="009F38EA" w:rsidP="00B558B7">
            <w:pPr>
              <w:pStyle w:val="TekstTabeli"/>
            </w:pPr>
            <w:r w:rsidRPr="009F38EA">
              <w:t>educational leadership</w:t>
            </w:r>
          </w:p>
        </w:tc>
        <w:tc>
          <w:tcPr>
            <w:tcW w:w="3969" w:type="dxa"/>
            <w:noWrap/>
            <w:vAlign w:val="center"/>
            <w:hideMark/>
          </w:tcPr>
          <w:p w14:paraId="1C47076C" w14:textId="77777777" w:rsidR="009F38EA" w:rsidRPr="009F38EA" w:rsidRDefault="009F38EA" w:rsidP="00B558B7">
            <w:pPr>
              <w:pStyle w:val="TekstTabeli"/>
            </w:pPr>
            <w:r w:rsidRPr="009F38EA">
              <w:t>1</w:t>
            </w:r>
          </w:p>
        </w:tc>
      </w:tr>
      <w:tr w:rsidR="009F38EA" w:rsidRPr="009F38EA" w14:paraId="672FEB0E" w14:textId="77777777" w:rsidTr="009F38EA">
        <w:trPr>
          <w:cantSplit/>
          <w:trHeight w:val="285"/>
        </w:trPr>
        <w:tc>
          <w:tcPr>
            <w:tcW w:w="567" w:type="dxa"/>
            <w:noWrap/>
            <w:vAlign w:val="center"/>
            <w:hideMark/>
          </w:tcPr>
          <w:p w14:paraId="1F1B4303" w14:textId="77777777" w:rsidR="009F38EA" w:rsidRPr="009F38EA" w:rsidRDefault="009F38EA" w:rsidP="00B558B7">
            <w:pPr>
              <w:pStyle w:val="TekstTabeli"/>
            </w:pPr>
            <w:r w:rsidRPr="009F38EA">
              <w:t>139</w:t>
            </w:r>
          </w:p>
        </w:tc>
        <w:tc>
          <w:tcPr>
            <w:tcW w:w="4479" w:type="dxa"/>
            <w:noWrap/>
            <w:vAlign w:val="center"/>
            <w:hideMark/>
          </w:tcPr>
          <w:p w14:paraId="73E67C10" w14:textId="77777777" w:rsidR="009F38EA" w:rsidRPr="009F38EA" w:rsidRDefault="009F38EA" w:rsidP="00B558B7">
            <w:pPr>
              <w:pStyle w:val="TekstTabeli"/>
            </w:pPr>
            <w:r w:rsidRPr="009F38EA">
              <w:t>educational leaders</w:t>
            </w:r>
          </w:p>
        </w:tc>
        <w:tc>
          <w:tcPr>
            <w:tcW w:w="3969" w:type="dxa"/>
            <w:noWrap/>
            <w:vAlign w:val="center"/>
            <w:hideMark/>
          </w:tcPr>
          <w:p w14:paraId="6C3277EF" w14:textId="77777777" w:rsidR="009F38EA" w:rsidRPr="009F38EA" w:rsidRDefault="009F38EA" w:rsidP="00B558B7">
            <w:pPr>
              <w:pStyle w:val="TekstTabeli"/>
            </w:pPr>
            <w:r w:rsidRPr="009F38EA">
              <w:t>1</w:t>
            </w:r>
          </w:p>
        </w:tc>
      </w:tr>
      <w:tr w:rsidR="009F38EA" w:rsidRPr="009F38EA" w14:paraId="7E9F1741" w14:textId="77777777" w:rsidTr="009F38EA">
        <w:trPr>
          <w:cantSplit/>
          <w:trHeight w:val="285"/>
        </w:trPr>
        <w:tc>
          <w:tcPr>
            <w:tcW w:w="567" w:type="dxa"/>
            <w:noWrap/>
            <w:vAlign w:val="center"/>
            <w:hideMark/>
          </w:tcPr>
          <w:p w14:paraId="34597332" w14:textId="77777777" w:rsidR="009F38EA" w:rsidRPr="009F38EA" w:rsidRDefault="009F38EA" w:rsidP="00B558B7">
            <w:pPr>
              <w:pStyle w:val="TekstTabeli"/>
            </w:pPr>
            <w:r w:rsidRPr="009F38EA">
              <w:t>140</w:t>
            </w:r>
          </w:p>
        </w:tc>
        <w:tc>
          <w:tcPr>
            <w:tcW w:w="4479" w:type="dxa"/>
            <w:noWrap/>
            <w:vAlign w:val="center"/>
            <w:hideMark/>
          </w:tcPr>
          <w:p w14:paraId="66A50959" w14:textId="77777777" w:rsidR="009F38EA" w:rsidRPr="009F38EA" w:rsidRDefault="009F38EA" w:rsidP="00B558B7">
            <w:pPr>
              <w:pStyle w:val="TekstTabeli"/>
            </w:pPr>
            <w:r w:rsidRPr="009F38EA">
              <w:t>departmental leadership</w:t>
            </w:r>
          </w:p>
        </w:tc>
        <w:tc>
          <w:tcPr>
            <w:tcW w:w="3969" w:type="dxa"/>
            <w:noWrap/>
            <w:vAlign w:val="center"/>
            <w:hideMark/>
          </w:tcPr>
          <w:p w14:paraId="64648069" w14:textId="77777777" w:rsidR="009F38EA" w:rsidRPr="009F38EA" w:rsidRDefault="009F38EA" w:rsidP="00B558B7">
            <w:pPr>
              <w:pStyle w:val="TekstTabeli"/>
            </w:pPr>
            <w:r w:rsidRPr="009F38EA">
              <w:t>1</w:t>
            </w:r>
          </w:p>
        </w:tc>
      </w:tr>
      <w:tr w:rsidR="009F38EA" w:rsidRPr="009F38EA" w14:paraId="3E825C99" w14:textId="77777777" w:rsidTr="009F38EA">
        <w:trPr>
          <w:cantSplit/>
          <w:trHeight w:val="285"/>
        </w:trPr>
        <w:tc>
          <w:tcPr>
            <w:tcW w:w="567" w:type="dxa"/>
            <w:noWrap/>
            <w:vAlign w:val="center"/>
            <w:hideMark/>
          </w:tcPr>
          <w:p w14:paraId="384C1405" w14:textId="77777777" w:rsidR="009F38EA" w:rsidRPr="009F38EA" w:rsidRDefault="009F38EA" w:rsidP="00B558B7">
            <w:pPr>
              <w:pStyle w:val="TekstTabeli"/>
            </w:pPr>
            <w:r w:rsidRPr="009F38EA">
              <w:t>141</w:t>
            </w:r>
          </w:p>
        </w:tc>
        <w:tc>
          <w:tcPr>
            <w:tcW w:w="4479" w:type="dxa"/>
            <w:noWrap/>
            <w:vAlign w:val="center"/>
            <w:hideMark/>
          </w:tcPr>
          <w:p w14:paraId="59A8E3F3" w14:textId="77777777" w:rsidR="009F38EA" w:rsidRPr="009F38EA" w:rsidRDefault="009F38EA" w:rsidP="00B558B7">
            <w:pPr>
              <w:pStyle w:val="TekstTabeli"/>
            </w:pPr>
            <w:r w:rsidRPr="009F38EA">
              <w:t>state or system leadership</w:t>
            </w:r>
          </w:p>
        </w:tc>
        <w:tc>
          <w:tcPr>
            <w:tcW w:w="3969" w:type="dxa"/>
            <w:noWrap/>
            <w:vAlign w:val="center"/>
            <w:hideMark/>
          </w:tcPr>
          <w:p w14:paraId="3F3DBCD7" w14:textId="77777777" w:rsidR="009F38EA" w:rsidRPr="009F38EA" w:rsidRDefault="009F38EA" w:rsidP="00B558B7">
            <w:pPr>
              <w:pStyle w:val="TekstTabeli"/>
            </w:pPr>
            <w:r w:rsidRPr="009F38EA">
              <w:t>1</w:t>
            </w:r>
          </w:p>
        </w:tc>
      </w:tr>
      <w:tr w:rsidR="009F38EA" w:rsidRPr="009F38EA" w14:paraId="0C803AA1" w14:textId="77777777" w:rsidTr="009F38EA">
        <w:trPr>
          <w:cantSplit/>
          <w:trHeight w:val="285"/>
        </w:trPr>
        <w:tc>
          <w:tcPr>
            <w:tcW w:w="567" w:type="dxa"/>
            <w:noWrap/>
            <w:vAlign w:val="center"/>
            <w:hideMark/>
          </w:tcPr>
          <w:p w14:paraId="2A2720EA" w14:textId="77777777" w:rsidR="009F38EA" w:rsidRPr="009F38EA" w:rsidRDefault="009F38EA" w:rsidP="00B558B7">
            <w:pPr>
              <w:pStyle w:val="TekstTabeli"/>
            </w:pPr>
            <w:r w:rsidRPr="009F38EA">
              <w:t>142</w:t>
            </w:r>
          </w:p>
        </w:tc>
        <w:tc>
          <w:tcPr>
            <w:tcW w:w="4479" w:type="dxa"/>
            <w:noWrap/>
            <w:vAlign w:val="center"/>
            <w:hideMark/>
          </w:tcPr>
          <w:p w14:paraId="3A2687DA" w14:textId="77777777" w:rsidR="009F38EA" w:rsidRPr="009F38EA" w:rsidRDefault="009F38EA" w:rsidP="00B558B7">
            <w:pPr>
              <w:pStyle w:val="TekstTabeli"/>
            </w:pPr>
            <w:r w:rsidRPr="009F38EA">
              <w:t>local</w:t>
            </w:r>
          </w:p>
        </w:tc>
        <w:tc>
          <w:tcPr>
            <w:tcW w:w="3969" w:type="dxa"/>
            <w:noWrap/>
            <w:vAlign w:val="center"/>
            <w:hideMark/>
          </w:tcPr>
          <w:p w14:paraId="73367DAD" w14:textId="77777777" w:rsidR="009F38EA" w:rsidRPr="009F38EA" w:rsidRDefault="009F38EA" w:rsidP="00B558B7">
            <w:pPr>
              <w:pStyle w:val="TekstTabeli"/>
            </w:pPr>
            <w:r w:rsidRPr="009F38EA">
              <w:t>0</w:t>
            </w:r>
          </w:p>
        </w:tc>
      </w:tr>
      <w:tr w:rsidR="009F38EA" w:rsidRPr="009F38EA" w14:paraId="01323177" w14:textId="77777777" w:rsidTr="009F38EA">
        <w:trPr>
          <w:cantSplit/>
          <w:trHeight w:val="285"/>
        </w:trPr>
        <w:tc>
          <w:tcPr>
            <w:tcW w:w="567" w:type="dxa"/>
            <w:noWrap/>
            <w:vAlign w:val="center"/>
            <w:hideMark/>
          </w:tcPr>
          <w:p w14:paraId="2E55F1CE" w14:textId="77777777" w:rsidR="009F38EA" w:rsidRPr="009F38EA" w:rsidRDefault="009F38EA" w:rsidP="00B558B7">
            <w:pPr>
              <w:pStyle w:val="TekstTabeli"/>
            </w:pPr>
            <w:r w:rsidRPr="009F38EA">
              <w:t>143</w:t>
            </w:r>
          </w:p>
        </w:tc>
        <w:tc>
          <w:tcPr>
            <w:tcW w:w="4479" w:type="dxa"/>
            <w:noWrap/>
            <w:vAlign w:val="center"/>
            <w:hideMark/>
          </w:tcPr>
          <w:p w14:paraId="322A31F8" w14:textId="77777777" w:rsidR="009F38EA" w:rsidRPr="009F38EA" w:rsidRDefault="009F38EA" w:rsidP="00B558B7">
            <w:pPr>
              <w:pStyle w:val="TekstTabeli"/>
            </w:pPr>
            <w:r w:rsidRPr="009F38EA">
              <w:t>local citizens</w:t>
            </w:r>
          </w:p>
        </w:tc>
        <w:tc>
          <w:tcPr>
            <w:tcW w:w="3969" w:type="dxa"/>
            <w:noWrap/>
            <w:vAlign w:val="center"/>
            <w:hideMark/>
          </w:tcPr>
          <w:p w14:paraId="17CBD189" w14:textId="77777777" w:rsidR="009F38EA" w:rsidRPr="009F38EA" w:rsidRDefault="009F38EA" w:rsidP="00B558B7">
            <w:pPr>
              <w:pStyle w:val="TekstTabeli"/>
            </w:pPr>
            <w:r w:rsidRPr="009F38EA">
              <w:t>1</w:t>
            </w:r>
          </w:p>
        </w:tc>
      </w:tr>
      <w:tr w:rsidR="009F38EA" w:rsidRPr="009F38EA" w14:paraId="08DAA99B" w14:textId="77777777" w:rsidTr="009F38EA">
        <w:trPr>
          <w:cantSplit/>
          <w:trHeight w:val="285"/>
        </w:trPr>
        <w:tc>
          <w:tcPr>
            <w:tcW w:w="567" w:type="dxa"/>
            <w:noWrap/>
            <w:vAlign w:val="center"/>
            <w:hideMark/>
          </w:tcPr>
          <w:p w14:paraId="7DA05AA6" w14:textId="77777777" w:rsidR="009F38EA" w:rsidRPr="009F38EA" w:rsidRDefault="009F38EA" w:rsidP="00B558B7">
            <w:pPr>
              <w:pStyle w:val="TekstTabeli"/>
            </w:pPr>
            <w:r w:rsidRPr="009F38EA">
              <w:t>144</w:t>
            </w:r>
          </w:p>
        </w:tc>
        <w:tc>
          <w:tcPr>
            <w:tcW w:w="4479" w:type="dxa"/>
            <w:noWrap/>
            <w:vAlign w:val="center"/>
            <w:hideMark/>
          </w:tcPr>
          <w:p w14:paraId="0BC289E5" w14:textId="77777777" w:rsidR="009F38EA" w:rsidRPr="009F38EA" w:rsidRDefault="009F38EA" w:rsidP="00B558B7">
            <w:pPr>
              <w:pStyle w:val="TekstTabeli"/>
            </w:pPr>
            <w:r w:rsidRPr="009F38EA">
              <w:t>local entrepreneurial ecosystem</w:t>
            </w:r>
          </w:p>
        </w:tc>
        <w:tc>
          <w:tcPr>
            <w:tcW w:w="3969" w:type="dxa"/>
            <w:noWrap/>
            <w:vAlign w:val="center"/>
            <w:hideMark/>
          </w:tcPr>
          <w:p w14:paraId="4130D14F" w14:textId="77777777" w:rsidR="009F38EA" w:rsidRPr="009F38EA" w:rsidRDefault="009F38EA" w:rsidP="00B558B7">
            <w:pPr>
              <w:pStyle w:val="TekstTabeli"/>
            </w:pPr>
            <w:r w:rsidRPr="009F38EA">
              <w:t>1</w:t>
            </w:r>
          </w:p>
        </w:tc>
      </w:tr>
      <w:tr w:rsidR="009F38EA" w:rsidRPr="009F38EA" w14:paraId="6198E4C5" w14:textId="77777777" w:rsidTr="009F38EA">
        <w:trPr>
          <w:cantSplit/>
          <w:trHeight w:val="285"/>
        </w:trPr>
        <w:tc>
          <w:tcPr>
            <w:tcW w:w="567" w:type="dxa"/>
            <w:noWrap/>
            <w:vAlign w:val="center"/>
            <w:hideMark/>
          </w:tcPr>
          <w:p w14:paraId="47A953FC" w14:textId="77777777" w:rsidR="009F38EA" w:rsidRPr="009F38EA" w:rsidRDefault="009F38EA" w:rsidP="00B558B7">
            <w:pPr>
              <w:pStyle w:val="TekstTabeli"/>
            </w:pPr>
            <w:r w:rsidRPr="009F38EA">
              <w:t>145</w:t>
            </w:r>
          </w:p>
        </w:tc>
        <w:tc>
          <w:tcPr>
            <w:tcW w:w="4479" w:type="dxa"/>
            <w:noWrap/>
            <w:vAlign w:val="center"/>
            <w:hideMark/>
          </w:tcPr>
          <w:p w14:paraId="4607B89F" w14:textId="77777777" w:rsidR="009F38EA" w:rsidRPr="009F38EA" w:rsidRDefault="009F38EA" w:rsidP="00B558B7">
            <w:pPr>
              <w:pStyle w:val="TekstTabeli"/>
            </w:pPr>
            <w:r w:rsidRPr="009F38EA">
              <w:t>local institutions</w:t>
            </w:r>
          </w:p>
        </w:tc>
        <w:tc>
          <w:tcPr>
            <w:tcW w:w="3969" w:type="dxa"/>
            <w:noWrap/>
            <w:vAlign w:val="center"/>
            <w:hideMark/>
          </w:tcPr>
          <w:p w14:paraId="31428FF1" w14:textId="77777777" w:rsidR="009F38EA" w:rsidRPr="009F38EA" w:rsidRDefault="009F38EA" w:rsidP="00B558B7">
            <w:pPr>
              <w:pStyle w:val="TekstTabeli"/>
            </w:pPr>
            <w:r w:rsidRPr="009F38EA">
              <w:t>2</w:t>
            </w:r>
          </w:p>
        </w:tc>
      </w:tr>
      <w:tr w:rsidR="009F38EA" w:rsidRPr="009F38EA" w14:paraId="41DACDAA" w14:textId="77777777" w:rsidTr="009F38EA">
        <w:trPr>
          <w:cantSplit/>
          <w:trHeight w:val="285"/>
        </w:trPr>
        <w:tc>
          <w:tcPr>
            <w:tcW w:w="567" w:type="dxa"/>
            <w:noWrap/>
            <w:vAlign w:val="center"/>
            <w:hideMark/>
          </w:tcPr>
          <w:p w14:paraId="418D39B3" w14:textId="77777777" w:rsidR="009F38EA" w:rsidRPr="009F38EA" w:rsidRDefault="009F38EA" w:rsidP="00B558B7">
            <w:pPr>
              <w:pStyle w:val="TekstTabeli"/>
            </w:pPr>
            <w:r w:rsidRPr="009F38EA">
              <w:t>146</w:t>
            </w:r>
          </w:p>
        </w:tc>
        <w:tc>
          <w:tcPr>
            <w:tcW w:w="4479" w:type="dxa"/>
            <w:noWrap/>
            <w:vAlign w:val="center"/>
            <w:hideMark/>
          </w:tcPr>
          <w:p w14:paraId="61EB6397" w14:textId="77777777" w:rsidR="009F38EA" w:rsidRPr="009F38EA" w:rsidRDefault="009F38EA" w:rsidP="00B558B7">
            <w:pPr>
              <w:pStyle w:val="TekstTabeli"/>
            </w:pPr>
            <w:r w:rsidRPr="009F38EA">
              <w:t>local authorities</w:t>
            </w:r>
          </w:p>
        </w:tc>
        <w:tc>
          <w:tcPr>
            <w:tcW w:w="3969" w:type="dxa"/>
            <w:noWrap/>
            <w:vAlign w:val="center"/>
            <w:hideMark/>
          </w:tcPr>
          <w:p w14:paraId="1E587059" w14:textId="77777777" w:rsidR="009F38EA" w:rsidRPr="009F38EA" w:rsidRDefault="009F38EA" w:rsidP="00B558B7">
            <w:pPr>
              <w:pStyle w:val="TekstTabeli"/>
            </w:pPr>
            <w:r w:rsidRPr="009F38EA">
              <w:t>0</w:t>
            </w:r>
          </w:p>
        </w:tc>
      </w:tr>
      <w:tr w:rsidR="009F38EA" w:rsidRPr="009F38EA" w14:paraId="4A87517B" w14:textId="77777777" w:rsidTr="009F38EA">
        <w:trPr>
          <w:cantSplit/>
          <w:trHeight w:val="285"/>
        </w:trPr>
        <w:tc>
          <w:tcPr>
            <w:tcW w:w="567" w:type="dxa"/>
            <w:noWrap/>
            <w:vAlign w:val="center"/>
            <w:hideMark/>
          </w:tcPr>
          <w:p w14:paraId="0210C99B" w14:textId="77777777" w:rsidR="009F38EA" w:rsidRPr="009F38EA" w:rsidRDefault="009F38EA" w:rsidP="00B558B7">
            <w:pPr>
              <w:pStyle w:val="TekstTabeli"/>
            </w:pPr>
            <w:r w:rsidRPr="009F38EA">
              <w:t>147</w:t>
            </w:r>
          </w:p>
        </w:tc>
        <w:tc>
          <w:tcPr>
            <w:tcW w:w="4479" w:type="dxa"/>
            <w:noWrap/>
            <w:vAlign w:val="center"/>
            <w:hideMark/>
          </w:tcPr>
          <w:p w14:paraId="5912E06D" w14:textId="77777777" w:rsidR="009F38EA" w:rsidRPr="009F38EA" w:rsidRDefault="009F38EA" w:rsidP="00B558B7">
            <w:pPr>
              <w:pStyle w:val="TekstTabeli"/>
            </w:pPr>
            <w:r w:rsidRPr="009F38EA">
              <w:t>local community (including neighborhoods)</w:t>
            </w:r>
          </w:p>
        </w:tc>
        <w:tc>
          <w:tcPr>
            <w:tcW w:w="3969" w:type="dxa"/>
            <w:noWrap/>
            <w:vAlign w:val="center"/>
            <w:hideMark/>
          </w:tcPr>
          <w:p w14:paraId="44389A61" w14:textId="77777777" w:rsidR="009F38EA" w:rsidRPr="009F38EA" w:rsidRDefault="009F38EA" w:rsidP="00B558B7">
            <w:pPr>
              <w:pStyle w:val="TekstTabeli"/>
            </w:pPr>
            <w:r w:rsidRPr="009F38EA">
              <w:t>0</w:t>
            </w:r>
          </w:p>
        </w:tc>
      </w:tr>
      <w:tr w:rsidR="009F38EA" w:rsidRPr="009F38EA" w14:paraId="3A636E51" w14:textId="77777777" w:rsidTr="009F38EA">
        <w:trPr>
          <w:cantSplit/>
          <w:trHeight w:val="285"/>
        </w:trPr>
        <w:tc>
          <w:tcPr>
            <w:tcW w:w="567" w:type="dxa"/>
            <w:noWrap/>
            <w:vAlign w:val="center"/>
            <w:hideMark/>
          </w:tcPr>
          <w:p w14:paraId="444DB825" w14:textId="77777777" w:rsidR="009F38EA" w:rsidRPr="009F38EA" w:rsidRDefault="009F38EA" w:rsidP="00B558B7">
            <w:pPr>
              <w:pStyle w:val="TekstTabeli"/>
            </w:pPr>
            <w:r w:rsidRPr="009F38EA">
              <w:t>148</w:t>
            </w:r>
          </w:p>
        </w:tc>
        <w:tc>
          <w:tcPr>
            <w:tcW w:w="4479" w:type="dxa"/>
            <w:noWrap/>
            <w:vAlign w:val="center"/>
            <w:hideMark/>
          </w:tcPr>
          <w:p w14:paraId="749E42D2" w14:textId="77777777" w:rsidR="009F38EA" w:rsidRPr="009F38EA" w:rsidRDefault="009F38EA" w:rsidP="00B558B7">
            <w:pPr>
              <w:pStyle w:val="TekstTabeli"/>
            </w:pPr>
            <w:r w:rsidRPr="009F38EA">
              <w:t>manage</w:t>
            </w:r>
          </w:p>
        </w:tc>
        <w:tc>
          <w:tcPr>
            <w:tcW w:w="3969" w:type="dxa"/>
            <w:noWrap/>
            <w:vAlign w:val="center"/>
            <w:hideMark/>
          </w:tcPr>
          <w:p w14:paraId="76767B41" w14:textId="77777777" w:rsidR="009F38EA" w:rsidRPr="009F38EA" w:rsidRDefault="009F38EA" w:rsidP="00B558B7">
            <w:pPr>
              <w:pStyle w:val="TekstTabeli"/>
            </w:pPr>
            <w:r w:rsidRPr="009F38EA">
              <w:t>0</w:t>
            </w:r>
          </w:p>
        </w:tc>
      </w:tr>
      <w:tr w:rsidR="009F38EA" w:rsidRPr="009F38EA" w14:paraId="6EC55FFB" w14:textId="77777777" w:rsidTr="009F38EA">
        <w:trPr>
          <w:cantSplit/>
          <w:trHeight w:val="285"/>
        </w:trPr>
        <w:tc>
          <w:tcPr>
            <w:tcW w:w="567" w:type="dxa"/>
            <w:noWrap/>
            <w:vAlign w:val="center"/>
            <w:hideMark/>
          </w:tcPr>
          <w:p w14:paraId="138BDD17" w14:textId="77777777" w:rsidR="009F38EA" w:rsidRPr="009F38EA" w:rsidRDefault="009F38EA" w:rsidP="00B558B7">
            <w:pPr>
              <w:pStyle w:val="TekstTabeli"/>
            </w:pPr>
            <w:r w:rsidRPr="009F38EA">
              <w:t>149</w:t>
            </w:r>
          </w:p>
        </w:tc>
        <w:tc>
          <w:tcPr>
            <w:tcW w:w="4479" w:type="dxa"/>
            <w:noWrap/>
            <w:vAlign w:val="center"/>
            <w:hideMark/>
          </w:tcPr>
          <w:p w14:paraId="77AD6FA7" w14:textId="77777777" w:rsidR="009F38EA" w:rsidRPr="009F38EA" w:rsidRDefault="009F38EA" w:rsidP="00B558B7">
            <w:pPr>
              <w:pStyle w:val="TekstTabeli"/>
            </w:pPr>
            <w:r w:rsidRPr="009F38EA">
              <w:t>manager</w:t>
            </w:r>
          </w:p>
        </w:tc>
        <w:tc>
          <w:tcPr>
            <w:tcW w:w="3969" w:type="dxa"/>
            <w:noWrap/>
            <w:vAlign w:val="center"/>
            <w:hideMark/>
          </w:tcPr>
          <w:p w14:paraId="53A151A1" w14:textId="77777777" w:rsidR="009F38EA" w:rsidRPr="009F38EA" w:rsidRDefault="009F38EA" w:rsidP="00B558B7">
            <w:pPr>
              <w:pStyle w:val="TekstTabeli"/>
            </w:pPr>
            <w:r w:rsidRPr="009F38EA">
              <w:t>0</w:t>
            </w:r>
          </w:p>
        </w:tc>
      </w:tr>
      <w:tr w:rsidR="009F38EA" w:rsidRPr="009F38EA" w14:paraId="66FE041D" w14:textId="77777777" w:rsidTr="009F38EA">
        <w:trPr>
          <w:cantSplit/>
          <w:trHeight w:val="285"/>
        </w:trPr>
        <w:tc>
          <w:tcPr>
            <w:tcW w:w="567" w:type="dxa"/>
            <w:noWrap/>
            <w:vAlign w:val="center"/>
            <w:hideMark/>
          </w:tcPr>
          <w:p w14:paraId="25001FDD" w14:textId="77777777" w:rsidR="009F38EA" w:rsidRPr="009F38EA" w:rsidRDefault="009F38EA" w:rsidP="00B558B7">
            <w:pPr>
              <w:pStyle w:val="TekstTabeli"/>
            </w:pPr>
            <w:r w:rsidRPr="009F38EA">
              <w:t>150</w:t>
            </w:r>
          </w:p>
        </w:tc>
        <w:tc>
          <w:tcPr>
            <w:tcW w:w="4479" w:type="dxa"/>
            <w:noWrap/>
            <w:vAlign w:val="center"/>
            <w:hideMark/>
          </w:tcPr>
          <w:p w14:paraId="10D3288C" w14:textId="77777777" w:rsidR="009F38EA" w:rsidRPr="009F38EA" w:rsidRDefault="009F38EA" w:rsidP="00B558B7">
            <w:pPr>
              <w:pStyle w:val="TekstTabeli"/>
            </w:pPr>
            <w:r w:rsidRPr="009F38EA">
              <w:t>academic manager</w:t>
            </w:r>
          </w:p>
        </w:tc>
        <w:tc>
          <w:tcPr>
            <w:tcW w:w="3969" w:type="dxa"/>
            <w:noWrap/>
            <w:vAlign w:val="center"/>
            <w:hideMark/>
          </w:tcPr>
          <w:p w14:paraId="0FC72C5F" w14:textId="77777777" w:rsidR="009F38EA" w:rsidRPr="009F38EA" w:rsidRDefault="009F38EA" w:rsidP="00B558B7">
            <w:pPr>
              <w:pStyle w:val="TekstTabeli"/>
            </w:pPr>
            <w:r w:rsidRPr="009F38EA">
              <w:t>4</w:t>
            </w:r>
          </w:p>
        </w:tc>
      </w:tr>
      <w:tr w:rsidR="009F38EA" w:rsidRPr="009F38EA" w14:paraId="6C03A810" w14:textId="77777777" w:rsidTr="009F38EA">
        <w:trPr>
          <w:cantSplit/>
          <w:trHeight w:val="285"/>
        </w:trPr>
        <w:tc>
          <w:tcPr>
            <w:tcW w:w="567" w:type="dxa"/>
            <w:noWrap/>
            <w:vAlign w:val="center"/>
            <w:hideMark/>
          </w:tcPr>
          <w:p w14:paraId="39F0B0F1" w14:textId="77777777" w:rsidR="009F38EA" w:rsidRPr="009F38EA" w:rsidRDefault="009F38EA" w:rsidP="00B558B7">
            <w:pPr>
              <w:pStyle w:val="TekstTabeli"/>
            </w:pPr>
            <w:r w:rsidRPr="009F38EA">
              <w:t>151</w:t>
            </w:r>
          </w:p>
        </w:tc>
        <w:tc>
          <w:tcPr>
            <w:tcW w:w="4479" w:type="dxa"/>
            <w:noWrap/>
            <w:vAlign w:val="center"/>
            <w:hideMark/>
          </w:tcPr>
          <w:p w14:paraId="61C0D04F" w14:textId="77777777" w:rsidR="009F38EA" w:rsidRPr="009F38EA" w:rsidRDefault="009F38EA" w:rsidP="00B558B7">
            <w:pPr>
              <w:pStyle w:val="TekstTabeli"/>
            </w:pPr>
            <w:r w:rsidRPr="009F38EA">
              <w:t>university manager</w:t>
            </w:r>
          </w:p>
        </w:tc>
        <w:tc>
          <w:tcPr>
            <w:tcW w:w="3969" w:type="dxa"/>
            <w:noWrap/>
            <w:vAlign w:val="center"/>
            <w:hideMark/>
          </w:tcPr>
          <w:p w14:paraId="3D0460D5" w14:textId="77777777" w:rsidR="009F38EA" w:rsidRPr="009F38EA" w:rsidRDefault="009F38EA" w:rsidP="00B558B7">
            <w:pPr>
              <w:pStyle w:val="TekstTabeli"/>
            </w:pPr>
            <w:r w:rsidRPr="009F38EA">
              <w:t>6</w:t>
            </w:r>
          </w:p>
        </w:tc>
      </w:tr>
      <w:tr w:rsidR="009F38EA" w:rsidRPr="009F38EA" w14:paraId="45A7B170" w14:textId="77777777" w:rsidTr="009F38EA">
        <w:trPr>
          <w:cantSplit/>
          <w:trHeight w:val="285"/>
        </w:trPr>
        <w:tc>
          <w:tcPr>
            <w:tcW w:w="567" w:type="dxa"/>
            <w:noWrap/>
            <w:vAlign w:val="center"/>
            <w:hideMark/>
          </w:tcPr>
          <w:p w14:paraId="63536219" w14:textId="77777777" w:rsidR="009F38EA" w:rsidRPr="009F38EA" w:rsidRDefault="009F38EA" w:rsidP="00B558B7">
            <w:pPr>
              <w:pStyle w:val="TekstTabeli"/>
            </w:pPr>
            <w:r w:rsidRPr="009F38EA">
              <w:t>152</w:t>
            </w:r>
          </w:p>
        </w:tc>
        <w:tc>
          <w:tcPr>
            <w:tcW w:w="4479" w:type="dxa"/>
            <w:noWrap/>
            <w:vAlign w:val="center"/>
            <w:hideMark/>
          </w:tcPr>
          <w:p w14:paraId="10E755B1" w14:textId="77777777" w:rsidR="009F38EA" w:rsidRPr="009F38EA" w:rsidRDefault="009F38EA" w:rsidP="00B558B7">
            <w:pPr>
              <w:pStyle w:val="TekstTabeli"/>
            </w:pPr>
            <w:r w:rsidRPr="009F38EA">
              <w:t>universities’ governors and managers</w:t>
            </w:r>
          </w:p>
        </w:tc>
        <w:tc>
          <w:tcPr>
            <w:tcW w:w="3969" w:type="dxa"/>
            <w:noWrap/>
            <w:vAlign w:val="center"/>
            <w:hideMark/>
          </w:tcPr>
          <w:p w14:paraId="15CF1D67" w14:textId="77777777" w:rsidR="009F38EA" w:rsidRPr="009F38EA" w:rsidRDefault="009F38EA" w:rsidP="00B558B7">
            <w:pPr>
              <w:pStyle w:val="TekstTabeli"/>
            </w:pPr>
            <w:r w:rsidRPr="009F38EA">
              <w:t>1</w:t>
            </w:r>
          </w:p>
        </w:tc>
      </w:tr>
      <w:tr w:rsidR="009F38EA" w:rsidRPr="009F38EA" w14:paraId="45FF08F6" w14:textId="77777777" w:rsidTr="009F38EA">
        <w:trPr>
          <w:cantSplit/>
          <w:trHeight w:val="285"/>
        </w:trPr>
        <w:tc>
          <w:tcPr>
            <w:tcW w:w="567" w:type="dxa"/>
            <w:noWrap/>
            <w:vAlign w:val="center"/>
            <w:hideMark/>
          </w:tcPr>
          <w:p w14:paraId="4D4EF84B" w14:textId="77777777" w:rsidR="009F38EA" w:rsidRPr="009F38EA" w:rsidRDefault="009F38EA" w:rsidP="00B558B7">
            <w:pPr>
              <w:pStyle w:val="TekstTabeli"/>
            </w:pPr>
            <w:r w:rsidRPr="009F38EA">
              <w:t>153</w:t>
            </w:r>
          </w:p>
        </w:tc>
        <w:tc>
          <w:tcPr>
            <w:tcW w:w="4479" w:type="dxa"/>
            <w:noWrap/>
            <w:vAlign w:val="center"/>
            <w:hideMark/>
          </w:tcPr>
          <w:p w14:paraId="69983095" w14:textId="77777777" w:rsidR="009F38EA" w:rsidRPr="009F38EA" w:rsidRDefault="009F38EA" w:rsidP="00B558B7">
            <w:pPr>
              <w:pStyle w:val="TekstTabeli"/>
            </w:pPr>
            <w:r w:rsidRPr="009F38EA">
              <w:t>managers</w:t>
            </w:r>
          </w:p>
        </w:tc>
        <w:tc>
          <w:tcPr>
            <w:tcW w:w="3969" w:type="dxa"/>
            <w:noWrap/>
            <w:vAlign w:val="center"/>
            <w:hideMark/>
          </w:tcPr>
          <w:p w14:paraId="0E8CAE15" w14:textId="77777777" w:rsidR="009F38EA" w:rsidRPr="009F38EA" w:rsidRDefault="009F38EA" w:rsidP="00B558B7">
            <w:pPr>
              <w:pStyle w:val="TekstTabeli"/>
            </w:pPr>
            <w:r w:rsidRPr="009F38EA">
              <w:t>10</w:t>
            </w:r>
          </w:p>
        </w:tc>
      </w:tr>
      <w:tr w:rsidR="009F38EA" w:rsidRPr="009F38EA" w14:paraId="3DFE847C" w14:textId="77777777" w:rsidTr="009F38EA">
        <w:trPr>
          <w:cantSplit/>
          <w:trHeight w:val="285"/>
        </w:trPr>
        <w:tc>
          <w:tcPr>
            <w:tcW w:w="567" w:type="dxa"/>
            <w:noWrap/>
            <w:vAlign w:val="center"/>
            <w:hideMark/>
          </w:tcPr>
          <w:p w14:paraId="64079B15" w14:textId="77777777" w:rsidR="009F38EA" w:rsidRPr="009F38EA" w:rsidRDefault="009F38EA" w:rsidP="00B558B7">
            <w:pPr>
              <w:pStyle w:val="TekstTabeli"/>
            </w:pPr>
            <w:r w:rsidRPr="009F38EA">
              <w:t>154</w:t>
            </w:r>
          </w:p>
        </w:tc>
        <w:tc>
          <w:tcPr>
            <w:tcW w:w="4479" w:type="dxa"/>
            <w:noWrap/>
            <w:vAlign w:val="center"/>
            <w:hideMark/>
          </w:tcPr>
          <w:p w14:paraId="12D56D0B" w14:textId="77777777" w:rsidR="009F38EA" w:rsidRPr="009F38EA" w:rsidRDefault="009F38EA" w:rsidP="00B558B7">
            <w:pPr>
              <w:pStyle w:val="TekstTabeli"/>
            </w:pPr>
            <w:r w:rsidRPr="009F38EA">
              <w:t>institutional managers</w:t>
            </w:r>
          </w:p>
        </w:tc>
        <w:tc>
          <w:tcPr>
            <w:tcW w:w="3969" w:type="dxa"/>
            <w:noWrap/>
            <w:vAlign w:val="center"/>
            <w:hideMark/>
          </w:tcPr>
          <w:p w14:paraId="20C4EE81" w14:textId="77777777" w:rsidR="009F38EA" w:rsidRPr="009F38EA" w:rsidRDefault="009F38EA" w:rsidP="00B558B7">
            <w:pPr>
              <w:pStyle w:val="TekstTabeli"/>
            </w:pPr>
            <w:r w:rsidRPr="009F38EA">
              <w:t>1</w:t>
            </w:r>
          </w:p>
        </w:tc>
      </w:tr>
      <w:tr w:rsidR="009F38EA" w:rsidRPr="009F38EA" w14:paraId="5FD370FB" w14:textId="77777777" w:rsidTr="009F38EA">
        <w:trPr>
          <w:cantSplit/>
          <w:trHeight w:val="285"/>
        </w:trPr>
        <w:tc>
          <w:tcPr>
            <w:tcW w:w="567" w:type="dxa"/>
            <w:noWrap/>
            <w:vAlign w:val="center"/>
            <w:hideMark/>
          </w:tcPr>
          <w:p w14:paraId="682D56AC" w14:textId="77777777" w:rsidR="009F38EA" w:rsidRPr="009F38EA" w:rsidRDefault="009F38EA" w:rsidP="00B558B7">
            <w:pPr>
              <w:pStyle w:val="TekstTabeli"/>
            </w:pPr>
            <w:r w:rsidRPr="009F38EA">
              <w:t>155</w:t>
            </w:r>
          </w:p>
        </w:tc>
        <w:tc>
          <w:tcPr>
            <w:tcW w:w="4479" w:type="dxa"/>
            <w:noWrap/>
            <w:vAlign w:val="center"/>
            <w:hideMark/>
          </w:tcPr>
          <w:p w14:paraId="2E62E538" w14:textId="77777777" w:rsidR="009F38EA" w:rsidRPr="009F38EA" w:rsidRDefault="009F38EA" w:rsidP="00B558B7">
            <w:pPr>
              <w:pStyle w:val="TekstTabeli"/>
            </w:pPr>
            <w:r w:rsidRPr="009F38EA">
              <w:t>management</w:t>
            </w:r>
          </w:p>
        </w:tc>
        <w:tc>
          <w:tcPr>
            <w:tcW w:w="3969" w:type="dxa"/>
            <w:noWrap/>
            <w:vAlign w:val="center"/>
            <w:hideMark/>
          </w:tcPr>
          <w:p w14:paraId="23005BEE" w14:textId="77777777" w:rsidR="009F38EA" w:rsidRPr="009F38EA" w:rsidRDefault="009F38EA" w:rsidP="00B558B7">
            <w:pPr>
              <w:pStyle w:val="TekstTabeli"/>
            </w:pPr>
            <w:r w:rsidRPr="009F38EA">
              <w:t>17</w:t>
            </w:r>
          </w:p>
        </w:tc>
      </w:tr>
      <w:tr w:rsidR="009F38EA" w:rsidRPr="009F38EA" w14:paraId="68B23C8F" w14:textId="77777777" w:rsidTr="009F38EA">
        <w:trPr>
          <w:cantSplit/>
          <w:trHeight w:val="285"/>
        </w:trPr>
        <w:tc>
          <w:tcPr>
            <w:tcW w:w="567" w:type="dxa"/>
            <w:noWrap/>
            <w:vAlign w:val="center"/>
            <w:hideMark/>
          </w:tcPr>
          <w:p w14:paraId="4DA23DE0" w14:textId="77777777" w:rsidR="009F38EA" w:rsidRPr="009F38EA" w:rsidRDefault="009F38EA" w:rsidP="00B558B7">
            <w:pPr>
              <w:pStyle w:val="TekstTabeli"/>
            </w:pPr>
            <w:r w:rsidRPr="009F38EA">
              <w:t>156</w:t>
            </w:r>
          </w:p>
        </w:tc>
        <w:tc>
          <w:tcPr>
            <w:tcW w:w="4479" w:type="dxa"/>
            <w:noWrap/>
            <w:vAlign w:val="center"/>
            <w:hideMark/>
          </w:tcPr>
          <w:p w14:paraId="642C9B68" w14:textId="77777777" w:rsidR="009F38EA" w:rsidRPr="009F38EA" w:rsidRDefault="009F38EA" w:rsidP="00B558B7">
            <w:pPr>
              <w:pStyle w:val="TekstTabeli"/>
            </w:pPr>
            <w:r w:rsidRPr="009F38EA">
              <w:t>university management</w:t>
            </w:r>
          </w:p>
        </w:tc>
        <w:tc>
          <w:tcPr>
            <w:tcW w:w="3969" w:type="dxa"/>
            <w:noWrap/>
            <w:vAlign w:val="center"/>
            <w:hideMark/>
          </w:tcPr>
          <w:p w14:paraId="1E52C73D" w14:textId="77777777" w:rsidR="009F38EA" w:rsidRPr="009F38EA" w:rsidRDefault="009F38EA" w:rsidP="00B558B7">
            <w:pPr>
              <w:pStyle w:val="TekstTabeli"/>
            </w:pPr>
            <w:r w:rsidRPr="009F38EA">
              <w:t>6</w:t>
            </w:r>
          </w:p>
        </w:tc>
      </w:tr>
      <w:tr w:rsidR="009F38EA" w:rsidRPr="009F38EA" w14:paraId="28F54072" w14:textId="77777777" w:rsidTr="009F38EA">
        <w:trPr>
          <w:cantSplit/>
          <w:trHeight w:val="285"/>
        </w:trPr>
        <w:tc>
          <w:tcPr>
            <w:tcW w:w="567" w:type="dxa"/>
            <w:noWrap/>
            <w:vAlign w:val="center"/>
            <w:hideMark/>
          </w:tcPr>
          <w:p w14:paraId="18CA2C25" w14:textId="77777777" w:rsidR="009F38EA" w:rsidRPr="009F38EA" w:rsidRDefault="009F38EA" w:rsidP="00B558B7">
            <w:pPr>
              <w:pStyle w:val="TekstTabeli"/>
            </w:pPr>
            <w:r w:rsidRPr="009F38EA">
              <w:t>157</w:t>
            </w:r>
          </w:p>
        </w:tc>
        <w:tc>
          <w:tcPr>
            <w:tcW w:w="4479" w:type="dxa"/>
            <w:noWrap/>
            <w:vAlign w:val="center"/>
            <w:hideMark/>
          </w:tcPr>
          <w:p w14:paraId="1F0C3407" w14:textId="77777777" w:rsidR="009F38EA" w:rsidRPr="009F38EA" w:rsidRDefault="009F38EA" w:rsidP="00B558B7">
            <w:pPr>
              <w:pStyle w:val="TekstTabeli"/>
            </w:pPr>
            <w:r w:rsidRPr="009F38EA">
              <w:t>executive</w:t>
            </w:r>
          </w:p>
        </w:tc>
        <w:tc>
          <w:tcPr>
            <w:tcW w:w="3969" w:type="dxa"/>
            <w:noWrap/>
            <w:vAlign w:val="center"/>
            <w:hideMark/>
          </w:tcPr>
          <w:p w14:paraId="3234A6F1" w14:textId="77777777" w:rsidR="009F38EA" w:rsidRPr="009F38EA" w:rsidRDefault="009F38EA" w:rsidP="00B558B7">
            <w:pPr>
              <w:pStyle w:val="TekstTabeli"/>
            </w:pPr>
            <w:r w:rsidRPr="009F38EA">
              <w:t>0</w:t>
            </w:r>
          </w:p>
        </w:tc>
      </w:tr>
      <w:tr w:rsidR="009F38EA" w:rsidRPr="009F38EA" w14:paraId="4885AAFC" w14:textId="77777777" w:rsidTr="009F38EA">
        <w:trPr>
          <w:cantSplit/>
          <w:trHeight w:val="285"/>
        </w:trPr>
        <w:tc>
          <w:tcPr>
            <w:tcW w:w="567" w:type="dxa"/>
            <w:noWrap/>
            <w:vAlign w:val="center"/>
            <w:hideMark/>
          </w:tcPr>
          <w:p w14:paraId="63B62789" w14:textId="77777777" w:rsidR="009F38EA" w:rsidRPr="009F38EA" w:rsidRDefault="009F38EA" w:rsidP="00B558B7">
            <w:pPr>
              <w:pStyle w:val="TekstTabeli"/>
            </w:pPr>
            <w:r w:rsidRPr="009F38EA">
              <w:t>158</w:t>
            </w:r>
          </w:p>
        </w:tc>
        <w:tc>
          <w:tcPr>
            <w:tcW w:w="4479" w:type="dxa"/>
            <w:noWrap/>
            <w:vAlign w:val="center"/>
            <w:hideMark/>
          </w:tcPr>
          <w:p w14:paraId="5E178F9B" w14:textId="77777777" w:rsidR="009F38EA" w:rsidRPr="009F38EA" w:rsidRDefault="009F38EA" w:rsidP="00B558B7">
            <w:pPr>
              <w:pStyle w:val="TekstTabeli"/>
            </w:pPr>
            <w:r w:rsidRPr="009F38EA">
              <w:t>executive management</w:t>
            </w:r>
          </w:p>
        </w:tc>
        <w:tc>
          <w:tcPr>
            <w:tcW w:w="3969" w:type="dxa"/>
            <w:noWrap/>
            <w:vAlign w:val="center"/>
            <w:hideMark/>
          </w:tcPr>
          <w:p w14:paraId="48ED092C" w14:textId="77777777" w:rsidR="009F38EA" w:rsidRPr="009F38EA" w:rsidRDefault="009F38EA" w:rsidP="00B558B7">
            <w:pPr>
              <w:pStyle w:val="TekstTabeli"/>
            </w:pPr>
            <w:r w:rsidRPr="009F38EA">
              <w:t>1</w:t>
            </w:r>
          </w:p>
        </w:tc>
      </w:tr>
      <w:tr w:rsidR="009F38EA" w:rsidRPr="009F38EA" w14:paraId="16A889D0" w14:textId="77777777" w:rsidTr="009F38EA">
        <w:trPr>
          <w:cantSplit/>
          <w:trHeight w:val="285"/>
        </w:trPr>
        <w:tc>
          <w:tcPr>
            <w:tcW w:w="567" w:type="dxa"/>
            <w:noWrap/>
            <w:vAlign w:val="center"/>
            <w:hideMark/>
          </w:tcPr>
          <w:p w14:paraId="4AFD62C2" w14:textId="77777777" w:rsidR="009F38EA" w:rsidRPr="009F38EA" w:rsidRDefault="009F38EA" w:rsidP="00B558B7">
            <w:pPr>
              <w:pStyle w:val="TekstTabeli"/>
            </w:pPr>
            <w:r w:rsidRPr="009F38EA">
              <w:t>159</w:t>
            </w:r>
          </w:p>
        </w:tc>
        <w:tc>
          <w:tcPr>
            <w:tcW w:w="4479" w:type="dxa"/>
            <w:noWrap/>
            <w:vAlign w:val="center"/>
            <w:hideMark/>
          </w:tcPr>
          <w:p w14:paraId="75C284D0" w14:textId="77777777" w:rsidR="009F38EA" w:rsidRPr="009F38EA" w:rsidRDefault="009F38EA" w:rsidP="00B558B7">
            <w:pPr>
              <w:pStyle w:val="TekstTabeli"/>
            </w:pPr>
            <w:r w:rsidRPr="009F38EA">
              <w:t>executive authorities</w:t>
            </w:r>
          </w:p>
        </w:tc>
        <w:tc>
          <w:tcPr>
            <w:tcW w:w="3969" w:type="dxa"/>
            <w:noWrap/>
            <w:vAlign w:val="center"/>
            <w:hideMark/>
          </w:tcPr>
          <w:p w14:paraId="426E25AF" w14:textId="77777777" w:rsidR="009F38EA" w:rsidRPr="009F38EA" w:rsidRDefault="009F38EA" w:rsidP="00B558B7">
            <w:pPr>
              <w:pStyle w:val="TekstTabeli"/>
            </w:pPr>
            <w:r w:rsidRPr="009F38EA">
              <w:t>1</w:t>
            </w:r>
          </w:p>
        </w:tc>
      </w:tr>
      <w:tr w:rsidR="009F38EA" w:rsidRPr="009F38EA" w14:paraId="7CABA1CD" w14:textId="77777777" w:rsidTr="009F38EA">
        <w:trPr>
          <w:cantSplit/>
          <w:trHeight w:val="285"/>
        </w:trPr>
        <w:tc>
          <w:tcPr>
            <w:tcW w:w="567" w:type="dxa"/>
            <w:noWrap/>
            <w:vAlign w:val="center"/>
            <w:hideMark/>
          </w:tcPr>
          <w:p w14:paraId="5ABB9EDE" w14:textId="77777777" w:rsidR="009F38EA" w:rsidRPr="009F38EA" w:rsidRDefault="009F38EA" w:rsidP="00B558B7">
            <w:pPr>
              <w:pStyle w:val="TekstTabeli"/>
            </w:pPr>
            <w:r w:rsidRPr="009F38EA">
              <w:t>160</w:t>
            </w:r>
          </w:p>
        </w:tc>
        <w:tc>
          <w:tcPr>
            <w:tcW w:w="4479" w:type="dxa"/>
            <w:noWrap/>
            <w:vAlign w:val="center"/>
            <w:hideMark/>
          </w:tcPr>
          <w:p w14:paraId="6ACA8E3A" w14:textId="77777777" w:rsidR="009F38EA" w:rsidRPr="009F38EA" w:rsidRDefault="009F38EA" w:rsidP="00B558B7">
            <w:pPr>
              <w:pStyle w:val="TekstTabeli"/>
            </w:pPr>
            <w:r w:rsidRPr="009F38EA">
              <w:t>executives</w:t>
            </w:r>
          </w:p>
        </w:tc>
        <w:tc>
          <w:tcPr>
            <w:tcW w:w="3969" w:type="dxa"/>
            <w:noWrap/>
            <w:vAlign w:val="center"/>
            <w:hideMark/>
          </w:tcPr>
          <w:p w14:paraId="77BF3044" w14:textId="77777777" w:rsidR="009F38EA" w:rsidRPr="009F38EA" w:rsidRDefault="009F38EA" w:rsidP="00B558B7">
            <w:pPr>
              <w:pStyle w:val="TekstTabeli"/>
            </w:pPr>
            <w:r w:rsidRPr="009F38EA">
              <w:t>4</w:t>
            </w:r>
          </w:p>
        </w:tc>
      </w:tr>
      <w:tr w:rsidR="009F38EA" w:rsidRPr="009F38EA" w14:paraId="084CD6A1" w14:textId="77777777" w:rsidTr="009F38EA">
        <w:trPr>
          <w:cantSplit/>
          <w:trHeight w:val="285"/>
        </w:trPr>
        <w:tc>
          <w:tcPr>
            <w:tcW w:w="567" w:type="dxa"/>
            <w:noWrap/>
            <w:vAlign w:val="center"/>
            <w:hideMark/>
          </w:tcPr>
          <w:p w14:paraId="5F6B3479" w14:textId="77777777" w:rsidR="009F38EA" w:rsidRPr="009F38EA" w:rsidRDefault="009F38EA" w:rsidP="00B558B7">
            <w:pPr>
              <w:pStyle w:val="TekstTabeli"/>
            </w:pPr>
            <w:r w:rsidRPr="009F38EA">
              <w:t>161</w:t>
            </w:r>
          </w:p>
        </w:tc>
        <w:tc>
          <w:tcPr>
            <w:tcW w:w="4479" w:type="dxa"/>
            <w:noWrap/>
            <w:vAlign w:val="center"/>
            <w:hideMark/>
          </w:tcPr>
          <w:p w14:paraId="2EC901AA" w14:textId="77777777" w:rsidR="009F38EA" w:rsidRPr="009F38EA" w:rsidRDefault="009F38EA" w:rsidP="00B558B7">
            <w:pPr>
              <w:pStyle w:val="TekstTabeli"/>
            </w:pPr>
            <w:r w:rsidRPr="009F38EA">
              <w:t>administrators</w:t>
            </w:r>
          </w:p>
        </w:tc>
        <w:tc>
          <w:tcPr>
            <w:tcW w:w="3969" w:type="dxa"/>
            <w:noWrap/>
            <w:vAlign w:val="center"/>
            <w:hideMark/>
          </w:tcPr>
          <w:p w14:paraId="7051AC53" w14:textId="77777777" w:rsidR="009F38EA" w:rsidRPr="009F38EA" w:rsidRDefault="009F38EA" w:rsidP="00B558B7">
            <w:pPr>
              <w:pStyle w:val="TekstTabeli"/>
            </w:pPr>
            <w:r w:rsidRPr="009F38EA">
              <w:t>30</w:t>
            </w:r>
          </w:p>
        </w:tc>
      </w:tr>
      <w:tr w:rsidR="009F38EA" w:rsidRPr="009F38EA" w14:paraId="1C323930" w14:textId="77777777" w:rsidTr="009F38EA">
        <w:trPr>
          <w:cantSplit/>
          <w:trHeight w:val="285"/>
        </w:trPr>
        <w:tc>
          <w:tcPr>
            <w:tcW w:w="567" w:type="dxa"/>
            <w:noWrap/>
            <w:vAlign w:val="center"/>
            <w:hideMark/>
          </w:tcPr>
          <w:p w14:paraId="06D29650" w14:textId="77777777" w:rsidR="009F38EA" w:rsidRPr="009F38EA" w:rsidRDefault="009F38EA" w:rsidP="00B558B7">
            <w:pPr>
              <w:pStyle w:val="TekstTabeli"/>
            </w:pPr>
            <w:r w:rsidRPr="009F38EA">
              <w:t>162</w:t>
            </w:r>
          </w:p>
        </w:tc>
        <w:tc>
          <w:tcPr>
            <w:tcW w:w="4479" w:type="dxa"/>
            <w:noWrap/>
            <w:vAlign w:val="center"/>
            <w:hideMark/>
          </w:tcPr>
          <w:p w14:paraId="57DD3AE6" w14:textId="77777777" w:rsidR="009F38EA" w:rsidRPr="009F38EA" w:rsidRDefault="009F38EA" w:rsidP="00B558B7">
            <w:pPr>
              <w:pStyle w:val="TekstTabeli"/>
            </w:pPr>
            <w:r w:rsidRPr="009F38EA">
              <w:t>media</w:t>
            </w:r>
          </w:p>
        </w:tc>
        <w:tc>
          <w:tcPr>
            <w:tcW w:w="3969" w:type="dxa"/>
            <w:noWrap/>
            <w:vAlign w:val="center"/>
            <w:hideMark/>
          </w:tcPr>
          <w:p w14:paraId="5D298077" w14:textId="77777777" w:rsidR="009F38EA" w:rsidRPr="009F38EA" w:rsidRDefault="009F38EA" w:rsidP="00B558B7">
            <w:pPr>
              <w:pStyle w:val="TekstTabeli"/>
            </w:pPr>
            <w:r w:rsidRPr="009F38EA">
              <w:t>8</w:t>
            </w:r>
          </w:p>
        </w:tc>
      </w:tr>
      <w:tr w:rsidR="009F38EA" w:rsidRPr="009F38EA" w14:paraId="704E8D34" w14:textId="77777777" w:rsidTr="009F38EA">
        <w:trPr>
          <w:cantSplit/>
          <w:trHeight w:val="285"/>
        </w:trPr>
        <w:tc>
          <w:tcPr>
            <w:tcW w:w="567" w:type="dxa"/>
            <w:noWrap/>
            <w:vAlign w:val="center"/>
            <w:hideMark/>
          </w:tcPr>
          <w:p w14:paraId="4DC8A5C0" w14:textId="77777777" w:rsidR="009F38EA" w:rsidRPr="009F38EA" w:rsidRDefault="009F38EA" w:rsidP="00B558B7">
            <w:pPr>
              <w:pStyle w:val="TekstTabeli"/>
            </w:pPr>
            <w:r w:rsidRPr="009F38EA">
              <w:t>163</w:t>
            </w:r>
          </w:p>
        </w:tc>
        <w:tc>
          <w:tcPr>
            <w:tcW w:w="4479" w:type="dxa"/>
            <w:noWrap/>
            <w:vAlign w:val="center"/>
            <w:hideMark/>
          </w:tcPr>
          <w:p w14:paraId="258BA340" w14:textId="77777777" w:rsidR="009F38EA" w:rsidRPr="009F38EA" w:rsidRDefault="009F38EA" w:rsidP="00B558B7">
            <w:pPr>
              <w:pStyle w:val="TekstTabeli"/>
            </w:pPr>
            <w:r w:rsidRPr="009F38EA">
              <w:t>ministry</w:t>
            </w:r>
          </w:p>
        </w:tc>
        <w:tc>
          <w:tcPr>
            <w:tcW w:w="3969" w:type="dxa"/>
            <w:noWrap/>
            <w:vAlign w:val="center"/>
            <w:hideMark/>
          </w:tcPr>
          <w:p w14:paraId="79028252" w14:textId="77777777" w:rsidR="009F38EA" w:rsidRPr="009F38EA" w:rsidRDefault="009F38EA" w:rsidP="00B558B7">
            <w:pPr>
              <w:pStyle w:val="TekstTabeli"/>
            </w:pPr>
            <w:r w:rsidRPr="009F38EA">
              <w:t>2</w:t>
            </w:r>
          </w:p>
        </w:tc>
      </w:tr>
      <w:tr w:rsidR="009F38EA" w:rsidRPr="009F38EA" w14:paraId="5A6FC7BF" w14:textId="77777777" w:rsidTr="009F38EA">
        <w:trPr>
          <w:cantSplit/>
          <w:trHeight w:val="285"/>
        </w:trPr>
        <w:tc>
          <w:tcPr>
            <w:tcW w:w="567" w:type="dxa"/>
            <w:noWrap/>
            <w:vAlign w:val="center"/>
            <w:hideMark/>
          </w:tcPr>
          <w:p w14:paraId="108C0931" w14:textId="77777777" w:rsidR="009F38EA" w:rsidRPr="009F38EA" w:rsidRDefault="009F38EA" w:rsidP="00B558B7">
            <w:pPr>
              <w:pStyle w:val="TekstTabeli"/>
            </w:pPr>
            <w:r w:rsidRPr="009F38EA">
              <w:t>164</w:t>
            </w:r>
          </w:p>
        </w:tc>
        <w:tc>
          <w:tcPr>
            <w:tcW w:w="4479" w:type="dxa"/>
            <w:noWrap/>
            <w:vAlign w:val="center"/>
            <w:hideMark/>
          </w:tcPr>
          <w:p w14:paraId="674955AB" w14:textId="77777777" w:rsidR="009F38EA" w:rsidRPr="009F38EA" w:rsidRDefault="009F38EA" w:rsidP="00B558B7">
            <w:pPr>
              <w:pStyle w:val="TekstTabeli"/>
            </w:pPr>
            <w:r w:rsidRPr="009F38EA">
              <w:t>consort</w:t>
            </w:r>
          </w:p>
        </w:tc>
        <w:tc>
          <w:tcPr>
            <w:tcW w:w="3969" w:type="dxa"/>
            <w:noWrap/>
            <w:vAlign w:val="center"/>
            <w:hideMark/>
          </w:tcPr>
          <w:p w14:paraId="03687C28" w14:textId="77777777" w:rsidR="009F38EA" w:rsidRPr="009F38EA" w:rsidRDefault="009F38EA" w:rsidP="00B558B7">
            <w:pPr>
              <w:pStyle w:val="TekstTabeli"/>
            </w:pPr>
            <w:r w:rsidRPr="009F38EA">
              <w:t>0</w:t>
            </w:r>
          </w:p>
        </w:tc>
      </w:tr>
      <w:tr w:rsidR="009F38EA" w:rsidRPr="009F38EA" w14:paraId="39EE9A4D" w14:textId="77777777" w:rsidTr="009F38EA">
        <w:trPr>
          <w:cantSplit/>
          <w:trHeight w:val="285"/>
        </w:trPr>
        <w:tc>
          <w:tcPr>
            <w:tcW w:w="567" w:type="dxa"/>
            <w:noWrap/>
            <w:vAlign w:val="center"/>
            <w:hideMark/>
          </w:tcPr>
          <w:p w14:paraId="0D4ED397" w14:textId="77777777" w:rsidR="009F38EA" w:rsidRPr="009F38EA" w:rsidRDefault="009F38EA" w:rsidP="00B558B7">
            <w:pPr>
              <w:pStyle w:val="TekstTabeli"/>
            </w:pPr>
            <w:r w:rsidRPr="009F38EA">
              <w:t>165</w:t>
            </w:r>
          </w:p>
        </w:tc>
        <w:tc>
          <w:tcPr>
            <w:tcW w:w="4479" w:type="dxa"/>
            <w:noWrap/>
            <w:vAlign w:val="center"/>
            <w:hideMark/>
          </w:tcPr>
          <w:p w14:paraId="2417FC3B" w14:textId="77777777" w:rsidR="009F38EA" w:rsidRPr="009F38EA" w:rsidRDefault="009F38EA" w:rsidP="00B558B7">
            <w:pPr>
              <w:pStyle w:val="TekstTabeli"/>
            </w:pPr>
            <w:r w:rsidRPr="009F38EA">
              <w:t>consortia</w:t>
            </w:r>
          </w:p>
        </w:tc>
        <w:tc>
          <w:tcPr>
            <w:tcW w:w="3969" w:type="dxa"/>
            <w:noWrap/>
            <w:vAlign w:val="center"/>
            <w:hideMark/>
          </w:tcPr>
          <w:p w14:paraId="47343C00" w14:textId="77777777" w:rsidR="009F38EA" w:rsidRPr="009F38EA" w:rsidRDefault="009F38EA" w:rsidP="00B558B7">
            <w:pPr>
              <w:pStyle w:val="TekstTabeli"/>
            </w:pPr>
            <w:r w:rsidRPr="009F38EA">
              <w:t>1</w:t>
            </w:r>
          </w:p>
        </w:tc>
      </w:tr>
      <w:tr w:rsidR="009F38EA" w:rsidRPr="009F38EA" w14:paraId="4281A566" w14:textId="77777777" w:rsidTr="009F38EA">
        <w:trPr>
          <w:cantSplit/>
          <w:trHeight w:val="285"/>
        </w:trPr>
        <w:tc>
          <w:tcPr>
            <w:tcW w:w="567" w:type="dxa"/>
            <w:noWrap/>
            <w:vAlign w:val="center"/>
            <w:hideMark/>
          </w:tcPr>
          <w:p w14:paraId="11A24EB2" w14:textId="77777777" w:rsidR="009F38EA" w:rsidRPr="009F38EA" w:rsidRDefault="009F38EA" w:rsidP="00B558B7">
            <w:pPr>
              <w:pStyle w:val="TekstTabeli"/>
            </w:pPr>
            <w:r w:rsidRPr="009F38EA">
              <w:t>166</w:t>
            </w:r>
          </w:p>
        </w:tc>
        <w:tc>
          <w:tcPr>
            <w:tcW w:w="4479" w:type="dxa"/>
            <w:noWrap/>
            <w:vAlign w:val="center"/>
            <w:hideMark/>
          </w:tcPr>
          <w:p w14:paraId="1AB1CA86" w14:textId="77777777" w:rsidR="009F38EA" w:rsidRPr="009F38EA" w:rsidRDefault="009F38EA" w:rsidP="00B558B7">
            <w:pPr>
              <w:pStyle w:val="TekstTabeli"/>
            </w:pPr>
            <w:r w:rsidRPr="009F38EA">
              <w:t>partnership</w:t>
            </w:r>
          </w:p>
        </w:tc>
        <w:tc>
          <w:tcPr>
            <w:tcW w:w="3969" w:type="dxa"/>
            <w:noWrap/>
            <w:vAlign w:val="center"/>
            <w:hideMark/>
          </w:tcPr>
          <w:p w14:paraId="31B33193" w14:textId="77777777" w:rsidR="009F38EA" w:rsidRPr="009F38EA" w:rsidRDefault="009F38EA" w:rsidP="00B558B7">
            <w:pPr>
              <w:pStyle w:val="TekstTabeli"/>
            </w:pPr>
            <w:r w:rsidRPr="009F38EA">
              <w:t>4</w:t>
            </w:r>
          </w:p>
        </w:tc>
      </w:tr>
      <w:tr w:rsidR="009F38EA" w:rsidRPr="009F38EA" w14:paraId="41EB52C7" w14:textId="77777777" w:rsidTr="009F38EA">
        <w:trPr>
          <w:cantSplit/>
          <w:trHeight w:val="285"/>
        </w:trPr>
        <w:tc>
          <w:tcPr>
            <w:tcW w:w="567" w:type="dxa"/>
            <w:noWrap/>
            <w:vAlign w:val="center"/>
            <w:hideMark/>
          </w:tcPr>
          <w:p w14:paraId="02B32176" w14:textId="77777777" w:rsidR="009F38EA" w:rsidRPr="009F38EA" w:rsidRDefault="009F38EA" w:rsidP="00B558B7">
            <w:pPr>
              <w:pStyle w:val="TekstTabeli"/>
            </w:pPr>
            <w:r w:rsidRPr="009F38EA">
              <w:t>167</w:t>
            </w:r>
          </w:p>
        </w:tc>
        <w:tc>
          <w:tcPr>
            <w:tcW w:w="4479" w:type="dxa"/>
            <w:noWrap/>
            <w:vAlign w:val="center"/>
            <w:hideMark/>
          </w:tcPr>
          <w:p w14:paraId="2D175275" w14:textId="77777777" w:rsidR="009F38EA" w:rsidRPr="009F38EA" w:rsidRDefault="009F38EA" w:rsidP="00B558B7">
            <w:pPr>
              <w:pStyle w:val="TekstTabeli"/>
            </w:pPr>
            <w:r w:rsidRPr="009F38EA">
              <w:t>library partnership</w:t>
            </w:r>
          </w:p>
        </w:tc>
        <w:tc>
          <w:tcPr>
            <w:tcW w:w="3969" w:type="dxa"/>
            <w:noWrap/>
            <w:vAlign w:val="center"/>
            <w:hideMark/>
          </w:tcPr>
          <w:p w14:paraId="72C31AE2" w14:textId="77777777" w:rsidR="009F38EA" w:rsidRPr="009F38EA" w:rsidRDefault="009F38EA" w:rsidP="00B558B7">
            <w:pPr>
              <w:pStyle w:val="TekstTabeli"/>
            </w:pPr>
            <w:r w:rsidRPr="009F38EA">
              <w:t>1</w:t>
            </w:r>
          </w:p>
        </w:tc>
      </w:tr>
      <w:tr w:rsidR="009F38EA" w:rsidRPr="009F38EA" w14:paraId="7A41C35E" w14:textId="77777777" w:rsidTr="009F38EA">
        <w:trPr>
          <w:cantSplit/>
          <w:trHeight w:val="285"/>
        </w:trPr>
        <w:tc>
          <w:tcPr>
            <w:tcW w:w="567" w:type="dxa"/>
            <w:noWrap/>
            <w:vAlign w:val="center"/>
            <w:hideMark/>
          </w:tcPr>
          <w:p w14:paraId="7BD36DBD" w14:textId="77777777" w:rsidR="009F38EA" w:rsidRPr="009F38EA" w:rsidRDefault="009F38EA" w:rsidP="00B558B7">
            <w:pPr>
              <w:pStyle w:val="TekstTabeli"/>
            </w:pPr>
            <w:r w:rsidRPr="009F38EA">
              <w:t>168</w:t>
            </w:r>
          </w:p>
        </w:tc>
        <w:tc>
          <w:tcPr>
            <w:tcW w:w="4479" w:type="dxa"/>
            <w:noWrap/>
            <w:vAlign w:val="center"/>
            <w:hideMark/>
          </w:tcPr>
          <w:p w14:paraId="7925D681" w14:textId="77777777" w:rsidR="009F38EA" w:rsidRPr="009F38EA" w:rsidRDefault="009F38EA" w:rsidP="00B558B7">
            <w:pPr>
              <w:pStyle w:val="TekstTabeli"/>
            </w:pPr>
            <w:r w:rsidRPr="009F38EA">
              <w:t>NGO</w:t>
            </w:r>
          </w:p>
        </w:tc>
        <w:tc>
          <w:tcPr>
            <w:tcW w:w="3969" w:type="dxa"/>
            <w:noWrap/>
            <w:vAlign w:val="center"/>
            <w:hideMark/>
          </w:tcPr>
          <w:p w14:paraId="3BA313F7" w14:textId="77777777" w:rsidR="009F38EA" w:rsidRPr="009F38EA" w:rsidRDefault="009F38EA" w:rsidP="00B558B7">
            <w:pPr>
              <w:pStyle w:val="TekstTabeli"/>
            </w:pPr>
            <w:r w:rsidRPr="009F38EA">
              <w:t>0</w:t>
            </w:r>
          </w:p>
        </w:tc>
      </w:tr>
      <w:tr w:rsidR="009F38EA" w:rsidRPr="009F38EA" w14:paraId="63DBE5C5" w14:textId="77777777" w:rsidTr="009F38EA">
        <w:trPr>
          <w:cantSplit/>
          <w:trHeight w:val="285"/>
        </w:trPr>
        <w:tc>
          <w:tcPr>
            <w:tcW w:w="567" w:type="dxa"/>
            <w:noWrap/>
            <w:vAlign w:val="center"/>
            <w:hideMark/>
          </w:tcPr>
          <w:p w14:paraId="47F0E8C8" w14:textId="77777777" w:rsidR="009F38EA" w:rsidRPr="009F38EA" w:rsidRDefault="009F38EA" w:rsidP="00B558B7">
            <w:pPr>
              <w:pStyle w:val="TekstTabeli"/>
            </w:pPr>
            <w:r w:rsidRPr="009F38EA">
              <w:lastRenderedPageBreak/>
              <w:t>169</w:t>
            </w:r>
          </w:p>
        </w:tc>
        <w:tc>
          <w:tcPr>
            <w:tcW w:w="4479" w:type="dxa"/>
            <w:noWrap/>
            <w:vAlign w:val="center"/>
            <w:hideMark/>
          </w:tcPr>
          <w:p w14:paraId="001F0F69" w14:textId="77777777" w:rsidR="009F38EA" w:rsidRPr="009F38EA" w:rsidRDefault="009F38EA" w:rsidP="00B558B7">
            <w:pPr>
              <w:pStyle w:val="TekstTabeli"/>
            </w:pPr>
            <w:r w:rsidRPr="009F38EA">
              <w:t>non-profit</w:t>
            </w:r>
          </w:p>
        </w:tc>
        <w:tc>
          <w:tcPr>
            <w:tcW w:w="3969" w:type="dxa"/>
            <w:noWrap/>
            <w:vAlign w:val="center"/>
            <w:hideMark/>
          </w:tcPr>
          <w:p w14:paraId="429EDEF3" w14:textId="77777777" w:rsidR="009F38EA" w:rsidRPr="009F38EA" w:rsidRDefault="009F38EA" w:rsidP="00B558B7">
            <w:pPr>
              <w:pStyle w:val="TekstTabeli"/>
            </w:pPr>
            <w:r w:rsidRPr="009F38EA">
              <w:t>2</w:t>
            </w:r>
          </w:p>
        </w:tc>
      </w:tr>
      <w:tr w:rsidR="009F38EA" w:rsidRPr="009F38EA" w14:paraId="3D9BDEB8" w14:textId="77777777" w:rsidTr="009F38EA">
        <w:trPr>
          <w:cantSplit/>
          <w:trHeight w:val="285"/>
        </w:trPr>
        <w:tc>
          <w:tcPr>
            <w:tcW w:w="567" w:type="dxa"/>
            <w:noWrap/>
            <w:vAlign w:val="center"/>
            <w:hideMark/>
          </w:tcPr>
          <w:p w14:paraId="060AA876" w14:textId="77777777" w:rsidR="009F38EA" w:rsidRPr="009F38EA" w:rsidRDefault="009F38EA" w:rsidP="00B558B7">
            <w:pPr>
              <w:pStyle w:val="TekstTabeli"/>
            </w:pPr>
            <w:r w:rsidRPr="009F38EA">
              <w:t>170</w:t>
            </w:r>
          </w:p>
        </w:tc>
        <w:tc>
          <w:tcPr>
            <w:tcW w:w="4479" w:type="dxa"/>
            <w:noWrap/>
            <w:vAlign w:val="center"/>
            <w:hideMark/>
          </w:tcPr>
          <w:p w14:paraId="61ED6DF0" w14:textId="77777777" w:rsidR="009F38EA" w:rsidRPr="009F38EA" w:rsidRDefault="009F38EA" w:rsidP="00B558B7">
            <w:pPr>
              <w:pStyle w:val="TekstTabeli"/>
            </w:pPr>
            <w:r w:rsidRPr="009F38EA">
              <w:t xml:space="preserve">non-profit </w:t>
            </w:r>
            <w:proofErr w:type="spellStart"/>
            <w:r w:rsidRPr="009F38EA">
              <w:t>organisations</w:t>
            </w:r>
            <w:proofErr w:type="spellEnd"/>
          </w:p>
        </w:tc>
        <w:tc>
          <w:tcPr>
            <w:tcW w:w="3969" w:type="dxa"/>
            <w:noWrap/>
            <w:vAlign w:val="center"/>
            <w:hideMark/>
          </w:tcPr>
          <w:p w14:paraId="6C9F7D6E" w14:textId="77777777" w:rsidR="009F38EA" w:rsidRPr="009F38EA" w:rsidRDefault="009F38EA" w:rsidP="00B558B7">
            <w:pPr>
              <w:pStyle w:val="TekstTabeli"/>
            </w:pPr>
            <w:r w:rsidRPr="009F38EA">
              <w:t>2</w:t>
            </w:r>
          </w:p>
        </w:tc>
      </w:tr>
      <w:tr w:rsidR="009F38EA" w:rsidRPr="009F38EA" w14:paraId="19524275" w14:textId="77777777" w:rsidTr="009F38EA">
        <w:trPr>
          <w:cantSplit/>
          <w:trHeight w:val="285"/>
        </w:trPr>
        <w:tc>
          <w:tcPr>
            <w:tcW w:w="567" w:type="dxa"/>
            <w:noWrap/>
            <w:vAlign w:val="center"/>
            <w:hideMark/>
          </w:tcPr>
          <w:p w14:paraId="1FBC1921" w14:textId="77777777" w:rsidR="009F38EA" w:rsidRPr="009F38EA" w:rsidRDefault="009F38EA" w:rsidP="00B558B7">
            <w:pPr>
              <w:pStyle w:val="TekstTabeli"/>
            </w:pPr>
            <w:r w:rsidRPr="009F38EA">
              <w:t>171</w:t>
            </w:r>
          </w:p>
        </w:tc>
        <w:tc>
          <w:tcPr>
            <w:tcW w:w="4479" w:type="dxa"/>
            <w:noWrap/>
            <w:vAlign w:val="center"/>
            <w:hideMark/>
          </w:tcPr>
          <w:p w14:paraId="0E1CCA21" w14:textId="77777777" w:rsidR="009F38EA" w:rsidRPr="009F38EA" w:rsidRDefault="009F38EA" w:rsidP="00B558B7">
            <w:pPr>
              <w:pStyle w:val="TekstTabeli"/>
            </w:pPr>
            <w:r w:rsidRPr="009F38EA">
              <w:t>office</w:t>
            </w:r>
          </w:p>
        </w:tc>
        <w:tc>
          <w:tcPr>
            <w:tcW w:w="3969" w:type="dxa"/>
            <w:noWrap/>
            <w:vAlign w:val="center"/>
            <w:hideMark/>
          </w:tcPr>
          <w:p w14:paraId="0182FDE1" w14:textId="77777777" w:rsidR="009F38EA" w:rsidRPr="009F38EA" w:rsidRDefault="009F38EA" w:rsidP="00B558B7">
            <w:pPr>
              <w:pStyle w:val="TekstTabeli"/>
            </w:pPr>
            <w:r w:rsidRPr="009F38EA">
              <w:t>0</w:t>
            </w:r>
          </w:p>
        </w:tc>
      </w:tr>
      <w:tr w:rsidR="009F38EA" w:rsidRPr="009F38EA" w14:paraId="331E4C67" w14:textId="77777777" w:rsidTr="009F38EA">
        <w:trPr>
          <w:cantSplit/>
          <w:trHeight w:val="285"/>
        </w:trPr>
        <w:tc>
          <w:tcPr>
            <w:tcW w:w="567" w:type="dxa"/>
            <w:noWrap/>
            <w:vAlign w:val="center"/>
            <w:hideMark/>
          </w:tcPr>
          <w:p w14:paraId="03CC524F" w14:textId="77777777" w:rsidR="009F38EA" w:rsidRPr="009F38EA" w:rsidRDefault="009F38EA" w:rsidP="00B558B7">
            <w:pPr>
              <w:pStyle w:val="TekstTabeli"/>
            </w:pPr>
            <w:r w:rsidRPr="009F38EA">
              <w:t>172</w:t>
            </w:r>
          </w:p>
        </w:tc>
        <w:tc>
          <w:tcPr>
            <w:tcW w:w="4479" w:type="dxa"/>
            <w:noWrap/>
            <w:vAlign w:val="center"/>
            <w:hideMark/>
          </w:tcPr>
          <w:p w14:paraId="507E4A79" w14:textId="77777777" w:rsidR="009F38EA" w:rsidRPr="009F38EA" w:rsidRDefault="009F38EA" w:rsidP="00B558B7">
            <w:pPr>
              <w:pStyle w:val="TekstTabeli"/>
            </w:pPr>
            <w:r w:rsidRPr="009F38EA">
              <w:t>international office professionals</w:t>
            </w:r>
          </w:p>
        </w:tc>
        <w:tc>
          <w:tcPr>
            <w:tcW w:w="3969" w:type="dxa"/>
            <w:noWrap/>
            <w:vAlign w:val="center"/>
            <w:hideMark/>
          </w:tcPr>
          <w:p w14:paraId="17FBD4C5" w14:textId="77777777" w:rsidR="009F38EA" w:rsidRPr="009F38EA" w:rsidRDefault="009F38EA" w:rsidP="00B558B7">
            <w:pPr>
              <w:pStyle w:val="TekstTabeli"/>
            </w:pPr>
            <w:r w:rsidRPr="009F38EA">
              <w:t>2</w:t>
            </w:r>
          </w:p>
        </w:tc>
      </w:tr>
      <w:tr w:rsidR="009F38EA" w:rsidRPr="009F38EA" w14:paraId="04400854" w14:textId="77777777" w:rsidTr="009F38EA">
        <w:trPr>
          <w:cantSplit/>
          <w:trHeight w:val="285"/>
        </w:trPr>
        <w:tc>
          <w:tcPr>
            <w:tcW w:w="567" w:type="dxa"/>
            <w:noWrap/>
            <w:vAlign w:val="center"/>
            <w:hideMark/>
          </w:tcPr>
          <w:p w14:paraId="2C65E628" w14:textId="77777777" w:rsidR="009F38EA" w:rsidRPr="009F38EA" w:rsidRDefault="009F38EA" w:rsidP="00B558B7">
            <w:pPr>
              <w:pStyle w:val="TekstTabeli"/>
            </w:pPr>
            <w:r w:rsidRPr="009F38EA">
              <w:t>173</w:t>
            </w:r>
          </w:p>
        </w:tc>
        <w:tc>
          <w:tcPr>
            <w:tcW w:w="4479" w:type="dxa"/>
            <w:noWrap/>
            <w:vAlign w:val="center"/>
            <w:hideMark/>
          </w:tcPr>
          <w:p w14:paraId="5C3B6518" w14:textId="77777777" w:rsidR="009F38EA" w:rsidRPr="009F38EA" w:rsidRDefault="009F38EA" w:rsidP="00B558B7">
            <w:pPr>
              <w:pStyle w:val="TekstTabeli"/>
            </w:pPr>
            <w:r w:rsidRPr="009F38EA">
              <w:t>officers</w:t>
            </w:r>
          </w:p>
        </w:tc>
        <w:tc>
          <w:tcPr>
            <w:tcW w:w="3969" w:type="dxa"/>
            <w:noWrap/>
            <w:vAlign w:val="center"/>
            <w:hideMark/>
          </w:tcPr>
          <w:p w14:paraId="6DA23E61" w14:textId="77777777" w:rsidR="009F38EA" w:rsidRPr="009F38EA" w:rsidRDefault="009F38EA" w:rsidP="00B558B7">
            <w:pPr>
              <w:pStyle w:val="TekstTabeli"/>
            </w:pPr>
            <w:r w:rsidRPr="009F38EA">
              <w:t>1</w:t>
            </w:r>
          </w:p>
        </w:tc>
      </w:tr>
      <w:tr w:rsidR="009F38EA" w:rsidRPr="009F38EA" w14:paraId="27C774E6" w14:textId="77777777" w:rsidTr="009F38EA">
        <w:trPr>
          <w:cantSplit/>
          <w:trHeight w:val="285"/>
        </w:trPr>
        <w:tc>
          <w:tcPr>
            <w:tcW w:w="567" w:type="dxa"/>
            <w:noWrap/>
            <w:vAlign w:val="center"/>
            <w:hideMark/>
          </w:tcPr>
          <w:p w14:paraId="278C2003" w14:textId="77777777" w:rsidR="009F38EA" w:rsidRPr="009F38EA" w:rsidRDefault="009F38EA" w:rsidP="00B558B7">
            <w:pPr>
              <w:pStyle w:val="TekstTabeli"/>
            </w:pPr>
            <w:r w:rsidRPr="009F38EA">
              <w:t>174</w:t>
            </w:r>
          </w:p>
        </w:tc>
        <w:tc>
          <w:tcPr>
            <w:tcW w:w="4479" w:type="dxa"/>
            <w:noWrap/>
            <w:vAlign w:val="center"/>
            <w:hideMark/>
          </w:tcPr>
          <w:p w14:paraId="45B4CDFC" w14:textId="77777777" w:rsidR="009F38EA" w:rsidRPr="009F38EA" w:rsidRDefault="009F38EA" w:rsidP="00B558B7">
            <w:pPr>
              <w:pStyle w:val="TekstTabeli"/>
            </w:pPr>
            <w:r w:rsidRPr="009F38EA">
              <w:t>admissions officers</w:t>
            </w:r>
          </w:p>
        </w:tc>
        <w:tc>
          <w:tcPr>
            <w:tcW w:w="3969" w:type="dxa"/>
            <w:noWrap/>
            <w:vAlign w:val="center"/>
            <w:hideMark/>
          </w:tcPr>
          <w:p w14:paraId="444F0D8B" w14:textId="77777777" w:rsidR="009F38EA" w:rsidRPr="009F38EA" w:rsidRDefault="009F38EA" w:rsidP="00B558B7">
            <w:pPr>
              <w:pStyle w:val="TekstTabeli"/>
            </w:pPr>
            <w:r w:rsidRPr="009F38EA">
              <w:t>1</w:t>
            </w:r>
          </w:p>
        </w:tc>
      </w:tr>
      <w:tr w:rsidR="009F38EA" w:rsidRPr="009F38EA" w14:paraId="2A2B8BB3" w14:textId="77777777" w:rsidTr="009F38EA">
        <w:trPr>
          <w:cantSplit/>
          <w:trHeight w:val="285"/>
        </w:trPr>
        <w:tc>
          <w:tcPr>
            <w:tcW w:w="567" w:type="dxa"/>
            <w:noWrap/>
            <w:vAlign w:val="center"/>
            <w:hideMark/>
          </w:tcPr>
          <w:p w14:paraId="29DC6882" w14:textId="77777777" w:rsidR="009F38EA" w:rsidRPr="009F38EA" w:rsidRDefault="009F38EA" w:rsidP="00B558B7">
            <w:pPr>
              <w:pStyle w:val="TekstTabeli"/>
            </w:pPr>
            <w:r w:rsidRPr="009F38EA">
              <w:t>175</w:t>
            </w:r>
          </w:p>
        </w:tc>
        <w:tc>
          <w:tcPr>
            <w:tcW w:w="4479" w:type="dxa"/>
            <w:noWrap/>
            <w:vAlign w:val="center"/>
            <w:hideMark/>
          </w:tcPr>
          <w:p w14:paraId="07A20B9C" w14:textId="77777777" w:rsidR="009F38EA" w:rsidRPr="009F38EA" w:rsidRDefault="009F38EA" w:rsidP="00B558B7">
            <w:pPr>
              <w:pStyle w:val="TekstTabeli"/>
            </w:pPr>
            <w:r w:rsidRPr="009F38EA">
              <w:t>other universities and institutes</w:t>
            </w:r>
          </w:p>
        </w:tc>
        <w:tc>
          <w:tcPr>
            <w:tcW w:w="3969" w:type="dxa"/>
            <w:noWrap/>
            <w:vAlign w:val="center"/>
            <w:hideMark/>
          </w:tcPr>
          <w:p w14:paraId="6EA424FA" w14:textId="77777777" w:rsidR="009F38EA" w:rsidRPr="009F38EA" w:rsidRDefault="009F38EA" w:rsidP="00B558B7">
            <w:pPr>
              <w:pStyle w:val="TekstTabeli"/>
            </w:pPr>
            <w:r w:rsidRPr="009F38EA">
              <w:t>0</w:t>
            </w:r>
          </w:p>
        </w:tc>
      </w:tr>
      <w:tr w:rsidR="009F38EA" w:rsidRPr="009F38EA" w14:paraId="4237CAEB" w14:textId="77777777" w:rsidTr="009F38EA">
        <w:trPr>
          <w:cantSplit/>
          <w:trHeight w:val="285"/>
        </w:trPr>
        <w:tc>
          <w:tcPr>
            <w:tcW w:w="567" w:type="dxa"/>
            <w:noWrap/>
            <w:vAlign w:val="center"/>
            <w:hideMark/>
          </w:tcPr>
          <w:p w14:paraId="639B15B0" w14:textId="77777777" w:rsidR="009F38EA" w:rsidRPr="009F38EA" w:rsidRDefault="009F38EA" w:rsidP="00B558B7">
            <w:pPr>
              <w:pStyle w:val="TekstTabeli"/>
            </w:pPr>
            <w:r w:rsidRPr="009F38EA">
              <w:t>176</w:t>
            </w:r>
          </w:p>
        </w:tc>
        <w:tc>
          <w:tcPr>
            <w:tcW w:w="4479" w:type="dxa"/>
            <w:noWrap/>
            <w:vAlign w:val="center"/>
            <w:hideMark/>
          </w:tcPr>
          <w:p w14:paraId="4F9BDB9A" w14:textId="77777777" w:rsidR="009F38EA" w:rsidRPr="009F38EA" w:rsidRDefault="009F38EA" w:rsidP="00B558B7">
            <w:pPr>
              <w:pStyle w:val="TekstTabeli"/>
            </w:pPr>
            <w:r w:rsidRPr="009F38EA">
              <w:t>parent</w:t>
            </w:r>
          </w:p>
        </w:tc>
        <w:tc>
          <w:tcPr>
            <w:tcW w:w="3969" w:type="dxa"/>
            <w:noWrap/>
            <w:vAlign w:val="center"/>
            <w:hideMark/>
          </w:tcPr>
          <w:p w14:paraId="2944748B" w14:textId="77777777" w:rsidR="009F38EA" w:rsidRPr="009F38EA" w:rsidRDefault="009F38EA" w:rsidP="00B558B7">
            <w:pPr>
              <w:pStyle w:val="TekstTabeli"/>
            </w:pPr>
            <w:r w:rsidRPr="009F38EA">
              <w:t>0</w:t>
            </w:r>
          </w:p>
        </w:tc>
      </w:tr>
      <w:tr w:rsidR="009F38EA" w:rsidRPr="009F38EA" w14:paraId="1B1A1720" w14:textId="77777777" w:rsidTr="009F38EA">
        <w:trPr>
          <w:cantSplit/>
          <w:trHeight w:val="285"/>
        </w:trPr>
        <w:tc>
          <w:tcPr>
            <w:tcW w:w="567" w:type="dxa"/>
            <w:noWrap/>
            <w:vAlign w:val="center"/>
            <w:hideMark/>
          </w:tcPr>
          <w:p w14:paraId="71706BB7" w14:textId="77777777" w:rsidR="009F38EA" w:rsidRPr="009F38EA" w:rsidRDefault="009F38EA" w:rsidP="00B558B7">
            <w:pPr>
              <w:pStyle w:val="TekstTabeli"/>
            </w:pPr>
            <w:r w:rsidRPr="009F38EA">
              <w:t>177</w:t>
            </w:r>
          </w:p>
        </w:tc>
        <w:tc>
          <w:tcPr>
            <w:tcW w:w="4479" w:type="dxa"/>
            <w:noWrap/>
            <w:vAlign w:val="center"/>
            <w:hideMark/>
          </w:tcPr>
          <w:p w14:paraId="00E13D3A" w14:textId="77777777" w:rsidR="009F38EA" w:rsidRPr="009F38EA" w:rsidRDefault="009F38EA" w:rsidP="00B558B7">
            <w:pPr>
              <w:pStyle w:val="TekstTabeli"/>
            </w:pPr>
            <w:r w:rsidRPr="009F38EA">
              <w:t>parents</w:t>
            </w:r>
          </w:p>
        </w:tc>
        <w:tc>
          <w:tcPr>
            <w:tcW w:w="3969" w:type="dxa"/>
            <w:noWrap/>
            <w:vAlign w:val="center"/>
            <w:hideMark/>
          </w:tcPr>
          <w:p w14:paraId="5BF6835B" w14:textId="77777777" w:rsidR="009F38EA" w:rsidRPr="009F38EA" w:rsidRDefault="009F38EA" w:rsidP="00B558B7">
            <w:pPr>
              <w:pStyle w:val="TekstTabeli"/>
            </w:pPr>
            <w:r w:rsidRPr="009F38EA">
              <w:t>10</w:t>
            </w:r>
          </w:p>
        </w:tc>
      </w:tr>
      <w:tr w:rsidR="009F38EA" w:rsidRPr="009F38EA" w14:paraId="5400335C" w14:textId="77777777" w:rsidTr="009F38EA">
        <w:trPr>
          <w:cantSplit/>
          <w:trHeight w:val="285"/>
        </w:trPr>
        <w:tc>
          <w:tcPr>
            <w:tcW w:w="567" w:type="dxa"/>
            <w:noWrap/>
            <w:vAlign w:val="center"/>
            <w:hideMark/>
          </w:tcPr>
          <w:p w14:paraId="52F5D621" w14:textId="77777777" w:rsidR="009F38EA" w:rsidRPr="009F38EA" w:rsidRDefault="009F38EA" w:rsidP="00B558B7">
            <w:pPr>
              <w:pStyle w:val="TekstTabeli"/>
            </w:pPr>
            <w:r w:rsidRPr="009F38EA">
              <w:t>178</w:t>
            </w:r>
          </w:p>
        </w:tc>
        <w:tc>
          <w:tcPr>
            <w:tcW w:w="4479" w:type="dxa"/>
            <w:noWrap/>
            <w:vAlign w:val="center"/>
            <w:hideMark/>
          </w:tcPr>
          <w:p w14:paraId="3C248FF9" w14:textId="77777777" w:rsidR="009F38EA" w:rsidRPr="009F38EA" w:rsidRDefault="009F38EA" w:rsidP="00B558B7">
            <w:pPr>
              <w:pStyle w:val="TekstTabeli"/>
            </w:pPr>
            <w:proofErr w:type="spellStart"/>
            <w:r w:rsidRPr="009F38EA">
              <w:t>famil</w:t>
            </w:r>
            <w:proofErr w:type="spellEnd"/>
          </w:p>
        </w:tc>
        <w:tc>
          <w:tcPr>
            <w:tcW w:w="3969" w:type="dxa"/>
            <w:noWrap/>
            <w:vAlign w:val="center"/>
            <w:hideMark/>
          </w:tcPr>
          <w:p w14:paraId="61B41115" w14:textId="77777777" w:rsidR="009F38EA" w:rsidRPr="009F38EA" w:rsidRDefault="009F38EA" w:rsidP="00B558B7">
            <w:pPr>
              <w:pStyle w:val="TekstTabeli"/>
            </w:pPr>
            <w:r w:rsidRPr="009F38EA">
              <w:t>0</w:t>
            </w:r>
          </w:p>
        </w:tc>
      </w:tr>
      <w:tr w:rsidR="009F38EA" w:rsidRPr="009F38EA" w14:paraId="332A4A9E" w14:textId="77777777" w:rsidTr="009F38EA">
        <w:trPr>
          <w:cantSplit/>
          <w:trHeight w:val="285"/>
        </w:trPr>
        <w:tc>
          <w:tcPr>
            <w:tcW w:w="567" w:type="dxa"/>
            <w:noWrap/>
            <w:vAlign w:val="center"/>
            <w:hideMark/>
          </w:tcPr>
          <w:p w14:paraId="26BF3D5F" w14:textId="77777777" w:rsidR="009F38EA" w:rsidRPr="009F38EA" w:rsidRDefault="009F38EA" w:rsidP="00B558B7">
            <w:pPr>
              <w:pStyle w:val="TekstTabeli"/>
            </w:pPr>
            <w:r w:rsidRPr="009F38EA">
              <w:t>179</w:t>
            </w:r>
          </w:p>
        </w:tc>
        <w:tc>
          <w:tcPr>
            <w:tcW w:w="4479" w:type="dxa"/>
            <w:noWrap/>
            <w:vAlign w:val="center"/>
            <w:hideMark/>
          </w:tcPr>
          <w:p w14:paraId="11A21D09" w14:textId="77777777" w:rsidR="009F38EA" w:rsidRPr="009F38EA" w:rsidRDefault="009F38EA" w:rsidP="00B558B7">
            <w:pPr>
              <w:pStyle w:val="TekstTabeli"/>
            </w:pPr>
            <w:r w:rsidRPr="009F38EA">
              <w:t>families</w:t>
            </w:r>
          </w:p>
        </w:tc>
        <w:tc>
          <w:tcPr>
            <w:tcW w:w="3969" w:type="dxa"/>
            <w:noWrap/>
            <w:vAlign w:val="center"/>
            <w:hideMark/>
          </w:tcPr>
          <w:p w14:paraId="1340AC9A" w14:textId="77777777" w:rsidR="009F38EA" w:rsidRPr="009F38EA" w:rsidRDefault="009F38EA" w:rsidP="00B558B7">
            <w:pPr>
              <w:pStyle w:val="TekstTabeli"/>
            </w:pPr>
            <w:r w:rsidRPr="009F38EA">
              <w:t>4</w:t>
            </w:r>
          </w:p>
        </w:tc>
      </w:tr>
      <w:tr w:rsidR="009F38EA" w:rsidRPr="009F38EA" w14:paraId="26C9713E" w14:textId="77777777" w:rsidTr="009F38EA">
        <w:trPr>
          <w:cantSplit/>
          <w:trHeight w:val="285"/>
        </w:trPr>
        <w:tc>
          <w:tcPr>
            <w:tcW w:w="567" w:type="dxa"/>
            <w:noWrap/>
            <w:vAlign w:val="center"/>
            <w:hideMark/>
          </w:tcPr>
          <w:p w14:paraId="787D4B7D" w14:textId="77777777" w:rsidR="009F38EA" w:rsidRPr="009F38EA" w:rsidRDefault="009F38EA" w:rsidP="00B558B7">
            <w:pPr>
              <w:pStyle w:val="TekstTabeli"/>
            </w:pPr>
            <w:r w:rsidRPr="009F38EA">
              <w:t>180</w:t>
            </w:r>
          </w:p>
        </w:tc>
        <w:tc>
          <w:tcPr>
            <w:tcW w:w="4479" w:type="dxa"/>
            <w:noWrap/>
            <w:vAlign w:val="center"/>
            <w:hideMark/>
          </w:tcPr>
          <w:p w14:paraId="79C5EE2C" w14:textId="77777777" w:rsidR="009F38EA" w:rsidRPr="009F38EA" w:rsidRDefault="009F38EA" w:rsidP="00B558B7">
            <w:pPr>
              <w:pStyle w:val="TekstTabeli"/>
            </w:pPr>
            <w:r w:rsidRPr="009F38EA">
              <w:t>family</w:t>
            </w:r>
          </w:p>
        </w:tc>
        <w:tc>
          <w:tcPr>
            <w:tcW w:w="3969" w:type="dxa"/>
            <w:noWrap/>
            <w:vAlign w:val="center"/>
            <w:hideMark/>
          </w:tcPr>
          <w:p w14:paraId="394F0040" w14:textId="77777777" w:rsidR="009F38EA" w:rsidRPr="009F38EA" w:rsidRDefault="009F38EA" w:rsidP="00B558B7">
            <w:pPr>
              <w:pStyle w:val="TekstTabeli"/>
            </w:pPr>
            <w:r w:rsidRPr="009F38EA">
              <w:t>3</w:t>
            </w:r>
          </w:p>
        </w:tc>
      </w:tr>
      <w:tr w:rsidR="009F38EA" w:rsidRPr="009F38EA" w14:paraId="3AEB9237" w14:textId="77777777" w:rsidTr="009F38EA">
        <w:trPr>
          <w:cantSplit/>
          <w:trHeight w:val="285"/>
        </w:trPr>
        <w:tc>
          <w:tcPr>
            <w:tcW w:w="567" w:type="dxa"/>
            <w:noWrap/>
            <w:vAlign w:val="center"/>
            <w:hideMark/>
          </w:tcPr>
          <w:p w14:paraId="190A10C5" w14:textId="77777777" w:rsidR="009F38EA" w:rsidRPr="009F38EA" w:rsidRDefault="009F38EA" w:rsidP="00B558B7">
            <w:pPr>
              <w:pStyle w:val="TekstTabeli"/>
            </w:pPr>
            <w:r w:rsidRPr="009F38EA">
              <w:t>181</w:t>
            </w:r>
          </w:p>
        </w:tc>
        <w:tc>
          <w:tcPr>
            <w:tcW w:w="4479" w:type="dxa"/>
            <w:noWrap/>
            <w:vAlign w:val="center"/>
            <w:hideMark/>
          </w:tcPr>
          <w:p w14:paraId="323226B7" w14:textId="77777777" w:rsidR="009F38EA" w:rsidRPr="009F38EA" w:rsidRDefault="009F38EA" w:rsidP="00B558B7">
            <w:pPr>
              <w:pStyle w:val="TekstTabeli"/>
            </w:pPr>
            <w:r w:rsidRPr="009F38EA">
              <w:t>family members</w:t>
            </w:r>
          </w:p>
        </w:tc>
        <w:tc>
          <w:tcPr>
            <w:tcW w:w="3969" w:type="dxa"/>
            <w:noWrap/>
            <w:vAlign w:val="center"/>
            <w:hideMark/>
          </w:tcPr>
          <w:p w14:paraId="49040974" w14:textId="77777777" w:rsidR="009F38EA" w:rsidRPr="009F38EA" w:rsidRDefault="009F38EA" w:rsidP="00B558B7">
            <w:pPr>
              <w:pStyle w:val="TekstTabeli"/>
            </w:pPr>
            <w:r w:rsidRPr="009F38EA">
              <w:t>3</w:t>
            </w:r>
          </w:p>
        </w:tc>
      </w:tr>
      <w:tr w:rsidR="009F38EA" w:rsidRPr="009F38EA" w14:paraId="14E1F75C" w14:textId="77777777" w:rsidTr="009F38EA">
        <w:trPr>
          <w:cantSplit/>
          <w:trHeight w:val="285"/>
        </w:trPr>
        <w:tc>
          <w:tcPr>
            <w:tcW w:w="567" w:type="dxa"/>
            <w:noWrap/>
            <w:vAlign w:val="center"/>
            <w:hideMark/>
          </w:tcPr>
          <w:p w14:paraId="7A55111B" w14:textId="77777777" w:rsidR="009F38EA" w:rsidRPr="009F38EA" w:rsidRDefault="009F38EA" w:rsidP="00B558B7">
            <w:pPr>
              <w:pStyle w:val="TekstTabeli"/>
            </w:pPr>
            <w:r w:rsidRPr="009F38EA">
              <w:t>182</w:t>
            </w:r>
          </w:p>
        </w:tc>
        <w:tc>
          <w:tcPr>
            <w:tcW w:w="4479" w:type="dxa"/>
            <w:noWrap/>
            <w:vAlign w:val="center"/>
            <w:hideMark/>
          </w:tcPr>
          <w:p w14:paraId="2C7E43CD" w14:textId="77777777" w:rsidR="009F38EA" w:rsidRPr="009F38EA" w:rsidRDefault="009F38EA" w:rsidP="00B558B7">
            <w:pPr>
              <w:pStyle w:val="TekstTabeli"/>
            </w:pPr>
            <w:r w:rsidRPr="009F38EA">
              <w:t>park</w:t>
            </w:r>
          </w:p>
        </w:tc>
        <w:tc>
          <w:tcPr>
            <w:tcW w:w="3969" w:type="dxa"/>
            <w:noWrap/>
            <w:vAlign w:val="center"/>
            <w:hideMark/>
          </w:tcPr>
          <w:p w14:paraId="02FBE738" w14:textId="77777777" w:rsidR="009F38EA" w:rsidRPr="009F38EA" w:rsidRDefault="009F38EA" w:rsidP="00B558B7">
            <w:pPr>
              <w:pStyle w:val="TekstTabeli"/>
            </w:pPr>
            <w:r w:rsidRPr="009F38EA">
              <w:t>0</w:t>
            </w:r>
          </w:p>
        </w:tc>
      </w:tr>
      <w:tr w:rsidR="009F38EA" w:rsidRPr="009F38EA" w14:paraId="578B5F1F" w14:textId="77777777" w:rsidTr="009F38EA">
        <w:trPr>
          <w:cantSplit/>
          <w:trHeight w:val="285"/>
        </w:trPr>
        <w:tc>
          <w:tcPr>
            <w:tcW w:w="567" w:type="dxa"/>
            <w:noWrap/>
            <w:vAlign w:val="center"/>
            <w:hideMark/>
          </w:tcPr>
          <w:p w14:paraId="3BDB37C0" w14:textId="77777777" w:rsidR="009F38EA" w:rsidRPr="009F38EA" w:rsidRDefault="009F38EA" w:rsidP="00B558B7">
            <w:pPr>
              <w:pStyle w:val="TekstTabeli"/>
            </w:pPr>
            <w:r w:rsidRPr="009F38EA">
              <w:t>183</w:t>
            </w:r>
          </w:p>
        </w:tc>
        <w:tc>
          <w:tcPr>
            <w:tcW w:w="4479" w:type="dxa"/>
            <w:noWrap/>
            <w:vAlign w:val="center"/>
            <w:hideMark/>
          </w:tcPr>
          <w:p w14:paraId="63F69B7C" w14:textId="77777777" w:rsidR="009F38EA" w:rsidRPr="009F38EA" w:rsidRDefault="009F38EA" w:rsidP="00B558B7">
            <w:pPr>
              <w:pStyle w:val="TekstTabeli"/>
            </w:pPr>
            <w:r w:rsidRPr="009F38EA">
              <w:t>partner</w:t>
            </w:r>
          </w:p>
        </w:tc>
        <w:tc>
          <w:tcPr>
            <w:tcW w:w="3969" w:type="dxa"/>
            <w:noWrap/>
            <w:vAlign w:val="center"/>
            <w:hideMark/>
          </w:tcPr>
          <w:p w14:paraId="06B7E2FB" w14:textId="77777777" w:rsidR="009F38EA" w:rsidRPr="009F38EA" w:rsidRDefault="009F38EA" w:rsidP="00B558B7">
            <w:pPr>
              <w:pStyle w:val="TekstTabeli"/>
            </w:pPr>
            <w:r w:rsidRPr="009F38EA">
              <w:t>1</w:t>
            </w:r>
          </w:p>
        </w:tc>
      </w:tr>
      <w:tr w:rsidR="009F38EA" w:rsidRPr="009F38EA" w14:paraId="35EED2D9" w14:textId="77777777" w:rsidTr="009F38EA">
        <w:trPr>
          <w:cantSplit/>
          <w:trHeight w:val="285"/>
        </w:trPr>
        <w:tc>
          <w:tcPr>
            <w:tcW w:w="567" w:type="dxa"/>
            <w:noWrap/>
            <w:vAlign w:val="center"/>
            <w:hideMark/>
          </w:tcPr>
          <w:p w14:paraId="18CCFAFC" w14:textId="77777777" w:rsidR="009F38EA" w:rsidRPr="009F38EA" w:rsidRDefault="009F38EA" w:rsidP="00B558B7">
            <w:pPr>
              <w:pStyle w:val="TekstTabeli"/>
            </w:pPr>
            <w:r w:rsidRPr="009F38EA">
              <w:t>184</w:t>
            </w:r>
          </w:p>
        </w:tc>
        <w:tc>
          <w:tcPr>
            <w:tcW w:w="4479" w:type="dxa"/>
            <w:noWrap/>
            <w:vAlign w:val="center"/>
            <w:hideMark/>
          </w:tcPr>
          <w:p w14:paraId="0AC55D68" w14:textId="77777777" w:rsidR="009F38EA" w:rsidRPr="009F38EA" w:rsidRDefault="009F38EA" w:rsidP="00B558B7">
            <w:pPr>
              <w:pStyle w:val="TekstTabeli"/>
            </w:pPr>
            <w:r w:rsidRPr="009F38EA">
              <w:t>partner universities</w:t>
            </w:r>
          </w:p>
        </w:tc>
        <w:tc>
          <w:tcPr>
            <w:tcW w:w="3969" w:type="dxa"/>
            <w:noWrap/>
            <w:vAlign w:val="center"/>
            <w:hideMark/>
          </w:tcPr>
          <w:p w14:paraId="509D19AD" w14:textId="77777777" w:rsidR="009F38EA" w:rsidRPr="009F38EA" w:rsidRDefault="009F38EA" w:rsidP="00B558B7">
            <w:pPr>
              <w:pStyle w:val="TekstTabeli"/>
            </w:pPr>
            <w:r w:rsidRPr="009F38EA">
              <w:t>1</w:t>
            </w:r>
          </w:p>
        </w:tc>
      </w:tr>
      <w:tr w:rsidR="009F38EA" w:rsidRPr="009F38EA" w14:paraId="029633D9" w14:textId="77777777" w:rsidTr="009F38EA">
        <w:trPr>
          <w:cantSplit/>
          <w:trHeight w:val="285"/>
        </w:trPr>
        <w:tc>
          <w:tcPr>
            <w:tcW w:w="567" w:type="dxa"/>
            <w:noWrap/>
            <w:vAlign w:val="center"/>
            <w:hideMark/>
          </w:tcPr>
          <w:p w14:paraId="261B8FDF" w14:textId="77777777" w:rsidR="009F38EA" w:rsidRPr="009F38EA" w:rsidRDefault="009F38EA" w:rsidP="00B558B7">
            <w:pPr>
              <w:pStyle w:val="TekstTabeli"/>
            </w:pPr>
            <w:r w:rsidRPr="009F38EA">
              <w:t>185</w:t>
            </w:r>
          </w:p>
        </w:tc>
        <w:tc>
          <w:tcPr>
            <w:tcW w:w="4479" w:type="dxa"/>
            <w:noWrap/>
            <w:vAlign w:val="center"/>
            <w:hideMark/>
          </w:tcPr>
          <w:p w14:paraId="0A6B2AF7" w14:textId="77777777" w:rsidR="009F38EA" w:rsidRPr="009F38EA" w:rsidRDefault="009F38EA" w:rsidP="00B558B7">
            <w:pPr>
              <w:pStyle w:val="TekstTabeli"/>
            </w:pPr>
            <w:r w:rsidRPr="009F38EA">
              <w:t>partners</w:t>
            </w:r>
          </w:p>
        </w:tc>
        <w:tc>
          <w:tcPr>
            <w:tcW w:w="3969" w:type="dxa"/>
            <w:noWrap/>
            <w:vAlign w:val="center"/>
            <w:hideMark/>
          </w:tcPr>
          <w:p w14:paraId="4C5C0E1C" w14:textId="77777777" w:rsidR="009F38EA" w:rsidRPr="009F38EA" w:rsidRDefault="009F38EA" w:rsidP="00B558B7">
            <w:pPr>
              <w:pStyle w:val="TekstTabeli"/>
            </w:pPr>
            <w:r w:rsidRPr="009F38EA">
              <w:t>1</w:t>
            </w:r>
          </w:p>
        </w:tc>
      </w:tr>
      <w:tr w:rsidR="009F38EA" w:rsidRPr="009F38EA" w14:paraId="5B6FFA43" w14:textId="77777777" w:rsidTr="009F38EA">
        <w:trPr>
          <w:cantSplit/>
          <w:trHeight w:val="285"/>
        </w:trPr>
        <w:tc>
          <w:tcPr>
            <w:tcW w:w="567" w:type="dxa"/>
            <w:noWrap/>
            <w:vAlign w:val="center"/>
            <w:hideMark/>
          </w:tcPr>
          <w:p w14:paraId="574FBFFB" w14:textId="77777777" w:rsidR="009F38EA" w:rsidRPr="009F38EA" w:rsidRDefault="009F38EA" w:rsidP="00B558B7">
            <w:pPr>
              <w:pStyle w:val="TekstTabeli"/>
            </w:pPr>
            <w:r w:rsidRPr="009F38EA">
              <w:t>186</w:t>
            </w:r>
          </w:p>
        </w:tc>
        <w:tc>
          <w:tcPr>
            <w:tcW w:w="4479" w:type="dxa"/>
            <w:noWrap/>
            <w:vAlign w:val="center"/>
            <w:hideMark/>
          </w:tcPr>
          <w:p w14:paraId="2984EA36" w14:textId="77777777" w:rsidR="009F38EA" w:rsidRPr="009F38EA" w:rsidRDefault="009F38EA" w:rsidP="00B558B7">
            <w:pPr>
              <w:pStyle w:val="TekstTabeli"/>
            </w:pPr>
            <w:r w:rsidRPr="009F38EA">
              <w:t>research partners</w:t>
            </w:r>
          </w:p>
        </w:tc>
        <w:tc>
          <w:tcPr>
            <w:tcW w:w="3969" w:type="dxa"/>
            <w:noWrap/>
            <w:vAlign w:val="center"/>
            <w:hideMark/>
          </w:tcPr>
          <w:p w14:paraId="6B19E4EB" w14:textId="77777777" w:rsidR="009F38EA" w:rsidRPr="009F38EA" w:rsidRDefault="009F38EA" w:rsidP="00B558B7">
            <w:pPr>
              <w:pStyle w:val="TekstTabeli"/>
            </w:pPr>
            <w:r w:rsidRPr="009F38EA">
              <w:t>1</w:t>
            </w:r>
          </w:p>
        </w:tc>
      </w:tr>
      <w:tr w:rsidR="009F38EA" w:rsidRPr="009F38EA" w14:paraId="64395036" w14:textId="77777777" w:rsidTr="009F38EA">
        <w:trPr>
          <w:cantSplit/>
          <w:trHeight w:val="285"/>
        </w:trPr>
        <w:tc>
          <w:tcPr>
            <w:tcW w:w="567" w:type="dxa"/>
            <w:noWrap/>
            <w:vAlign w:val="center"/>
            <w:hideMark/>
          </w:tcPr>
          <w:p w14:paraId="71E0D5F2" w14:textId="77777777" w:rsidR="009F38EA" w:rsidRPr="009F38EA" w:rsidRDefault="009F38EA" w:rsidP="00B558B7">
            <w:pPr>
              <w:pStyle w:val="TekstTabeli"/>
            </w:pPr>
            <w:r w:rsidRPr="009F38EA">
              <w:t>187</w:t>
            </w:r>
          </w:p>
        </w:tc>
        <w:tc>
          <w:tcPr>
            <w:tcW w:w="4479" w:type="dxa"/>
            <w:noWrap/>
            <w:vAlign w:val="center"/>
            <w:hideMark/>
          </w:tcPr>
          <w:p w14:paraId="597C9D8C" w14:textId="77777777" w:rsidR="009F38EA" w:rsidRPr="009F38EA" w:rsidRDefault="009F38EA" w:rsidP="00B558B7">
            <w:pPr>
              <w:pStyle w:val="TekstTabeli"/>
            </w:pPr>
            <w:r w:rsidRPr="009F38EA">
              <w:t>patent office</w:t>
            </w:r>
          </w:p>
        </w:tc>
        <w:tc>
          <w:tcPr>
            <w:tcW w:w="3969" w:type="dxa"/>
            <w:noWrap/>
            <w:vAlign w:val="center"/>
            <w:hideMark/>
          </w:tcPr>
          <w:p w14:paraId="1CB4EEC9" w14:textId="77777777" w:rsidR="009F38EA" w:rsidRPr="009F38EA" w:rsidRDefault="009F38EA" w:rsidP="00B558B7">
            <w:pPr>
              <w:pStyle w:val="TekstTabeli"/>
            </w:pPr>
            <w:r w:rsidRPr="009F38EA">
              <w:t>0</w:t>
            </w:r>
          </w:p>
        </w:tc>
      </w:tr>
      <w:tr w:rsidR="009F38EA" w:rsidRPr="009F38EA" w14:paraId="615A3E63" w14:textId="77777777" w:rsidTr="009F38EA">
        <w:trPr>
          <w:cantSplit/>
          <w:trHeight w:val="285"/>
        </w:trPr>
        <w:tc>
          <w:tcPr>
            <w:tcW w:w="567" w:type="dxa"/>
            <w:noWrap/>
            <w:vAlign w:val="center"/>
            <w:hideMark/>
          </w:tcPr>
          <w:p w14:paraId="05C7147E" w14:textId="77777777" w:rsidR="009F38EA" w:rsidRPr="009F38EA" w:rsidRDefault="009F38EA" w:rsidP="00B558B7">
            <w:pPr>
              <w:pStyle w:val="TekstTabeli"/>
            </w:pPr>
            <w:r w:rsidRPr="009F38EA">
              <w:t>188</w:t>
            </w:r>
          </w:p>
        </w:tc>
        <w:tc>
          <w:tcPr>
            <w:tcW w:w="4479" w:type="dxa"/>
            <w:noWrap/>
            <w:vAlign w:val="center"/>
            <w:hideMark/>
          </w:tcPr>
          <w:p w14:paraId="4169D654" w14:textId="77777777" w:rsidR="009F38EA" w:rsidRPr="009F38EA" w:rsidRDefault="009F38EA" w:rsidP="00B558B7">
            <w:pPr>
              <w:pStyle w:val="TekstTabeli"/>
            </w:pPr>
            <w:r w:rsidRPr="009F38EA">
              <w:t>patent offices</w:t>
            </w:r>
          </w:p>
        </w:tc>
        <w:tc>
          <w:tcPr>
            <w:tcW w:w="3969" w:type="dxa"/>
            <w:noWrap/>
            <w:vAlign w:val="center"/>
            <w:hideMark/>
          </w:tcPr>
          <w:p w14:paraId="145022F8" w14:textId="77777777" w:rsidR="009F38EA" w:rsidRPr="009F38EA" w:rsidRDefault="009F38EA" w:rsidP="00B558B7">
            <w:pPr>
              <w:pStyle w:val="TekstTabeli"/>
            </w:pPr>
            <w:r w:rsidRPr="009F38EA">
              <w:t>0</w:t>
            </w:r>
          </w:p>
        </w:tc>
      </w:tr>
      <w:tr w:rsidR="009F38EA" w:rsidRPr="009F38EA" w14:paraId="2DC3F979" w14:textId="77777777" w:rsidTr="009F38EA">
        <w:trPr>
          <w:cantSplit/>
          <w:trHeight w:val="285"/>
        </w:trPr>
        <w:tc>
          <w:tcPr>
            <w:tcW w:w="567" w:type="dxa"/>
            <w:noWrap/>
            <w:vAlign w:val="center"/>
            <w:hideMark/>
          </w:tcPr>
          <w:p w14:paraId="5E1841F1" w14:textId="77777777" w:rsidR="009F38EA" w:rsidRPr="009F38EA" w:rsidRDefault="009F38EA" w:rsidP="00B558B7">
            <w:pPr>
              <w:pStyle w:val="TekstTabeli"/>
            </w:pPr>
            <w:r w:rsidRPr="009F38EA">
              <w:t>189</w:t>
            </w:r>
          </w:p>
        </w:tc>
        <w:tc>
          <w:tcPr>
            <w:tcW w:w="4479" w:type="dxa"/>
            <w:noWrap/>
            <w:vAlign w:val="center"/>
            <w:hideMark/>
          </w:tcPr>
          <w:p w14:paraId="63A69C8E" w14:textId="77777777" w:rsidR="009F38EA" w:rsidRPr="009F38EA" w:rsidRDefault="009F38EA" w:rsidP="00B558B7">
            <w:pPr>
              <w:pStyle w:val="TekstTabeli"/>
            </w:pPr>
            <w:r w:rsidRPr="009F38EA">
              <w:t>policy makers</w:t>
            </w:r>
          </w:p>
        </w:tc>
        <w:tc>
          <w:tcPr>
            <w:tcW w:w="3969" w:type="dxa"/>
            <w:noWrap/>
            <w:vAlign w:val="center"/>
            <w:hideMark/>
          </w:tcPr>
          <w:p w14:paraId="09D0E3E8" w14:textId="77777777" w:rsidR="009F38EA" w:rsidRPr="009F38EA" w:rsidRDefault="009F38EA" w:rsidP="00B558B7">
            <w:pPr>
              <w:pStyle w:val="TekstTabeli"/>
            </w:pPr>
            <w:r w:rsidRPr="009F38EA">
              <w:t>12</w:t>
            </w:r>
          </w:p>
        </w:tc>
      </w:tr>
      <w:tr w:rsidR="009F38EA" w:rsidRPr="009F38EA" w14:paraId="6F7296EB" w14:textId="77777777" w:rsidTr="009F38EA">
        <w:trPr>
          <w:cantSplit/>
          <w:trHeight w:val="285"/>
        </w:trPr>
        <w:tc>
          <w:tcPr>
            <w:tcW w:w="567" w:type="dxa"/>
            <w:noWrap/>
            <w:vAlign w:val="center"/>
            <w:hideMark/>
          </w:tcPr>
          <w:p w14:paraId="524667A7" w14:textId="77777777" w:rsidR="009F38EA" w:rsidRPr="009F38EA" w:rsidRDefault="009F38EA" w:rsidP="00B558B7">
            <w:pPr>
              <w:pStyle w:val="TekstTabeli"/>
            </w:pPr>
            <w:r w:rsidRPr="009F38EA">
              <w:t>190</w:t>
            </w:r>
          </w:p>
        </w:tc>
        <w:tc>
          <w:tcPr>
            <w:tcW w:w="4479" w:type="dxa"/>
            <w:noWrap/>
            <w:vAlign w:val="center"/>
            <w:hideMark/>
          </w:tcPr>
          <w:p w14:paraId="7203638E" w14:textId="77777777" w:rsidR="009F38EA" w:rsidRPr="009F38EA" w:rsidRDefault="009F38EA" w:rsidP="00B558B7">
            <w:pPr>
              <w:pStyle w:val="TekstTabeli"/>
            </w:pPr>
            <w:r w:rsidRPr="009F38EA">
              <w:t>politic</w:t>
            </w:r>
          </w:p>
        </w:tc>
        <w:tc>
          <w:tcPr>
            <w:tcW w:w="3969" w:type="dxa"/>
            <w:noWrap/>
            <w:vAlign w:val="center"/>
            <w:hideMark/>
          </w:tcPr>
          <w:p w14:paraId="070F4263" w14:textId="77777777" w:rsidR="009F38EA" w:rsidRPr="009F38EA" w:rsidRDefault="009F38EA" w:rsidP="00B558B7">
            <w:pPr>
              <w:pStyle w:val="TekstTabeli"/>
            </w:pPr>
            <w:r w:rsidRPr="009F38EA">
              <w:t>0</w:t>
            </w:r>
          </w:p>
        </w:tc>
      </w:tr>
      <w:tr w:rsidR="009F38EA" w:rsidRPr="009F38EA" w14:paraId="063BA4AD" w14:textId="77777777" w:rsidTr="009F38EA">
        <w:trPr>
          <w:cantSplit/>
          <w:trHeight w:val="285"/>
        </w:trPr>
        <w:tc>
          <w:tcPr>
            <w:tcW w:w="567" w:type="dxa"/>
            <w:noWrap/>
            <w:vAlign w:val="center"/>
            <w:hideMark/>
          </w:tcPr>
          <w:p w14:paraId="1A14B61A" w14:textId="77777777" w:rsidR="009F38EA" w:rsidRPr="009F38EA" w:rsidRDefault="009F38EA" w:rsidP="00B558B7">
            <w:pPr>
              <w:pStyle w:val="TekstTabeli"/>
            </w:pPr>
            <w:r w:rsidRPr="009F38EA">
              <w:t>191</w:t>
            </w:r>
          </w:p>
        </w:tc>
        <w:tc>
          <w:tcPr>
            <w:tcW w:w="4479" w:type="dxa"/>
            <w:noWrap/>
            <w:vAlign w:val="center"/>
            <w:hideMark/>
          </w:tcPr>
          <w:p w14:paraId="279AB952" w14:textId="77777777" w:rsidR="009F38EA" w:rsidRPr="009F38EA" w:rsidRDefault="009F38EA" w:rsidP="00B558B7">
            <w:pPr>
              <w:pStyle w:val="TekstTabeli"/>
            </w:pPr>
            <w:r w:rsidRPr="009F38EA">
              <w:t>politics</w:t>
            </w:r>
          </w:p>
        </w:tc>
        <w:tc>
          <w:tcPr>
            <w:tcW w:w="3969" w:type="dxa"/>
            <w:noWrap/>
            <w:vAlign w:val="center"/>
            <w:hideMark/>
          </w:tcPr>
          <w:p w14:paraId="75C44944" w14:textId="77777777" w:rsidR="009F38EA" w:rsidRPr="009F38EA" w:rsidRDefault="009F38EA" w:rsidP="00B558B7">
            <w:pPr>
              <w:pStyle w:val="TekstTabeli"/>
            </w:pPr>
            <w:r w:rsidRPr="009F38EA">
              <w:t>0</w:t>
            </w:r>
          </w:p>
        </w:tc>
      </w:tr>
      <w:tr w:rsidR="009F38EA" w:rsidRPr="009F38EA" w14:paraId="3D0EFA83" w14:textId="77777777" w:rsidTr="009F38EA">
        <w:trPr>
          <w:cantSplit/>
          <w:trHeight w:val="285"/>
        </w:trPr>
        <w:tc>
          <w:tcPr>
            <w:tcW w:w="567" w:type="dxa"/>
            <w:noWrap/>
            <w:vAlign w:val="center"/>
            <w:hideMark/>
          </w:tcPr>
          <w:p w14:paraId="392934C6" w14:textId="77777777" w:rsidR="009F38EA" w:rsidRPr="009F38EA" w:rsidRDefault="009F38EA" w:rsidP="00B558B7">
            <w:pPr>
              <w:pStyle w:val="TekstTabeli"/>
            </w:pPr>
            <w:r w:rsidRPr="009F38EA">
              <w:t>192</w:t>
            </w:r>
          </w:p>
        </w:tc>
        <w:tc>
          <w:tcPr>
            <w:tcW w:w="4479" w:type="dxa"/>
            <w:noWrap/>
            <w:vAlign w:val="center"/>
            <w:hideMark/>
          </w:tcPr>
          <w:p w14:paraId="7CDA650B" w14:textId="77777777" w:rsidR="009F38EA" w:rsidRPr="009F38EA" w:rsidRDefault="009F38EA" w:rsidP="00B558B7">
            <w:pPr>
              <w:pStyle w:val="TekstTabeli"/>
            </w:pPr>
            <w:r w:rsidRPr="009F38EA">
              <w:t>political</w:t>
            </w:r>
          </w:p>
        </w:tc>
        <w:tc>
          <w:tcPr>
            <w:tcW w:w="3969" w:type="dxa"/>
            <w:noWrap/>
            <w:vAlign w:val="center"/>
            <w:hideMark/>
          </w:tcPr>
          <w:p w14:paraId="61636462" w14:textId="77777777" w:rsidR="009F38EA" w:rsidRPr="009F38EA" w:rsidRDefault="009F38EA" w:rsidP="00B558B7">
            <w:pPr>
              <w:pStyle w:val="TekstTabeli"/>
            </w:pPr>
            <w:r w:rsidRPr="009F38EA">
              <w:t>0</w:t>
            </w:r>
          </w:p>
        </w:tc>
      </w:tr>
      <w:tr w:rsidR="009F38EA" w:rsidRPr="009F38EA" w14:paraId="7EF6111F" w14:textId="77777777" w:rsidTr="009F38EA">
        <w:trPr>
          <w:cantSplit/>
          <w:trHeight w:val="285"/>
        </w:trPr>
        <w:tc>
          <w:tcPr>
            <w:tcW w:w="567" w:type="dxa"/>
            <w:noWrap/>
            <w:vAlign w:val="center"/>
            <w:hideMark/>
          </w:tcPr>
          <w:p w14:paraId="02AD578C" w14:textId="77777777" w:rsidR="009F38EA" w:rsidRPr="009F38EA" w:rsidRDefault="009F38EA" w:rsidP="00B558B7">
            <w:pPr>
              <w:pStyle w:val="TekstTabeli"/>
            </w:pPr>
            <w:r w:rsidRPr="009F38EA">
              <w:t>193</w:t>
            </w:r>
          </w:p>
        </w:tc>
        <w:tc>
          <w:tcPr>
            <w:tcW w:w="4479" w:type="dxa"/>
            <w:noWrap/>
            <w:vAlign w:val="center"/>
            <w:hideMark/>
          </w:tcPr>
          <w:p w14:paraId="4F04552C" w14:textId="77777777" w:rsidR="009F38EA" w:rsidRPr="009F38EA" w:rsidRDefault="009F38EA" w:rsidP="00B558B7">
            <w:pPr>
              <w:pStyle w:val="TekstTabeli"/>
            </w:pPr>
            <w:r w:rsidRPr="009F38EA">
              <w:t>political decisions</w:t>
            </w:r>
          </w:p>
        </w:tc>
        <w:tc>
          <w:tcPr>
            <w:tcW w:w="3969" w:type="dxa"/>
            <w:noWrap/>
            <w:vAlign w:val="center"/>
            <w:hideMark/>
          </w:tcPr>
          <w:p w14:paraId="7444657B" w14:textId="77777777" w:rsidR="009F38EA" w:rsidRPr="009F38EA" w:rsidRDefault="009F38EA" w:rsidP="00B558B7">
            <w:pPr>
              <w:pStyle w:val="TekstTabeli"/>
            </w:pPr>
            <w:r w:rsidRPr="009F38EA">
              <w:t>0</w:t>
            </w:r>
          </w:p>
        </w:tc>
      </w:tr>
      <w:tr w:rsidR="009F38EA" w:rsidRPr="009F38EA" w14:paraId="5F11FAA0" w14:textId="77777777" w:rsidTr="009F38EA">
        <w:trPr>
          <w:cantSplit/>
          <w:trHeight w:val="285"/>
        </w:trPr>
        <w:tc>
          <w:tcPr>
            <w:tcW w:w="567" w:type="dxa"/>
            <w:noWrap/>
            <w:vAlign w:val="center"/>
            <w:hideMark/>
          </w:tcPr>
          <w:p w14:paraId="40FBD2C4" w14:textId="77777777" w:rsidR="009F38EA" w:rsidRPr="009F38EA" w:rsidRDefault="009F38EA" w:rsidP="00B558B7">
            <w:pPr>
              <w:pStyle w:val="TekstTabeli"/>
            </w:pPr>
            <w:r w:rsidRPr="009F38EA">
              <w:t>194</w:t>
            </w:r>
          </w:p>
        </w:tc>
        <w:tc>
          <w:tcPr>
            <w:tcW w:w="4479" w:type="dxa"/>
            <w:noWrap/>
            <w:vAlign w:val="center"/>
            <w:hideMark/>
          </w:tcPr>
          <w:p w14:paraId="17D17076" w14:textId="77777777" w:rsidR="009F38EA" w:rsidRPr="009F38EA" w:rsidRDefault="009F38EA" w:rsidP="00B558B7">
            <w:pPr>
              <w:pStyle w:val="TekstTabeli"/>
            </w:pPr>
            <w:r w:rsidRPr="009F38EA">
              <w:t>political environment</w:t>
            </w:r>
          </w:p>
        </w:tc>
        <w:tc>
          <w:tcPr>
            <w:tcW w:w="3969" w:type="dxa"/>
            <w:noWrap/>
            <w:vAlign w:val="center"/>
            <w:hideMark/>
          </w:tcPr>
          <w:p w14:paraId="58D42EBD" w14:textId="77777777" w:rsidR="009F38EA" w:rsidRPr="009F38EA" w:rsidRDefault="009F38EA" w:rsidP="00B558B7">
            <w:pPr>
              <w:pStyle w:val="TekstTabeli"/>
            </w:pPr>
            <w:r w:rsidRPr="009F38EA">
              <w:t>2</w:t>
            </w:r>
          </w:p>
        </w:tc>
      </w:tr>
      <w:tr w:rsidR="009F38EA" w:rsidRPr="009F38EA" w14:paraId="565E9E03" w14:textId="77777777" w:rsidTr="009F38EA">
        <w:trPr>
          <w:cantSplit/>
          <w:trHeight w:val="285"/>
        </w:trPr>
        <w:tc>
          <w:tcPr>
            <w:tcW w:w="567" w:type="dxa"/>
            <w:noWrap/>
            <w:vAlign w:val="center"/>
            <w:hideMark/>
          </w:tcPr>
          <w:p w14:paraId="4FC8B087" w14:textId="77777777" w:rsidR="009F38EA" w:rsidRPr="009F38EA" w:rsidRDefault="009F38EA" w:rsidP="00B558B7">
            <w:pPr>
              <w:pStyle w:val="TekstTabeli"/>
            </w:pPr>
            <w:r w:rsidRPr="009F38EA">
              <w:t>195</w:t>
            </w:r>
          </w:p>
        </w:tc>
        <w:tc>
          <w:tcPr>
            <w:tcW w:w="4479" w:type="dxa"/>
            <w:noWrap/>
            <w:vAlign w:val="center"/>
            <w:hideMark/>
          </w:tcPr>
          <w:p w14:paraId="6129142A" w14:textId="77777777" w:rsidR="009F38EA" w:rsidRPr="009F38EA" w:rsidRDefault="009F38EA" w:rsidP="00B558B7">
            <w:pPr>
              <w:pStyle w:val="TekstTabeli"/>
            </w:pPr>
            <w:r w:rsidRPr="009F38EA">
              <w:t>political institutions</w:t>
            </w:r>
          </w:p>
        </w:tc>
        <w:tc>
          <w:tcPr>
            <w:tcW w:w="3969" w:type="dxa"/>
            <w:noWrap/>
            <w:vAlign w:val="center"/>
            <w:hideMark/>
          </w:tcPr>
          <w:p w14:paraId="7FF78963" w14:textId="77777777" w:rsidR="009F38EA" w:rsidRPr="009F38EA" w:rsidRDefault="009F38EA" w:rsidP="00B558B7">
            <w:pPr>
              <w:pStyle w:val="TekstTabeli"/>
            </w:pPr>
            <w:r w:rsidRPr="009F38EA">
              <w:t>1</w:t>
            </w:r>
          </w:p>
        </w:tc>
      </w:tr>
      <w:tr w:rsidR="009F38EA" w:rsidRPr="009F38EA" w14:paraId="360B921B" w14:textId="77777777" w:rsidTr="009F38EA">
        <w:trPr>
          <w:cantSplit/>
          <w:trHeight w:val="285"/>
        </w:trPr>
        <w:tc>
          <w:tcPr>
            <w:tcW w:w="567" w:type="dxa"/>
            <w:noWrap/>
            <w:vAlign w:val="center"/>
            <w:hideMark/>
          </w:tcPr>
          <w:p w14:paraId="06E0CD75" w14:textId="77777777" w:rsidR="009F38EA" w:rsidRPr="009F38EA" w:rsidRDefault="009F38EA" w:rsidP="00B558B7">
            <w:pPr>
              <w:pStyle w:val="TekstTabeli"/>
            </w:pPr>
            <w:r w:rsidRPr="009F38EA">
              <w:t>196</w:t>
            </w:r>
          </w:p>
        </w:tc>
        <w:tc>
          <w:tcPr>
            <w:tcW w:w="4479" w:type="dxa"/>
            <w:noWrap/>
            <w:vAlign w:val="center"/>
            <w:hideMark/>
          </w:tcPr>
          <w:p w14:paraId="7936B859" w14:textId="77777777" w:rsidR="009F38EA" w:rsidRPr="009F38EA" w:rsidRDefault="009F38EA" w:rsidP="00B558B7">
            <w:pPr>
              <w:pStyle w:val="TekstTabeli"/>
            </w:pPr>
            <w:r w:rsidRPr="009F38EA">
              <w:t>politicians</w:t>
            </w:r>
          </w:p>
        </w:tc>
        <w:tc>
          <w:tcPr>
            <w:tcW w:w="3969" w:type="dxa"/>
            <w:noWrap/>
            <w:vAlign w:val="center"/>
            <w:hideMark/>
          </w:tcPr>
          <w:p w14:paraId="434B2D09" w14:textId="77777777" w:rsidR="009F38EA" w:rsidRPr="009F38EA" w:rsidRDefault="009F38EA" w:rsidP="00B558B7">
            <w:pPr>
              <w:pStyle w:val="TekstTabeli"/>
            </w:pPr>
            <w:r w:rsidRPr="009F38EA">
              <w:t>1</w:t>
            </w:r>
          </w:p>
        </w:tc>
      </w:tr>
      <w:tr w:rsidR="009F38EA" w:rsidRPr="009F38EA" w14:paraId="28E722F3" w14:textId="77777777" w:rsidTr="009F38EA">
        <w:trPr>
          <w:cantSplit/>
          <w:trHeight w:val="285"/>
        </w:trPr>
        <w:tc>
          <w:tcPr>
            <w:tcW w:w="567" w:type="dxa"/>
            <w:noWrap/>
            <w:vAlign w:val="center"/>
            <w:hideMark/>
          </w:tcPr>
          <w:p w14:paraId="74F0D57F" w14:textId="77777777" w:rsidR="009F38EA" w:rsidRPr="009F38EA" w:rsidRDefault="009F38EA" w:rsidP="00B558B7">
            <w:pPr>
              <w:pStyle w:val="TekstTabeli"/>
            </w:pPr>
            <w:r w:rsidRPr="009F38EA">
              <w:t>197</w:t>
            </w:r>
          </w:p>
        </w:tc>
        <w:tc>
          <w:tcPr>
            <w:tcW w:w="4479" w:type="dxa"/>
            <w:noWrap/>
            <w:vAlign w:val="center"/>
            <w:hideMark/>
          </w:tcPr>
          <w:p w14:paraId="563B521C" w14:textId="77777777" w:rsidR="009F38EA" w:rsidRPr="009F38EA" w:rsidRDefault="009F38EA" w:rsidP="00B558B7">
            <w:pPr>
              <w:pStyle w:val="TekstTabeli"/>
            </w:pPr>
            <w:r w:rsidRPr="009F38EA">
              <w:t>post-secondary students</w:t>
            </w:r>
          </w:p>
        </w:tc>
        <w:tc>
          <w:tcPr>
            <w:tcW w:w="3969" w:type="dxa"/>
            <w:noWrap/>
            <w:vAlign w:val="center"/>
            <w:hideMark/>
          </w:tcPr>
          <w:p w14:paraId="3CC9E872" w14:textId="77777777" w:rsidR="009F38EA" w:rsidRPr="009F38EA" w:rsidRDefault="009F38EA" w:rsidP="00B558B7">
            <w:pPr>
              <w:pStyle w:val="TekstTabeli"/>
            </w:pPr>
            <w:r w:rsidRPr="009F38EA">
              <w:t>1</w:t>
            </w:r>
          </w:p>
        </w:tc>
      </w:tr>
      <w:tr w:rsidR="009F38EA" w:rsidRPr="009F38EA" w14:paraId="28AF94C5" w14:textId="77777777" w:rsidTr="009F38EA">
        <w:trPr>
          <w:cantSplit/>
          <w:trHeight w:val="285"/>
        </w:trPr>
        <w:tc>
          <w:tcPr>
            <w:tcW w:w="567" w:type="dxa"/>
            <w:noWrap/>
            <w:vAlign w:val="center"/>
            <w:hideMark/>
          </w:tcPr>
          <w:p w14:paraId="46348D55" w14:textId="77777777" w:rsidR="009F38EA" w:rsidRPr="009F38EA" w:rsidRDefault="009F38EA" w:rsidP="00B558B7">
            <w:pPr>
              <w:pStyle w:val="TekstTabeli"/>
            </w:pPr>
            <w:r w:rsidRPr="009F38EA">
              <w:t>198</w:t>
            </w:r>
          </w:p>
        </w:tc>
        <w:tc>
          <w:tcPr>
            <w:tcW w:w="4479" w:type="dxa"/>
            <w:noWrap/>
            <w:vAlign w:val="center"/>
            <w:hideMark/>
          </w:tcPr>
          <w:p w14:paraId="691ED389" w14:textId="77777777" w:rsidR="009F38EA" w:rsidRPr="009F38EA" w:rsidRDefault="009F38EA" w:rsidP="00B558B7">
            <w:pPr>
              <w:pStyle w:val="TekstTabeli"/>
            </w:pPr>
            <w:r w:rsidRPr="009F38EA">
              <w:t>practitioner</w:t>
            </w:r>
          </w:p>
        </w:tc>
        <w:tc>
          <w:tcPr>
            <w:tcW w:w="3969" w:type="dxa"/>
            <w:noWrap/>
            <w:vAlign w:val="center"/>
            <w:hideMark/>
          </w:tcPr>
          <w:p w14:paraId="5EA630EB" w14:textId="77777777" w:rsidR="009F38EA" w:rsidRPr="009F38EA" w:rsidRDefault="009F38EA" w:rsidP="00B558B7">
            <w:pPr>
              <w:pStyle w:val="TekstTabeli"/>
            </w:pPr>
            <w:r w:rsidRPr="009F38EA">
              <w:t>11</w:t>
            </w:r>
          </w:p>
        </w:tc>
      </w:tr>
      <w:tr w:rsidR="009F38EA" w:rsidRPr="009F38EA" w14:paraId="085AD8D6" w14:textId="77777777" w:rsidTr="009F38EA">
        <w:trPr>
          <w:cantSplit/>
          <w:trHeight w:val="285"/>
        </w:trPr>
        <w:tc>
          <w:tcPr>
            <w:tcW w:w="567" w:type="dxa"/>
            <w:noWrap/>
            <w:vAlign w:val="center"/>
            <w:hideMark/>
          </w:tcPr>
          <w:p w14:paraId="72EB0488" w14:textId="77777777" w:rsidR="009F38EA" w:rsidRPr="009F38EA" w:rsidRDefault="009F38EA" w:rsidP="00B558B7">
            <w:pPr>
              <w:pStyle w:val="TekstTabeli"/>
            </w:pPr>
            <w:r w:rsidRPr="009F38EA">
              <w:t>199</w:t>
            </w:r>
          </w:p>
        </w:tc>
        <w:tc>
          <w:tcPr>
            <w:tcW w:w="4479" w:type="dxa"/>
            <w:noWrap/>
            <w:vAlign w:val="center"/>
            <w:hideMark/>
          </w:tcPr>
          <w:p w14:paraId="3D19D3BC" w14:textId="77777777" w:rsidR="009F38EA" w:rsidRPr="009F38EA" w:rsidRDefault="009F38EA" w:rsidP="00B558B7">
            <w:pPr>
              <w:pStyle w:val="TekstTabeli"/>
            </w:pPr>
            <w:r w:rsidRPr="009F38EA">
              <w:t>practitioner network</w:t>
            </w:r>
          </w:p>
        </w:tc>
        <w:tc>
          <w:tcPr>
            <w:tcW w:w="3969" w:type="dxa"/>
            <w:noWrap/>
            <w:vAlign w:val="center"/>
            <w:hideMark/>
          </w:tcPr>
          <w:p w14:paraId="22DCB6BB" w14:textId="77777777" w:rsidR="009F38EA" w:rsidRPr="009F38EA" w:rsidRDefault="009F38EA" w:rsidP="00B558B7">
            <w:pPr>
              <w:pStyle w:val="TekstTabeli"/>
            </w:pPr>
            <w:r w:rsidRPr="009F38EA">
              <w:t>1</w:t>
            </w:r>
          </w:p>
        </w:tc>
      </w:tr>
      <w:tr w:rsidR="009F38EA" w:rsidRPr="009F38EA" w14:paraId="76B9666E" w14:textId="77777777" w:rsidTr="009F38EA">
        <w:trPr>
          <w:cantSplit/>
          <w:trHeight w:val="285"/>
        </w:trPr>
        <w:tc>
          <w:tcPr>
            <w:tcW w:w="567" w:type="dxa"/>
            <w:noWrap/>
            <w:vAlign w:val="center"/>
            <w:hideMark/>
          </w:tcPr>
          <w:p w14:paraId="203D465D" w14:textId="77777777" w:rsidR="009F38EA" w:rsidRPr="009F38EA" w:rsidRDefault="009F38EA" w:rsidP="00B558B7">
            <w:pPr>
              <w:pStyle w:val="TekstTabeli"/>
            </w:pPr>
            <w:r w:rsidRPr="009F38EA">
              <w:t>200</w:t>
            </w:r>
          </w:p>
        </w:tc>
        <w:tc>
          <w:tcPr>
            <w:tcW w:w="4479" w:type="dxa"/>
            <w:noWrap/>
            <w:vAlign w:val="center"/>
            <w:hideMark/>
          </w:tcPr>
          <w:p w14:paraId="69C10F3C" w14:textId="77777777" w:rsidR="009F38EA" w:rsidRPr="009F38EA" w:rsidRDefault="009F38EA" w:rsidP="00B558B7">
            <w:pPr>
              <w:pStyle w:val="TekstTabeli"/>
            </w:pPr>
            <w:r w:rsidRPr="009F38EA">
              <w:t>community of practitioners</w:t>
            </w:r>
          </w:p>
        </w:tc>
        <w:tc>
          <w:tcPr>
            <w:tcW w:w="3969" w:type="dxa"/>
            <w:noWrap/>
            <w:vAlign w:val="center"/>
            <w:hideMark/>
          </w:tcPr>
          <w:p w14:paraId="2E726C81" w14:textId="77777777" w:rsidR="009F38EA" w:rsidRPr="009F38EA" w:rsidRDefault="009F38EA" w:rsidP="00B558B7">
            <w:pPr>
              <w:pStyle w:val="TekstTabeli"/>
            </w:pPr>
            <w:r w:rsidRPr="009F38EA">
              <w:t>1</w:t>
            </w:r>
          </w:p>
        </w:tc>
      </w:tr>
      <w:tr w:rsidR="009F38EA" w:rsidRPr="009F38EA" w14:paraId="2C994D83" w14:textId="77777777" w:rsidTr="009F38EA">
        <w:trPr>
          <w:cantSplit/>
          <w:trHeight w:val="285"/>
        </w:trPr>
        <w:tc>
          <w:tcPr>
            <w:tcW w:w="567" w:type="dxa"/>
            <w:noWrap/>
            <w:vAlign w:val="center"/>
            <w:hideMark/>
          </w:tcPr>
          <w:p w14:paraId="419B746F" w14:textId="77777777" w:rsidR="009F38EA" w:rsidRPr="009F38EA" w:rsidRDefault="009F38EA" w:rsidP="00B558B7">
            <w:pPr>
              <w:pStyle w:val="TekstTabeli"/>
            </w:pPr>
            <w:r w:rsidRPr="009F38EA">
              <w:t>201</w:t>
            </w:r>
          </w:p>
        </w:tc>
        <w:tc>
          <w:tcPr>
            <w:tcW w:w="4479" w:type="dxa"/>
            <w:noWrap/>
            <w:vAlign w:val="center"/>
            <w:hideMark/>
          </w:tcPr>
          <w:p w14:paraId="03CEA483" w14:textId="77777777" w:rsidR="009F38EA" w:rsidRPr="009F38EA" w:rsidRDefault="009F38EA" w:rsidP="00B558B7">
            <w:pPr>
              <w:pStyle w:val="TekstTabeli"/>
            </w:pPr>
            <w:r w:rsidRPr="009F38EA">
              <w:t>management practitioner</w:t>
            </w:r>
          </w:p>
        </w:tc>
        <w:tc>
          <w:tcPr>
            <w:tcW w:w="3969" w:type="dxa"/>
            <w:noWrap/>
            <w:vAlign w:val="center"/>
            <w:hideMark/>
          </w:tcPr>
          <w:p w14:paraId="2989F56E" w14:textId="77777777" w:rsidR="009F38EA" w:rsidRPr="009F38EA" w:rsidRDefault="009F38EA" w:rsidP="00B558B7">
            <w:pPr>
              <w:pStyle w:val="TekstTabeli"/>
            </w:pPr>
            <w:r w:rsidRPr="009F38EA">
              <w:t>1</w:t>
            </w:r>
          </w:p>
        </w:tc>
      </w:tr>
      <w:tr w:rsidR="009F38EA" w:rsidRPr="009F38EA" w14:paraId="7DA8554D" w14:textId="77777777" w:rsidTr="009F38EA">
        <w:trPr>
          <w:cantSplit/>
          <w:trHeight w:val="285"/>
        </w:trPr>
        <w:tc>
          <w:tcPr>
            <w:tcW w:w="567" w:type="dxa"/>
            <w:noWrap/>
            <w:vAlign w:val="center"/>
            <w:hideMark/>
          </w:tcPr>
          <w:p w14:paraId="103F582F" w14:textId="77777777" w:rsidR="009F38EA" w:rsidRPr="009F38EA" w:rsidRDefault="009F38EA" w:rsidP="00B558B7">
            <w:pPr>
              <w:pStyle w:val="TekstTabeli"/>
            </w:pPr>
            <w:r w:rsidRPr="009F38EA">
              <w:t>202</w:t>
            </w:r>
          </w:p>
        </w:tc>
        <w:tc>
          <w:tcPr>
            <w:tcW w:w="4479" w:type="dxa"/>
            <w:noWrap/>
            <w:vAlign w:val="center"/>
            <w:hideMark/>
          </w:tcPr>
          <w:p w14:paraId="6926C263" w14:textId="77777777" w:rsidR="009F38EA" w:rsidRPr="009F38EA" w:rsidRDefault="009F38EA" w:rsidP="00B558B7">
            <w:pPr>
              <w:pStyle w:val="TekstTabeli"/>
            </w:pPr>
            <w:r w:rsidRPr="009F38EA">
              <w:t>expert practitioner</w:t>
            </w:r>
          </w:p>
        </w:tc>
        <w:tc>
          <w:tcPr>
            <w:tcW w:w="3969" w:type="dxa"/>
            <w:noWrap/>
            <w:vAlign w:val="center"/>
            <w:hideMark/>
          </w:tcPr>
          <w:p w14:paraId="0EFC3C77" w14:textId="77777777" w:rsidR="009F38EA" w:rsidRPr="009F38EA" w:rsidRDefault="009F38EA" w:rsidP="00B558B7">
            <w:pPr>
              <w:pStyle w:val="TekstTabeli"/>
            </w:pPr>
            <w:r w:rsidRPr="009F38EA">
              <w:t>1</w:t>
            </w:r>
          </w:p>
        </w:tc>
      </w:tr>
      <w:tr w:rsidR="009F38EA" w:rsidRPr="009F38EA" w14:paraId="6B89D859" w14:textId="77777777" w:rsidTr="009F38EA">
        <w:trPr>
          <w:cantSplit/>
          <w:trHeight w:val="285"/>
        </w:trPr>
        <w:tc>
          <w:tcPr>
            <w:tcW w:w="567" w:type="dxa"/>
            <w:noWrap/>
            <w:vAlign w:val="center"/>
            <w:hideMark/>
          </w:tcPr>
          <w:p w14:paraId="3DDD7464" w14:textId="77777777" w:rsidR="009F38EA" w:rsidRPr="009F38EA" w:rsidRDefault="009F38EA" w:rsidP="00B558B7">
            <w:pPr>
              <w:pStyle w:val="TekstTabeli"/>
            </w:pPr>
            <w:r w:rsidRPr="009F38EA">
              <w:t>203</w:t>
            </w:r>
          </w:p>
        </w:tc>
        <w:tc>
          <w:tcPr>
            <w:tcW w:w="4479" w:type="dxa"/>
            <w:noWrap/>
            <w:vAlign w:val="center"/>
            <w:hideMark/>
          </w:tcPr>
          <w:p w14:paraId="73C6FF42" w14:textId="77777777" w:rsidR="009F38EA" w:rsidRPr="009F38EA" w:rsidRDefault="009F38EA" w:rsidP="00B558B7">
            <w:pPr>
              <w:pStyle w:val="TekstTabeli"/>
            </w:pPr>
            <w:r w:rsidRPr="009F38EA">
              <w:t>professional practitioner</w:t>
            </w:r>
          </w:p>
        </w:tc>
        <w:tc>
          <w:tcPr>
            <w:tcW w:w="3969" w:type="dxa"/>
            <w:noWrap/>
            <w:vAlign w:val="center"/>
            <w:hideMark/>
          </w:tcPr>
          <w:p w14:paraId="343B8C80" w14:textId="77777777" w:rsidR="009F38EA" w:rsidRPr="009F38EA" w:rsidRDefault="009F38EA" w:rsidP="00B558B7">
            <w:pPr>
              <w:pStyle w:val="TekstTabeli"/>
            </w:pPr>
            <w:r w:rsidRPr="009F38EA">
              <w:t>1</w:t>
            </w:r>
          </w:p>
        </w:tc>
      </w:tr>
      <w:tr w:rsidR="009F38EA" w:rsidRPr="009F38EA" w14:paraId="7D2CF377" w14:textId="77777777" w:rsidTr="009F38EA">
        <w:trPr>
          <w:cantSplit/>
          <w:trHeight w:val="285"/>
        </w:trPr>
        <w:tc>
          <w:tcPr>
            <w:tcW w:w="567" w:type="dxa"/>
            <w:noWrap/>
            <w:vAlign w:val="center"/>
            <w:hideMark/>
          </w:tcPr>
          <w:p w14:paraId="223DC3F9" w14:textId="77777777" w:rsidR="009F38EA" w:rsidRPr="009F38EA" w:rsidRDefault="009F38EA" w:rsidP="00B558B7">
            <w:pPr>
              <w:pStyle w:val="TekstTabeli"/>
            </w:pPr>
            <w:r w:rsidRPr="009F38EA">
              <w:t>204</w:t>
            </w:r>
          </w:p>
        </w:tc>
        <w:tc>
          <w:tcPr>
            <w:tcW w:w="4479" w:type="dxa"/>
            <w:noWrap/>
            <w:vAlign w:val="center"/>
            <w:hideMark/>
          </w:tcPr>
          <w:p w14:paraId="3693E1D4" w14:textId="77777777" w:rsidR="009F38EA" w:rsidRPr="009F38EA" w:rsidRDefault="009F38EA" w:rsidP="00B558B7">
            <w:pPr>
              <w:pStyle w:val="TekstTabeli"/>
            </w:pPr>
            <w:r w:rsidRPr="009F38EA">
              <w:t>risk practitioner</w:t>
            </w:r>
          </w:p>
        </w:tc>
        <w:tc>
          <w:tcPr>
            <w:tcW w:w="3969" w:type="dxa"/>
            <w:noWrap/>
            <w:vAlign w:val="center"/>
            <w:hideMark/>
          </w:tcPr>
          <w:p w14:paraId="624B4899" w14:textId="77777777" w:rsidR="009F38EA" w:rsidRPr="009F38EA" w:rsidRDefault="009F38EA" w:rsidP="00B558B7">
            <w:pPr>
              <w:pStyle w:val="TekstTabeli"/>
            </w:pPr>
            <w:r w:rsidRPr="009F38EA">
              <w:t>1</w:t>
            </w:r>
          </w:p>
        </w:tc>
      </w:tr>
      <w:tr w:rsidR="009F38EA" w:rsidRPr="009F38EA" w14:paraId="0FC5A7CC" w14:textId="77777777" w:rsidTr="009F38EA">
        <w:trPr>
          <w:cantSplit/>
          <w:trHeight w:val="285"/>
        </w:trPr>
        <w:tc>
          <w:tcPr>
            <w:tcW w:w="567" w:type="dxa"/>
            <w:noWrap/>
            <w:vAlign w:val="center"/>
            <w:hideMark/>
          </w:tcPr>
          <w:p w14:paraId="40850CEC" w14:textId="77777777" w:rsidR="009F38EA" w:rsidRPr="009F38EA" w:rsidRDefault="009F38EA" w:rsidP="00B558B7">
            <w:pPr>
              <w:pStyle w:val="TekstTabeli"/>
            </w:pPr>
            <w:r w:rsidRPr="009F38EA">
              <w:t>205</w:t>
            </w:r>
          </w:p>
        </w:tc>
        <w:tc>
          <w:tcPr>
            <w:tcW w:w="4479" w:type="dxa"/>
            <w:noWrap/>
            <w:vAlign w:val="center"/>
            <w:hideMark/>
          </w:tcPr>
          <w:p w14:paraId="4B4D9AC4" w14:textId="77777777" w:rsidR="009F38EA" w:rsidRPr="009F38EA" w:rsidRDefault="009F38EA" w:rsidP="00B558B7">
            <w:pPr>
              <w:pStyle w:val="TekstTabeli"/>
            </w:pPr>
            <w:r w:rsidRPr="009F38EA">
              <w:t>private higher education institutions</w:t>
            </w:r>
          </w:p>
        </w:tc>
        <w:tc>
          <w:tcPr>
            <w:tcW w:w="3969" w:type="dxa"/>
            <w:noWrap/>
            <w:vAlign w:val="center"/>
            <w:hideMark/>
          </w:tcPr>
          <w:p w14:paraId="7B3733A8" w14:textId="77777777" w:rsidR="009F38EA" w:rsidRPr="009F38EA" w:rsidRDefault="009F38EA" w:rsidP="00B558B7">
            <w:pPr>
              <w:pStyle w:val="TekstTabeli"/>
            </w:pPr>
            <w:r w:rsidRPr="009F38EA">
              <w:t>0</w:t>
            </w:r>
          </w:p>
        </w:tc>
      </w:tr>
      <w:tr w:rsidR="009F38EA" w:rsidRPr="009F38EA" w14:paraId="08C140A3" w14:textId="77777777" w:rsidTr="009F38EA">
        <w:trPr>
          <w:cantSplit/>
          <w:trHeight w:val="285"/>
        </w:trPr>
        <w:tc>
          <w:tcPr>
            <w:tcW w:w="567" w:type="dxa"/>
            <w:noWrap/>
            <w:vAlign w:val="center"/>
            <w:hideMark/>
          </w:tcPr>
          <w:p w14:paraId="2CC30903" w14:textId="77777777" w:rsidR="009F38EA" w:rsidRPr="009F38EA" w:rsidRDefault="009F38EA" w:rsidP="00B558B7">
            <w:pPr>
              <w:pStyle w:val="TekstTabeli"/>
            </w:pPr>
            <w:r w:rsidRPr="009F38EA">
              <w:t>206</w:t>
            </w:r>
          </w:p>
        </w:tc>
        <w:tc>
          <w:tcPr>
            <w:tcW w:w="4479" w:type="dxa"/>
            <w:noWrap/>
            <w:vAlign w:val="center"/>
            <w:hideMark/>
          </w:tcPr>
          <w:p w14:paraId="513D9201" w14:textId="77777777" w:rsidR="009F38EA" w:rsidRPr="009F38EA" w:rsidRDefault="009F38EA" w:rsidP="00B558B7">
            <w:pPr>
              <w:pStyle w:val="TekstTabeli"/>
            </w:pPr>
            <w:r w:rsidRPr="009F38EA">
              <w:t>private sector</w:t>
            </w:r>
          </w:p>
        </w:tc>
        <w:tc>
          <w:tcPr>
            <w:tcW w:w="3969" w:type="dxa"/>
            <w:noWrap/>
            <w:vAlign w:val="center"/>
            <w:hideMark/>
          </w:tcPr>
          <w:p w14:paraId="42170901" w14:textId="77777777" w:rsidR="009F38EA" w:rsidRPr="009F38EA" w:rsidRDefault="009F38EA" w:rsidP="00B558B7">
            <w:pPr>
              <w:pStyle w:val="TekstTabeli"/>
            </w:pPr>
            <w:r w:rsidRPr="009F38EA">
              <w:t>0</w:t>
            </w:r>
          </w:p>
        </w:tc>
      </w:tr>
      <w:tr w:rsidR="009F38EA" w:rsidRPr="009F38EA" w14:paraId="152268A5" w14:textId="77777777" w:rsidTr="009F38EA">
        <w:trPr>
          <w:cantSplit/>
          <w:trHeight w:val="285"/>
        </w:trPr>
        <w:tc>
          <w:tcPr>
            <w:tcW w:w="567" w:type="dxa"/>
            <w:noWrap/>
            <w:vAlign w:val="center"/>
            <w:hideMark/>
          </w:tcPr>
          <w:p w14:paraId="78D95573" w14:textId="77777777" w:rsidR="009F38EA" w:rsidRPr="009F38EA" w:rsidRDefault="009F38EA" w:rsidP="00B558B7">
            <w:pPr>
              <w:pStyle w:val="TekstTabeli"/>
            </w:pPr>
            <w:r w:rsidRPr="009F38EA">
              <w:t>207</w:t>
            </w:r>
          </w:p>
        </w:tc>
        <w:tc>
          <w:tcPr>
            <w:tcW w:w="4479" w:type="dxa"/>
            <w:noWrap/>
            <w:vAlign w:val="center"/>
            <w:hideMark/>
          </w:tcPr>
          <w:p w14:paraId="44B00B5F" w14:textId="77777777" w:rsidR="009F38EA" w:rsidRPr="009F38EA" w:rsidRDefault="009F38EA" w:rsidP="00B558B7">
            <w:pPr>
              <w:pStyle w:val="TekstTabeli"/>
            </w:pPr>
            <w:r w:rsidRPr="009F38EA">
              <w:t>professional associations</w:t>
            </w:r>
          </w:p>
        </w:tc>
        <w:tc>
          <w:tcPr>
            <w:tcW w:w="3969" w:type="dxa"/>
            <w:noWrap/>
            <w:vAlign w:val="center"/>
            <w:hideMark/>
          </w:tcPr>
          <w:p w14:paraId="30B11940" w14:textId="77777777" w:rsidR="009F38EA" w:rsidRPr="009F38EA" w:rsidRDefault="009F38EA" w:rsidP="00B558B7">
            <w:pPr>
              <w:pStyle w:val="TekstTabeli"/>
            </w:pPr>
            <w:r w:rsidRPr="009F38EA">
              <w:t>1</w:t>
            </w:r>
          </w:p>
        </w:tc>
      </w:tr>
      <w:tr w:rsidR="009F38EA" w:rsidRPr="009F38EA" w14:paraId="0EEC6877" w14:textId="77777777" w:rsidTr="009F38EA">
        <w:trPr>
          <w:cantSplit/>
          <w:trHeight w:val="285"/>
        </w:trPr>
        <w:tc>
          <w:tcPr>
            <w:tcW w:w="567" w:type="dxa"/>
            <w:noWrap/>
            <w:vAlign w:val="center"/>
            <w:hideMark/>
          </w:tcPr>
          <w:p w14:paraId="641544DA" w14:textId="77777777" w:rsidR="009F38EA" w:rsidRPr="009F38EA" w:rsidRDefault="009F38EA" w:rsidP="00B558B7">
            <w:pPr>
              <w:pStyle w:val="TekstTabeli"/>
            </w:pPr>
            <w:r w:rsidRPr="009F38EA">
              <w:t>208</w:t>
            </w:r>
          </w:p>
        </w:tc>
        <w:tc>
          <w:tcPr>
            <w:tcW w:w="4479" w:type="dxa"/>
            <w:noWrap/>
            <w:vAlign w:val="center"/>
            <w:hideMark/>
          </w:tcPr>
          <w:p w14:paraId="1EFF40E7" w14:textId="77777777" w:rsidR="009F38EA" w:rsidRPr="009F38EA" w:rsidRDefault="009F38EA" w:rsidP="00B558B7">
            <w:pPr>
              <w:pStyle w:val="TekstTabeli"/>
            </w:pPr>
            <w:r w:rsidRPr="009F38EA">
              <w:t>professor</w:t>
            </w:r>
          </w:p>
        </w:tc>
        <w:tc>
          <w:tcPr>
            <w:tcW w:w="3969" w:type="dxa"/>
            <w:noWrap/>
            <w:vAlign w:val="center"/>
            <w:hideMark/>
          </w:tcPr>
          <w:p w14:paraId="4169B25D" w14:textId="77777777" w:rsidR="009F38EA" w:rsidRPr="009F38EA" w:rsidRDefault="009F38EA" w:rsidP="00B558B7">
            <w:pPr>
              <w:pStyle w:val="TekstTabeli"/>
            </w:pPr>
            <w:r w:rsidRPr="009F38EA">
              <w:t>0</w:t>
            </w:r>
          </w:p>
        </w:tc>
      </w:tr>
      <w:tr w:rsidR="009F38EA" w:rsidRPr="009F38EA" w14:paraId="5A46BA57" w14:textId="77777777" w:rsidTr="009F38EA">
        <w:trPr>
          <w:cantSplit/>
          <w:trHeight w:val="285"/>
        </w:trPr>
        <w:tc>
          <w:tcPr>
            <w:tcW w:w="567" w:type="dxa"/>
            <w:noWrap/>
            <w:vAlign w:val="center"/>
            <w:hideMark/>
          </w:tcPr>
          <w:p w14:paraId="1E704612" w14:textId="77777777" w:rsidR="009F38EA" w:rsidRPr="009F38EA" w:rsidRDefault="009F38EA" w:rsidP="00B558B7">
            <w:pPr>
              <w:pStyle w:val="TekstTabeli"/>
            </w:pPr>
            <w:r w:rsidRPr="009F38EA">
              <w:t>209</w:t>
            </w:r>
          </w:p>
        </w:tc>
        <w:tc>
          <w:tcPr>
            <w:tcW w:w="4479" w:type="dxa"/>
            <w:noWrap/>
            <w:vAlign w:val="center"/>
            <w:hideMark/>
          </w:tcPr>
          <w:p w14:paraId="543CD3CA" w14:textId="77777777" w:rsidR="009F38EA" w:rsidRPr="009F38EA" w:rsidRDefault="009F38EA" w:rsidP="00B558B7">
            <w:pPr>
              <w:pStyle w:val="TekstTabeli"/>
            </w:pPr>
            <w:r w:rsidRPr="009F38EA">
              <w:t>professors</w:t>
            </w:r>
          </w:p>
        </w:tc>
        <w:tc>
          <w:tcPr>
            <w:tcW w:w="3969" w:type="dxa"/>
            <w:noWrap/>
            <w:vAlign w:val="center"/>
            <w:hideMark/>
          </w:tcPr>
          <w:p w14:paraId="3C95CF83" w14:textId="77777777" w:rsidR="009F38EA" w:rsidRPr="009F38EA" w:rsidRDefault="009F38EA" w:rsidP="00B558B7">
            <w:pPr>
              <w:pStyle w:val="TekstTabeli"/>
            </w:pPr>
            <w:r w:rsidRPr="009F38EA">
              <w:t>14</w:t>
            </w:r>
          </w:p>
        </w:tc>
      </w:tr>
      <w:tr w:rsidR="009F38EA" w:rsidRPr="009F38EA" w14:paraId="36DCBC2C" w14:textId="77777777" w:rsidTr="009F38EA">
        <w:trPr>
          <w:cantSplit/>
          <w:trHeight w:val="285"/>
        </w:trPr>
        <w:tc>
          <w:tcPr>
            <w:tcW w:w="567" w:type="dxa"/>
            <w:noWrap/>
            <w:vAlign w:val="center"/>
            <w:hideMark/>
          </w:tcPr>
          <w:p w14:paraId="66678F11" w14:textId="77777777" w:rsidR="009F38EA" w:rsidRPr="009F38EA" w:rsidRDefault="009F38EA" w:rsidP="00B558B7">
            <w:pPr>
              <w:pStyle w:val="TekstTabeli"/>
            </w:pPr>
            <w:r w:rsidRPr="009F38EA">
              <w:t>210</w:t>
            </w:r>
          </w:p>
        </w:tc>
        <w:tc>
          <w:tcPr>
            <w:tcW w:w="4479" w:type="dxa"/>
            <w:noWrap/>
            <w:vAlign w:val="center"/>
            <w:hideMark/>
          </w:tcPr>
          <w:p w14:paraId="2DE87BDC" w14:textId="77777777" w:rsidR="009F38EA" w:rsidRPr="009F38EA" w:rsidRDefault="009F38EA" w:rsidP="00B558B7">
            <w:pPr>
              <w:pStyle w:val="TekstTabeli"/>
            </w:pPr>
            <w:r w:rsidRPr="009F38EA">
              <w:t>professors emeriti</w:t>
            </w:r>
          </w:p>
        </w:tc>
        <w:tc>
          <w:tcPr>
            <w:tcW w:w="3969" w:type="dxa"/>
            <w:noWrap/>
            <w:vAlign w:val="center"/>
            <w:hideMark/>
          </w:tcPr>
          <w:p w14:paraId="4AE463FD" w14:textId="77777777" w:rsidR="009F38EA" w:rsidRPr="009F38EA" w:rsidRDefault="009F38EA" w:rsidP="00B558B7">
            <w:pPr>
              <w:pStyle w:val="TekstTabeli"/>
            </w:pPr>
            <w:r w:rsidRPr="009F38EA">
              <w:t>1</w:t>
            </w:r>
          </w:p>
        </w:tc>
      </w:tr>
      <w:tr w:rsidR="009F38EA" w:rsidRPr="009F38EA" w14:paraId="6F9C0175" w14:textId="77777777" w:rsidTr="009F38EA">
        <w:trPr>
          <w:cantSplit/>
          <w:trHeight w:val="285"/>
        </w:trPr>
        <w:tc>
          <w:tcPr>
            <w:tcW w:w="567" w:type="dxa"/>
            <w:noWrap/>
            <w:vAlign w:val="center"/>
            <w:hideMark/>
          </w:tcPr>
          <w:p w14:paraId="4D2BC6F7" w14:textId="77777777" w:rsidR="009F38EA" w:rsidRPr="009F38EA" w:rsidRDefault="009F38EA" w:rsidP="00B558B7">
            <w:pPr>
              <w:pStyle w:val="TekstTabeli"/>
            </w:pPr>
            <w:r w:rsidRPr="009F38EA">
              <w:t>211</w:t>
            </w:r>
          </w:p>
        </w:tc>
        <w:tc>
          <w:tcPr>
            <w:tcW w:w="4479" w:type="dxa"/>
            <w:noWrap/>
            <w:vAlign w:val="center"/>
            <w:hideMark/>
          </w:tcPr>
          <w:p w14:paraId="237CC98C" w14:textId="77777777" w:rsidR="009F38EA" w:rsidRPr="009F38EA" w:rsidRDefault="009F38EA" w:rsidP="00B558B7">
            <w:pPr>
              <w:pStyle w:val="TekstTabeli"/>
            </w:pPr>
            <w:r w:rsidRPr="009F38EA">
              <w:t>professoriate</w:t>
            </w:r>
          </w:p>
        </w:tc>
        <w:tc>
          <w:tcPr>
            <w:tcW w:w="3969" w:type="dxa"/>
            <w:noWrap/>
            <w:vAlign w:val="center"/>
            <w:hideMark/>
          </w:tcPr>
          <w:p w14:paraId="054CD535" w14:textId="77777777" w:rsidR="009F38EA" w:rsidRPr="009F38EA" w:rsidRDefault="009F38EA" w:rsidP="00B558B7">
            <w:pPr>
              <w:pStyle w:val="TekstTabeli"/>
            </w:pPr>
            <w:r w:rsidRPr="009F38EA">
              <w:t>1</w:t>
            </w:r>
          </w:p>
        </w:tc>
      </w:tr>
      <w:tr w:rsidR="009F38EA" w:rsidRPr="009F38EA" w14:paraId="1659AF3A" w14:textId="77777777" w:rsidTr="009F38EA">
        <w:trPr>
          <w:cantSplit/>
          <w:trHeight w:val="285"/>
        </w:trPr>
        <w:tc>
          <w:tcPr>
            <w:tcW w:w="567" w:type="dxa"/>
            <w:noWrap/>
            <w:vAlign w:val="center"/>
            <w:hideMark/>
          </w:tcPr>
          <w:p w14:paraId="4EF0CFFA" w14:textId="77777777" w:rsidR="009F38EA" w:rsidRPr="009F38EA" w:rsidRDefault="009F38EA" w:rsidP="00B558B7">
            <w:pPr>
              <w:pStyle w:val="TekstTabeli"/>
            </w:pPr>
            <w:r w:rsidRPr="009F38EA">
              <w:t>212</w:t>
            </w:r>
          </w:p>
        </w:tc>
        <w:tc>
          <w:tcPr>
            <w:tcW w:w="4479" w:type="dxa"/>
            <w:noWrap/>
            <w:vAlign w:val="center"/>
            <w:hideMark/>
          </w:tcPr>
          <w:p w14:paraId="07678802" w14:textId="77777777" w:rsidR="009F38EA" w:rsidRPr="009F38EA" w:rsidRDefault="009F38EA" w:rsidP="00B558B7">
            <w:pPr>
              <w:pStyle w:val="TekstTabeli"/>
            </w:pPr>
            <w:r w:rsidRPr="009F38EA">
              <w:t>prospective students</w:t>
            </w:r>
          </w:p>
        </w:tc>
        <w:tc>
          <w:tcPr>
            <w:tcW w:w="3969" w:type="dxa"/>
            <w:noWrap/>
            <w:vAlign w:val="center"/>
            <w:hideMark/>
          </w:tcPr>
          <w:p w14:paraId="29D97491" w14:textId="77777777" w:rsidR="009F38EA" w:rsidRPr="009F38EA" w:rsidRDefault="009F38EA" w:rsidP="00B558B7">
            <w:pPr>
              <w:pStyle w:val="TekstTabeli"/>
            </w:pPr>
            <w:r w:rsidRPr="009F38EA">
              <w:t>1</w:t>
            </w:r>
          </w:p>
        </w:tc>
      </w:tr>
      <w:tr w:rsidR="009F38EA" w:rsidRPr="009F38EA" w14:paraId="7568BCB4" w14:textId="77777777" w:rsidTr="009F38EA">
        <w:trPr>
          <w:cantSplit/>
          <w:trHeight w:val="285"/>
        </w:trPr>
        <w:tc>
          <w:tcPr>
            <w:tcW w:w="567" w:type="dxa"/>
            <w:noWrap/>
            <w:vAlign w:val="center"/>
            <w:hideMark/>
          </w:tcPr>
          <w:p w14:paraId="09A401AA" w14:textId="77777777" w:rsidR="009F38EA" w:rsidRPr="009F38EA" w:rsidRDefault="009F38EA" w:rsidP="00B558B7">
            <w:pPr>
              <w:pStyle w:val="TekstTabeli"/>
            </w:pPr>
            <w:r w:rsidRPr="009F38EA">
              <w:lastRenderedPageBreak/>
              <w:t>213</w:t>
            </w:r>
          </w:p>
        </w:tc>
        <w:tc>
          <w:tcPr>
            <w:tcW w:w="4479" w:type="dxa"/>
            <w:noWrap/>
            <w:vAlign w:val="center"/>
            <w:hideMark/>
          </w:tcPr>
          <w:p w14:paraId="73E09612" w14:textId="77777777" w:rsidR="009F38EA" w:rsidRPr="009F38EA" w:rsidRDefault="009F38EA" w:rsidP="00B558B7">
            <w:pPr>
              <w:pStyle w:val="TekstTabeli"/>
            </w:pPr>
            <w:r w:rsidRPr="009F38EA">
              <w:t>providers of products and services</w:t>
            </w:r>
          </w:p>
        </w:tc>
        <w:tc>
          <w:tcPr>
            <w:tcW w:w="3969" w:type="dxa"/>
            <w:noWrap/>
            <w:vAlign w:val="center"/>
            <w:hideMark/>
          </w:tcPr>
          <w:p w14:paraId="09EA1D0A" w14:textId="77777777" w:rsidR="009F38EA" w:rsidRPr="009F38EA" w:rsidRDefault="009F38EA" w:rsidP="00B558B7">
            <w:pPr>
              <w:pStyle w:val="TekstTabeli"/>
            </w:pPr>
            <w:r w:rsidRPr="009F38EA">
              <w:t>0</w:t>
            </w:r>
          </w:p>
        </w:tc>
      </w:tr>
      <w:tr w:rsidR="009F38EA" w:rsidRPr="009F38EA" w14:paraId="6198B44A" w14:textId="77777777" w:rsidTr="009F38EA">
        <w:trPr>
          <w:cantSplit/>
          <w:trHeight w:val="285"/>
        </w:trPr>
        <w:tc>
          <w:tcPr>
            <w:tcW w:w="567" w:type="dxa"/>
            <w:noWrap/>
            <w:vAlign w:val="center"/>
            <w:hideMark/>
          </w:tcPr>
          <w:p w14:paraId="4E1C4ECF" w14:textId="77777777" w:rsidR="009F38EA" w:rsidRPr="009F38EA" w:rsidRDefault="009F38EA" w:rsidP="00B558B7">
            <w:pPr>
              <w:pStyle w:val="TekstTabeli"/>
            </w:pPr>
            <w:r w:rsidRPr="009F38EA">
              <w:t>214</w:t>
            </w:r>
          </w:p>
        </w:tc>
        <w:tc>
          <w:tcPr>
            <w:tcW w:w="4479" w:type="dxa"/>
            <w:noWrap/>
            <w:vAlign w:val="center"/>
            <w:hideMark/>
          </w:tcPr>
          <w:p w14:paraId="2F083A22" w14:textId="77777777" w:rsidR="009F38EA" w:rsidRPr="009F38EA" w:rsidRDefault="009F38EA" w:rsidP="00B558B7">
            <w:pPr>
              <w:pStyle w:val="TekstTabeli"/>
            </w:pPr>
            <w:r w:rsidRPr="009F38EA">
              <w:t>public higher education institutions</w:t>
            </w:r>
          </w:p>
        </w:tc>
        <w:tc>
          <w:tcPr>
            <w:tcW w:w="3969" w:type="dxa"/>
            <w:noWrap/>
            <w:vAlign w:val="center"/>
            <w:hideMark/>
          </w:tcPr>
          <w:p w14:paraId="69AB0982" w14:textId="77777777" w:rsidR="009F38EA" w:rsidRPr="009F38EA" w:rsidRDefault="009F38EA" w:rsidP="00B558B7">
            <w:pPr>
              <w:pStyle w:val="TekstTabeli"/>
            </w:pPr>
            <w:r w:rsidRPr="009F38EA">
              <w:t>0</w:t>
            </w:r>
          </w:p>
        </w:tc>
      </w:tr>
      <w:tr w:rsidR="009F38EA" w:rsidRPr="009F38EA" w14:paraId="266D60BA" w14:textId="77777777" w:rsidTr="009F38EA">
        <w:trPr>
          <w:cantSplit/>
          <w:trHeight w:val="285"/>
        </w:trPr>
        <w:tc>
          <w:tcPr>
            <w:tcW w:w="567" w:type="dxa"/>
            <w:noWrap/>
            <w:vAlign w:val="center"/>
            <w:hideMark/>
          </w:tcPr>
          <w:p w14:paraId="3A496296" w14:textId="77777777" w:rsidR="009F38EA" w:rsidRPr="009F38EA" w:rsidRDefault="009F38EA" w:rsidP="00B558B7">
            <w:pPr>
              <w:pStyle w:val="TekstTabeli"/>
            </w:pPr>
            <w:r w:rsidRPr="009F38EA">
              <w:t>215</w:t>
            </w:r>
          </w:p>
        </w:tc>
        <w:tc>
          <w:tcPr>
            <w:tcW w:w="4479" w:type="dxa"/>
            <w:noWrap/>
            <w:vAlign w:val="center"/>
            <w:hideMark/>
          </w:tcPr>
          <w:p w14:paraId="2C57D6F5" w14:textId="77777777" w:rsidR="009F38EA" w:rsidRPr="009F38EA" w:rsidRDefault="009F38EA" w:rsidP="00B558B7">
            <w:pPr>
              <w:pStyle w:val="TekstTabeli"/>
            </w:pPr>
            <w:r w:rsidRPr="009F38EA">
              <w:t>public relations professionals</w:t>
            </w:r>
          </w:p>
        </w:tc>
        <w:tc>
          <w:tcPr>
            <w:tcW w:w="3969" w:type="dxa"/>
            <w:noWrap/>
            <w:vAlign w:val="center"/>
            <w:hideMark/>
          </w:tcPr>
          <w:p w14:paraId="40DE2CE7" w14:textId="77777777" w:rsidR="009F38EA" w:rsidRPr="009F38EA" w:rsidRDefault="009F38EA" w:rsidP="00B558B7">
            <w:pPr>
              <w:pStyle w:val="TekstTabeli"/>
            </w:pPr>
            <w:r w:rsidRPr="009F38EA">
              <w:t>0</w:t>
            </w:r>
          </w:p>
        </w:tc>
      </w:tr>
      <w:tr w:rsidR="009F38EA" w:rsidRPr="009F38EA" w14:paraId="7EED2E5A" w14:textId="77777777" w:rsidTr="009F38EA">
        <w:trPr>
          <w:cantSplit/>
          <w:trHeight w:val="285"/>
        </w:trPr>
        <w:tc>
          <w:tcPr>
            <w:tcW w:w="567" w:type="dxa"/>
            <w:noWrap/>
            <w:vAlign w:val="center"/>
            <w:hideMark/>
          </w:tcPr>
          <w:p w14:paraId="4D248BFF" w14:textId="77777777" w:rsidR="009F38EA" w:rsidRPr="009F38EA" w:rsidRDefault="009F38EA" w:rsidP="00B558B7">
            <w:pPr>
              <w:pStyle w:val="TekstTabeli"/>
            </w:pPr>
            <w:r w:rsidRPr="009F38EA">
              <w:t>216</w:t>
            </w:r>
          </w:p>
        </w:tc>
        <w:tc>
          <w:tcPr>
            <w:tcW w:w="4479" w:type="dxa"/>
            <w:noWrap/>
            <w:vAlign w:val="center"/>
            <w:hideMark/>
          </w:tcPr>
          <w:p w14:paraId="0E1B99F8" w14:textId="77777777" w:rsidR="009F38EA" w:rsidRPr="009F38EA" w:rsidRDefault="009F38EA" w:rsidP="00B558B7">
            <w:pPr>
              <w:pStyle w:val="TekstTabeli"/>
            </w:pPr>
            <w:r w:rsidRPr="009F38EA">
              <w:t>public utilities</w:t>
            </w:r>
          </w:p>
        </w:tc>
        <w:tc>
          <w:tcPr>
            <w:tcW w:w="3969" w:type="dxa"/>
            <w:noWrap/>
            <w:vAlign w:val="center"/>
            <w:hideMark/>
          </w:tcPr>
          <w:p w14:paraId="53EE7AE3" w14:textId="77777777" w:rsidR="009F38EA" w:rsidRPr="009F38EA" w:rsidRDefault="009F38EA" w:rsidP="00B558B7">
            <w:pPr>
              <w:pStyle w:val="TekstTabeli"/>
            </w:pPr>
            <w:r w:rsidRPr="009F38EA">
              <w:t>0</w:t>
            </w:r>
          </w:p>
        </w:tc>
      </w:tr>
      <w:tr w:rsidR="009F38EA" w:rsidRPr="009F38EA" w14:paraId="02D520BC" w14:textId="77777777" w:rsidTr="009F38EA">
        <w:trPr>
          <w:cantSplit/>
          <w:trHeight w:val="285"/>
        </w:trPr>
        <w:tc>
          <w:tcPr>
            <w:tcW w:w="567" w:type="dxa"/>
            <w:noWrap/>
            <w:vAlign w:val="center"/>
            <w:hideMark/>
          </w:tcPr>
          <w:p w14:paraId="6C18355E" w14:textId="77777777" w:rsidR="009F38EA" w:rsidRPr="009F38EA" w:rsidRDefault="009F38EA" w:rsidP="00B558B7">
            <w:pPr>
              <w:pStyle w:val="TekstTabeli"/>
            </w:pPr>
            <w:r w:rsidRPr="009F38EA">
              <w:t>217</w:t>
            </w:r>
          </w:p>
        </w:tc>
        <w:tc>
          <w:tcPr>
            <w:tcW w:w="4479" w:type="dxa"/>
            <w:noWrap/>
            <w:vAlign w:val="center"/>
            <w:hideMark/>
          </w:tcPr>
          <w:p w14:paraId="77C44EF5" w14:textId="77777777" w:rsidR="009F38EA" w:rsidRPr="009F38EA" w:rsidRDefault="009F38EA" w:rsidP="00B558B7">
            <w:pPr>
              <w:pStyle w:val="TekstTabeli"/>
            </w:pPr>
            <w:r w:rsidRPr="009F38EA">
              <w:t>rectors (and vice-rectors)</w:t>
            </w:r>
          </w:p>
        </w:tc>
        <w:tc>
          <w:tcPr>
            <w:tcW w:w="3969" w:type="dxa"/>
            <w:noWrap/>
            <w:vAlign w:val="center"/>
            <w:hideMark/>
          </w:tcPr>
          <w:p w14:paraId="4115F7ED" w14:textId="77777777" w:rsidR="009F38EA" w:rsidRPr="009F38EA" w:rsidRDefault="009F38EA" w:rsidP="00B558B7">
            <w:pPr>
              <w:pStyle w:val="TekstTabeli"/>
            </w:pPr>
            <w:r w:rsidRPr="009F38EA">
              <w:t>0</w:t>
            </w:r>
          </w:p>
        </w:tc>
      </w:tr>
      <w:tr w:rsidR="009F38EA" w:rsidRPr="009F38EA" w14:paraId="78203161" w14:textId="77777777" w:rsidTr="009F38EA">
        <w:trPr>
          <w:cantSplit/>
          <w:trHeight w:val="285"/>
        </w:trPr>
        <w:tc>
          <w:tcPr>
            <w:tcW w:w="567" w:type="dxa"/>
            <w:noWrap/>
            <w:vAlign w:val="center"/>
            <w:hideMark/>
          </w:tcPr>
          <w:p w14:paraId="45557369" w14:textId="77777777" w:rsidR="009F38EA" w:rsidRPr="009F38EA" w:rsidRDefault="009F38EA" w:rsidP="00B558B7">
            <w:pPr>
              <w:pStyle w:val="TekstTabeli"/>
            </w:pPr>
            <w:r w:rsidRPr="009F38EA">
              <w:t>218</w:t>
            </w:r>
          </w:p>
        </w:tc>
        <w:tc>
          <w:tcPr>
            <w:tcW w:w="4479" w:type="dxa"/>
            <w:noWrap/>
            <w:vAlign w:val="center"/>
            <w:hideMark/>
          </w:tcPr>
          <w:p w14:paraId="7A3955F0" w14:textId="77777777" w:rsidR="009F38EA" w:rsidRPr="009F38EA" w:rsidRDefault="009F38EA" w:rsidP="00B558B7">
            <w:pPr>
              <w:pStyle w:val="TekstTabeli"/>
            </w:pPr>
            <w:r w:rsidRPr="009F38EA">
              <w:t>rector</w:t>
            </w:r>
          </w:p>
        </w:tc>
        <w:tc>
          <w:tcPr>
            <w:tcW w:w="3969" w:type="dxa"/>
            <w:noWrap/>
            <w:vAlign w:val="center"/>
            <w:hideMark/>
          </w:tcPr>
          <w:p w14:paraId="04A2E462" w14:textId="77777777" w:rsidR="009F38EA" w:rsidRPr="009F38EA" w:rsidRDefault="009F38EA" w:rsidP="00B558B7">
            <w:pPr>
              <w:pStyle w:val="TekstTabeli"/>
            </w:pPr>
            <w:r w:rsidRPr="009F38EA">
              <w:t>0</w:t>
            </w:r>
          </w:p>
        </w:tc>
      </w:tr>
      <w:tr w:rsidR="009F38EA" w:rsidRPr="009F38EA" w14:paraId="5A1735C3" w14:textId="77777777" w:rsidTr="009F38EA">
        <w:trPr>
          <w:cantSplit/>
          <w:trHeight w:val="285"/>
        </w:trPr>
        <w:tc>
          <w:tcPr>
            <w:tcW w:w="567" w:type="dxa"/>
            <w:noWrap/>
            <w:vAlign w:val="center"/>
            <w:hideMark/>
          </w:tcPr>
          <w:p w14:paraId="061355C5" w14:textId="77777777" w:rsidR="009F38EA" w:rsidRPr="009F38EA" w:rsidRDefault="009F38EA" w:rsidP="00B558B7">
            <w:pPr>
              <w:pStyle w:val="TekstTabeli"/>
            </w:pPr>
            <w:r w:rsidRPr="009F38EA">
              <w:t>219</w:t>
            </w:r>
          </w:p>
        </w:tc>
        <w:tc>
          <w:tcPr>
            <w:tcW w:w="4479" w:type="dxa"/>
            <w:noWrap/>
            <w:vAlign w:val="center"/>
            <w:hideMark/>
          </w:tcPr>
          <w:p w14:paraId="2ECE200A" w14:textId="77777777" w:rsidR="009F38EA" w:rsidRPr="009F38EA" w:rsidRDefault="009F38EA" w:rsidP="00B558B7">
            <w:pPr>
              <w:pStyle w:val="TekstTabeli"/>
            </w:pPr>
            <w:r w:rsidRPr="009F38EA">
              <w:t>rectors</w:t>
            </w:r>
          </w:p>
        </w:tc>
        <w:tc>
          <w:tcPr>
            <w:tcW w:w="3969" w:type="dxa"/>
            <w:noWrap/>
            <w:vAlign w:val="center"/>
            <w:hideMark/>
          </w:tcPr>
          <w:p w14:paraId="34AFDF53" w14:textId="77777777" w:rsidR="009F38EA" w:rsidRPr="009F38EA" w:rsidRDefault="009F38EA" w:rsidP="00B558B7">
            <w:pPr>
              <w:pStyle w:val="TekstTabeli"/>
            </w:pPr>
            <w:r w:rsidRPr="009F38EA">
              <w:t>2</w:t>
            </w:r>
          </w:p>
        </w:tc>
      </w:tr>
      <w:tr w:rsidR="009F38EA" w:rsidRPr="009F38EA" w14:paraId="754F8FAC" w14:textId="77777777" w:rsidTr="009F38EA">
        <w:trPr>
          <w:cantSplit/>
          <w:trHeight w:val="285"/>
        </w:trPr>
        <w:tc>
          <w:tcPr>
            <w:tcW w:w="567" w:type="dxa"/>
            <w:noWrap/>
            <w:vAlign w:val="center"/>
            <w:hideMark/>
          </w:tcPr>
          <w:p w14:paraId="47766609" w14:textId="77777777" w:rsidR="009F38EA" w:rsidRPr="009F38EA" w:rsidRDefault="009F38EA" w:rsidP="00B558B7">
            <w:pPr>
              <w:pStyle w:val="TekstTabeli"/>
            </w:pPr>
            <w:r w:rsidRPr="009F38EA">
              <w:t>220</w:t>
            </w:r>
          </w:p>
        </w:tc>
        <w:tc>
          <w:tcPr>
            <w:tcW w:w="4479" w:type="dxa"/>
            <w:noWrap/>
            <w:vAlign w:val="center"/>
            <w:hideMark/>
          </w:tcPr>
          <w:p w14:paraId="24354C33" w14:textId="77777777" w:rsidR="009F38EA" w:rsidRPr="009F38EA" w:rsidRDefault="009F38EA" w:rsidP="00B558B7">
            <w:pPr>
              <w:pStyle w:val="TekstTabeli"/>
            </w:pPr>
            <w:r w:rsidRPr="009F38EA">
              <w:t>university presidents</w:t>
            </w:r>
          </w:p>
        </w:tc>
        <w:tc>
          <w:tcPr>
            <w:tcW w:w="3969" w:type="dxa"/>
            <w:noWrap/>
            <w:vAlign w:val="center"/>
            <w:hideMark/>
          </w:tcPr>
          <w:p w14:paraId="2BB90DB4" w14:textId="77777777" w:rsidR="009F38EA" w:rsidRPr="009F38EA" w:rsidRDefault="009F38EA" w:rsidP="00B558B7">
            <w:pPr>
              <w:pStyle w:val="TekstTabeli"/>
            </w:pPr>
            <w:r w:rsidRPr="009F38EA">
              <w:t>2</w:t>
            </w:r>
          </w:p>
        </w:tc>
      </w:tr>
      <w:tr w:rsidR="009F38EA" w:rsidRPr="009F38EA" w14:paraId="45783AD7" w14:textId="77777777" w:rsidTr="009F38EA">
        <w:trPr>
          <w:cantSplit/>
          <w:trHeight w:val="285"/>
        </w:trPr>
        <w:tc>
          <w:tcPr>
            <w:tcW w:w="567" w:type="dxa"/>
            <w:noWrap/>
            <w:vAlign w:val="center"/>
            <w:hideMark/>
          </w:tcPr>
          <w:p w14:paraId="0847BF29" w14:textId="77777777" w:rsidR="009F38EA" w:rsidRPr="009F38EA" w:rsidRDefault="009F38EA" w:rsidP="00B558B7">
            <w:pPr>
              <w:pStyle w:val="TekstTabeli"/>
            </w:pPr>
            <w:r w:rsidRPr="009F38EA">
              <w:t>221</w:t>
            </w:r>
          </w:p>
        </w:tc>
        <w:tc>
          <w:tcPr>
            <w:tcW w:w="4479" w:type="dxa"/>
            <w:noWrap/>
            <w:vAlign w:val="center"/>
            <w:hideMark/>
          </w:tcPr>
          <w:p w14:paraId="437D3D2B" w14:textId="77777777" w:rsidR="009F38EA" w:rsidRPr="009F38EA" w:rsidRDefault="009F38EA" w:rsidP="00B558B7">
            <w:pPr>
              <w:pStyle w:val="TekstTabeli"/>
            </w:pPr>
            <w:r w:rsidRPr="009F38EA">
              <w:t>vice rectors</w:t>
            </w:r>
          </w:p>
        </w:tc>
        <w:tc>
          <w:tcPr>
            <w:tcW w:w="3969" w:type="dxa"/>
            <w:noWrap/>
            <w:vAlign w:val="center"/>
            <w:hideMark/>
          </w:tcPr>
          <w:p w14:paraId="36A07A15" w14:textId="77777777" w:rsidR="009F38EA" w:rsidRPr="009F38EA" w:rsidRDefault="009F38EA" w:rsidP="00B558B7">
            <w:pPr>
              <w:pStyle w:val="TekstTabeli"/>
            </w:pPr>
            <w:r w:rsidRPr="009F38EA">
              <w:t>1</w:t>
            </w:r>
          </w:p>
        </w:tc>
      </w:tr>
      <w:tr w:rsidR="009F38EA" w:rsidRPr="009F38EA" w14:paraId="1998083C" w14:textId="77777777" w:rsidTr="009F38EA">
        <w:trPr>
          <w:cantSplit/>
          <w:trHeight w:val="285"/>
        </w:trPr>
        <w:tc>
          <w:tcPr>
            <w:tcW w:w="567" w:type="dxa"/>
            <w:noWrap/>
            <w:vAlign w:val="center"/>
            <w:hideMark/>
          </w:tcPr>
          <w:p w14:paraId="30762153" w14:textId="77777777" w:rsidR="009F38EA" w:rsidRPr="009F38EA" w:rsidRDefault="009F38EA" w:rsidP="00B558B7">
            <w:pPr>
              <w:pStyle w:val="TekstTabeli"/>
            </w:pPr>
            <w:r w:rsidRPr="009F38EA">
              <w:t>222</w:t>
            </w:r>
          </w:p>
        </w:tc>
        <w:tc>
          <w:tcPr>
            <w:tcW w:w="4479" w:type="dxa"/>
            <w:noWrap/>
            <w:vAlign w:val="center"/>
            <w:hideMark/>
          </w:tcPr>
          <w:p w14:paraId="3EE9311D" w14:textId="77777777" w:rsidR="009F38EA" w:rsidRPr="009F38EA" w:rsidRDefault="009F38EA" w:rsidP="00B558B7">
            <w:pPr>
              <w:pStyle w:val="TekstTabeli"/>
            </w:pPr>
            <w:r w:rsidRPr="009F38EA">
              <w:t>vice-rector</w:t>
            </w:r>
          </w:p>
        </w:tc>
        <w:tc>
          <w:tcPr>
            <w:tcW w:w="3969" w:type="dxa"/>
            <w:noWrap/>
            <w:vAlign w:val="center"/>
            <w:hideMark/>
          </w:tcPr>
          <w:p w14:paraId="130DF5B6" w14:textId="77777777" w:rsidR="009F38EA" w:rsidRPr="009F38EA" w:rsidRDefault="009F38EA" w:rsidP="00B558B7">
            <w:pPr>
              <w:pStyle w:val="TekstTabeli"/>
            </w:pPr>
            <w:r w:rsidRPr="009F38EA">
              <w:t>1</w:t>
            </w:r>
          </w:p>
        </w:tc>
      </w:tr>
      <w:tr w:rsidR="009F38EA" w:rsidRPr="009F38EA" w14:paraId="409709E5" w14:textId="77777777" w:rsidTr="009F38EA">
        <w:trPr>
          <w:cantSplit/>
          <w:trHeight w:val="285"/>
        </w:trPr>
        <w:tc>
          <w:tcPr>
            <w:tcW w:w="567" w:type="dxa"/>
            <w:noWrap/>
            <w:vAlign w:val="center"/>
            <w:hideMark/>
          </w:tcPr>
          <w:p w14:paraId="7880935A" w14:textId="77777777" w:rsidR="009F38EA" w:rsidRPr="009F38EA" w:rsidRDefault="009F38EA" w:rsidP="00B558B7">
            <w:pPr>
              <w:pStyle w:val="TekstTabeli"/>
            </w:pPr>
            <w:r w:rsidRPr="009F38EA">
              <w:t>223</w:t>
            </w:r>
          </w:p>
        </w:tc>
        <w:tc>
          <w:tcPr>
            <w:tcW w:w="4479" w:type="dxa"/>
            <w:noWrap/>
            <w:vAlign w:val="center"/>
            <w:hideMark/>
          </w:tcPr>
          <w:p w14:paraId="77A1CE51" w14:textId="77777777" w:rsidR="009F38EA" w:rsidRPr="009F38EA" w:rsidRDefault="009F38EA" w:rsidP="00B558B7">
            <w:pPr>
              <w:pStyle w:val="TekstTabeli"/>
            </w:pPr>
            <w:r w:rsidRPr="009F38EA">
              <w:t>rectors’ conferences</w:t>
            </w:r>
          </w:p>
        </w:tc>
        <w:tc>
          <w:tcPr>
            <w:tcW w:w="3969" w:type="dxa"/>
            <w:noWrap/>
            <w:vAlign w:val="center"/>
            <w:hideMark/>
          </w:tcPr>
          <w:p w14:paraId="1574E58D" w14:textId="77777777" w:rsidR="009F38EA" w:rsidRPr="009F38EA" w:rsidRDefault="009F38EA" w:rsidP="00B558B7">
            <w:pPr>
              <w:pStyle w:val="TekstTabeli"/>
            </w:pPr>
            <w:r w:rsidRPr="009F38EA">
              <w:t>1</w:t>
            </w:r>
          </w:p>
        </w:tc>
      </w:tr>
      <w:tr w:rsidR="009F38EA" w:rsidRPr="009F38EA" w14:paraId="69FCF75E" w14:textId="77777777" w:rsidTr="009F38EA">
        <w:trPr>
          <w:cantSplit/>
          <w:trHeight w:val="285"/>
        </w:trPr>
        <w:tc>
          <w:tcPr>
            <w:tcW w:w="567" w:type="dxa"/>
            <w:noWrap/>
            <w:vAlign w:val="center"/>
            <w:hideMark/>
          </w:tcPr>
          <w:p w14:paraId="7D636E74" w14:textId="77777777" w:rsidR="009F38EA" w:rsidRPr="009F38EA" w:rsidRDefault="009F38EA" w:rsidP="00B558B7">
            <w:pPr>
              <w:pStyle w:val="TekstTabeli"/>
            </w:pPr>
            <w:r w:rsidRPr="009F38EA">
              <w:t>224</w:t>
            </w:r>
          </w:p>
        </w:tc>
        <w:tc>
          <w:tcPr>
            <w:tcW w:w="4479" w:type="dxa"/>
            <w:noWrap/>
            <w:vAlign w:val="center"/>
            <w:hideMark/>
          </w:tcPr>
          <w:p w14:paraId="6A91574B" w14:textId="77777777" w:rsidR="009F38EA" w:rsidRPr="009F38EA" w:rsidRDefault="009F38EA" w:rsidP="00B558B7">
            <w:pPr>
              <w:pStyle w:val="TekstTabeli"/>
            </w:pPr>
            <w:proofErr w:type="spellStart"/>
            <w:r w:rsidRPr="009F38EA">
              <w:t>regulat</w:t>
            </w:r>
            <w:proofErr w:type="spellEnd"/>
          </w:p>
        </w:tc>
        <w:tc>
          <w:tcPr>
            <w:tcW w:w="3969" w:type="dxa"/>
            <w:noWrap/>
            <w:vAlign w:val="center"/>
            <w:hideMark/>
          </w:tcPr>
          <w:p w14:paraId="64CEBB86" w14:textId="77777777" w:rsidR="009F38EA" w:rsidRPr="009F38EA" w:rsidRDefault="009F38EA" w:rsidP="00B558B7">
            <w:pPr>
              <w:pStyle w:val="TekstTabeli"/>
            </w:pPr>
            <w:r w:rsidRPr="009F38EA">
              <w:t>0</w:t>
            </w:r>
          </w:p>
        </w:tc>
      </w:tr>
      <w:tr w:rsidR="009F38EA" w:rsidRPr="009F38EA" w14:paraId="3EC7E995" w14:textId="77777777" w:rsidTr="009F38EA">
        <w:trPr>
          <w:cantSplit/>
          <w:trHeight w:val="285"/>
        </w:trPr>
        <w:tc>
          <w:tcPr>
            <w:tcW w:w="567" w:type="dxa"/>
            <w:noWrap/>
            <w:vAlign w:val="center"/>
            <w:hideMark/>
          </w:tcPr>
          <w:p w14:paraId="28AABC5F" w14:textId="77777777" w:rsidR="009F38EA" w:rsidRPr="009F38EA" w:rsidRDefault="009F38EA" w:rsidP="00B558B7">
            <w:pPr>
              <w:pStyle w:val="TekstTabeli"/>
            </w:pPr>
            <w:r w:rsidRPr="009F38EA">
              <w:t>225</w:t>
            </w:r>
          </w:p>
        </w:tc>
        <w:tc>
          <w:tcPr>
            <w:tcW w:w="4479" w:type="dxa"/>
            <w:noWrap/>
            <w:vAlign w:val="center"/>
            <w:hideMark/>
          </w:tcPr>
          <w:p w14:paraId="39095F94" w14:textId="77777777" w:rsidR="009F38EA" w:rsidRPr="009F38EA" w:rsidRDefault="009F38EA" w:rsidP="00B558B7">
            <w:pPr>
              <w:pStyle w:val="TekstTabeli"/>
            </w:pPr>
            <w:r w:rsidRPr="009F38EA">
              <w:t>regulator</w:t>
            </w:r>
          </w:p>
        </w:tc>
        <w:tc>
          <w:tcPr>
            <w:tcW w:w="3969" w:type="dxa"/>
            <w:noWrap/>
            <w:vAlign w:val="center"/>
            <w:hideMark/>
          </w:tcPr>
          <w:p w14:paraId="37A48D27" w14:textId="77777777" w:rsidR="009F38EA" w:rsidRPr="009F38EA" w:rsidRDefault="009F38EA" w:rsidP="00B558B7">
            <w:pPr>
              <w:pStyle w:val="TekstTabeli"/>
            </w:pPr>
            <w:r w:rsidRPr="009F38EA">
              <w:t>0</w:t>
            </w:r>
          </w:p>
        </w:tc>
      </w:tr>
      <w:tr w:rsidR="009F38EA" w:rsidRPr="009F38EA" w14:paraId="6468FD51" w14:textId="77777777" w:rsidTr="009F38EA">
        <w:trPr>
          <w:cantSplit/>
          <w:trHeight w:val="285"/>
        </w:trPr>
        <w:tc>
          <w:tcPr>
            <w:tcW w:w="567" w:type="dxa"/>
            <w:noWrap/>
            <w:vAlign w:val="center"/>
            <w:hideMark/>
          </w:tcPr>
          <w:p w14:paraId="1658DFDC" w14:textId="77777777" w:rsidR="009F38EA" w:rsidRPr="009F38EA" w:rsidRDefault="009F38EA" w:rsidP="00B558B7">
            <w:pPr>
              <w:pStyle w:val="TekstTabeli"/>
            </w:pPr>
            <w:r w:rsidRPr="009F38EA">
              <w:t>226</w:t>
            </w:r>
          </w:p>
        </w:tc>
        <w:tc>
          <w:tcPr>
            <w:tcW w:w="4479" w:type="dxa"/>
            <w:noWrap/>
            <w:vAlign w:val="center"/>
            <w:hideMark/>
          </w:tcPr>
          <w:p w14:paraId="6A90AF85" w14:textId="77777777" w:rsidR="009F38EA" w:rsidRPr="009F38EA" w:rsidRDefault="009F38EA" w:rsidP="00B558B7">
            <w:pPr>
              <w:pStyle w:val="TekstTabeli"/>
            </w:pPr>
            <w:r w:rsidRPr="009F38EA">
              <w:t>regulators</w:t>
            </w:r>
          </w:p>
        </w:tc>
        <w:tc>
          <w:tcPr>
            <w:tcW w:w="3969" w:type="dxa"/>
            <w:noWrap/>
            <w:vAlign w:val="center"/>
            <w:hideMark/>
          </w:tcPr>
          <w:p w14:paraId="4BAA6EC9" w14:textId="77777777" w:rsidR="009F38EA" w:rsidRPr="009F38EA" w:rsidRDefault="009F38EA" w:rsidP="00B558B7">
            <w:pPr>
              <w:pStyle w:val="TekstTabeli"/>
            </w:pPr>
            <w:r w:rsidRPr="009F38EA">
              <w:t>1</w:t>
            </w:r>
          </w:p>
        </w:tc>
      </w:tr>
      <w:tr w:rsidR="009F38EA" w:rsidRPr="009F38EA" w14:paraId="3ADC3286" w14:textId="77777777" w:rsidTr="009F38EA">
        <w:trPr>
          <w:cantSplit/>
          <w:trHeight w:val="285"/>
        </w:trPr>
        <w:tc>
          <w:tcPr>
            <w:tcW w:w="567" w:type="dxa"/>
            <w:noWrap/>
            <w:vAlign w:val="center"/>
            <w:hideMark/>
          </w:tcPr>
          <w:p w14:paraId="2ACB06A3" w14:textId="77777777" w:rsidR="009F38EA" w:rsidRPr="009F38EA" w:rsidRDefault="009F38EA" w:rsidP="00B558B7">
            <w:pPr>
              <w:pStyle w:val="TekstTabeli"/>
            </w:pPr>
            <w:r w:rsidRPr="009F38EA">
              <w:t>227</w:t>
            </w:r>
          </w:p>
        </w:tc>
        <w:tc>
          <w:tcPr>
            <w:tcW w:w="4479" w:type="dxa"/>
            <w:noWrap/>
            <w:vAlign w:val="center"/>
            <w:hideMark/>
          </w:tcPr>
          <w:p w14:paraId="49CA5882" w14:textId="77777777" w:rsidR="009F38EA" w:rsidRPr="009F38EA" w:rsidRDefault="009F38EA" w:rsidP="00B558B7">
            <w:pPr>
              <w:pStyle w:val="TekstTabeli"/>
            </w:pPr>
            <w:r w:rsidRPr="009F38EA">
              <w:t>regulatory authorities</w:t>
            </w:r>
          </w:p>
        </w:tc>
        <w:tc>
          <w:tcPr>
            <w:tcW w:w="3969" w:type="dxa"/>
            <w:noWrap/>
            <w:vAlign w:val="center"/>
            <w:hideMark/>
          </w:tcPr>
          <w:p w14:paraId="72B23D07" w14:textId="77777777" w:rsidR="009F38EA" w:rsidRPr="009F38EA" w:rsidRDefault="009F38EA" w:rsidP="00B558B7">
            <w:pPr>
              <w:pStyle w:val="TekstTabeli"/>
            </w:pPr>
            <w:r w:rsidRPr="009F38EA">
              <w:t>1</w:t>
            </w:r>
          </w:p>
        </w:tc>
      </w:tr>
      <w:tr w:rsidR="009F38EA" w:rsidRPr="009F38EA" w14:paraId="2A17DBD7" w14:textId="77777777" w:rsidTr="009F38EA">
        <w:trPr>
          <w:cantSplit/>
          <w:trHeight w:val="285"/>
        </w:trPr>
        <w:tc>
          <w:tcPr>
            <w:tcW w:w="567" w:type="dxa"/>
            <w:noWrap/>
            <w:vAlign w:val="center"/>
            <w:hideMark/>
          </w:tcPr>
          <w:p w14:paraId="2C8B179F" w14:textId="77777777" w:rsidR="009F38EA" w:rsidRPr="009F38EA" w:rsidRDefault="009F38EA" w:rsidP="00B558B7">
            <w:pPr>
              <w:pStyle w:val="TekstTabeli"/>
            </w:pPr>
            <w:r w:rsidRPr="009F38EA">
              <w:t>228</w:t>
            </w:r>
          </w:p>
        </w:tc>
        <w:tc>
          <w:tcPr>
            <w:tcW w:w="4479" w:type="dxa"/>
            <w:noWrap/>
            <w:vAlign w:val="center"/>
            <w:hideMark/>
          </w:tcPr>
          <w:p w14:paraId="6F15F98A" w14:textId="77777777" w:rsidR="009F38EA" w:rsidRPr="009F38EA" w:rsidRDefault="009F38EA" w:rsidP="00B558B7">
            <w:pPr>
              <w:pStyle w:val="TekstTabeli"/>
            </w:pPr>
            <w:r w:rsidRPr="009F38EA">
              <w:t>regulatory agencies</w:t>
            </w:r>
          </w:p>
        </w:tc>
        <w:tc>
          <w:tcPr>
            <w:tcW w:w="3969" w:type="dxa"/>
            <w:noWrap/>
            <w:vAlign w:val="center"/>
            <w:hideMark/>
          </w:tcPr>
          <w:p w14:paraId="3913079D" w14:textId="77777777" w:rsidR="009F38EA" w:rsidRPr="009F38EA" w:rsidRDefault="009F38EA" w:rsidP="00B558B7">
            <w:pPr>
              <w:pStyle w:val="TekstTabeli"/>
            </w:pPr>
            <w:r w:rsidRPr="009F38EA">
              <w:t>0</w:t>
            </w:r>
          </w:p>
        </w:tc>
      </w:tr>
      <w:tr w:rsidR="009F38EA" w:rsidRPr="009F38EA" w14:paraId="7F51D77A" w14:textId="77777777" w:rsidTr="009F38EA">
        <w:trPr>
          <w:cantSplit/>
          <w:trHeight w:val="285"/>
        </w:trPr>
        <w:tc>
          <w:tcPr>
            <w:tcW w:w="567" w:type="dxa"/>
            <w:noWrap/>
            <w:vAlign w:val="center"/>
            <w:hideMark/>
          </w:tcPr>
          <w:p w14:paraId="70599DB8" w14:textId="77777777" w:rsidR="009F38EA" w:rsidRPr="009F38EA" w:rsidRDefault="009F38EA" w:rsidP="00B558B7">
            <w:pPr>
              <w:pStyle w:val="TekstTabeli"/>
            </w:pPr>
            <w:r w:rsidRPr="009F38EA">
              <w:t>229</w:t>
            </w:r>
          </w:p>
        </w:tc>
        <w:tc>
          <w:tcPr>
            <w:tcW w:w="4479" w:type="dxa"/>
            <w:noWrap/>
            <w:vAlign w:val="center"/>
            <w:hideMark/>
          </w:tcPr>
          <w:p w14:paraId="39049B26" w14:textId="77777777" w:rsidR="009F38EA" w:rsidRPr="009F38EA" w:rsidRDefault="009F38EA" w:rsidP="00B558B7">
            <w:pPr>
              <w:pStyle w:val="TekstTabeli"/>
            </w:pPr>
            <w:r w:rsidRPr="009F38EA">
              <w:t>religious</w:t>
            </w:r>
          </w:p>
        </w:tc>
        <w:tc>
          <w:tcPr>
            <w:tcW w:w="3969" w:type="dxa"/>
            <w:noWrap/>
            <w:vAlign w:val="center"/>
            <w:hideMark/>
          </w:tcPr>
          <w:p w14:paraId="00C0CBAA" w14:textId="77777777" w:rsidR="009F38EA" w:rsidRPr="009F38EA" w:rsidRDefault="009F38EA" w:rsidP="00B558B7">
            <w:pPr>
              <w:pStyle w:val="TekstTabeli"/>
            </w:pPr>
            <w:r w:rsidRPr="009F38EA">
              <w:t>0</w:t>
            </w:r>
          </w:p>
        </w:tc>
      </w:tr>
      <w:tr w:rsidR="009F38EA" w:rsidRPr="009F38EA" w14:paraId="665B7A86" w14:textId="77777777" w:rsidTr="009F38EA">
        <w:trPr>
          <w:cantSplit/>
          <w:trHeight w:val="285"/>
        </w:trPr>
        <w:tc>
          <w:tcPr>
            <w:tcW w:w="567" w:type="dxa"/>
            <w:noWrap/>
            <w:vAlign w:val="center"/>
            <w:hideMark/>
          </w:tcPr>
          <w:p w14:paraId="01C44F4C" w14:textId="77777777" w:rsidR="009F38EA" w:rsidRPr="009F38EA" w:rsidRDefault="009F38EA" w:rsidP="00B558B7">
            <w:pPr>
              <w:pStyle w:val="TekstTabeli"/>
            </w:pPr>
            <w:r w:rsidRPr="009F38EA">
              <w:t>230</w:t>
            </w:r>
          </w:p>
        </w:tc>
        <w:tc>
          <w:tcPr>
            <w:tcW w:w="4479" w:type="dxa"/>
            <w:noWrap/>
            <w:vAlign w:val="center"/>
            <w:hideMark/>
          </w:tcPr>
          <w:p w14:paraId="6322CBE2" w14:textId="77777777" w:rsidR="009F38EA" w:rsidRPr="009F38EA" w:rsidRDefault="009F38EA" w:rsidP="00B558B7">
            <w:pPr>
              <w:pStyle w:val="TekstTabeli"/>
            </w:pPr>
            <w:r w:rsidRPr="009F38EA">
              <w:t>council</w:t>
            </w:r>
          </w:p>
        </w:tc>
        <w:tc>
          <w:tcPr>
            <w:tcW w:w="3969" w:type="dxa"/>
            <w:noWrap/>
            <w:vAlign w:val="center"/>
            <w:hideMark/>
          </w:tcPr>
          <w:p w14:paraId="48F47C90" w14:textId="77777777" w:rsidR="009F38EA" w:rsidRPr="009F38EA" w:rsidRDefault="009F38EA" w:rsidP="00B558B7">
            <w:pPr>
              <w:pStyle w:val="TekstTabeli"/>
            </w:pPr>
            <w:r w:rsidRPr="009F38EA">
              <w:t>1</w:t>
            </w:r>
          </w:p>
        </w:tc>
      </w:tr>
      <w:tr w:rsidR="009F38EA" w:rsidRPr="009F38EA" w14:paraId="20ACEE63" w14:textId="77777777" w:rsidTr="009F38EA">
        <w:trPr>
          <w:cantSplit/>
          <w:trHeight w:val="285"/>
        </w:trPr>
        <w:tc>
          <w:tcPr>
            <w:tcW w:w="567" w:type="dxa"/>
            <w:noWrap/>
            <w:vAlign w:val="center"/>
            <w:hideMark/>
          </w:tcPr>
          <w:p w14:paraId="5E785B31" w14:textId="77777777" w:rsidR="009F38EA" w:rsidRPr="009F38EA" w:rsidRDefault="009F38EA" w:rsidP="00B558B7">
            <w:pPr>
              <w:pStyle w:val="TekstTabeli"/>
            </w:pPr>
            <w:r w:rsidRPr="009F38EA">
              <w:t>231</w:t>
            </w:r>
          </w:p>
        </w:tc>
        <w:tc>
          <w:tcPr>
            <w:tcW w:w="4479" w:type="dxa"/>
            <w:noWrap/>
            <w:vAlign w:val="center"/>
            <w:hideMark/>
          </w:tcPr>
          <w:p w14:paraId="4A4F51F3" w14:textId="77777777" w:rsidR="009F38EA" w:rsidRPr="009F38EA" w:rsidRDefault="009F38EA" w:rsidP="00B558B7">
            <w:pPr>
              <w:pStyle w:val="TekstTabeli"/>
            </w:pPr>
            <w:r w:rsidRPr="009F38EA">
              <w:t>councils of Spanish public universities</w:t>
            </w:r>
          </w:p>
        </w:tc>
        <w:tc>
          <w:tcPr>
            <w:tcW w:w="3969" w:type="dxa"/>
            <w:noWrap/>
            <w:vAlign w:val="center"/>
            <w:hideMark/>
          </w:tcPr>
          <w:p w14:paraId="6007A760" w14:textId="77777777" w:rsidR="009F38EA" w:rsidRPr="009F38EA" w:rsidRDefault="009F38EA" w:rsidP="00B558B7">
            <w:pPr>
              <w:pStyle w:val="TekstTabeli"/>
            </w:pPr>
            <w:r w:rsidRPr="009F38EA">
              <w:t>8</w:t>
            </w:r>
          </w:p>
        </w:tc>
      </w:tr>
      <w:tr w:rsidR="009F38EA" w:rsidRPr="009F38EA" w14:paraId="2702FC04" w14:textId="77777777" w:rsidTr="009F38EA">
        <w:trPr>
          <w:cantSplit/>
          <w:trHeight w:val="285"/>
        </w:trPr>
        <w:tc>
          <w:tcPr>
            <w:tcW w:w="567" w:type="dxa"/>
            <w:noWrap/>
            <w:vAlign w:val="center"/>
            <w:hideMark/>
          </w:tcPr>
          <w:p w14:paraId="2541FDA5" w14:textId="77777777" w:rsidR="009F38EA" w:rsidRPr="009F38EA" w:rsidRDefault="009F38EA" w:rsidP="00B558B7">
            <w:pPr>
              <w:pStyle w:val="TekstTabeli"/>
            </w:pPr>
            <w:r w:rsidRPr="009F38EA">
              <w:t>232</w:t>
            </w:r>
          </w:p>
        </w:tc>
        <w:tc>
          <w:tcPr>
            <w:tcW w:w="4479" w:type="dxa"/>
            <w:noWrap/>
            <w:vAlign w:val="center"/>
            <w:hideMark/>
          </w:tcPr>
          <w:p w14:paraId="6FAC66D3" w14:textId="77777777" w:rsidR="009F38EA" w:rsidRPr="009F38EA" w:rsidRDefault="009F38EA" w:rsidP="00B558B7">
            <w:pPr>
              <w:pStyle w:val="TekstTabeli"/>
            </w:pPr>
            <w:r w:rsidRPr="009F38EA">
              <w:t>councils of Spain's public universities</w:t>
            </w:r>
          </w:p>
        </w:tc>
        <w:tc>
          <w:tcPr>
            <w:tcW w:w="3969" w:type="dxa"/>
            <w:noWrap/>
            <w:vAlign w:val="center"/>
            <w:hideMark/>
          </w:tcPr>
          <w:p w14:paraId="43F19C38" w14:textId="77777777" w:rsidR="009F38EA" w:rsidRPr="009F38EA" w:rsidRDefault="009F38EA" w:rsidP="00B558B7">
            <w:pPr>
              <w:pStyle w:val="TekstTabeli"/>
            </w:pPr>
            <w:r w:rsidRPr="009F38EA">
              <w:t>1</w:t>
            </w:r>
          </w:p>
        </w:tc>
      </w:tr>
      <w:tr w:rsidR="009F38EA" w:rsidRPr="009F38EA" w14:paraId="14D6A1E5" w14:textId="77777777" w:rsidTr="009F38EA">
        <w:trPr>
          <w:cantSplit/>
          <w:trHeight w:val="285"/>
        </w:trPr>
        <w:tc>
          <w:tcPr>
            <w:tcW w:w="567" w:type="dxa"/>
            <w:noWrap/>
            <w:vAlign w:val="center"/>
            <w:hideMark/>
          </w:tcPr>
          <w:p w14:paraId="388AFFF8" w14:textId="77777777" w:rsidR="009F38EA" w:rsidRPr="009F38EA" w:rsidRDefault="009F38EA" w:rsidP="00B558B7">
            <w:pPr>
              <w:pStyle w:val="TekstTabeli"/>
            </w:pPr>
            <w:r w:rsidRPr="009F38EA">
              <w:t>233</w:t>
            </w:r>
          </w:p>
        </w:tc>
        <w:tc>
          <w:tcPr>
            <w:tcW w:w="4479" w:type="dxa"/>
            <w:noWrap/>
            <w:vAlign w:val="center"/>
            <w:hideMark/>
          </w:tcPr>
          <w:p w14:paraId="478A90C1" w14:textId="77777777" w:rsidR="009F38EA" w:rsidRPr="009F38EA" w:rsidRDefault="009F38EA" w:rsidP="00B558B7">
            <w:pPr>
              <w:pStyle w:val="TekstTabeli"/>
            </w:pPr>
            <w:r w:rsidRPr="009F38EA">
              <w:t>Social Councils of public universities in Spain</w:t>
            </w:r>
          </w:p>
        </w:tc>
        <w:tc>
          <w:tcPr>
            <w:tcW w:w="3969" w:type="dxa"/>
            <w:noWrap/>
            <w:vAlign w:val="center"/>
            <w:hideMark/>
          </w:tcPr>
          <w:p w14:paraId="29E016C7" w14:textId="77777777" w:rsidR="009F38EA" w:rsidRPr="009F38EA" w:rsidRDefault="009F38EA" w:rsidP="00B558B7">
            <w:pPr>
              <w:pStyle w:val="TekstTabeli"/>
            </w:pPr>
            <w:r w:rsidRPr="009F38EA">
              <w:t>1</w:t>
            </w:r>
          </w:p>
        </w:tc>
      </w:tr>
      <w:tr w:rsidR="009F38EA" w:rsidRPr="009F38EA" w14:paraId="2E2C57DE" w14:textId="77777777" w:rsidTr="009F38EA">
        <w:trPr>
          <w:cantSplit/>
          <w:trHeight w:val="285"/>
        </w:trPr>
        <w:tc>
          <w:tcPr>
            <w:tcW w:w="567" w:type="dxa"/>
            <w:noWrap/>
            <w:vAlign w:val="center"/>
            <w:hideMark/>
          </w:tcPr>
          <w:p w14:paraId="090D7A41" w14:textId="77777777" w:rsidR="009F38EA" w:rsidRPr="009F38EA" w:rsidRDefault="009F38EA" w:rsidP="00B558B7">
            <w:pPr>
              <w:pStyle w:val="TekstTabeli"/>
            </w:pPr>
            <w:r w:rsidRPr="009F38EA">
              <w:t>234</w:t>
            </w:r>
          </w:p>
        </w:tc>
        <w:tc>
          <w:tcPr>
            <w:tcW w:w="4479" w:type="dxa"/>
            <w:noWrap/>
            <w:vAlign w:val="center"/>
            <w:hideMark/>
          </w:tcPr>
          <w:p w14:paraId="6517BB98" w14:textId="77777777" w:rsidR="009F38EA" w:rsidRPr="009F38EA" w:rsidRDefault="009F38EA" w:rsidP="00B558B7">
            <w:pPr>
              <w:pStyle w:val="TekstTabeli"/>
            </w:pPr>
            <w:r w:rsidRPr="009F38EA">
              <w:t>Council of Spanish public universities</w:t>
            </w:r>
          </w:p>
        </w:tc>
        <w:tc>
          <w:tcPr>
            <w:tcW w:w="3969" w:type="dxa"/>
            <w:noWrap/>
            <w:vAlign w:val="center"/>
            <w:hideMark/>
          </w:tcPr>
          <w:p w14:paraId="5A84A7F5" w14:textId="77777777" w:rsidR="009F38EA" w:rsidRPr="009F38EA" w:rsidRDefault="009F38EA" w:rsidP="00B558B7">
            <w:pPr>
              <w:pStyle w:val="TekstTabeli"/>
            </w:pPr>
            <w:r w:rsidRPr="009F38EA">
              <w:t>1</w:t>
            </w:r>
          </w:p>
        </w:tc>
      </w:tr>
      <w:tr w:rsidR="009F38EA" w:rsidRPr="009F38EA" w14:paraId="748295EA" w14:textId="77777777" w:rsidTr="009F38EA">
        <w:trPr>
          <w:cantSplit/>
          <w:trHeight w:val="285"/>
        </w:trPr>
        <w:tc>
          <w:tcPr>
            <w:tcW w:w="567" w:type="dxa"/>
            <w:noWrap/>
            <w:vAlign w:val="center"/>
            <w:hideMark/>
          </w:tcPr>
          <w:p w14:paraId="7633AEC5" w14:textId="77777777" w:rsidR="009F38EA" w:rsidRPr="009F38EA" w:rsidRDefault="009F38EA" w:rsidP="00B558B7">
            <w:pPr>
              <w:pStyle w:val="TekstTabeli"/>
            </w:pPr>
            <w:r w:rsidRPr="009F38EA">
              <w:t>235</w:t>
            </w:r>
          </w:p>
        </w:tc>
        <w:tc>
          <w:tcPr>
            <w:tcW w:w="4479" w:type="dxa"/>
            <w:noWrap/>
            <w:vAlign w:val="center"/>
            <w:hideMark/>
          </w:tcPr>
          <w:p w14:paraId="37C4B494" w14:textId="77777777" w:rsidR="009F38EA" w:rsidRPr="009F38EA" w:rsidRDefault="009F38EA" w:rsidP="00B558B7">
            <w:pPr>
              <w:pStyle w:val="TekstTabeli"/>
            </w:pPr>
            <w:r w:rsidRPr="009F38EA">
              <w:t>American Council on Education</w:t>
            </w:r>
          </w:p>
        </w:tc>
        <w:tc>
          <w:tcPr>
            <w:tcW w:w="3969" w:type="dxa"/>
            <w:noWrap/>
            <w:vAlign w:val="center"/>
            <w:hideMark/>
          </w:tcPr>
          <w:p w14:paraId="105052BB" w14:textId="77777777" w:rsidR="009F38EA" w:rsidRPr="009F38EA" w:rsidRDefault="009F38EA" w:rsidP="00B558B7">
            <w:pPr>
              <w:pStyle w:val="TekstTabeli"/>
            </w:pPr>
            <w:r w:rsidRPr="009F38EA">
              <w:t>1</w:t>
            </w:r>
          </w:p>
        </w:tc>
      </w:tr>
      <w:tr w:rsidR="009F38EA" w:rsidRPr="009F38EA" w14:paraId="0ED70C75" w14:textId="77777777" w:rsidTr="009F38EA">
        <w:trPr>
          <w:cantSplit/>
          <w:trHeight w:val="285"/>
        </w:trPr>
        <w:tc>
          <w:tcPr>
            <w:tcW w:w="567" w:type="dxa"/>
            <w:noWrap/>
            <w:vAlign w:val="center"/>
            <w:hideMark/>
          </w:tcPr>
          <w:p w14:paraId="50BE24DF" w14:textId="77777777" w:rsidR="009F38EA" w:rsidRPr="009F38EA" w:rsidRDefault="009F38EA" w:rsidP="00B558B7">
            <w:pPr>
              <w:pStyle w:val="TekstTabeli"/>
            </w:pPr>
            <w:r w:rsidRPr="009F38EA">
              <w:t>236</w:t>
            </w:r>
          </w:p>
        </w:tc>
        <w:tc>
          <w:tcPr>
            <w:tcW w:w="4479" w:type="dxa"/>
            <w:noWrap/>
            <w:vAlign w:val="center"/>
            <w:hideMark/>
          </w:tcPr>
          <w:p w14:paraId="29996A63" w14:textId="77777777" w:rsidR="009F38EA" w:rsidRPr="009F38EA" w:rsidRDefault="009F38EA" w:rsidP="00B558B7">
            <w:pPr>
              <w:pStyle w:val="TekstTabeli"/>
            </w:pPr>
            <w:r w:rsidRPr="009F38EA">
              <w:t>Student Representative Council</w:t>
            </w:r>
          </w:p>
        </w:tc>
        <w:tc>
          <w:tcPr>
            <w:tcW w:w="3969" w:type="dxa"/>
            <w:noWrap/>
            <w:vAlign w:val="center"/>
            <w:hideMark/>
          </w:tcPr>
          <w:p w14:paraId="7D93169A" w14:textId="77777777" w:rsidR="009F38EA" w:rsidRPr="009F38EA" w:rsidRDefault="009F38EA" w:rsidP="00B558B7">
            <w:pPr>
              <w:pStyle w:val="TekstTabeli"/>
            </w:pPr>
            <w:r w:rsidRPr="009F38EA">
              <w:t>1</w:t>
            </w:r>
          </w:p>
        </w:tc>
      </w:tr>
      <w:tr w:rsidR="009F38EA" w:rsidRPr="009F38EA" w14:paraId="3989899F" w14:textId="77777777" w:rsidTr="009F38EA">
        <w:trPr>
          <w:cantSplit/>
          <w:trHeight w:val="285"/>
        </w:trPr>
        <w:tc>
          <w:tcPr>
            <w:tcW w:w="567" w:type="dxa"/>
            <w:noWrap/>
            <w:vAlign w:val="center"/>
            <w:hideMark/>
          </w:tcPr>
          <w:p w14:paraId="6B059761" w14:textId="77777777" w:rsidR="009F38EA" w:rsidRPr="009F38EA" w:rsidRDefault="009F38EA" w:rsidP="00B558B7">
            <w:pPr>
              <w:pStyle w:val="TekstTabeli"/>
            </w:pPr>
            <w:r w:rsidRPr="009F38EA">
              <w:t>237</w:t>
            </w:r>
          </w:p>
        </w:tc>
        <w:tc>
          <w:tcPr>
            <w:tcW w:w="4479" w:type="dxa"/>
            <w:noWrap/>
            <w:vAlign w:val="center"/>
            <w:hideMark/>
          </w:tcPr>
          <w:p w14:paraId="508D4AE4" w14:textId="77777777" w:rsidR="009F38EA" w:rsidRPr="009F38EA" w:rsidRDefault="009F38EA" w:rsidP="00B558B7">
            <w:pPr>
              <w:pStyle w:val="TekstTabeli"/>
            </w:pPr>
            <w:r w:rsidRPr="009F38EA">
              <w:t>research groups</w:t>
            </w:r>
          </w:p>
        </w:tc>
        <w:tc>
          <w:tcPr>
            <w:tcW w:w="3969" w:type="dxa"/>
            <w:noWrap/>
            <w:vAlign w:val="center"/>
            <w:hideMark/>
          </w:tcPr>
          <w:p w14:paraId="577EE0F9" w14:textId="77777777" w:rsidR="009F38EA" w:rsidRPr="009F38EA" w:rsidRDefault="009F38EA" w:rsidP="00B558B7">
            <w:pPr>
              <w:pStyle w:val="TekstTabeli"/>
            </w:pPr>
            <w:r w:rsidRPr="009F38EA">
              <w:t>1</w:t>
            </w:r>
          </w:p>
        </w:tc>
      </w:tr>
      <w:tr w:rsidR="009F38EA" w:rsidRPr="009F38EA" w14:paraId="441B386C" w14:textId="77777777" w:rsidTr="009F38EA">
        <w:trPr>
          <w:cantSplit/>
          <w:trHeight w:val="285"/>
        </w:trPr>
        <w:tc>
          <w:tcPr>
            <w:tcW w:w="567" w:type="dxa"/>
            <w:noWrap/>
            <w:vAlign w:val="center"/>
            <w:hideMark/>
          </w:tcPr>
          <w:p w14:paraId="6C717871" w14:textId="77777777" w:rsidR="009F38EA" w:rsidRPr="009F38EA" w:rsidRDefault="009F38EA" w:rsidP="00B558B7">
            <w:pPr>
              <w:pStyle w:val="TekstTabeli"/>
            </w:pPr>
            <w:r w:rsidRPr="009F38EA">
              <w:t>238</w:t>
            </w:r>
          </w:p>
        </w:tc>
        <w:tc>
          <w:tcPr>
            <w:tcW w:w="4479" w:type="dxa"/>
            <w:noWrap/>
            <w:vAlign w:val="center"/>
            <w:hideMark/>
          </w:tcPr>
          <w:p w14:paraId="58268587" w14:textId="77777777" w:rsidR="009F38EA" w:rsidRPr="009F38EA" w:rsidRDefault="009F38EA" w:rsidP="00B558B7">
            <w:pPr>
              <w:pStyle w:val="TekstTabeli"/>
            </w:pPr>
            <w:r w:rsidRPr="009F38EA">
              <w:t>researcher</w:t>
            </w:r>
          </w:p>
        </w:tc>
        <w:tc>
          <w:tcPr>
            <w:tcW w:w="3969" w:type="dxa"/>
            <w:noWrap/>
            <w:vAlign w:val="center"/>
            <w:hideMark/>
          </w:tcPr>
          <w:p w14:paraId="58DD7D42" w14:textId="77777777" w:rsidR="009F38EA" w:rsidRPr="009F38EA" w:rsidRDefault="009F38EA" w:rsidP="00B558B7">
            <w:pPr>
              <w:pStyle w:val="TekstTabeli"/>
            </w:pPr>
            <w:r w:rsidRPr="009F38EA">
              <w:t>0</w:t>
            </w:r>
          </w:p>
        </w:tc>
      </w:tr>
      <w:tr w:rsidR="009F38EA" w:rsidRPr="009F38EA" w14:paraId="1762CA0B" w14:textId="77777777" w:rsidTr="009F38EA">
        <w:trPr>
          <w:cantSplit/>
          <w:trHeight w:val="285"/>
        </w:trPr>
        <w:tc>
          <w:tcPr>
            <w:tcW w:w="567" w:type="dxa"/>
            <w:noWrap/>
            <w:vAlign w:val="center"/>
            <w:hideMark/>
          </w:tcPr>
          <w:p w14:paraId="63507334" w14:textId="77777777" w:rsidR="009F38EA" w:rsidRPr="009F38EA" w:rsidRDefault="009F38EA" w:rsidP="00B558B7">
            <w:pPr>
              <w:pStyle w:val="TekstTabeli"/>
            </w:pPr>
            <w:r w:rsidRPr="009F38EA">
              <w:t>239</w:t>
            </w:r>
          </w:p>
        </w:tc>
        <w:tc>
          <w:tcPr>
            <w:tcW w:w="4479" w:type="dxa"/>
            <w:noWrap/>
            <w:vAlign w:val="center"/>
            <w:hideMark/>
          </w:tcPr>
          <w:p w14:paraId="20608848" w14:textId="77777777" w:rsidR="009F38EA" w:rsidRPr="009F38EA" w:rsidRDefault="009F38EA" w:rsidP="00B558B7">
            <w:pPr>
              <w:pStyle w:val="TekstTabeli"/>
            </w:pPr>
            <w:r w:rsidRPr="009F38EA">
              <w:t>researchers</w:t>
            </w:r>
          </w:p>
        </w:tc>
        <w:tc>
          <w:tcPr>
            <w:tcW w:w="3969" w:type="dxa"/>
            <w:noWrap/>
            <w:vAlign w:val="center"/>
            <w:hideMark/>
          </w:tcPr>
          <w:p w14:paraId="3258E555" w14:textId="77777777" w:rsidR="009F38EA" w:rsidRPr="009F38EA" w:rsidRDefault="009F38EA" w:rsidP="00B558B7">
            <w:pPr>
              <w:pStyle w:val="TekstTabeli"/>
            </w:pPr>
            <w:r w:rsidRPr="009F38EA">
              <w:t>23</w:t>
            </w:r>
          </w:p>
        </w:tc>
      </w:tr>
      <w:tr w:rsidR="009F38EA" w:rsidRPr="009F38EA" w14:paraId="56CE785B" w14:textId="77777777" w:rsidTr="009F38EA">
        <w:trPr>
          <w:cantSplit/>
          <w:trHeight w:val="285"/>
        </w:trPr>
        <w:tc>
          <w:tcPr>
            <w:tcW w:w="567" w:type="dxa"/>
            <w:noWrap/>
            <w:vAlign w:val="center"/>
            <w:hideMark/>
          </w:tcPr>
          <w:p w14:paraId="43EDCB82" w14:textId="77777777" w:rsidR="009F38EA" w:rsidRPr="009F38EA" w:rsidRDefault="009F38EA" w:rsidP="00B558B7">
            <w:pPr>
              <w:pStyle w:val="TekstTabeli"/>
            </w:pPr>
            <w:r w:rsidRPr="009F38EA">
              <w:t>240</w:t>
            </w:r>
          </w:p>
        </w:tc>
        <w:tc>
          <w:tcPr>
            <w:tcW w:w="4479" w:type="dxa"/>
            <w:noWrap/>
            <w:vAlign w:val="center"/>
            <w:hideMark/>
          </w:tcPr>
          <w:p w14:paraId="14A506F5" w14:textId="77777777" w:rsidR="009F38EA" w:rsidRPr="009F38EA" w:rsidRDefault="009F38EA" w:rsidP="00B558B7">
            <w:pPr>
              <w:pStyle w:val="TekstTabeli"/>
            </w:pPr>
            <w:r w:rsidRPr="009F38EA">
              <w:t>peer</w:t>
            </w:r>
          </w:p>
        </w:tc>
        <w:tc>
          <w:tcPr>
            <w:tcW w:w="3969" w:type="dxa"/>
            <w:noWrap/>
            <w:vAlign w:val="center"/>
            <w:hideMark/>
          </w:tcPr>
          <w:p w14:paraId="1A08987B" w14:textId="77777777" w:rsidR="009F38EA" w:rsidRPr="009F38EA" w:rsidRDefault="009F38EA" w:rsidP="00B558B7">
            <w:pPr>
              <w:pStyle w:val="TekstTabeli"/>
            </w:pPr>
            <w:r w:rsidRPr="009F38EA">
              <w:t>1</w:t>
            </w:r>
          </w:p>
        </w:tc>
      </w:tr>
      <w:tr w:rsidR="009F38EA" w:rsidRPr="009F38EA" w14:paraId="25E572E1" w14:textId="77777777" w:rsidTr="009F38EA">
        <w:trPr>
          <w:cantSplit/>
          <w:trHeight w:val="285"/>
        </w:trPr>
        <w:tc>
          <w:tcPr>
            <w:tcW w:w="567" w:type="dxa"/>
            <w:noWrap/>
            <w:vAlign w:val="center"/>
            <w:hideMark/>
          </w:tcPr>
          <w:p w14:paraId="49EC1473" w14:textId="77777777" w:rsidR="009F38EA" w:rsidRPr="009F38EA" w:rsidRDefault="009F38EA" w:rsidP="00B558B7">
            <w:pPr>
              <w:pStyle w:val="TekstTabeli"/>
            </w:pPr>
            <w:r w:rsidRPr="009F38EA">
              <w:t>241</w:t>
            </w:r>
          </w:p>
        </w:tc>
        <w:tc>
          <w:tcPr>
            <w:tcW w:w="4479" w:type="dxa"/>
            <w:noWrap/>
            <w:vAlign w:val="center"/>
            <w:hideMark/>
          </w:tcPr>
          <w:p w14:paraId="00D94E02" w14:textId="77777777" w:rsidR="009F38EA" w:rsidRPr="009F38EA" w:rsidRDefault="009F38EA" w:rsidP="00B558B7">
            <w:pPr>
              <w:pStyle w:val="TekstTabeli"/>
            </w:pPr>
            <w:r w:rsidRPr="009F38EA">
              <w:t>peers</w:t>
            </w:r>
          </w:p>
        </w:tc>
        <w:tc>
          <w:tcPr>
            <w:tcW w:w="3969" w:type="dxa"/>
            <w:noWrap/>
            <w:vAlign w:val="center"/>
            <w:hideMark/>
          </w:tcPr>
          <w:p w14:paraId="2B92481E" w14:textId="77777777" w:rsidR="009F38EA" w:rsidRPr="009F38EA" w:rsidRDefault="009F38EA" w:rsidP="00B558B7">
            <w:pPr>
              <w:pStyle w:val="TekstTabeli"/>
            </w:pPr>
            <w:r w:rsidRPr="009F38EA">
              <w:t>2</w:t>
            </w:r>
          </w:p>
        </w:tc>
      </w:tr>
      <w:tr w:rsidR="009F38EA" w:rsidRPr="009F38EA" w14:paraId="05A657CC" w14:textId="77777777" w:rsidTr="009F38EA">
        <w:trPr>
          <w:cantSplit/>
          <w:trHeight w:val="285"/>
        </w:trPr>
        <w:tc>
          <w:tcPr>
            <w:tcW w:w="567" w:type="dxa"/>
            <w:noWrap/>
            <w:vAlign w:val="center"/>
            <w:hideMark/>
          </w:tcPr>
          <w:p w14:paraId="6E74E7C2" w14:textId="77777777" w:rsidR="009F38EA" w:rsidRPr="009F38EA" w:rsidRDefault="009F38EA" w:rsidP="00B558B7">
            <w:pPr>
              <w:pStyle w:val="TekstTabeli"/>
            </w:pPr>
            <w:r w:rsidRPr="009F38EA">
              <w:t>242</w:t>
            </w:r>
          </w:p>
        </w:tc>
        <w:tc>
          <w:tcPr>
            <w:tcW w:w="4479" w:type="dxa"/>
            <w:noWrap/>
            <w:vAlign w:val="center"/>
            <w:hideMark/>
          </w:tcPr>
          <w:p w14:paraId="15EBE0A6" w14:textId="77777777" w:rsidR="009F38EA" w:rsidRPr="009F38EA" w:rsidRDefault="009F38EA" w:rsidP="00B558B7">
            <w:pPr>
              <w:pStyle w:val="TekstTabeli"/>
            </w:pPr>
            <w:r w:rsidRPr="009F38EA">
              <w:t>peer mentors</w:t>
            </w:r>
          </w:p>
        </w:tc>
        <w:tc>
          <w:tcPr>
            <w:tcW w:w="3969" w:type="dxa"/>
            <w:noWrap/>
            <w:vAlign w:val="center"/>
            <w:hideMark/>
          </w:tcPr>
          <w:p w14:paraId="1515F009" w14:textId="77777777" w:rsidR="009F38EA" w:rsidRPr="009F38EA" w:rsidRDefault="009F38EA" w:rsidP="00B558B7">
            <w:pPr>
              <w:pStyle w:val="TekstTabeli"/>
            </w:pPr>
            <w:r w:rsidRPr="009F38EA">
              <w:t>1</w:t>
            </w:r>
          </w:p>
        </w:tc>
      </w:tr>
      <w:tr w:rsidR="009F38EA" w:rsidRPr="009F38EA" w14:paraId="57AC73D6" w14:textId="77777777" w:rsidTr="009F38EA">
        <w:trPr>
          <w:cantSplit/>
          <w:trHeight w:val="285"/>
        </w:trPr>
        <w:tc>
          <w:tcPr>
            <w:tcW w:w="567" w:type="dxa"/>
            <w:noWrap/>
            <w:vAlign w:val="center"/>
            <w:hideMark/>
          </w:tcPr>
          <w:p w14:paraId="5982EE5F" w14:textId="77777777" w:rsidR="009F38EA" w:rsidRPr="009F38EA" w:rsidRDefault="009F38EA" w:rsidP="00B558B7">
            <w:pPr>
              <w:pStyle w:val="TekstTabeli"/>
            </w:pPr>
            <w:r w:rsidRPr="009F38EA">
              <w:t>243</w:t>
            </w:r>
          </w:p>
        </w:tc>
        <w:tc>
          <w:tcPr>
            <w:tcW w:w="4479" w:type="dxa"/>
            <w:noWrap/>
            <w:vAlign w:val="center"/>
            <w:hideMark/>
          </w:tcPr>
          <w:p w14:paraId="0EFF945F" w14:textId="77777777" w:rsidR="009F38EA" w:rsidRPr="009F38EA" w:rsidRDefault="009F38EA" w:rsidP="00B558B7">
            <w:pPr>
              <w:pStyle w:val="TekstTabeli"/>
            </w:pPr>
            <w:r w:rsidRPr="009F38EA">
              <w:t>insurance</w:t>
            </w:r>
          </w:p>
        </w:tc>
        <w:tc>
          <w:tcPr>
            <w:tcW w:w="3969" w:type="dxa"/>
            <w:noWrap/>
            <w:vAlign w:val="center"/>
            <w:hideMark/>
          </w:tcPr>
          <w:p w14:paraId="7DEBBC87" w14:textId="77777777" w:rsidR="009F38EA" w:rsidRPr="009F38EA" w:rsidRDefault="009F38EA" w:rsidP="00B558B7">
            <w:pPr>
              <w:pStyle w:val="TekstTabeli"/>
            </w:pPr>
            <w:r w:rsidRPr="009F38EA">
              <w:t>0</w:t>
            </w:r>
          </w:p>
        </w:tc>
      </w:tr>
      <w:tr w:rsidR="009F38EA" w:rsidRPr="009F38EA" w14:paraId="593F2D8F" w14:textId="77777777" w:rsidTr="009F38EA">
        <w:trPr>
          <w:cantSplit/>
          <w:trHeight w:val="285"/>
        </w:trPr>
        <w:tc>
          <w:tcPr>
            <w:tcW w:w="567" w:type="dxa"/>
            <w:noWrap/>
            <w:vAlign w:val="center"/>
            <w:hideMark/>
          </w:tcPr>
          <w:p w14:paraId="0DE4CF0F" w14:textId="77777777" w:rsidR="009F38EA" w:rsidRPr="009F38EA" w:rsidRDefault="009F38EA" w:rsidP="00B558B7">
            <w:pPr>
              <w:pStyle w:val="TekstTabeli"/>
            </w:pPr>
            <w:r w:rsidRPr="009F38EA">
              <w:t>244</w:t>
            </w:r>
          </w:p>
        </w:tc>
        <w:tc>
          <w:tcPr>
            <w:tcW w:w="4479" w:type="dxa"/>
            <w:noWrap/>
            <w:vAlign w:val="center"/>
            <w:hideMark/>
          </w:tcPr>
          <w:p w14:paraId="1DE81EA9" w14:textId="77777777" w:rsidR="009F38EA" w:rsidRPr="009F38EA" w:rsidRDefault="009F38EA" w:rsidP="00B558B7">
            <w:pPr>
              <w:pStyle w:val="TekstTabeli"/>
            </w:pPr>
            <w:r w:rsidRPr="009F38EA">
              <w:t>service provider</w:t>
            </w:r>
          </w:p>
        </w:tc>
        <w:tc>
          <w:tcPr>
            <w:tcW w:w="3969" w:type="dxa"/>
            <w:noWrap/>
            <w:vAlign w:val="center"/>
            <w:hideMark/>
          </w:tcPr>
          <w:p w14:paraId="6CECF350" w14:textId="77777777" w:rsidR="009F38EA" w:rsidRPr="009F38EA" w:rsidRDefault="009F38EA" w:rsidP="00B558B7">
            <w:pPr>
              <w:pStyle w:val="TekstTabeli"/>
            </w:pPr>
            <w:r w:rsidRPr="009F38EA">
              <w:t>3</w:t>
            </w:r>
          </w:p>
        </w:tc>
      </w:tr>
      <w:tr w:rsidR="009F38EA" w:rsidRPr="009F38EA" w14:paraId="23937D69" w14:textId="77777777" w:rsidTr="009F38EA">
        <w:trPr>
          <w:cantSplit/>
          <w:trHeight w:val="285"/>
        </w:trPr>
        <w:tc>
          <w:tcPr>
            <w:tcW w:w="567" w:type="dxa"/>
            <w:noWrap/>
            <w:vAlign w:val="center"/>
            <w:hideMark/>
          </w:tcPr>
          <w:p w14:paraId="67C3BD8F" w14:textId="77777777" w:rsidR="009F38EA" w:rsidRPr="009F38EA" w:rsidRDefault="009F38EA" w:rsidP="00B558B7">
            <w:pPr>
              <w:pStyle w:val="TekstTabeli"/>
            </w:pPr>
            <w:r w:rsidRPr="009F38EA">
              <w:t>245</w:t>
            </w:r>
          </w:p>
        </w:tc>
        <w:tc>
          <w:tcPr>
            <w:tcW w:w="4479" w:type="dxa"/>
            <w:noWrap/>
            <w:vAlign w:val="center"/>
            <w:hideMark/>
          </w:tcPr>
          <w:p w14:paraId="5B4C0564" w14:textId="77777777" w:rsidR="009F38EA" w:rsidRPr="009F38EA" w:rsidRDefault="009F38EA" w:rsidP="00B558B7">
            <w:pPr>
              <w:pStyle w:val="TekstTabeli"/>
            </w:pPr>
            <w:r w:rsidRPr="009F38EA">
              <w:t>societies</w:t>
            </w:r>
          </w:p>
        </w:tc>
        <w:tc>
          <w:tcPr>
            <w:tcW w:w="3969" w:type="dxa"/>
            <w:noWrap/>
            <w:vAlign w:val="center"/>
            <w:hideMark/>
          </w:tcPr>
          <w:p w14:paraId="0E77C37E" w14:textId="77777777" w:rsidR="009F38EA" w:rsidRPr="009F38EA" w:rsidRDefault="009F38EA" w:rsidP="00B558B7">
            <w:pPr>
              <w:pStyle w:val="TekstTabeli"/>
            </w:pPr>
            <w:r w:rsidRPr="009F38EA">
              <w:t>1</w:t>
            </w:r>
          </w:p>
        </w:tc>
      </w:tr>
      <w:tr w:rsidR="009F38EA" w:rsidRPr="009F38EA" w14:paraId="1223D631" w14:textId="77777777" w:rsidTr="009F38EA">
        <w:trPr>
          <w:cantSplit/>
          <w:trHeight w:val="285"/>
        </w:trPr>
        <w:tc>
          <w:tcPr>
            <w:tcW w:w="567" w:type="dxa"/>
            <w:noWrap/>
            <w:vAlign w:val="center"/>
            <w:hideMark/>
          </w:tcPr>
          <w:p w14:paraId="6C3EE74E" w14:textId="77777777" w:rsidR="009F38EA" w:rsidRPr="009F38EA" w:rsidRDefault="009F38EA" w:rsidP="00B558B7">
            <w:pPr>
              <w:pStyle w:val="TekstTabeli"/>
            </w:pPr>
            <w:r w:rsidRPr="009F38EA">
              <w:t>246</w:t>
            </w:r>
          </w:p>
        </w:tc>
        <w:tc>
          <w:tcPr>
            <w:tcW w:w="4479" w:type="dxa"/>
            <w:noWrap/>
            <w:vAlign w:val="center"/>
            <w:hideMark/>
          </w:tcPr>
          <w:p w14:paraId="443C8416" w14:textId="77777777" w:rsidR="009F38EA" w:rsidRPr="009F38EA" w:rsidRDefault="009F38EA" w:rsidP="00B558B7">
            <w:pPr>
              <w:pStyle w:val="TekstTabeli"/>
            </w:pPr>
            <w:r w:rsidRPr="009F38EA">
              <w:t>society</w:t>
            </w:r>
          </w:p>
        </w:tc>
        <w:tc>
          <w:tcPr>
            <w:tcW w:w="3969" w:type="dxa"/>
            <w:noWrap/>
            <w:vAlign w:val="center"/>
            <w:hideMark/>
          </w:tcPr>
          <w:p w14:paraId="60A4176F" w14:textId="77777777" w:rsidR="009F38EA" w:rsidRPr="009F38EA" w:rsidRDefault="009F38EA" w:rsidP="00B558B7">
            <w:pPr>
              <w:pStyle w:val="TekstTabeli"/>
            </w:pPr>
            <w:r w:rsidRPr="009F38EA">
              <w:t>23</w:t>
            </w:r>
          </w:p>
        </w:tc>
      </w:tr>
      <w:tr w:rsidR="009F38EA" w:rsidRPr="009F38EA" w14:paraId="6F3DEE30" w14:textId="77777777" w:rsidTr="009F38EA">
        <w:trPr>
          <w:cantSplit/>
          <w:trHeight w:val="285"/>
        </w:trPr>
        <w:tc>
          <w:tcPr>
            <w:tcW w:w="567" w:type="dxa"/>
            <w:noWrap/>
            <w:vAlign w:val="center"/>
            <w:hideMark/>
          </w:tcPr>
          <w:p w14:paraId="03DCD99D" w14:textId="77777777" w:rsidR="009F38EA" w:rsidRPr="009F38EA" w:rsidRDefault="009F38EA" w:rsidP="00B558B7">
            <w:pPr>
              <w:pStyle w:val="TekstTabeli"/>
            </w:pPr>
            <w:r w:rsidRPr="009F38EA">
              <w:t>247</w:t>
            </w:r>
          </w:p>
        </w:tc>
        <w:tc>
          <w:tcPr>
            <w:tcW w:w="4479" w:type="dxa"/>
            <w:noWrap/>
            <w:vAlign w:val="center"/>
            <w:hideMark/>
          </w:tcPr>
          <w:p w14:paraId="4A951E45" w14:textId="77777777" w:rsidR="009F38EA" w:rsidRPr="009F38EA" w:rsidRDefault="009F38EA" w:rsidP="00B558B7">
            <w:pPr>
              <w:pStyle w:val="TekstTabeli"/>
            </w:pPr>
            <w:r w:rsidRPr="009F38EA">
              <w:t>civil society</w:t>
            </w:r>
          </w:p>
        </w:tc>
        <w:tc>
          <w:tcPr>
            <w:tcW w:w="3969" w:type="dxa"/>
            <w:noWrap/>
            <w:vAlign w:val="center"/>
            <w:hideMark/>
          </w:tcPr>
          <w:p w14:paraId="55B72CC9" w14:textId="77777777" w:rsidR="009F38EA" w:rsidRPr="009F38EA" w:rsidRDefault="009F38EA" w:rsidP="00B558B7">
            <w:pPr>
              <w:pStyle w:val="TekstTabeli"/>
            </w:pPr>
            <w:r w:rsidRPr="009F38EA">
              <w:t>1</w:t>
            </w:r>
          </w:p>
        </w:tc>
      </w:tr>
      <w:tr w:rsidR="009F38EA" w:rsidRPr="009F38EA" w14:paraId="2949445C" w14:textId="77777777" w:rsidTr="009F38EA">
        <w:trPr>
          <w:cantSplit/>
          <w:trHeight w:val="285"/>
        </w:trPr>
        <w:tc>
          <w:tcPr>
            <w:tcW w:w="567" w:type="dxa"/>
            <w:noWrap/>
            <w:vAlign w:val="center"/>
            <w:hideMark/>
          </w:tcPr>
          <w:p w14:paraId="35E7991B" w14:textId="77777777" w:rsidR="009F38EA" w:rsidRPr="009F38EA" w:rsidRDefault="009F38EA" w:rsidP="00B558B7">
            <w:pPr>
              <w:pStyle w:val="TekstTabeli"/>
            </w:pPr>
            <w:r w:rsidRPr="009F38EA">
              <w:t>248</w:t>
            </w:r>
          </w:p>
        </w:tc>
        <w:tc>
          <w:tcPr>
            <w:tcW w:w="4479" w:type="dxa"/>
            <w:noWrap/>
            <w:vAlign w:val="center"/>
            <w:hideMark/>
          </w:tcPr>
          <w:p w14:paraId="10E9696B" w14:textId="77777777" w:rsidR="009F38EA" w:rsidRPr="009F38EA" w:rsidRDefault="009F38EA" w:rsidP="00B558B7">
            <w:pPr>
              <w:pStyle w:val="TekstTabeli"/>
            </w:pPr>
            <w:r w:rsidRPr="009F38EA">
              <w:t>sponsor</w:t>
            </w:r>
          </w:p>
        </w:tc>
        <w:tc>
          <w:tcPr>
            <w:tcW w:w="3969" w:type="dxa"/>
            <w:noWrap/>
            <w:vAlign w:val="center"/>
            <w:hideMark/>
          </w:tcPr>
          <w:p w14:paraId="657DE1B8" w14:textId="77777777" w:rsidR="009F38EA" w:rsidRPr="009F38EA" w:rsidRDefault="009F38EA" w:rsidP="00B558B7">
            <w:pPr>
              <w:pStyle w:val="TekstTabeli"/>
            </w:pPr>
            <w:r w:rsidRPr="009F38EA">
              <w:t>0</w:t>
            </w:r>
          </w:p>
        </w:tc>
      </w:tr>
      <w:tr w:rsidR="009F38EA" w:rsidRPr="009F38EA" w14:paraId="71E31ECD" w14:textId="77777777" w:rsidTr="009F38EA">
        <w:trPr>
          <w:cantSplit/>
          <w:trHeight w:val="285"/>
        </w:trPr>
        <w:tc>
          <w:tcPr>
            <w:tcW w:w="567" w:type="dxa"/>
            <w:noWrap/>
            <w:vAlign w:val="center"/>
            <w:hideMark/>
          </w:tcPr>
          <w:p w14:paraId="7AD04234" w14:textId="77777777" w:rsidR="009F38EA" w:rsidRPr="009F38EA" w:rsidRDefault="009F38EA" w:rsidP="00B558B7">
            <w:pPr>
              <w:pStyle w:val="TekstTabeli"/>
            </w:pPr>
            <w:r w:rsidRPr="009F38EA">
              <w:t>249</w:t>
            </w:r>
          </w:p>
        </w:tc>
        <w:tc>
          <w:tcPr>
            <w:tcW w:w="4479" w:type="dxa"/>
            <w:noWrap/>
            <w:vAlign w:val="center"/>
            <w:hideMark/>
          </w:tcPr>
          <w:p w14:paraId="2288BB5B" w14:textId="77777777" w:rsidR="009F38EA" w:rsidRPr="009F38EA" w:rsidRDefault="009F38EA" w:rsidP="00B558B7">
            <w:pPr>
              <w:pStyle w:val="TekstTabeli"/>
            </w:pPr>
            <w:r w:rsidRPr="009F38EA">
              <w:t>sponsors</w:t>
            </w:r>
          </w:p>
        </w:tc>
        <w:tc>
          <w:tcPr>
            <w:tcW w:w="3969" w:type="dxa"/>
            <w:noWrap/>
            <w:vAlign w:val="center"/>
            <w:hideMark/>
          </w:tcPr>
          <w:p w14:paraId="72884C46" w14:textId="77777777" w:rsidR="009F38EA" w:rsidRPr="009F38EA" w:rsidRDefault="009F38EA" w:rsidP="00B558B7">
            <w:pPr>
              <w:pStyle w:val="TekstTabeli"/>
            </w:pPr>
            <w:r w:rsidRPr="009F38EA">
              <w:t>0</w:t>
            </w:r>
          </w:p>
        </w:tc>
      </w:tr>
      <w:tr w:rsidR="009F38EA" w:rsidRPr="009F38EA" w14:paraId="66ECE074" w14:textId="77777777" w:rsidTr="009F38EA">
        <w:trPr>
          <w:cantSplit/>
          <w:trHeight w:val="285"/>
        </w:trPr>
        <w:tc>
          <w:tcPr>
            <w:tcW w:w="567" w:type="dxa"/>
            <w:noWrap/>
            <w:vAlign w:val="center"/>
            <w:hideMark/>
          </w:tcPr>
          <w:p w14:paraId="3121849A" w14:textId="77777777" w:rsidR="009F38EA" w:rsidRPr="009F38EA" w:rsidRDefault="009F38EA" w:rsidP="00B558B7">
            <w:pPr>
              <w:pStyle w:val="TekstTabeli"/>
            </w:pPr>
            <w:r w:rsidRPr="009F38EA">
              <w:t>250</w:t>
            </w:r>
          </w:p>
        </w:tc>
        <w:tc>
          <w:tcPr>
            <w:tcW w:w="4479" w:type="dxa"/>
            <w:noWrap/>
            <w:vAlign w:val="center"/>
            <w:hideMark/>
          </w:tcPr>
          <w:p w14:paraId="6DE8D199" w14:textId="77777777" w:rsidR="009F38EA" w:rsidRPr="009F38EA" w:rsidRDefault="009F38EA" w:rsidP="00B558B7">
            <w:pPr>
              <w:pStyle w:val="TekstTabeli"/>
            </w:pPr>
            <w:r w:rsidRPr="009F38EA">
              <w:t>staff</w:t>
            </w:r>
          </w:p>
        </w:tc>
        <w:tc>
          <w:tcPr>
            <w:tcW w:w="3969" w:type="dxa"/>
            <w:noWrap/>
            <w:vAlign w:val="center"/>
            <w:hideMark/>
          </w:tcPr>
          <w:p w14:paraId="17BDC9A1" w14:textId="77777777" w:rsidR="009F38EA" w:rsidRPr="009F38EA" w:rsidRDefault="009F38EA" w:rsidP="00B558B7">
            <w:pPr>
              <w:pStyle w:val="TekstTabeli"/>
            </w:pPr>
            <w:r w:rsidRPr="009F38EA">
              <w:t>21</w:t>
            </w:r>
          </w:p>
        </w:tc>
      </w:tr>
      <w:tr w:rsidR="009F38EA" w:rsidRPr="009F38EA" w14:paraId="4C30F240" w14:textId="77777777" w:rsidTr="009F38EA">
        <w:trPr>
          <w:cantSplit/>
          <w:trHeight w:val="285"/>
        </w:trPr>
        <w:tc>
          <w:tcPr>
            <w:tcW w:w="567" w:type="dxa"/>
            <w:noWrap/>
            <w:vAlign w:val="center"/>
            <w:hideMark/>
          </w:tcPr>
          <w:p w14:paraId="286BC079" w14:textId="77777777" w:rsidR="009F38EA" w:rsidRPr="009F38EA" w:rsidRDefault="009F38EA" w:rsidP="00B558B7">
            <w:pPr>
              <w:pStyle w:val="TekstTabeli"/>
            </w:pPr>
            <w:r w:rsidRPr="009F38EA">
              <w:t>251</w:t>
            </w:r>
          </w:p>
        </w:tc>
        <w:tc>
          <w:tcPr>
            <w:tcW w:w="4479" w:type="dxa"/>
            <w:noWrap/>
            <w:vAlign w:val="center"/>
            <w:hideMark/>
          </w:tcPr>
          <w:p w14:paraId="48C39EE0" w14:textId="77777777" w:rsidR="009F38EA" w:rsidRPr="009F38EA" w:rsidRDefault="009F38EA" w:rsidP="00B558B7">
            <w:pPr>
              <w:pStyle w:val="TekstTabeli"/>
            </w:pPr>
            <w:r w:rsidRPr="009F38EA">
              <w:t>administrative staff</w:t>
            </w:r>
          </w:p>
        </w:tc>
        <w:tc>
          <w:tcPr>
            <w:tcW w:w="3969" w:type="dxa"/>
            <w:noWrap/>
            <w:vAlign w:val="center"/>
            <w:hideMark/>
          </w:tcPr>
          <w:p w14:paraId="13B2C4B4" w14:textId="77777777" w:rsidR="009F38EA" w:rsidRPr="009F38EA" w:rsidRDefault="009F38EA" w:rsidP="00B558B7">
            <w:pPr>
              <w:pStyle w:val="TekstTabeli"/>
            </w:pPr>
            <w:r w:rsidRPr="009F38EA">
              <w:t>5</w:t>
            </w:r>
          </w:p>
        </w:tc>
      </w:tr>
      <w:tr w:rsidR="009F38EA" w:rsidRPr="009F38EA" w14:paraId="5B38638C" w14:textId="77777777" w:rsidTr="009F38EA">
        <w:trPr>
          <w:cantSplit/>
          <w:trHeight w:val="285"/>
        </w:trPr>
        <w:tc>
          <w:tcPr>
            <w:tcW w:w="567" w:type="dxa"/>
            <w:noWrap/>
            <w:vAlign w:val="center"/>
            <w:hideMark/>
          </w:tcPr>
          <w:p w14:paraId="0CCA5852" w14:textId="77777777" w:rsidR="009F38EA" w:rsidRPr="009F38EA" w:rsidRDefault="009F38EA" w:rsidP="00B558B7">
            <w:pPr>
              <w:pStyle w:val="TekstTabeli"/>
            </w:pPr>
            <w:r w:rsidRPr="009F38EA">
              <w:t>252</w:t>
            </w:r>
          </w:p>
        </w:tc>
        <w:tc>
          <w:tcPr>
            <w:tcW w:w="4479" w:type="dxa"/>
            <w:noWrap/>
            <w:vAlign w:val="center"/>
            <w:hideMark/>
          </w:tcPr>
          <w:p w14:paraId="49AAF7D0" w14:textId="77777777" w:rsidR="009F38EA" w:rsidRPr="009F38EA" w:rsidRDefault="009F38EA" w:rsidP="00B558B7">
            <w:pPr>
              <w:pStyle w:val="TekstTabeli"/>
            </w:pPr>
            <w:r w:rsidRPr="009F38EA">
              <w:t>academic staff</w:t>
            </w:r>
          </w:p>
        </w:tc>
        <w:tc>
          <w:tcPr>
            <w:tcW w:w="3969" w:type="dxa"/>
            <w:noWrap/>
            <w:vAlign w:val="center"/>
            <w:hideMark/>
          </w:tcPr>
          <w:p w14:paraId="3EF1BEFA" w14:textId="77777777" w:rsidR="009F38EA" w:rsidRPr="009F38EA" w:rsidRDefault="009F38EA" w:rsidP="00B558B7">
            <w:pPr>
              <w:pStyle w:val="TekstTabeli"/>
            </w:pPr>
            <w:r w:rsidRPr="009F38EA">
              <w:t>17</w:t>
            </w:r>
          </w:p>
        </w:tc>
      </w:tr>
      <w:tr w:rsidR="009F38EA" w:rsidRPr="009F38EA" w14:paraId="39E1C123" w14:textId="77777777" w:rsidTr="009F38EA">
        <w:trPr>
          <w:cantSplit/>
          <w:trHeight w:val="285"/>
        </w:trPr>
        <w:tc>
          <w:tcPr>
            <w:tcW w:w="567" w:type="dxa"/>
            <w:noWrap/>
            <w:vAlign w:val="center"/>
            <w:hideMark/>
          </w:tcPr>
          <w:p w14:paraId="1D4FCCD3" w14:textId="77777777" w:rsidR="009F38EA" w:rsidRPr="009F38EA" w:rsidRDefault="009F38EA" w:rsidP="00B558B7">
            <w:pPr>
              <w:pStyle w:val="TekstTabeli"/>
            </w:pPr>
            <w:r w:rsidRPr="009F38EA">
              <w:t>253</w:t>
            </w:r>
          </w:p>
        </w:tc>
        <w:tc>
          <w:tcPr>
            <w:tcW w:w="4479" w:type="dxa"/>
            <w:noWrap/>
            <w:vAlign w:val="center"/>
            <w:hideMark/>
          </w:tcPr>
          <w:p w14:paraId="197181C3" w14:textId="77777777" w:rsidR="009F38EA" w:rsidRPr="009F38EA" w:rsidRDefault="009F38EA" w:rsidP="00B558B7">
            <w:pPr>
              <w:pStyle w:val="TekstTabeli"/>
            </w:pPr>
            <w:r w:rsidRPr="009F38EA">
              <w:t>design and technology staff</w:t>
            </w:r>
          </w:p>
        </w:tc>
        <w:tc>
          <w:tcPr>
            <w:tcW w:w="3969" w:type="dxa"/>
            <w:noWrap/>
            <w:vAlign w:val="center"/>
            <w:hideMark/>
          </w:tcPr>
          <w:p w14:paraId="328BD7C7" w14:textId="77777777" w:rsidR="009F38EA" w:rsidRPr="009F38EA" w:rsidRDefault="009F38EA" w:rsidP="00B558B7">
            <w:pPr>
              <w:pStyle w:val="TekstTabeli"/>
            </w:pPr>
            <w:r w:rsidRPr="009F38EA">
              <w:t>1</w:t>
            </w:r>
          </w:p>
        </w:tc>
      </w:tr>
      <w:tr w:rsidR="009F38EA" w:rsidRPr="009F38EA" w14:paraId="4BC341F0" w14:textId="77777777" w:rsidTr="009F38EA">
        <w:trPr>
          <w:cantSplit/>
          <w:trHeight w:val="285"/>
        </w:trPr>
        <w:tc>
          <w:tcPr>
            <w:tcW w:w="567" w:type="dxa"/>
            <w:noWrap/>
            <w:vAlign w:val="center"/>
            <w:hideMark/>
          </w:tcPr>
          <w:p w14:paraId="24BB3F5F" w14:textId="77777777" w:rsidR="009F38EA" w:rsidRPr="009F38EA" w:rsidRDefault="009F38EA" w:rsidP="00B558B7">
            <w:pPr>
              <w:pStyle w:val="TekstTabeli"/>
            </w:pPr>
            <w:r w:rsidRPr="009F38EA">
              <w:t>254</w:t>
            </w:r>
          </w:p>
        </w:tc>
        <w:tc>
          <w:tcPr>
            <w:tcW w:w="4479" w:type="dxa"/>
            <w:noWrap/>
            <w:vAlign w:val="center"/>
            <w:hideMark/>
          </w:tcPr>
          <w:p w14:paraId="3E7AE951" w14:textId="77777777" w:rsidR="009F38EA" w:rsidRPr="009F38EA" w:rsidRDefault="009F38EA" w:rsidP="00B558B7">
            <w:pPr>
              <w:pStyle w:val="TekstTabeli"/>
            </w:pPr>
            <w:r w:rsidRPr="009F38EA">
              <w:t>department staff</w:t>
            </w:r>
          </w:p>
        </w:tc>
        <w:tc>
          <w:tcPr>
            <w:tcW w:w="3969" w:type="dxa"/>
            <w:noWrap/>
            <w:vAlign w:val="center"/>
            <w:hideMark/>
          </w:tcPr>
          <w:p w14:paraId="0C559F0C" w14:textId="77777777" w:rsidR="009F38EA" w:rsidRPr="009F38EA" w:rsidRDefault="009F38EA" w:rsidP="00B558B7">
            <w:pPr>
              <w:pStyle w:val="TekstTabeli"/>
            </w:pPr>
            <w:r w:rsidRPr="009F38EA">
              <w:t>1</w:t>
            </w:r>
          </w:p>
        </w:tc>
      </w:tr>
      <w:tr w:rsidR="009F38EA" w:rsidRPr="009F38EA" w14:paraId="10D7E0FC" w14:textId="77777777" w:rsidTr="009F38EA">
        <w:trPr>
          <w:cantSplit/>
          <w:trHeight w:val="285"/>
        </w:trPr>
        <w:tc>
          <w:tcPr>
            <w:tcW w:w="567" w:type="dxa"/>
            <w:noWrap/>
            <w:vAlign w:val="center"/>
            <w:hideMark/>
          </w:tcPr>
          <w:p w14:paraId="1CC55EF8" w14:textId="77777777" w:rsidR="009F38EA" w:rsidRPr="009F38EA" w:rsidRDefault="009F38EA" w:rsidP="00B558B7">
            <w:pPr>
              <w:pStyle w:val="TekstTabeli"/>
            </w:pPr>
            <w:r w:rsidRPr="009F38EA">
              <w:t>255</w:t>
            </w:r>
          </w:p>
        </w:tc>
        <w:tc>
          <w:tcPr>
            <w:tcW w:w="4479" w:type="dxa"/>
            <w:noWrap/>
            <w:vAlign w:val="center"/>
            <w:hideMark/>
          </w:tcPr>
          <w:p w14:paraId="5AD90E35" w14:textId="77777777" w:rsidR="009F38EA" w:rsidRPr="009F38EA" w:rsidRDefault="009F38EA" w:rsidP="00B558B7">
            <w:pPr>
              <w:pStyle w:val="TekstTabeli"/>
            </w:pPr>
            <w:r w:rsidRPr="009F38EA">
              <w:t>education staff</w:t>
            </w:r>
          </w:p>
        </w:tc>
        <w:tc>
          <w:tcPr>
            <w:tcW w:w="3969" w:type="dxa"/>
            <w:noWrap/>
            <w:vAlign w:val="center"/>
            <w:hideMark/>
          </w:tcPr>
          <w:p w14:paraId="5402F759" w14:textId="77777777" w:rsidR="009F38EA" w:rsidRPr="009F38EA" w:rsidRDefault="009F38EA" w:rsidP="00B558B7">
            <w:pPr>
              <w:pStyle w:val="TekstTabeli"/>
            </w:pPr>
            <w:r w:rsidRPr="009F38EA">
              <w:t>1</w:t>
            </w:r>
          </w:p>
        </w:tc>
      </w:tr>
      <w:tr w:rsidR="009F38EA" w:rsidRPr="009F38EA" w14:paraId="5647976F" w14:textId="77777777" w:rsidTr="009F38EA">
        <w:trPr>
          <w:cantSplit/>
          <w:trHeight w:val="285"/>
        </w:trPr>
        <w:tc>
          <w:tcPr>
            <w:tcW w:w="567" w:type="dxa"/>
            <w:noWrap/>
            <w:vAlign w:val="center"/>
            <w:hideMark/>
          </w:tcPr>
          <w:p w14:paraId="44DEDA3F" w14:textId="77777777" w:rsidR="009F38EA" w:rsidRPr="009F38EA" w:rsidRDefault="009F38EA" w:rsidP="00B558B7">
            <w:pPr>
              <w:pStyle w:val="TekstTabeli"/>
            </w:pPr>
            <w:r w:rsidRPr="009F38EA">
              <w:t>256</w:t>
            </w:r>
          </w:p>
        </w:tc>
        <w:tc>
          <w:tcPr>
            <w:tcW w:w="4479" w:type="dxa"/>
            <w:noWrap/>
            <w:vAlign w:val="center"/>
            <w:hideMark/>
          </w:tcPr>
          <w:p w14:paraId="34676D4B" w14:textId="77777777" w:rsidR="009F38EA" w:rsidRPr="009F38EA" w:rsidRDefault="009F38EA" w:rsidP="00B558B7">
            <w:pPr>
              <w:pStyle w:val="TekstTabeli"/>
            </w:pPr>
            <w:r w:rsidRPr="009F38EA">
              <w:t>general staff</w:t>
            </w:r>
          </w:p>
        </w:tc>
        <w:tc>
          <w:tcPr>
            <w:tcW w:w="3969" w:type="dxa"/>
            <w:noWrap/>
            <w:vAlign w:val="center"/>
            <w:hideMark/>
          </w:tcPr>
          <w:p w14:paraId="7ED897E1" w14:textId="77777777" w:rsidR="009F38EA" w:rsidRPr="009F38EA" w:rsidRDefault="009F38EA" w:rsidP="00B558B7">
            <w:pPr>
              <w:pStyle w:val="TekstTabeli"/>
            </w:pPr>
            <w:r w:rsidRPr="009F38EA">
              <w:t>1</w:t>
            </w:r>
          </w:p>
        </w:tc>
      </w:tr>
      <w:tr w:rsidR="009F38EA" w:rsidRPr="009F38EA" w14:paraId="5C8106CB" w14:textId="77777777" w:rsidTr="009F38EA">
        <w:trPr>
          <w:cantSplit/>
          <w:trHeight w:val="285"/>
        </w:trPr>
        <w:tc>
          <w:tcPr>
            <w:tcW w:w="567" w:type="dxa"/>
            <w:noWrap/>
            <w:vAlign w:val="center"/>
            <w:hideMark/>
          </w:tcPr>
          <w:p w14:paraId="1389718B" w14:textId="77777777" w:rsidR="009F38EA" w:rsidRPr="009F38EA" w:rsidRDefault="009F38EA" w:rsidP="00B558B7">
            <w:pPr>
              <w:pStyle w:val="TekstTabeli"/>
            </w:pPr>
            <w:r w:rsidRPr="009F38EA">
              <w:lastRenderedPageBreak/>
              <w:t>257</w:t>
            </w:r>
          </w:p>
        </w:tc>
        <w:tc>
          <w:tcPr>
            <w:tcW w:w="4479" w:type="dxa"/>
            <w:noWrap/>
            <w:vAlign w:val="center"/>
            <w:hideMark/>
          </w:tcPr>
          <w:p w14:paraId="1AD58A69" w14:textId="77777777" w:rsidR="009F38EA" w:rsidRPr="009F38EA" w:rsidRDefault="009F38EA" w:rsidP="00B558B7">
            <w:pPr>
              <w:pStyle w:val="TekstTabeli"/>
            </w:pPr>
            <w:r w:rsidRPr="009F38EA">
              <w:t>governing agency staff</w:t>
            </w:r>
          </w:p>
        </w:tc>
        <w:tc>
          <w:tcPr>
            <w:tcW w:w="3969" w:type="dxa"/>
            <w:noWrap/>
            <w:vAlign w:val="center"/>
            <w:hideMark/>
          </w:tcPr>
          <w:p w14:paraId="0D2B985E" w14:textId="77777777" w:rsidR="009F38EA" w:rsidRPr="009F38EA" w:rsidRDefault="009F38EA" w:rsidP="00B558B7">
            <w:pPr>
              <w:pStyle w:val="TekstTabeli"/>
            </w:pPr>
            <w:r w:rsidRPr="009F38EA">
              <w:t>1</w:t>
            </w:r>
          </w:p>
        </w:tc>
      </w:tr>
      <w:tr w:rsidR="009F38EA" w:rsidRPr="009F38EA" w14:paraId="5AA80EC8" w14:textId="77777777" w:rsidTr="009F38EA">
        <w:trPr>
          <w:cantSplit/>
          <w:trHeight w:val="285"/>
        </w:trPr>
        <w:tc>
          <w:tcPr>
            <w:tcW w:w="567" w:type="dxa"/>
            <w:noWrap/>
            <w:vAlign w:val="center"/>
            <w:hideMark/>
          </w:tcPr>
          <w:p w14:paraId="5CEE7FDF" w14:textId="77777777" w:rsidR="009F38EA" w:rsidRPr="009F38EA" w:rsidRDefault="009F38EA" w:rsidP="00B558B7">
            <w:pPr>
              <w:pStyle w:val="TekstTabeli"/>
            </w:pPr>
            <w:r w:rsidRPr="009F38EA">
              <w:t>258</w:t>
            </w:r>
          </w:p>
        </w:tc>
        <w:tc>
          <w:tcPr>
            <w:tcW w:w="4479" w:type="dxa"/>
            <w:noWrap/>
            <w:vAlign w:val="center"/>
            <w:hideMark/>
          </w:tcPr>
          <w:p w14:paraId="44AC7DF4" w14:textId="77777777" w:rsidR="009F38EA" w:rsidRPr="009F38EA" w:rsidRDefault="009F38EA" w:rsidP="00B558B7">
            <w:pPr>
              <w:pStyle w:val="TekstTabeli"/>
            </w:pPr>
            <w:r w:rsidRPr="009F38EA">
              <w:t>library staff</w:t>
            </w:r>
          </w:p>
        </w:tc>
        <w:tc>
          <w:tcPr>
            <w:tcW w:w="3969" w:type="dxa"/>
            <w:noWrap/>
            <w:vAlign w:val="center"/>
            <w:hideMark/>
          </w:tcPr>
          <w:p w14:paraId="2868E1B8" w14:textId="77777777" w:rsidR="009F38EA" w:rsidRPr="009F38EA" w:rsidRDefault="009F38EA" w:rsidP="00B558B7">
            <w:pPr>
              <w:pStyle w:val="TekstTabeli"/>
            </w:pPr>
            <w:r w:rsidRPr="009F38EA">
              <w:t>1</w:t>
            </w:r>
          </w:p>
        </w:tc>
      </w:tr>
      <w:tr w:rsidR="009F38EA" w:rsidRPr="009F38EA" w14:paraId="763B79D6" w14:textId="77777777" w:rsidTr="009F38EA">
        <w:trPr>
          <w:cantSplit/>
          <w:trHeight w:val="285"/>
        </w:trPr>
        <w:tc>
          <w:tcPr>
            <w:tcW w:w="567" w:type="dxa"/>
            <w:noWrap/>
            <w:vAlign w:val="center"/>
            <w:hideMark/>
          </w:tcPr>
          <w:p w14:paraId="7C4BFEAC" w14:textId="77777777" w:rsidR="009F38EA" w:rsidRPr="009F38EA" w:rsidRDefault="009F38EA" w:rsidP="00B558B7">
            <w:pPr>
              <w:pStyle w:val="TekstTabeli"/>
            </w:pPr>
            <w:r w:rsidRPr="009F38EA">
              <w:t>259</w:t>
            </w:r>
          </w:p>
        </w:tc>
        <w:tc>
          <w:tcPr>
            <w:tcW w:w="4479" w:type="dxa"/>
            <w:noWrap/>
            <w:vAlign w:val="center"/>
            <w:hideMark/>
          </w:tcPr>
          <w:p w14:paraId="0A75FB88" w14:textId="77777777" w:rsidR="009F38EA" w:rsidRPr="009F38EA" w:rsidRDefault="009F38EA" w:rsidP="00B558B7">
            <w:pPr>
              <w:pStyle w:val="TekstTabeli"/>
            </w:pPr>
            <w:r w:rsidRPr="009F38EA">
              <w:t>non-academic staff</w:t>
            </w:r>
          </w:p>
        </w:tc>
        <w:tc>
          <w:tcPr>
            <w:tcW w:w="3969" w:type="dxa"/>
            <w:noWrap/>
            <w:vAlign w:val="center"/>
            <w:hideMark/>
          </w:tcPr>
          <w:p w14:paraId="6B3F4B5F" w14:textId="77777777" w:rsidR="009F38EA" w:rsidRPr="009F38EA" w:rsidRDefault="009F38EA" w:rsidP="00B558B7">
            <w:pPr>
              <w:pStyle w:val="TekstTabeli"/>
            </w:pPr>
            <w:r w:rsidRPr="009F38EA">
              <w:t>2</w:t>
            </w:r>
          </w:p>
        </w:tc>
      </w:tr>
      <w:tr w:rsidR="009F38EA" w:rsidRPr="009F38EA" w14:paraId="5F34F22B" w14:textId="77777777" w:rsidTr="009F38EA">
        <w:trPr>
          <w:cantSplit/>
          <w:trHeight w:val="285"/>
        </w:trPr>
        <w:tc>
          <w:tcPr>
            <w:tcW w:w="567" w:type="dxa"/>
            <w:noWrap/>
            <w:vAlign w:val="center"/>
            <w:hideMark/>
          </w:tcPr>
          <w:p w14:paraId="62BE1089" w14:textId="77777777" w:rsidR="009F38EA" w:rsidRPr="009F38EA" w:rsidRDefault="009F38EA" w:rsidP="00B558B7">
            <w:pPr>
              <w:pStyle w:val="TekstTabeli"/>
            </w:pPr>
            <w:r w:rsidRPr="009F38EA">
              <w:t>260</w:t>
            </w:r>
          </w:p>
        </w:tc>
        <w:tc>
          <w:tcPr>
            <w:tcW w:w="4479" w:type="dxa"/>
            <w:noWrap/>
            <w:vAlign w:val="center"/>
            <w:hideMark/>
          </w:tcPr>
          <w:p w14:paraId="308D331C" w14:textId="77777777" w:rsidR="009F38EA" w:rsidRPr="009F38EA" w:rsidRDefault="009F38EA" w:rsidP="00B558B7">
            <w:pPr>
              <w:pStyle w:val="TekstTabeli"/>
            </w:pPr>
            <w:r w:rsidRPr="009F38EA">
              <w:t>non-teaching staff</w:t>
            </w:r>
          </w:p>
        </w:tc>
        <w:tc>
          <w:tcPr>
            <w:tcW w:w="3969" w:type="dxa"/>
            <w:noWrap/>
            <w:vAlign w:val="center"/>
            <w:hideMark/>
          </w:tcPr>
          <w:p w14:paraId="33EE7CC2" w14:textId="77777777" w:rsidR="009F38EA" w:rsidRPr="009F38EA" w:rsidRDefault="009F38EA" w:rsidP="00B558B7">
            <w:pPr>
              <w:pStyle w:val="TekstTabeli"/>
            </w:pPr>
            <w:r w:rsidRPr="009F38EA">
              <w:t>1</w:t>
            </w:r>
          </w:p>
        </w:tc>
      </w:tr>
      <w:tr w:rsidR="009F38EA" w:rsidRPr="009F38EA" w14:paraId="5596A391" w14:textId="77777777" w:rsidTr="009F38EA">
        <w:trPr>
          <w:cantSplit/>
          <w:trHeight w:val="285"/>
        </w:trPr>
        <w:tc>
          <w:tcPr>
            <w:tcW w:w="567" w:type="dxa"/>
            <w:noWrap/>
            <w:vAlign w:val="center"/>
            <w:hideMark/>
          </w:tcPr>
          <w:p w14:paraId="0D3B57B5" w14:textId="77777777" w:rsidR="009F38EA" w:rsidRPr="009F38EA" w:rsidRDefault="009F38EA" w:rsidP="00B558B7">
            <w:pPr>
              <w:pStyle w:val="TekstTabeli"/>
            </w:pPr>
            <w:r w:rsidRPr="009F38EA">
              <w:t>261</w:t>
            </w:r>
          </w:p>
        </w:tc>
        <w:tc>
          <w:tcPr>
            <w:tcW w:w="4479" w:type="dxa"/>
            <w:noWrap/>
            <w:vAlign w:val="center"/>
            <w:hideMark/>
          </w:tcPr>
          <w:p w14:paraId="38A06670" w14:textId="77777777" w:rsidR="009F38EA" w:rsidRPr="009F38EA" w:rsidRDefault="009F38EA" w:rsidP="00B558B7">
            <w:pPr>
              <w:pStyle w:val="TekstTabeli"/>
            </w:pPr>
            <w:r w:rsidRPr="009F38EA">
              <w:t>nonacademic staff</w:t>
            </w:r>
          </w:p>
        </w:tc>
        <w:tc>
          <w:tcPr>
            <w:tcW w:w="3969" w:type="dxa"/>
            <w:noWrap/>
            <w:vAlign w:val="center"/>
            <w:hideMark/>
          </w:tcPr>
          <w:p w14:paraId="7C86AC8D" w14:textId="77777777" w:rsidR="009F38EA" w:rsidRPr="009F38EA" w:rsidRDefault="009F38EA" w:rsidP="00B558B7">
            <w:pPr>
              <w:pStyle w:val="TekstTabeli"/>
            </w:pPr>
            <w:r w:rsidRPr="009F38EA">
              <w:t>0</w:t>
            </w:r>
          </w:p>
        </w:tc>
      </w:tr>
      <w:tr w:rsidR="009F38EA" w:rsidRPr="009F38EA" w14:paraId="5892FC25" w14:textId="77777777" w:rsidTr="009F38EA">
        <w:trPr>
          <w:cantSplit/>
          <w:trHeight w:val="285"/>
        </w:trPr>
        <w:tc>
          <w:tcPr>
            <w:tcW w:w="567" w:type="dxa"/>
            <w:noWrap/>
            <w:vAlign w:val="center"/>
            <w:hideMark/>
          </w:tcPr>
          <w:p w14:paraId="0F0DE5BE" w14:textId="77777777" w:rsidR="009F38EA" w:rsidRPr="009F38EA" w:rsidRDefault="009F38EA" w:rsidP="00B558B7">
            <w:pPr>
              <w:pStyle w:val="TekstTabeli"/>
            </w:pPr>
            <w:r w:rsidRPr="009F38EA">
              <w:t>262</w:t>
            </w:r>
          </w:p>
        </w:tc>
        <w:tc>
          <w:tcPr>
            <w:tcW w:w="4479" w:type="dxa"/>
            <w:noWrap/>
            <w:vAlign w:val="center"/>
            <w:hideMark/>
          </w:tcPr>
          <w:p w14:paraId="23336B5D" w14:textId="77777777" w:rsidR="009F38EA" w:rsidRPr="009F38EA" w:rsidRDefault="009F38EA" w:rsidP="00B558B7">
            <w:pPr>
              <w:pStyle w:val="TekstTabeli"/>
            </w:pPr>
            <w:r w:rsidRPr="009F38EA">
              <w:t>management and support staff</w:t>
            </w:r>
          </w:p>
        </w:tc>
        <w:tc>
          <w:tcPr>
            <w:tcW w:w="3969" w:type="dxa"/>
            <w:noWrap/>
            <w:vAlign w:val="center"/>
            <w:hideMark/>
          </w:tcPr>
          <w:p w14:paraId="06AA9140" w14:textId="77777777" w:rsidR="009F38EA" w:rsidRPr="009F38EA" w:rsidRDefault="009F38EA" w:rsidP="00B558B7">
            <w:pPr>
              <w:pStyle w:val="TekstTabeli"/>
            </w:pPr>
            <w:r w:rsidRPr="009F38EA">
              <w:t>1</w:t>
            </w:r>
          </w:p>
        </w:tc>
      </w:tr>
      <w:tr w:rsidR="009F38EA" w:rsidRPr="009F38EA" w14:paraId="5D4E0652" w14:textId="77777777" w:rsidTr="009F38EA">
        <w:trPr>
          <w:cantSplit/>
          <w:trHeight w:val="285"/>
        </w:trPr>
        <w:tc>
          <w:tcPr>
            <w:tcW w:w="567" w:type="dxa"/>
            <w:noWrap/>
            <w:vAlign w:val="center"/>
            <w:hideMark/>
          </w:tcPr>
          <w:p w14:paraId="19E0049D" w14:textId="77777777" w:rsidR="009F38EA" w:rsidRPr="009F38EA" w:rsidRDefault="009F38EA" w:rsidP="00B558B7">
            <w:pPr>
              <w:pStyle w:val="TekstTabeli"/>
            </w:pPr>
            <w:r w:rsidRPr="009F38EA">
              <w:t>263</w:t>
            </w:r>
          </w:p>
        </w:tc>
        <w:tc>
          <w:tcPr>
            <w:tcW w:w="4479" w:type="dxa"/>
            <w:noWrap/>
            <w:vAlign w:val="center"/>
            <w:hideMark/>
          </w:tcPr>
          <w:p w14:paraId="421DC776" w14:textId="77777777" w:rsidR="009F38EA" w:rsidRPr="009F38EA" w:rsidRDefault="009F38EA" w:rsidP="00B558B7">
            <w:pPr>
              <w:pStyle w:val="TekstTabeli"/>
            </w:pPr>
            <w:r w:rsidRPr="009F38EA">
              <w:t>management staff</w:t>
            </w:r>
          </w:p>
        </w:tc>
        <w:tc>
          <w:tcPr>
            <w:tcW w:w="3969" w:type="dxa"/>
            <w:noWrap/>
            <w:vAlign w:val="center"/>
            <w:hideMark/>
          </w:tcPr>
          <w:p w14:paraId="0B79DE33" w14:textId="77777777" w:rsidR="009F38EA" w:rsidRPr="009F38EA" w:rsidRDefault="009F38EA" w:rsidP="00B558B7">
            <w:pPr>
              <w:pStyle w:val="TekstTabeli"/>
            </w:pPr>
            <w:r w:rsidRPr="009F38EA">
              <w:t>1</w:t>
            </w:r>
          </w:p>
        </w:tc>
      </w:tr>
      <w:tr w:rsidR="009F38EA" w:rsidRPr="009F38EA" w14:paraId="66907679" w14:textId="77777777" w:rsidTr="009F38EA">
        <w:trPr>
          <w:cantSplit/>
          <w:trHeight w:val="285"/>
        </w:trPr>
        <w:tc>
          <w:tcPr>
            <w:tcW w:w="567" w:type="dxa"/>
            <w:noWrap/>
            <w:vAlign w:val="center"/>
            <w:hideMark/>
          </w:tcPr>
          <w:p w14:paraId="15554FAF" w14:textId="77777777" w:rsidR="009F38EA" w:rsidRPr="009F38EA" w:rsidRDefault="009F38EA" w:rsidP="00B558B7">
            <w:pPr>
              <w:pStyle w:val="TekstTabeli"/>
            </w:pPr>
            <w:r w:rsidRPr="009F38EA">
              <w:t>264</w:t>
            </w:r>
          </w:p>
        </w:tc>
        <w:tc>
          <w:tcPr>
            <w:tcW w:w="4479" w:type="dxa"/>
            <w:noWrap/>
            <w:vAlign w:val="center"/>
            <w:hideMark/>
          </w:tcPr>
          <w:p w14:paraId="04DEA287" w14:textId="77777777" w:rsidR="009F38EA" w:rsidRPr="009F38EA" w:rsidRDefault="009F38EA" w:rsidP="00B558B7">
            <w:pPr>
              <w:pStyle w:val="TekstTabeli"/>
            </w:pPr>
            <w:r w:rsidRPr="009F38EA">
              <w:t>research staff</w:t>
            </w:r>
          </w:p>
        </w:tc>
        <w:tc>
          <w:tcPr>
            <w:tcW w:w="3969" w:type="dxa"/>
            <w:noWrap/>
            <w:vAlign w:val="center"/>
            <w:hideMark/>
          </w:tcPr>
          <w:p w14:paraId="6C0DC020" w14:textId="77777777" w:rsidR="009F38EA" w:rsidRPr="009F38EA" w:rsidRDefault="009F38EA" w:rsidP="00B558B7">
            <w:pPr>
              <w:pStyle w:val="TekstTabeli"/>
            </w:pPr>
            <w:r w:rsidRPr="009F38EA">
              <w:t>3</w:t>
            </w:r>
          </w:p>
        </w:tc>
      </w:tr>
      <w:tr w:rsidR="009F38EA" w:rsidRPr="009F38EA" w14:paraId="6EA19F04" w14:textId="77777777" w:rsidTr="009F38EA">
        <w:trPr>
          <w:cantSplit/>
          <w:trHeight w:val="285"/>
        </w:trPr>
        <w:tc>
          <w:tcPr>
            <w:tcW w:w="567" w:type="dxa"/>
            <w:noWrap/>
            <w:vAlign w:val="center"/>
            <w:hideMark/>
          </w:tcPr>
          <w:p w14:paraId="4F1DDAB2" w14:textId="77777777" w:rsidR="009F38EA" w:rsidRPr="009F38EA" w:rsidRDefault="009F38EA" w:rsidP="00B558B7">
            <w:pPr>
              <w:pStyle w:val="TekstTabeli"/>
            </w:pPr>
            <w:r w:rsidRPr="009F38EA">
              <w:t>265</w:t>
            </w:r>
          </w:p>
        </w:tc>
        <w:tc>
          <w:tcPr>
            <w:tcW w:w="4479" w:type="dxa"/>
            <w:noWrap/>
            <w:vAlign w:val="center"/>
            <w:hideMark/>
          </w:tcPr>
          <w:p w14:paraId="475BB73B" w14:textId="77777777" w:rsidR="009F38EA" w:rsidRPr="009F38EA" w:rsidRDefault="009F38EA" w:rsidP="00B558B7">
            <w:pPr>
              <w:pStyle w:val="TekstTabeli"/>
            </w:pPr>
            <w:r w:rsidRPr="009F38EA">
              <w:t>scientific staff</w:t>
            </w:r>
          </w:p>
        </w:tc>
        <w:tc>
          <w:tcPr>
            <w:tcW w:w="3969" w:type="dxa"/>
            <w:noWrap/>
            <w:vAlign w:val="center"/>
            <w:hideMark/>
          </w:tcPr>
          <w:p w14:paraId="249120BC" w14:textId="77777777" w:rsidR="009F38EA" w:rsidRPr="009F38EA" w:rsidRDefault="009F38EA" w:rsidP="00B558B7">
            <w:pPr>
              <w:pStyle w:val="TekstTabeli"/>
            </w:pPr>
            <w:r w:rsidRPr="009F38EA">
              <w:t>1</w:t>
            </w:r>
          </w:p>
        </w:tc>
      </w:tr>
      <w:tr w:rsidR="009F38EA" w:rsidRPr="009F38EA" w14:paraId="129B841C" w14:textId="77777777" w:rsidTr="009F38EA">
        <w:trPr>
          <w:cantSplit/>
          <w:trHeight w:val="285"/>
        </w:trPr>
        <w:tc>
          <w:tcPr>
            <w:tcW w:w="567" w:type="dxa"/>
            <w:noWrap/>
            <w:vAlign w:val="center"/>
            <w:hideMark/>
          </w:tcPr>
          <w:p w14:paraId="495E4AAC" w14:textId="77777777" w:rsidR="009F38EA" w:rsidRPr="009F38EA" w:rsidRDefault="009F38EA" w:rsidP="00B558B7">
            <w:pPr>
              <w:pStyle w:val="TekstTabeli"/>
            </w:pPr>
            <w:r w:rsidRPr="009F38EA">
              <w:t>266</w:t>
            </w:r>
          </w:p>
        </w:tc>
        <w:tc>
          <w:tcPr>
            <w:tcW w:w="4479" w:type="dxa"/>
            <w:noWrap/>
            <w:vAlign w:val="center"/>
            <w:hideMark/>
          </w:tcPr>
          <w:p w14:paraId="416389D1" w14:textId="77777777" w:rsidR="009F38EA" w:rsidRPr="009F38EA" w:rsidRDefault="009F38EA" w:rsidP="00B558B7">
            <w:pPr>
              <w:pStyle w:val="TekstTabeli"/>
            </w:pPr>
            <w:r w:rsidRPr="009F38EA">
              <w:t>service staff</w:t>
            </w:r>
          </w:p>
        </w:tc>
        <w:tc>
          <w:tcPr>
            <w:tcW w:w="3969" w:type="dxa"/>
            <w:noWrap/>
            <w:vAlign w:val="center"/>
            <w:hideMark/>
          </w:tcPr>
          <w:p w14:paraId="22AAEEE5" w14:textId="77777777" w:rsidR="009F38EA" w:rsidRPr="009F38EA" w:rsidRDefault="009F38EA" w:rsidP="00B558B7">
            <w:pPr>
              <w:pStyle w:val="TekstTabeli"/>
            </w:pPr>
            <w:r w:rsidRPr="009F38EA">
              <w:t>1</w:t>
            </w:r>
          </w:p>
        </w:tc>
      </w:tr>
      <w:tr w:rsidR="009F38EA" w:rsidRPr="009F38EA" w14:paraId="55AB21AB" w14:textId="77777777" w:rsidTr="009F38EA">
        <w:trPr>
          <w:cantSplit/>
          <w:trHeight w:val="285"/>
        </w:trPr>
        <w:tc>
          <w:tcPr>
            <w:tcW w:w="567" w:type="dxa"/>
            <w:noWrap/>
            <w:vAlign w:val="center"/>
            <w:hideMark/>
          </w:tcPr>
          <w:p w14:paraId="7327F37F" w14:textId="77777777" w:rsidR="009F38EA" w:rsidRPr="009F38EA" w:rsidRDefault="009F38EA" w:rsidP="00B558B7">
            <w:pPr>
              <w:pStyle w:val="TekstTabeli"/>
            </w:pPr>
            <w:r w:rsidRPr="009F38EA">
              <w:t>267</w:t>
            </w:r>
          </w:p>
        </w:tc>
        <w:tc>
          <w:tcPr>
            <w:tcW w:w="4479" w:type="dxa"/>
            <w:noWrap/>
            <w:vAlign w:val="center"/>
            <w:hideMark/>
          </w:tcPr>
          <w:p w14:paraId="5EB53A5C" w14:textId="77777777" w:rsidR="009F38EA" w:rsidRPr="009F38EA" w:rsidRDefault="009F38EA" w:rsidP="00B558B7">
            <w:pPr>
              <w:pStyle w:val="TekstTabeli"/>
            </w:pPr>
            <w:r w:rsidRPr="009F38EA">
              <w:t>support staff</w:t>
            </w:r>
          </w:p>
        </w:tc>
        <w:tc>
          <w:tcPr>
            <w:tcW w:w="3969" w:type="dxa"/>
            <w:noWrap/>
            <w:vAlign w:val="center"/>
            <w:hideMark/>
          </w:tcPr>
          <w:p w14:paraId="698CB290" w14:textId="77777777" w:rsidR="009F38EA" w:rsidRPr="009F38EA" w:rsidRDefault="009F38EA" w:rsidP="00B558B7">
            <w:pPr>
              <w:pStyle w:val="TekstTabeli"/>
            </w:pPr>
            <w:r w:rsidRPr="009F38EA">
              <w:t>2</w:t>
            </w:r>
          </w:p>
        </w:tc>
      </w:tr>
      <w:tr w:rsidR="009F38EA" w:rsidRPr="009F38EA" w14:paraId="71E58F66" w14:textId="77777777" w:rsidTr="009F38EA">
        <w:trPr>
          <w:cantSplit/>
          <w:trHeight w:val="285"/>
        </w:trPr>
        <w:tc>
          <w:tcPr>
            <w:tcW w:w="567" w:type="dxa"/>
            <w:noWrap/>
            <w:vAlign w:val="center"/>
            <w:hideMark/>
          </w:tcPr>
          <w:p w14:paraId="2137716B" w14:textId="77777777" w:rsidR="009F38EA" w:rsidRPr="009F38EA" w:rsidRDefault="009F38EA" w:rsidP="00B558B7">
            <w:pPr>
              <w:pStyle w:val="TekstTabeli"/>
            </w:pPr>
            <w:r w:rsidRPr="009F38EA">
              <w:t>268</w:t>
            </w:r>
          </w:p>
        </w:tc>
        <w:tc>
          <w:tcPr>
            <w:tcW w:w="4479" w:type="dxa"/>
            <w:noWrap/>
            <w:vAlign w:val="center"/>
            <w:hideMark/>
          </w:tcPr>
          <w:p w14:paraId="6706D69B" w14:textId="77777777" w:rsidR="009F38EA" w:rsidRPr="009F38EA" w:rsidRDefault="009F38EA" w:rsidP="00B558B7">
            <w:pPr>
              <w:pStyle w:val="TekstTabeli"/>
            </w:pPr>
            <w:r w:rsidRPr="009F38EA">
              <w:t>teaching staff</w:t>
            </w:r>
          </w:p>
        </w:tc>
        <w:tc>
          <w:tcPr>
            <w:tcW w:w="3969" w:type="dxa"/>
            <w:noWrap/>
            <w:vAlign w:val="center"/>
            <w:hideMark/>
          </w:tcPr>
          <w:p w14:paraId="0C63F61E" w14:textId="77777777" w:rsidR="009F38EA" w:rsidRPr="009F38EA" w:rsidRDefault="009F38EA" w:rsidP="00B558B7">
            <w:pPr>
              <w:pStyle w:val="TekstTabeli"/>
            </w:pPr>
            <w:r w:rsidRPr="009F38EA">
              <w:t>8</w:t>
            </w:r>
          </w:p>
        </w:tc>
      </w:tr>
      <w:tr w:rsidR="009F38EA" w:rsidRPr="009F38EA" w14:paraId="4DF1472A" w14:textId="77777777" w:rsidTr="009F38EA">
        <w:trPr>
          <w:cantSplit/>
          <w:trHeight w:val="285"/>
        </w:trPr>
        <w:tc>
          <w:tcPr>
            <w:tcW w:w="567" w:type="dxa"/>
            <w:noWrap/>
            <w:vAlign w:val="center"/>
            <w:hideMark/>
          </w:tcPr>
          <w:p w14:paraId="0EBB263B" w14:textId="77777777" w:rsidR="009F38EA" w:rsidRPr="009F38EA" w:rsidRDefault="009F38EA" w:rsidP="00B558B7">
            <w:pPr>
              <w:pStyle w:val="TekstTabeli"/>
            </w:pPr>
            <w:r w:rsidRPr="009F38EA">
              <w:t>269</w:t>
            </w:r>
          </w:p>
        </w:tc>
        <w:tc>
          <w:tcPr>
            <w:tcW w:w="4479" w:type="dxa"/>
            <w:noWrap/>
            <w:vAlign w:val="center"/>
            <w:hideMark/>
          </w:tcPr>
          <w:p w14:paraId="3CB667BF" w14:textId="77777777" w:rsidR="009F38EA" w:rsidRPr="009F38EA" w:rsidRDefault="009F38EA" w:rsidP="00B558B7">
            <w:pPr>
              <w:pStyle w:val="TekstTabeli"/>
            </w:pPr>
            <w:r w:rsidRPr="009F38EA">
              <w:t>technical staff</w:t>
            </w:r>
          </w:p>
        </w:tc>
        <w:tc>
          <w:tcPr>
            <w:tcW w:w="3969" w:type="dxa"/>
            <w:noWrap/>
            <w:vAlign w:val="center"/>
            <w:hideMark/>
          </w:tcPr>
          <w:p w14:paraId="3CB6DAB6" w14:textId="77777777" w:rsidR="009F38EA" w:rsidRPr="009F38EA" w:rsidRDefault="009F38EA" w:rsidP="00B558B7">
            <w:pPr>
              <w:pStyle w:val="TekstTabeli"/>
            </w:pPr>
            <w:r w:rsidRPr="009F38EA">
              <w:t>3</w:t>
            </w:r>
          </w:p>
        </w:tc>
      </w:tr>
      <w:tr w:rsidR="009F38EA" w:rsidRPr="009F38EA" w14:paraId="50F8A595" w14:textId="77777777" w:rsidTr="009F38EA">
        <w:trPr>
          <w:cantSplit/>
          <w:trHeight w:val="285"/>
        </w:trPr>
        <w:tc>
          <w:tcPr>
            <w:tcW w:w="567" w:type="dxa"/>
            <w:noWrap/>
            <w:vAlign w:val="center"/>
            <w:hideMark/>
          </w:tcPr>
          <w:p w14:paraId="3C44084D" w14:textId="77777777" w:rsidR="009F38EA" w:rsidRPr="009F38EA" w:rsidRDefault="009F38EA" w:rsidP="00B558B7">
            <w:pPr>
              <w:pStyle w:val="TekstTabeli"/>
            </w:pPr>
            <w:r w:rsidRPr="009F38EA">
              <w:t>270</w:t>
            </w:r>
          </w:p>
        </w:tc>
        <w:tc>
          <w:tcPr>
            <w:tcW w:w="4479" w:type="dxa"/>
            <w:noWrap/>
            <w:vAlign w:val="center"/>
            <w:hideMark/>
          </w:tcPr>
          <w:p w14:paraId="18FF36FC" w14:textId="77777777" w:rsidR="009F38EA" w:rsidRPr="009F38EA" w:rsidRDefault="009F38EA" w:rsidP="00B558B7">
            <w:pPr>
              <w:pStyle w:val="TekstTabeli"/>
            </w:pPr>
            <w:r w:rsidRPr="009F38EA">
              <w:t>university staff</w:t>
            </w:r>
          </w:p>
        </w:tc>
        <w:tc>
          <w:tcPr>
            <w:tcW w:w="3969" w:type="dxa"/>
            <w:noWrap/>
            <w:vAlign w:val="center"/>
            <w:hideMark/>
          </w:tcPr>
          <w:p w14:paraId="11ED2031" w14:textId="77777777" w:rsidR="009F38EA" w:rsidRPr="009F38EA" w:rsidRDefault="009F38EA" w:rsidP="00B558B7">
            <w:pPr>
              <w:pStyle w:val="TekstTabeli"/>
            </w:pPr>
            <w:r w:rsidRPr="009F38EA">
              <w:t>5</w:t>
            </w:r>
          </w:p>
        </w:tc>
      </w:tr>
      <w:tr w:rsidR="009F38EA" w:rsidRPr="009F38EA" w14:paraId="04E4A492" w14:textId="77777777" w:rsidTr="009F38EA">
        <w:trPr>
          <w:cantSplit/>
          <w:trHeight w:val="285"/>
        </w:trPr>
        <w:tc>
          <w:tcPr>
            <w:tcW w:w="567" w:type="dxa"/>
            <w:noWrap/>
            <w:vAlign w:val="center"/>
            <w:hideMark/>
          </w:tcPr>
          <w:p w14:paraId="6DF51E4B" w14:textId="77777777" w:rsidR="009F38EA" w:rsidRPr="009F38EA" w:rsidRDefault="009F38EA" w:rsidP="00B558B7">
            <w:pPr>
              <w:pStyle w:val="TekstTabeli"/>
            </w:pPr>
            <w:r w:rsidRPr="009F38EA">
              <w:t>271</w:t>
            </w:r>
          </w:p>
        </w:tc>
        <w:tc>
          <w:tcPr>
            <w:tcW w:w="4479" w:type="dxa"/>
            <w:noWrap/>
            <w:vAlign w:val="center"/>
            <w:hideMark/>
          </w:tcPr>
          <w:p w14:paraId="6F9802ED" w14:textId="77777777" w:rsidR="009F38EA" w:rsidRPr="009F38EA" w:rsidRDefault="009F38EA" w:rsidP="00B558B7">
            <w:pPr>
              <w:pStyle w:val="TekstTabeli"/>
            </w:pPr>
            <w:r w:rsidRPr="009F38EA">
              <w:t>stakeholder</w:t>
            </w:r>
          </w:p>
        </w:tc>
        <w:tc>
          <w:tcPr>
            <w:tcW w:w="3969" w:type="dxa"/>
            <w:noWrap/>
            <w:vAlign w:val="center"/>
            <w:hideMark/>
          </w:tcPr>
          <w:p w14:paraId="35B53CA7" w14:textId="77777777" w:rsidR="009F38EA" w:rsidRPr="009F38EA" w:rsidRDefault="009F38EA" w:rsidP="00B558B7">
            <w:pPr>
              <w:pStyle w:val="TekstTabeli"/>
            </w:pPr>
            <w:r w:rsidRPr="009F38EA">
              <w:t>0</w:t>
            </w:r>
          </w:p>
        </w:tc>
      </w:tr>
      <w:tr w:rsidR="009F38EA" w:rsidRPr="009F38EA" w14:paraId="631445B7" w14:textId="77777777" w:rsidTr="009F38EA">
        <w:trPr>
          <w:cantSplit/>
          <w:trHeight w:val="285"/>
        </w:trPr>
        <w:tc>
          <w:tcPr>
            <w:tcW w:w="567" w:type="dxa"/>
            <w:noWrap/>
            <w:vAlign w:val="center"/>
            <w:hideMark/>
          </w:tcPr>
          <w:p w14:paraId="528A169B" w14:textId="77777777" w:rsidR="009F38EA" w:rsidRPr="009F38EA" w:rsidRDefault="009F38EA" w:rsidP="00B558B7">
            <w:pPr>
              <w:pStyle w:val="TekstTabeli"/>
            </w:pPr>
            <w:r w:rsidRPr="009F38EA">
              <w:t>272</w:t>
            </w:r>
          </w:p>
        </w:tc>
        <w:tc>
          <w:tcPr>
            <w:tcW w:w="4479" w:type="dxa"/>
            <w:noWrap/>
            <w:vAlign w:val="center"/>
            <w:hideMark/>
          </w:tcPr>
          <w:p w14:paraId="16922089" w14:textId="77777777" w:rsidR="009F38EA" w:rsidRPr="009F38EA" w:rsidRDefault="009F38EA" w:rsidP="00B558B7">
            <w:pPr>
              <w:pStyle w:val="TekstTabeli"/>
            </w:pPr>
            <w:r w:rsidRPr="009F38EA">
              <w:t>student</w:t>
            </w:r>
          </w:p>
        </w:tc>
        <w:tc>
          <w:tcPr>
            <w:tcW w:w="3969" w:type="dxa"/>
            <w:noWrap/>
            <w:vAlign w:val="center"/>
            <w:hideMark/>
          </w:tcPr>
          <w:p w14:paraId="7EF6F4A4" w14:textId="77777777" w:rsidR="009F38EA" w:rsidRPr="009F38EA" w:rsidRDefault="009F38EA" w:rsidP="00B558B7">
            <w:pPr>
              <w:pStyle w:val="TekstTabeli"/>
            </w:pPr>
            <w:r w:rsidRPr="009F38EA">
              <w:t>30</w:t>
            </w:r>
          </w:p>
        </w:tc>
      </w:tr>
      <w:tr w:rsidR="009F38EA" w:rsidRPr="009F38EA" w14:paraId="17701BD1" w14:textId="77777777" w:rsidTr="009F38EA">
        <w:trPr>
          <w:cantSplit/>
          <w:trHeight w:val="285"/>
        </w:trPr>
        <w:tc>
          <w:tcPr>
            <w:tcW w:w="567" w:type="dxa"/>
            <w:noWrap/>
            <w:vAlign w:val="center"/>
            <w:hideMark/>
          </w:tcPr>
          <w:p w14:paraId="1BC36D5A" w14:textId="77777777" w:rsidR="009F38EA" w:rsidRPr="009F38EA" w:rsidRDefault="009F38EA" w:rsidP="00B558B7">
            <w:pPr>
              <w:pStyle w:val="TekstTabeli"/>
            </w:pPr>
            <w:r w:rsidRPr="009F38EA">
              <w:t>273</w:t>
            </w:r>
          </w:p>
        </w:tc>
        <w:tc>
          <w:tcPr>
            <w:tcW w:w="4479" w:type="dxa"/>
            <w:noWrap/>
            <w:vAlign w:val="center"/>
            <w:hideMark/>
          </w:tcPr>
          <w:p w14:paraId="3346D071" w14:textId="77777777" w:rsidR="009F38EA" w:rsidRPr="009F38EA" w:rsidRDefault="009F38EA" w:rsidP="00B558B7">
            <w:pPr>
              <w:pStyle w:val="TekstTabeli"/>
            </w:pPr>
            <w:r w:rsidRPr="009F38EA">
              <w:t>students</w:t>
            </w:r>
          </w:p>
        </w:tc>
        <w:tc>
          <w:tcPr>
            <w:tcW w:w="3969" w:type="dxa"/>
            <w:noWrap/>
            <w:vAlign w:val="center"/>
            <w:hideMark/>
          </w:tcPr>
          <w:p w14:paraId="3EB7421D" w14:textId="77777777" w:rsidR="009F38EA" w:rsidRPr="009F38EA" w:rsidRDefault="009F38EA" w:rsidP="00B558B7">
            <w:pPr>
              <w:pStyle w:val="TekstTabeli"/>
            </w:pPr>
            <w:r w:rsidRPr="009F38EA">
              <w:t>207</w:t>
            </w:r>
          </w:p>
        </w:tc>
      </w:tr>
      <w:tr w:rsidR="009F38EA" w:rsidRPr="009F38EA" w14:paraId="67E93C86" w14:textId="77777777" w:rsidTr="009F38EA">
        <w:trPr>
          <w:cantSplit/>
          <w:trHeight w:val="285"/>
        </w:trPr>
        <w:tc>
          <w:tcPr>
            <w:tcW w:w="567" w:type="dxa"/>
            <w:noWrap/>
            <w:vAlign w:val="center"/>
            <w:hideMark/>
          </w:tcPr>
          <w:p w14:paraId="42E7ED21" w14:textId="77777777" w:rsidR="009F38EA" w:rsidRPr="009F38EA" w:rsidRDefault="009F38EA" w:rsidP="00B558B7">
            <w:pPr>
              <w:pStyle w:val="TekstTabeli"/>
            </w:pPr>
            <w:r w:rsidRPr="009F38EA">
              <w:t>274</w:t>
            </w:r>
          </w:p>
        </w:tc>
        <w:tc>
          <w:tcPr>
            <w:tcW w:w="4479" w:type="dxa"/>
            <w:noWrap/>
            <w:vAlign w:val="center"/>
            <w:hideMark/>
          </w:tcPr>
          <w:p w14:paraId="5680DA69" w14:textId="77777777" w:rsidR="009F38EA" w:rsidRPr="009F38EA" w:rsidRDefault="009F38EA" w:rsidP="00B558B7">
            <w:pPr>
              <w:pStyle w:val="TekstTabeli"/>
            </w:pPr>
            <w:r w:rsidRPr="009F38EA">
              <w:t>supplier</w:t>
            </w:r>
          </w:p>
        </w:tc>
        <w:tc>
          <w:tcPr>
            <w:tcW w:w="3969" w:type="dxa"/>
            <w:noWrap/>
            <w:vAlign w:val="center"/>
            <w:hideMark/>
          </w:tcPr>
          <w:p w14:paraId="2847DCAA" w14:textId="77777777" w:rsidR="009F38EA" w:rsidRPr="009F38EA" w:rsidRDefault="009F38EA" w:rsidP="00B558B7">
            <w:pPr>
              <w:pStyle w:val="TekstTabeli"/>
            </w:pPr>
            <w:r w:rsidRPr="009F38EA">
              <w:t>0</w:t>
            </w:r>
          </w:p>
        </w:tc>
      </w:tr>
      <w:tr w:rsidR="009F38EA" w:rsidRPr="009F38EA" w14:paraId="56354B7A" w14:textId="77777777" w:rsidTr="009F38EA">
        <w:trPr>
          <w:cantSplit/>
          <w:trHeight w:val="285"/>
        </w:trPr>
        <w:tc>
          <w:tcPr>
            <w:tcW w:w="567" w:type="dxa"/>
            <w:noWrap/>
            <w:vAlign w:val="center"/>
            <w:hideMark/>
          </w:tcPr>
          <w:p w14:paraId="79C3C78E" w14:textId="77777777" w:rsidR="009F38EA" w:rsidRPr="009F38EA" w:rsidRDefault="009F38EA" w:rsidP="00B558B7">
            <w:pPr>
              <w:pStyle w:val="TekstTabeli"/>
            </w:pPr>
            <w:r w:rsidRPr="009F38EA">
              <w:t>275</w:t>
            </w:r>
          </w:p>
        </w:tc>
        <w:tc>
          <w:tcPr>
            <w:tcW w:w="4479" w:type="dxa"/>
            <w:noWrap/>
            <w:vAlign w:val="center"/>
            <w:hideMark/>
          </w:tcPr>
          <w:p w14:paraId="66CB7B7C" w14:textId="77777777" w:rsidR="009F38EA" w:rsidRPr="009F38EA" w:rsidRDefault="009F38EA" w:rsidP="00B558B7">
            <w:pPr>
              <w:pStyle w:val="TekstTabeli"/>
            </w:pPr>
            <w:r w:rsidRPr="009F38EA">
              <w:t>supplier organizations</w:t>
            </w:r>
          </w:p>
        </w:tc>
        <w:tc>
          <w:tcPr>
            <w:tcW w:w="3969" w:type="dxa"/>
            <w:noWrap/>
            <w:vAlign w:val="center"/>
            <w:hideMark/>
          </w:tcPr>
          <w:p w14:paraId="274D2947" w14:textId="77777777" w:rsidR="009F38EA" w:rsidRPr="009F38EA" w:rsidRDefault="009F38EA" w:rsidP="00B558B7">
            <w:pPr>
              <w:pStyle w:val="TekstTabeli"/>
            </w:pPr>
            <w:r w:rsidRPr="009F38EA">
              <w:t>1</w:t>
            </w:r>
          </w:p>
        </w:tc>
      </w:tr>
      <w:tr w:rsidR="009F38EA" w:rsidRPr="009F38EA" w14:paraId="51B50DEF" w14:textId="77777777" w:rsidTr="009F38EA">
        <w:trPr>
          <w:cantSplit/>
          <w:trHeight w:val="285"/>
        </w:trPr>
        <w:tc>
          <w:tcPr>
            <w:tcW w:w="567" w:type="dxa"/>
            <w:noWrap/>
            <w:vAlign w:val="center"/>
            <w:hideMark/>
          </w:tcPr>
          <w:p w14:paraId="559D7A7C" w14:textId="77777777" w:rsidR="009F38EA" w:rsidRPr="009F38EA" w:rsidRDefault="009F38EA" w:rsidP="00B558B7">
            <w:pPr>
              <w:pStyle w:val="TekstTabeli"/>
            </w:pPr>
            <w:r w:rsidRPr="009F38EA">
              <w:t>276</w:t>
            </w:r>
          </w:p>
        </w:tc>
        <w:tc>
          <w:tcPr>
            <w:tcW w:w="4479" w:type="dxa"/>
            <w:noWrap/>
            <w:vAlign w:val="center"/>
            <w:hideMark/>
          </w:tcPr>
          <w:p w14:paraId="1570C7DB" w14:textId="77777777" w:rsidR="009F38EA" w:rsidRPr="009F38EA" w:rsidRDefault="009F38EA" w:rsidP="00B558B7">
            <w:pPr>
              <w:pStyle w:val="TekstTabeli"/>
            </w:pPr>
            <w:r w:rsidRPr="009F38EA">
              <w:t>suppliers</w:t>
            </w:r>
          </w:p>
        </w:tc>
        <w:tc>
          <w:tcPr>
            <w:tcW w:w="3969" w:type="dxa"/>
            <w:noWrap/>
            <w:vAlign w:val="center"/>
            <w:hideMark/>
          </w:tcPr>
          <w:p w14:paraId="22AFEA1D" w14:textId="77777777" w:rsidR="009F38EA" w:rsidRPr="009F38EA" w:rsidRDefault="009F38EA" w:rsidP="00B558B7">
            <w:pPr>
              <w:pStyle w:val="TekstTabeli"/>
            </w:pPr>
            <w:r w:rsidRPr="009F38EA">
              <w:t>1</w:t>
            </w:r>
          </w:p>
        </w:tc>
      </w:tr>
      <w:tr w:rsidR="009F38EA" w:rsidRPr="009F38EA" w14:paraId="31071CC7" w14:textId="77777777" w:rsidTr="009F38EA">
        <w:trPr>
          <w:cantSplit/>
          <w:trHeight w:val="285"/>
        </w:trPr>
        <w:tc>
          <w:tcPr>
            <w:tcW w:w="567" w:type="dxa"/>
            <w:noWrap/>
            <w:vAlign w:val="center"/>
            <w:hideMark/>
          </w:tcPr>
          <w:p w14:paraId="29E47AE5" w14:textId="77777777" w:rsidR="009F38EA" w:rsidRPr="009F38EA" w:rsidRDefault="009F38EA" w:rsidP="00B558B7">
            <w:pPr>
              <w:pStyle w:val="TekstTabeli"/>
            </w:pPr>
            <w:r w:rsidRPr="009F38EA">
              <w:t>277</w:t>
            </w:r>
          </w:p>
        </w:tc>
        <w:tc>
          <w:tcPr>
            <w:tcW w:w="4479" w:type="dxa"/>
            <w:noWrap/>
            <w:vAlign w:val="center"/>
            <w:hideMark/>
          </w:tcPr>
          <w:p w14:paraId="3D4B5A57" w14:textId="77777777" w:rsidR="009F38EA" w:rsidRPr="009F38EA" w:rsidRDefault="009F38EA" w:rsidP="00B558B7">
            <w:pPr>
              <w:pStyle w:val="TekstTabeli"/>
            </w:pPr>
            <w:r w:rsidRPr="009F38EA">
              <w:t>tax</w:t>
            </w:r>
          </w:p>
        </w:tc>
        <w:tc>
          <w:tcPr>
            <w:tcW w:w="3969" w:type="dxa"/>
            <w:noWrap/>
            <w:vAlign w:val="center"/>
            <w:hideMark/>
          </w:tcPr>
          <w:p w14:paraId="0ED58976" w14:textId="77777777" w:rsidR="009F38EA" w:rsidRPr="009F38EA" w:rsidRDefault="009F38EA" w:rsidP="00B558B7">
            <w:pPr>
              <w:pStyle w:val="TekstTabeli"/>
            </w:pPr>
            <w:r w:rsidRPr="009F38EA">
              <w:t>0</w:t>
            </w:r>
          </w:p>
        </w:tc>
      </w:tr>
      <w:tr w:rsidR="009F38EA" w:rsidRPr="009F38EA" w14:paraId="38693697" w14:textId="77777777" w:rsidTr="009F38EA">
        <w:trPr>
          <w:cantSplit/>
          <w:trHeight w:val="285"/>
        </w:trPr>
        <w:tc>
          <w:tcPr>
            <w:tcW w:w="567" w:type="dxa"/>
            <w:noWrap/>
            <w:vAlign w:val="center"/>
            <w:hideMark/>
          </w:tcPr>
          <w:p w14:paraId="78E7DEDF" w14:textId="77777777" w:rsidR="009F38EA" w:rsidRPr="009F38EA" w:rsidRDefault="009F38EA" w:rsidP="00B558B7">
            <w:pPr>
              <w:pStyle w:val="TekstTabeli"/>
            </w:pPr>
            <w:r w:rsidRPr="009F38EA">
              <w:t>278</w:t>
            </w:r>
          </w:p>
        </w:tc>
        <w:tc>
          <w:tcPr>
            <w:tcW w:w="4479" w:type="dxa"/>
            <w:noWrap/>
            <w:vAlign w:val="center"/>
            <w:hideMark/>
          </w:tcPr>
          <w:p w14:paraId="725E1662" w14:textId="77777777" w:rsidR="009F38EA" w:rsidRPr="009F38EA" w:rsidRDefault="009F38EA" w:rsidP="00B558B7">
            <w:pPr>
              <w:pStyle w:val="TekstTabeli"/>
            </w:pPr>
            <w:r w:rsidRPr="009F38EA">
              <w:t>taxpayers</w:t>
            </w:r>
          </w:p>
        </w:tc>
        <w:tc>
          <w:tcPr>
            <w:tcW w:w="3969" w:type="dxa"/>
            <w:noWrap/>
            <w:vAlign w:val="center"/>
            <w:hideMark/>
          </w:tcPr>
          <w:p w14:paraId="1E8D93BB" w14:textId="77777777" w:rsidR="009F38EA" w:rsidRPr="009F38EA" w:rsidRDefault="009F38EA" w:rsidP="00B558B7">
            <w:pPr>
              <w:pStyle w:val="TekstTabeli"/>
            </w:pPr>
            <w:r w:rsidRPr="009F38EA">
              <w:t>1</w:t>
            </w:r>
          </w:p>
        </w:tc>
      </w:tr>
      <w:tr w:rsidR="009F38EA" w:rsidRPr="009F38EA" w14:paraId="3DCB08A5" w14:textId="77777777" w:rsidTr="009F38EA">
        <w:trPr>
          <w:cantSplit/>
          <w:trHeight w:val="285"/>
        </w:trPr>
        <w:tc>
          <w:tcPr>
            <w:tcW w:w="567" w:type="dxa"/>
            <w:noWrap/>
            <w:vAlign w:val="center"/>
            <w:hideMark/>
          </w:tcPr>
          <w:p w14:paraId="37600789" w14:textId="77777777" w:rsidR="009F38EA" w:rsidRPr="009F38EA" w:rsidRDefault="009F38EA" w:rsidP="00B558B7">
            <w:pPr>
              <w:pStyle w:val="TekstTabeli"/>
            </w:pPr>
            <w:r w:rsidRPr="009F38EA">
              <w:t>279</w:t>
            </w:r>
          </w:p>
        </w:tc>
        <w:tc>
          <w:tcPr>
            <w:tcW w:w="4479" w:type="dxa"/>
            <w:noWrap/>
            <w:vAlign w:val="center"/>
            <w:hideMark/>
          </w:tcPr>
          <w:p w14:paraId="7A0DF3F3" w14:textId="77777777" w:rsidR="009F38EA" w:rsidRPr="009F38EA" w:rsidRDefault="009F38EA" w:rsidP="00B558B7">
            <w:pPr>
              <w:pStyle w:val="TekstTabeli"/>
            </w:pPr>
            <w:r w:rsidRPr="009F38EA">
              <w:t>teacher</w:t>
            </w:r>
          </w:p>
        </w:tc>
        <w:tc>
          <w:tcPr>
            <w:tcW w:w="3969" w:type="dxa"/>
            <w:noWrap/>
            <w:vAlign w:val="center"/>
            <w:hideMark/>
          </w:tcPr>
          <w:p w14:paraId="0454A1AC" w14:textId="77777777" w:rsidR="009F38EA" w:rsidRPr="009F38EA" w:rsidRDefault="009F38EA" w:rsidP="00B558B7">
            <w:pPr>
              <w:pStyle w:val="TekstTabeli"/>
            </w:pPr>
            <w:r w:rsidRPr="009F38EA">
              <w:t>2</w:t>
            </w:r>
          </w:p>
        </w:tc>
      </w:tr>
      <w:tr w:rsidR="009F38EA" w:rsidRPr="009F38EA" w14:paraId="426B729E" w14:textId="77777777" w:rsidTr="009F38EA">
        <w:trPr>
          <w:cantSplit/>
          <w:trHeight w:val="285"/>
        </w:trPr>
        <w:tc>
          <w:tcPr>
            <w:tcW w:w="567" w:type="dxa"/>
            <w:noWrap/>
            <w:vAlign w:val="center"/>
            <w:hideMark/>
          </w:tcPr>
          <w:p w14:paraId="31176E85" w14:textId="77777777" w:rsidR="009F38EA" w:rsidRPr="009F38EA" w:rsidRDefault="009F38EA" w:rsidP="00B558B7">
            <w:pPr>
              <w:pStyle w:val="TekstTabeli"/>
            </w:pPr>
            <w:r w:rsidRPr="009F38EA">
              <w:t>280</w:t>
            </w:r>
          </w:p>
        </w:tc>
        <w:tc>
          <w:tcPr>
            <w:tcW w:w="4479" w:type="dxa"/>
            <w:noWrap/>
            <w:vAlign w:val="center"/>
            <w:hideMark/>
          </w:tcPr>
          <w:p w14:paraId="6AF7B037" w14:textId="77777777" w:rsidR="009F38EA" w:rsidRPr="009F38EA" w:rsidRDefault="009F38EA" w:rsidP="00B558B7">
            <w:pPr>
              <w:pStyle w:val="TekstTabeli"/>
            </w:pPr>
            <w:r w:rsidRPr="009F38EA">
              <w:t>teachers</w:t>
            </w:r>
          </w:p>
        </w:tc>
        <w:tc>
          <w:tcPr>
            <w:tcW w:w="3969" w:type="dxa"/>
            <w:noWrap/>
            <w:vAlign w:val="center"/>
            <w:hideMark/>
          </w:tcPr>
          <w:p w14:paraId="3B302E42" w14:textId="77777777" w:rsidR="009F38EA" w:rsidRPr="009F38EA" w:rsidRDefault="009F38EA" w:rsidP="00B558B7">
            <w:pPr>
              <w:pStyle w:val="TekstTabeli"/>
            </w:pPr>
            <w:r w:rsidRPr="009F38EA">
              <w:t>27</w:t>
            </w:r>
          </w:p>
        </w:tc>
      </w:tr>
      <w:tr w:rsidR="009F38EA" w:rsidRPr="009F38EA" w14:paraId="26397D6D" w14:textId="77777777" w:rsidTr="009F38EA">
        <w:trPr>
          <w:cantSplit/>
          <w:trHeight w:val="285"/>
        </w:trPr>
        <w:tc>
          <w:tcPr>
            <w:tcW w:w="567" w:type="dxa"/>
            <w:noWrap/>
            <w:vAlign w:val="center"/>
            <w:hideMark/>
          </w:tcPr>
          <w:p w14:paraId="2F18ECAB" w14:textId="77777777" w:rsidR="009F38EA" w:rsidRPr="009F38EA" w:rsidRDefault="009F38EA" w:rsidP="00B558B7">
            <w:pPr>
              <w:pStyle w:val="TekstTabeli"/>
            </w:pPr>
            <w:r w:rsidRPr="009F38EA">
              <w:t>281</w:t>
            </w:r>
          </w:p>
        </w:tc>
        <w:tc>
          <w:tcPr>
            <w:tcW w:w="4479" w:type="dxa"/>
            <w:noWrap/>
            <w:vAlign w:val="center"/>
            <w:hideMark/>
          </w:tcPr>
          <w:p w14:paraId="6A3C2AB8" w14:textId="77777777" w:rsidR="009F38EA" w:rsidRPr="009F38EA" w:rsidRDefault="009F38EA" w:rsidP="00B558B7">
            <w:pPr>
              <w:pStyle w:val="TekstTabeli"/>
            </w:pPr>
            <w:r w:rsidRPr="009F38EA">
              <w:t>technology transfer offices</w:t>
            </w:r>
          </w:p>
        </w:tc>
        <w:tc>
          <w:tcPr>
            <w:tcW w:w="3969" w:type="dxa"/>
            <w:noWrap/>
            <w:vAlign w:val="center"/>
            <w:hideMark/>
          </w:tcPr>
          <w:p w14:paraId="213FC371" w14:textId="77777777" w:rsidR="009F38EA" w:rsidRPr="009F38EA" w:rsidRDefault="009F38EA" w:rsidP="00B558B7">
            <w:pPr>
              <w:pStyle w:val="TekstTabeli"/>
            </w:pPr>
            <w:r w:rsidRPr="009F38EA">
              <w:t>2</w:t>
            </w:r>
          </w:p>
        </w:tc>
      </w:tr>
      <w:tr w:rsidR="009F38EA" w:rsidRPr="009F38EA" w14:paraId="6A319619" w14:textId="77777777" w:rsidTr="009F38EA">
        <w:trPr>
          <w:cantSplit/>
          <w:trHeight w:val="285"/>
        </w:trPr>
        <w:tc>
          <w:tcPr>
            <w:tcW w:w="567" w:type="dxa"/>
            <w:noWrap/>
            <w:vAlign w:val="center"/>
            <w:hideMark/>
          </w:tcPr>
          <w:p w14:paraId="068D7AFE" w14:textId="77777777" w:rsidR="009F38EA" w:rsidRPr="009F38EA" w:rsidRDefault="009F38EA" w:rsidP="00B558B7">
            <w:pPr>
              <w:pStyle w:val="TekstTabeli"/>
            </w:pPr>
            <w:r w:rsidRPr="009F38EA">
              <w:t>282</w:t>
            </w:r>
          </w:p>
        </w:tc>
        <w:tc>
          <w:tcPr>
            <w:tcW w:w="4479" w:type="dxa"/>
            <w:noWrap/>
            <w:vAlign w:val="center"/>
            <w:hideMark/>
          </w:tcPr>
          <w:p w14:paraId="7CB4252E" w14:textId="77777777" w:rsidR="009F38EA" w:rsidRPr="009F38EA" w:rsidRDefault="009F38EA" w:rsidP="00B558B7">
            <w:pPr>
              <w:pStyle w:val="TekstTabeli"/>
            </w:pPr>
            <w:r w:rsidRPr="009F38EA">
              <w:t>unions</w:t>
            </w:r>
          </w:p>
        </w:tc>
        <w:tc>
          <w:tcPr>
            <w:tcW w:w="3969" w:type="dxa"/>
            <w:noWrap/>
            <w:vAlign w:val="center"/>
            <w:hideMark/>
          </w:tcPr>
          <w:p w14:paraId="26035DC8" w14:textId="77777777" w:rsidR="009F38EA" w:rsidRPr="009F38EA" w:rsidRDefault="009F38EA" w:rsidP="00B558B7">
            <w:pPr>
              <w:pStyle w:val="TekstTabeli"/>
            </w:pPr>
            <w:r w:rsidRPr="009F38EA">
              <w:t>4</w:t>
            </w:r>
          </w:p>
        </w:tc>
      </w:tr>
      <w:tr w:rsidR="009F38EA" w:rsidRPr="009F38EA" w14:paraId="0287C7D1" w14:textId="77777777" w:rsidTr="009F38EA">
        <w:trPr>
          <w:cantSplit/>
          <w:trHeight w:val="285"/>
        </w:trPr>
        <w:tc>
          <w:tcPr>
            <w:tcW w:w="567" w:type="dxa"/>
            <w:noWrap/>
            <w:vAlign w:val="center"/>
            <w:hideMark/>
          </w:tcPr>
          <w:p w14:paraId="0B583220" w14:textId="77777777" w:rsidR="009F38EA" w:rsidRPr="009F38EA" w:rsidRDefault="009F38EA" w:rsidP="00B558B7">
            <w:pPr>
              <w:pStyle w:val="TekstTabeli"/>
            </w:pPr>
            <w:r w:rsidRPr="009F38EA">
              <w:t>283</w:t>
            </w:r>
          </w:p>
        </w:tc>
        <w:tc>
          <w:tcPr>
            <w:tcW w:w="4479" w:type="dxa"/>
            <w:noWrap/>
            <w:vAlign w:val="center"/>
            <w:hideMark/>
          </w:tcPr>
          <w:p w14:paraId="51879E76" w14:textId="77777777" w:rsidR="009F38EA" w:rsidRPr="009F38EA" w:rsidRDefault="009F38EA" w:rsidP="00B558B7">
            <w:pPr>
              <w:pStyle w:val="TekstTabeli"/>
            </w:pPr>
            <w:r w:rsidRPr="009F38EA">
              <w:t>students’ unions</w:t>
            </w:r>
          </w:p>
        </w:tc>
        <w:tc>
          <w:tcPr>
            <w:tcW w:w="3969" w:type="dxa"/>
            <w:noWrap/>
            <w:vAlign w:val="center"/>
            <w:hideMark/>
          </w:tcPr>
          <w:p w14:paraId="5AD6EE7B" w14:textId="77777777" w:rsidR="009F38EA" w:rsidRPr="009F38EA" w:rsidRDefault="009F38EA" w:rsidP="00B558B7">
            <w:pPr>
              <w:pStyle w:val="TekstTabeli"/>
            </w:pPr>
            <w:r w:rsidRPr="009F38EA">
              <w:t>1</w:t>
            </w:r>
          </w:p>
        </w:tc>
      </w:tr>
      <w:tr w:rsidR="009F38EA" w:rsidRPr="009F38EA" w14:paraId="2BE98E26" w14:textId="77777777" w:rsidTr="009F38EA">
        <w:trPr>
          <w:cantSplit/>
          <w:trHeight w:val="285"/>
        </w:trPr>
        <w:tc>
          <w:tcPr>
            <w:tcW w:w="567" w:type="dxa"/>
            <w:noWrap/>
            <w:vAlign w:val="center"/>
            <w:hideMark/>
          </w:tcPr>
          <w:p w14:paraId="2E095C51" w14:textId="77777777" w:rsidR="009F38EA" w:rsidRPr="009F38EA" w:rsidRDefault="009F38EA" w:rsidP="00B558B7">
            <w:pPr>
              <w:pStyle w:val="TekstTabeli"/>
            </w:pPr>
            <w:r w:rsidRPr="009F38EA">
              <w:t>284</w:t>
            </w:r>
          </w:p>
        </w:tc>
        <w:tc>
          <w:tcPr>
            <w:tcW w:w="4479" w:type="dxa"/>
            <w:noWrap/>
            <w:vAlign w:val="center"/>
            <w:hideMark/>
          </w:tcPr>
          <w:p w14:paraId="38275C88" w14:textId="77777777" w:rsidR="009F38EA" w:rsidRPr="009F38EA" w:rsidRDefault="009F38EA" w:rsidP="00B558B7">
            <w:pPr>
              <w:pStyle w:val="TekstTabeli"/>
            </w:pPr>
            <w:r w:rsidRPr="009F38EA">
              <w:t>trade unions</w:t>
            </w:r>
          </w:p>
        </w:tc>
        <w:tc>
          <w:tcPr>
            <w:tcW w:w="3969" w:type="dxa"/>
            <w:noWrap/>
            <w:vAlign w:val="center"/>
            <w:hideMark/>
          </w:tcPr>
          <w:p w14:paraId="5915945D" w14:textId="77777777" w:rsidR="009F38EA" w:rsidRPr="009F38EA" w:rsidRDefault="009F38EA" w:rsidP="00B558B7">
            <w:pPr>
              <w:pStyle w:val="TekstTabeli"/>
            </w:pPr>
            <w:r w:rsidRPr="009F38EA">
              <w:t>1</w:t>
            </w:r>
          </w:p>
        </w:tc>
      </w:tr>
      <w:tr w:rsidR="009F38EA" w:rsidRPr="009F38EA" w14:paraId="246231E8" w14:textId="77777777" w:rsidTr="009F38EA">
        <w:trPr>
          <w:cantSplit/>
          <w:trHeight w:val="285"/>
        </w:trPr>
        <w:tc>
          <w:tcPr>
            <w:tcW w:w="567" w:type="dxa"/>
            <w:noWrap/>
            <w:vAlign w:val="center"/>
            <w:hideMark/>
          </w:tcPr>
          <w:p w14:paraId="39FF23E4" w14:textId="77777777" w:rsidR="009F38EA" w:rsidRPr="009F38EA" w:rsidRDefault="009F38EA" w:rsidP="004C1815">
            <w:pPr>
              <w:pStyle w:val="TekstTabeli"/>
              <w:keepNext/>
            </w:pPr>
            <w:r w:rsidRPr="009F38EA">
              <w:t>285</w:t>
            </w:r>
          </w:p>
        </w:tc>
        <w:tc>
          <w:tcPr>
            <w:tcW w:w="4479" w:type="dxa"/>
            <w:noWrap/>
            <w:vAlign w:val="center"/>
            <w:hideMark/>
          </w:tcPr>
          <w:p w14:paraId="0C10C4BD" w14:textId="77777777" w:rsidR="009F38EA" w:rsidRPr="009F38EA" w:rsidRDefault="009F38EA" w:rsidP="004C1815">
            <w:pPr>
              <w:pStyle w:val="TekstTabeli"/>
              <w:keepNext/>
            </w:pPr>
            <w:r w:rsidRPr="009F38EA">
              <w:t>young people</w:t>
            </w:r>
          </w:p>
        </w:tc>
        <w:tc>
          <w:tcPr>
            <w:tcW w:w="3969" w:type="dxa"/>
            <w:noWrap/>
            <w:vAlign w:val="center"/>
            <w:hideMark/>
          </w:tcPr>
          <w:p w14:paraId="7A583124" w14:textId="77777777" w:rsidR="009F38EA" w:rsidRPr="009F38EA" w:rsidRDefault="009F38EA" w:rsidP="004C1815">
            <w:pPr>
              <w:pStyle w:val="TekstTabeli"/>
              <w:keepNext/>
            </w:pPr>
            <w:r w:rsidRPr="009F38EA">
              <w:t>4</w:t>
            </w:r>
          </w:p>
        </w:tc>
      </w:tr>
    </w:tbl>
    <w:p w14:paraId="12F60104" w14:textId="7A2CF946" w:rsidR="007C7E94" w:rsidRDefault="009F38EA" w:rsidP="007770AA">
      <w:pPr>
        <w:pStyle w:val="rdo"/>
      </w:pPr>
      <w:r>
        <w:t>Źródło: opracowanie własne</w:t>
      </w:r>
    </w:p>
    <w:p w14:paraId="2E0E038F" w14:textId="77777777" w:rsidR="00BC6853" w:rsidRDefault="00BC6853" w:rsidP="007770AA">
      <w:pPr>
        <w:pStyle w:val="rdo"/>
        <w:sectPr w:rsidR="00BC6853" w:rsidSect="00083014">
          <w:pgSz w:w="11906" w:h="16838"/>
          <w:pgMar w:top="1417" w:right="1417" w:bottom="1417" w:left="1417" w:header="708" w:footer="708" w:gutter="0"/>
          <w:cols w:space="708"/>
          <w:docGrid w:linePitch="360"/>
        </w:sectPr>
      </w:pPr>
    </w:p>
    <w:p w14:paraId="60C88360" w14:textId="19A849D5" w:rsidR="00BC6853" w:rsidRDefault="00BC6853" w:rsidP="00BC6853">
      <w:pPr>
        <w:pStyle w:val="Nagwek1"/>
        <w:numPr>
          <w:ilvl w:val="0"/>
          <w:numId w:val="0"/>
        </w:numPr>
        <w:ind w:left="432"/>
      </w:pPr>
      <w:r>
        <w:lastRenderedPageBreak/>
        <w:t xml:space="preserve">Załącznik 7 </w:t>
      </w:r>
      <w:r w:rsidR="00B12AF3">
        <w:t xml:space="preserve">– </w:t>
      </w:r>
      <w:r>
        <w:t>Diagram Modelu Doskonalenia Systemu Zarządzania Jakością Uczelni Inspirowanego Satysfakcją Interesariuszy wraz ze szczegółowym opisem etapów Modelu</w:t>
      </w:r>
    </w:p>
    <w:p w14:paraId="74AE2DCF" w14:textId="4CA19AF2" w:rsidR="00BC6853" w:rsidRDefault="00BC6853" w:rsidP="00BC6853">
      <w:commentRangeStart w:id="161"/>
      <w:r>
        <w:t>Wstawić obraz SSDQM_HQ</w:t>
      </w:r>
      <w:commentRangeEnd w:id="161"/>
      <w:r>
        <w:rPr>
          <w:rStyle w:val="Odwoaniedokomentarza"/>
          <w:rFonts w:ascii="Times New Roman" w:eastAsia="Times New Roman" w:hAnsi="Times New Roman"/>
          <w:szCs w:val="20"/>
          <w:lang w:eastAsia="pl-PL"/>
        </w:rPr>
        <w:commentReference w:id="161"/>
      </w:r>
    </w:p>
    <w:p w14:paraId="514A9213" w14:textId="6F450BB4" w:rsidR="00BC6853" w:rsidRDefault="00BC6853">
      <w:pPr>
        <w:spacing w:before="0" w:line="240" w:lineRule="auto"/>
        <w:ind w:firstLine="0"/>
        <w:jc w:val="left"/>
      </w:pPr>
      <w:r>
        <w:br w:type="page"/>
      </w:r>
    </w:p>
    <w:p w14:paraId="174E6C47" w14:textId="0E9A1B65" w:rsidR="00BC6853" w:rsidRPr="000B1253" w:rsidRDefault="00BC6853" w:rsidP="00BC6853">
      <w:pPr>
        <w:rPr>
          <w:b/>
          <w:bCs/>
        </w:rPr>
      </w:pPr>
      <w:r w:rsidRPr="000B1253">
        <w:rPr>
          <w:b/>
          <w:bCs/>
        </w:rPr>
        <w:lastRenderedPageBreak/>
        <w:t xml:space="preserve">Lista etapów </w:t>
      </w:r>
      <w:r w:rsidR="00DE5B26">
        <w:rPr>
          <w:b/>
          <w:bCs/>
        </w:rPr>
        <w:t>m</w:t>
      </w:r>
      <w:r w:rsidRPr="000B1253">
        <w:rPr>
          <w:b/>
          <w:bCs/>
        </w:rPr>
        <w:t xml:space="preserve">odelu </w:t>
      </w:r>
      <w:r w:rsidR="00DE5B26">
        <w:rPr>
          <w:b/>
          <w:bCs/>
        </w:rPr>
        <w:t xml:space="preserve">SSDQM </w:t>
      </w:r>
      <w:r w:rsidRPr="000B1253">
        <w:rPr>
          <w:b/>
          <w:bCs/>
        </w:rPr>
        <w:t>ze szczegółowymi nazwami:</w:t>
      </w:r>
    </w:p>
    <w:p w14:paraId="71C04BFF" w14:textId="77777777" w:rsidR="00BC6853" w:rsidRDefault="00BC6853" w:rsidP="002D3260">
      <w:pPr>
        <w:pStyle w:val="Akapitzlist"/>
        <w:numPr>
          <w:ilvl w:val="0"/>
          <w:numId w:val="52"/>
        </w:numPr>
      </w:pPr>
      <w:r>
        <w:t>Identyfikacja misji, wizji i celów uczelni ze szczególnym uwzględnieniem roli interesariuszy w systemie zarządzania jakością.</w:t>
      </w:r>
    </w:p>
    <w:p w14:paraId="79307769" w14:textId="1E3E1AFD" w:rsidR="00BC6853" w:rsidRDefault="00BC6853" w:rsidP="002D3260">
      <w:pPr>
        <w:pStyle w:val="Akapitzlist"/>
        <w:numPr>
          <w:ilvl w:val="0"/>
          <w:numId w:val="52"/>
        </w:numPr>
      </w:pPr>
      <w:r>
        <w:t>Identyfikacja istotnych interesariuszy (zastosowanie metod identyfikacji i analizy interesariuszy opisanych w rozdz.</w:t>
      </w:r>
      <w:r w:rsidR="000B58A9">
        <w:t xml:space="preserve"> </w:t>
      </w:r>
      <w:r w:rsidR="000B58A9" w:rsidRPr="000B58A9">
        <w:rPr>
          <w:color w:val="FF0000"/>
          <w:szCs w:val="20"/>
        </w:rPr>
        <w:fldChar w:fldCharType="begin"/>
      </w:r>
      <w:r w:rsidR="000B58A9" w:rsidRPr="000B58A9">
        <w:rPr>
          <w:szCs w:val="20"/>
        </w:rPr>
        <w:instrText xml:space="preserve"> REF _Ref140912412 \r \h </w:instrText>
      </w:r>
      <w:r w:rsidR="000B58A9">
        <w:rPr>
          <w:color w:val="FF0000"/>
          <w:szCs w:val="20"/>
        </w:rPr>
        <w:instrText xml:space="preserve"> \* MERGEFORMAT </w:instrText>
      </w:r>
      <w:r w:rsidR="000B58A9" w:rsidRPr="000B58A9">
        <w:rPr>
          <w:color w:val="FF0000"/>
          <w:szCs w:val="20"/>
        </w:rPr>
      </w:r>
      <w:r w:rsidR="000B58A9" w:rsidRPr="000B58A9">
        <w:rPr>
          <w:color w:val="FF0000"/>
          <w:szCs w:val="20"/>
        </w:rPr>
        <w:fldChar w:fldCharType="separate"/>
      </w:r>
      <w:r w:rsidR="009E351C">
        <w:rPr>
          <w:szCs w:val="20"/>
        </w:rPr>
        <w:t>1.5</w:t>
      </w:r>
      <w:r w:rsidR="000B58A9" w:rsidRPr="000B58A9">
        <w:rPr>
          <w:color w:val="FF0000"/>
          <w:szCs w:val="20"/>
        </w:rPr>
        <w:fldChar w:fldCharType="end"/>
      </w:r>
      <w:r>
        <w:t>)</w:t>
      </w:r>
    </w:p>
    <w:p w14:paraId="5361E810" w14:textId="01E2EB0D" w:rsidR="00BC6853" w:rsidRDefault="00BC6853" w:rsidP="002D3260">
      <w:pPr>
        <w:pStyle w:val="Akapitzlist"/>
        <w:numPr>
          <w:ilvl w:val="1"/>
          <w:numId w:val="52"/>
        </w:numPr>
      </w:pPr>
      <w:r>
        <w:t xml:space="preserve">Analiza szerokiego spektrum potencjalnych interesariuszy uczelni (m.in. wykorzystanie listy z załącznika C do ISO 21001:2018 lub wyników analiz z </w:t>
      </w:r>
      <w:r w:rsidRPr="000B58A9">
        <w:rPr>
          <w:szCs w:val="20"/>
        </w:rPr>
        <w:t>rozdziału</w:t>
      </w:r>
      <w:r w:rsidR="000B58A9" w:rsidRPr="000B58A9">
        <w:rPr>
          <w:szCs w:val="20"/>
        </w:rPr>
        <w:t xml:space="preserve"> </w:t>
      </w:r>
      <w:r w:rsidR="000B58A9" w:rsidRPr="000B58A9">
        <w:rPr>
          <w:color w:val="FF0000"/>
          <w:szCs w:val="20"/>
        </w:rPr>
        <w:fldChar w:fldCharType="begin"/>
      </w:r>
      <w:r w:rsidR="000B58A9" w:rsidRPr="000B58A9">
        <w:rPr>
          <w:szCs w:val="20"/>
        </w:rPr>
        <w:instrText xml:space="preserve"> REF _Ref140912412 \r \h </w:instrText>
      </w:r>
      <w:r w:rsidR="000B58A9">
        <w:rPr>
          <w:color w:val="FF0000"/>
          <w:szCs w:val="20"/>
        </w:rPr>
        <w:instrText xml:space="preserve"> \* MERGEFORMAT </w:instrText>
      </w:r>
      <w:r w:rsidR="000B58A9" w:rsidRPr="000B58A9">
        <w:rPr>
          <w:color w:val="FF0000"/>
          <w:szCs w:val="20"/>
        </w:rPr>
      </w:r>
      <w:r w:rsidR="000B58A9" w:rsidRPr="000B58A9">
        <w:rPr>
          <w:color w:val="FF0000"/>
          <w:szCs w:val="20"/>
        </w:rPr>
        <w:fldChar w:fldCharType="separate"/>
      </w:r>
      <w:r w:rsidR="009E351C">
        <w:rPr>
          <w:szCs w:val="20"/>
        </w:rPr>
        <w:t>1.5</w:t>
      </w:r>
      <w:r w:rsidR="000B58A9" w:rsidRPr="000B58A9">
        <w:rPr>
          <w:color w:val="FF0000"/>
          <w:szCs w:val="20"/>
        </w:rPr>
        <w:fldChar w:fldCharType="end"/>
      </w:r>
      <w:r>
        <w:t>)</w:t>
      </w:r>
    </w:p>
    <w:p w14:paraId="6E107D75" w14:textId="77777777" w:rsidR="00BC6853" w:rsidRDefault="00BC6853" w:rsidP="002D3260">
      <w:pPr>
        <w:pStyle w:val="Akapitzlist"/>
        <w:numPr>
          <w:ilvl w:val="1"/>
          <w:numId w:val="52"/>
        </w:numPr>
      </w:pPr>
      <w:r>
        <w:t>Opis cech każdej z grup w celu ich odpowiedniej klasyfikacji</w:t>
      </w:r>
    </w:p>
    <w:p w14:paraId="09A9F4EF" w14:textId="77777777" w:rsidR="00BC6853" w:rsidRDefault="00BC6853" w:rsidP="002D3260">
      <w:pPr>
        <w:pStyle w:val="Akapitzlist"/>
        <w:numPr>
          <w:ilvl w:val="1"/>
          <w:numId w:val="52"/>
        </w:numPr>
      </w:pPr>
      <w:r>
        <w:t>Wybór najistotniejszych grup interesariuszy przy uwzględnieniu misji i celów organizacji</w:t>
      </w:r>
    </w:p>
    <w:p w14:paraId="58261903" w14:textId="77777777" w:rsidR="00BC6853" w:rsidRDefault="00BC6853" w:rsidP="002D3260">
      <w:pPr>
        <w:pStyle w:val="Akapitzlist"/>
        <w:numPr>
          <w:ilvl w:val="0"/>
          <w:numId w:val="52"/>
        </w:numPr>
      </w:pPr>
      <w:r>
        <w:t>Identyfikacja istotnych obszarów doskonalenia z punktu widzenia interesariuszy — badanie jakościowe</w:t>
      </w:r>
    </w:p>
    <w:p w14:paraId="489A7E07" w14:textId="77777777" w:rsidR="00BC6853" w:rsidRDefault="00BC6853" w:rsidP="002D3260">
      <w:pPr>
        <w:pStyle w:val="Akapitzlist"/>
        <w:numPr>
          <w:ilvl w:val="1"/>
          <w:numId w:val="52"/>
        </w:numPr>
      </w:pPr>
      <w:r>
        <w:t>Wybór celowy grupy respondentów do wywiadów jakościowych (z uwzględnieniem przedstawicieli władz uczelni oraz przedstawicieli wszystkich istotnych grup interesariuszy)</w:t>
      </w:r>
    </w:p>
    <w:p w14:paraId="69E1A8A2" w14:textId="77777777" w:rsidR="00BC6853" w:rsidRDefault="00BC6853" w:rsidP="002D3260">
      <w:pPr>
        <w:pStyle w:val="Akapitzlist"/>
        <w:numPr>
          <w:ilvl w:val="1"/>
          <w:numId w:val="52"/>
        </w:numPr>
      </w:pPr>
      <w:r>
        <w:t>Opracowanie planu wywiadów umożliwiającego osiągnięcie celu badania (identyfikacja obszarów doskonalenia istotnych z punktu widzenia interesariuszy)</w:t>
      </w:r>
    </w:p>
    <w:p w14:paraId="110F43BE" w14:textId="77777777" w:rsidR="00BC6853" w:rsidRDefault="00BC6853" w:rsidP="002D3260">
      <w:pPr>
        <w:pStyle w:val="Akapitzlist"/>
        <w:numPr>
          <w:ilvl w:val="1"/>
          <w:numId w:val="52"/>
        </w:numPr>
      </w:pPr>
      <w:r>
        <w:t>Przeprowadzenie wywiadów badania jakościowego</w:t>
      </w:r>
    </w:p>
    <w:p w14:paraId="11A6914A" w14:textId="77777777" w:rsidR="00BC6853" w:rsidRDefault="00BC6853" w:rsidP="002D3260">
      <w:pPr>
        <w:pStyle w:val="Akapitzlist"/>
        <w:numPr>
          <w:ilvl w:val="1"/>
          <w:numId w:val="52"/>
        </w:numPr>
      </w:pPr>
      <w:r>
        <w:t>Analiza wyników wywiadu, w tym określenie potencjalnie najistotniejszych obszarów doskonalenia z punktu widzenia interesariuszy</w:t>
      </w:r>
    </w:p>
    <w:p w14:paraId="3E207F60" w14:textId="77777777" w:rsidR="00BC6853" w:rsidRDefault="00BC6853" w:rsidP="002D3260">
      <w:pPr>
        <w:pStyle w:val="Akapitzlist"/>
        <w:numPr>
          <w:ilvl w:val="0"/>
          <w:numId w:val="52"/>
        </w:numPr>
      </w:pPr>
      <w:r>
        <w:t>Analiza zewnętrznych źródeł informacji potencjalnie skorelowanych z wynikami działań organizacji wobec interesariuszy (rankingi, ELA, inne dostępne wyniki zewnętrznych badań)</w:t>
      </w:r>
    </w:p>
    <w:p w14:paraId="7FC36841" w14:textId="77777777" w:rsidR="00BC6853" w:rsidRPr="007E3E7E" w:rsidRDefault="00BC6853" w:rsidP="002D3260">
      <w:pPr>
        <w:pStyle w:val="Akapitzlist"/>
        <w:numPr>
          <w:ilvl w:val="0"/>
          <w:numId w:val="52"/>
        </w:numPr>
      </w:pPr>
      <w:r w:rsidRPr="007E3E7E">
        <w:t>Statystyczna weryfikacja poziom</w:t>
      </w:r>
      <w:r>
        <w:t>u</w:t>
      </w:r>
      <w:r w:rsidRPr="007E3E7E">
        <w:t xml:space="preserve"> satysfakcji interesariuszy oraz istotności innych wniosków z</w:t>
      </w:r>
      <w:r>
        <w:t> </w:t>
      </w:r>
      <w:r w:rsidRPr="007E3E7E">
        <w:t>badania jakościowego</w:t>
      </w:r>
    </w:p>
    <w:p w14:paraId="0683726A" w14:textId="77777777" w:rsidR="00BC6853" w:rsidRPr="007E3E7E" w:rsidRDefault="00BC6853" w:rsidP="002D3260">
      <w:pPr>
        <w:pStyle w:val="Akapitzlist"/>
        <w:numPr>
          <w:ilvl w:val="1"/>
          <w:numId w:val="52"/>
        </w:numPr>
      </w:pPr>
      <w:r w:rsidRPr="007E3E7E">
        <w:t>Opracowanie narzędzia badawczego</w:t>
      </w:r>
    </w:p>
    <w:p w14:paraId="7BC8F617" w14:textId="77777777" w:rsidR="00BC6853" w:rsidRPr="007E3E7E" w:rsidRDefault="00BC6853" w:rsidP="002D3260">
      <w:pPr>
        <w:pStyle w:val="Akapitzlist"/>
        <w:numPr>
          <w:ilvl w:val="2"/>
          <w:numId w:val="52"/>
        </w:numPr>
      </w:pPr>
      <w:r w:rsidRPr="007E3E7E">
        <w:t>Wybór szczegółowych pytań pomiaru SSI (np. doprecyzowanie zakresów czasowych – sugerowane mierzenie satysfakcji absolwentów zaraz po ukończeniu studiów oraz co najmniej w 3 lata po ukończeniu studiów)</w:t>
      </w:r>
    </w:p>
    <w:p w14:paraId="6795C94A" w14:textId="6D7E6B78" w:rsidR="00BC6853" w:rsidRPr="007E3E7E" w:rsidRDefault="00BC6853" w:rsidP="002D3260">
      <w:pPr>
        <w:pStyle w:val="Akapitzlist"/>
        <w:numPr>
          <w:ilvl w:val="2"/>
          <w:numId w:val="52"/>
        </w:numPr>
      </w:pPr>
      <w:r w:rsidRPr="007E3E7E">
        <w:t xml:space="preserve">Opracowanie pytań dodatkowych </w:t>
      </w:r>
      <w:r w:rsidR="00EF354C">
        <w:t>(</w:t>
      </w:r>
      <w:r w:rsidRPr="007E3E7E">
        <w:t>pozwalających pozyskać odpowiedzi na istotne pytania wynikające z badania jakościowego</w:t>
      </w:r>
      <w:r w:rsidR="00EF354C">
        <w:t>)</w:t>
      </w:r>
    </w:p>
    <w:p w14:paraId="7857FC50" w14:textId="77777777" w:rsidR="00BC6853" w:rsidRPr="007E3E7E" w:rsidRDefault="00BC6853" w:rsidP="002D3260">
      <w:pPr>
        <w:pStyle w:val="Akapitzlist"/>
        <w:numPr>
          <w:ilvl w:val="1"/>
          <w:numId w:val="52"/>
        </w:numPr>
      </w:pPr>
      <w:r w:rsidRPr="007E3E7E">
        <w:t xml:space="preserve">Wybór metody doboru </w:t>
      </w:r>
      <w:r>
        <w:t xml:space="preserve">grupy </w:t>
      </w:r>
      <w:r w:rsidRPr="007E3E7E">
        <w:t xml:space="preserve">badawczej </w:t>
      </w:r>
      <w:r>
        <w:t>(</w:t>
      </w:r>
      <w:r w:rsidRPr="007E3E7E">
        <w:t xml:space="preserve">pozwalającej na uzyskanie wiarygodnych </w:t>
      </w:r>
      <w:r>
        <w:t xml:space="preserve">i </w:t>
      </w:r>
      <w:r w:rsidRPr="007E3E7E">
        <w:t>statystycznie istotnych odpowiedzi</w:t>
      </w:r>
      <w:r>
        <w:t>)</w:t>
      </w:r>
    </w:p>
    <w:p w14:paraId="6277807F" w14:textId="77777777" w:rsidR="00BC6853" w:rsidRPr="007E3E7E" w:rsidRDefault="00BC6853" w:rsidP="002D3260">
      <w:pPr>
        <w:pStyle w:val="Akapitzlist"/>
        <w:numPr>
          <w:ilvl w:val="1"/>
          <w:numId w:val="52"/>
        </w:numPr>
      </w:pPr>
      <w:r w:rsidRPr="007E3E7E">
        <w:t>Weryfikacja narzędzia pomiarowego poprzez przeprowadzenie badania pilotażowego</w:t>
      </w:r>
    </w:p>
    <w:p w14:paraId="1D8976A9" w14:textId="77777777" w:rsidR="00BC6853" w:rsidRPr="007E3E7E" w:rsidRDefault="00BC6853" w:rsidP="002D3260">
      <w:pPr>
        <w:pStyle w:val="Akapitzlist"/>
        <w:numPr>
          <w:ilvl w:val="1"/>
          <w:numId w:val="52"/>
        </w:numPr>
      </w:pPr>
      <w:r w:rsidRPr="007E3E7E">
        <w:t>Wprowadzenie ewentualnych korekt do narzędzia pomiarowego</w:t>
      </w:r>
    </w:p>
    <w:p w14:paraId="3D99E1CC" w14:textId="77777777" w:rsidR="00BC6853" w:rsidRPr="007E3E7E" w:rsidRDefault="00BC6853" w:rsidP="002D3260">
      <w:pPr>
        <w:pStyle w:val="Akapitzlist"/>
        <w:numPr>
          <w:ilvl w:val="1"/>
          <w:numId w:val="52"/>
        </w:numPr>
      </w:pPr>
      <w:r w:rsidRPr="007E3E7E">
        <w:t>Przeprowadzenie badania właściwego</w:t>
      </w:r>
    </w:p>
    <w:p w14:paraId="537835FC" w14:textId="77777777" w:rsidR="00BC6853" w:rsidRPr="007E3E7E" w:rsidRDefault="00BC6853" w:rsidP="002D3260">
      <w:pPr>
        <w:pStyle w:val="Akapitzlist"/>
        <w:numPr>
          <w:ilvl w:val="1"/>
          <w:numId w:val="52"/>
        </w:numPr>
      </w:pPr>
      <w:r w:rsidRPr="007E3E7E">
        <w:t>Analiza wyników badania</w:t>
      </w:r>
    </w:p>
    <w:p w14:paraId="45BBED72" w14:textId="77777777" w:rsidR="00BC6853" w:rsidRPr="007E3E7E" w:rsidRDefault="00BC6853" w:rsidP="002D3260">
      <w:pPr>
        <w:pStyle w:val="Akapitzlist"/>
        <w:numPr>
          <w:ilvl w:val="2"/>
          <w:numId w:val="52"/>
        </w:numPr>
      </w:pPr>
      <w:r w:rsidRPr="007E3E7E">
        <w:t>Weryfikacja reprezentatywności grupy badawczej</w:t>
      </w:r>
    </w:p>
    <w:p w14:paraId="559113A4" w14:textId="77777777" w:rsidR="00BC6853" w:rsidRDefault="00BC6853" w:rsidP="002D3260">
      <w:pPr>
        <w:pStyle w:val="Akapitzlist"/>
        <w:numPr>
          <w:ilvl w:val="2"/>
          <w:numId w:val="52"/>
        </w:numPr>
      </w:pPr>
      <w:r w:rsidRPr="007E3E7E">
        <w:t>Weryfikacji statystycznej istotności uzyskanych wyników</w:t>
      </w:r>
    </w:p>
    <w:p w14:paraId="39AB63A1" w14:textId="022FE547" w:rsidR="00BC6853" w:rsidRDefault="00FA3EFF" w:rsidP="002D3260">
      <w:pPr>
        <w:pStyle w:val="Akapitzlist"/>
        <w:numPr>
          <w:ilvl w:val="2"/>
          <w:numId w:val="52"/>
        </w:numPr>
      </w:pPr>
      <w:r w:rsidRPr="00FA3EFF">
        <w:t>Obliczenie miar istotnych wskaźników, w tym SSI (różnych jego wersji oraz innych istotnych wskaźników z punktu widzenia celu badania: np. IWRA, itp.)</w:t>
      </w:r>
    </w:p>
    <w:p w14:paraId="7F19E449" w14:textId="09D2F938" w:rsidR="00BC6853" w:rsidRPr="007E3E7E" w:rsidRDefault="00FA3EFF" w:rsidP="002D3260">
      <w:pPr>
        <w:pStyle w:val="Akapitzlist"/>
        <w:numPr>
          <w:ilvl w:val="2"/>
          <w:numId w:val="52"/>
        </w:numPr>
      </w:pPr>
      <w:r w:rsidRPr="00FA3EFF">
        <w:lastRenderedPageBreak/>
        <w:t>Analiza relacji wartości miar obliczonych na podstawie wyników badania z innymi miarami (odnoszącymi się do wyników organizacji, np. wskaźniki opracowane na podstawie rankingów, wskaźniki oceny prestiżu, itp.)</w:t>
      </w:r>
    </w:p>
    <w:p w14:paraId="1F57CBB1" w14:textId="77777777" w:rsidR="00BC6853" w:rsidRPr="007E3E7E" w:rsidRDefault="00BC6853" w:rsidP="002D3260">
      <w:pPr>
        <w:pStyle w:val="Akapitzlist"/>
        <w:numPr>
          <w:ilvl w:val="1"/>
          <w:numId w:val="52"/>
        </w:numPr>
      </w:pPr>
      <w:r w:rsidRPr="007E3E7E">
        <w:t>Opracowanie raportu z badania</w:t>
      </w:r>
    </w:p>
    <w:p w14:paraId="062E12DB" w14:textId="77777777" w:rsidR="00BC6853" w:rsidRDefault="00BC6853" w:rsidP="002D3260">
      <w:pPr>
        <w:pStyle w:val="Akapitzlist"/>
        <w:numPr>
          <w:ilvl w:val="0"/>
          <w:numId w:val="52"/>
        </w:numPr>
      </w:pPr>
      <w:r>
        <w:t>Wybór obszarów do doskonalenia</w:t>
      </w:r>
    </w:p>
    <w:p w14:paraId="30960EF6" w14:textId="77777777" w:rsidR="00BC6853" w:rsidRDefault="00BC6853" w:rsidP="002D3260">
      <w:pPr>
        <w:pStyle w:val="Akapitzlist"/>
        <w:numPr>
          <w:ilvl w:val="1"/>
          <w:numId w:val="52"/>
        </w:numPr>
      </w:pPr>
      <w:r>
        <w:t xml:space="preserve">Analiza przyczyn wyzwań w obszarach potwierdzonych przez badanie jako istotne do poprawy (zastosowanie metod analitycznych takich jak np. 5xWHY wraz z tzw. diagramem </w:t>
      </w:r>
      <w:proofErr w:type="spellStart"/>
      <w:r>
        <w:t>Ishikawy</w:t>
      </w:r>
      <w:proofErr w:type="spellEnd"/>
      <w:r>
        <w:t>, i in.)</w:t>
      </w:r>
    </w:p>
    <w:p w14:paraId="07C8BE13" w14:textId="77777777" w:rsidR="00BC6853" w:rsidRDefault="00BC6853" w:rsidP="002D3260">
      <w:pPr>
        <w:pStyle w:val="Akapitzlist"/>
        <w:numPr>
          <w:ilvl w:val="1"/>
          <w:numId w:val="52"/>
        </w:numPr>
      </w:pPr>
      <w:r>
        <w:t>Analiza potencjału poprawy (w odniesieniu do poszczególnych przyczyn istniejących wyzwań, z uwzględnieniem trudności lub kosztów osiągnięcia celów poprawy, w kontekście celów i wartości organizacji)</w:t>
      </w:r>
    </w:p>
    <w:p w14:paraId="3B30960D" w14:textId="77777777" w:rsidR="00BC6853" w:rsidRDefault="00BC6853" w:rsidP="002D3260">
      <w:pPr>
        <w:pStyle w:val="Akapitzlist"/>
        <w:numPr>
          <w:ilvl w:val="1"/>
          <w:numId w:val="52"/>
        </w:numPr>
      </w:pPr>
      <w:r>
        <w:t xml:space="preserve">Wybór szczegółowych obszarów do poprawy (zastosowanie metod analitycznych takich na np. tzw. diagram </w:t>
      </w:r>
      <w:proofErr w:type="spellStart"/>
      <w:r>
        <w:t>Pareto</w:t>
      </w:r>
      <w:proofErr w:type="spellEnd"/>
      <w:r>
        <w:t>-Lorentza, i in.)</w:t>
      </w:r>
    </w:p>
    <w:p w14:paraId="51F93E93" w14:textId="77777777" w:rsidR="00BC6853" w:rsidRDefault="00BC6853" w:rsidP="002D3260">
      <w:pPr>
        <w:pStyle w:val="Akapitzlist"/>
        <w:numPr>
          <w:ilvl w:val="0"/>
          <w:numId w:val="52"/>
        </w:numPr>
      </w:pPr>
      <w:r>
        <w:t>Implementacja zmian w celu osiągnięcia poprawy w wybranych obszarach</w:t>
      </w:r>
    </w:p>
    <w:p w14:paraId="61E25CAD" w14:textId="77777777" w:rsidR="00BC6853" w:rsidRDefault="00BC6853" w:rsidP="002D3260">
      <w:pPr>
        <w:pStyle w:val="Akapitzlist"/>
        <w:numPr>
          <w:ilvl w:val="1"/>
          <w:numId w:val="52"/>
        </w:numPr>
      </w:pPr>
      <w:r>
        <w:t>Zapewnienie zaangażowania i wsparcia najwyższego kierownictwa w zakresie decyzyjności i zasobów niezbędnych do wdrażania zmian</w:t>
      </w:r>
    </w:p>
    <w:p w14:paraId="440A396E" w14:textId="77777777" w:rsidR="00BC6853" w:rsidRDefault="00BC6853" w:rsidP="002D3260">
      <w:pPr>
        <w:pStyle w:val="Akapitzlist"/>
        <w:numPr>
          <w:ilvl w:val="1"/>
          <w:numId w:val="52"/>
        </w:numPr>
      </w:pPr>
      <w:r>
        <w:t xml:space="preserve">Przypisanie metody wdrażania zmian w zależności od charakterystyki problemu: metody zwinne (Agile: </w:t>
      </w:r>
      <w:proofErr w:type="spellStart"/>
      <w:r>
        <w:t>Kaizen</w:t>
      </w:r>
      <w:proofErr w:type="spellEnd"/>
      <w:r>
        <w:t xml:space="preserve">, </w:t>
      </w:r>
      <w:proofErr w:type="spellStart"/>
      <w:r>
        <w:t>Scrum</w:t>
      </w:r>
      <w:proofErr w:type="spellEnd"/>
      <w:r>
        <w:t xml:space="preserve">, </w:t>
      </w:r>
      <w:proofErr w:type="spellStart"/>
      <w:r>
        <w:t>Kanban</w:t>
      </w:r>
      <w:proofErr w:type="spellEnd"/>
      <w:r>
        <w:t xml:space="preserve">, -&gt; wdrożenie Minimalnego Produktu Możliwego do Wprowadzenia (MVP – Minimum </w:t>
      </w:r>
      <w:proofErr w:type="spellStart"/>
      <w:r>
        <w:t>Viable</w:t>
      </w:r>
      <w:proofErr w:type="spellEnd"/>
      <w:r>
        <w:t xml:space="preserve"> Product) lub metody kaskadowe / projektowe (opracowanie planu i harmonogramów realizacji)</w:t>
      </w:r>
    </w:p>
    <w:p w14:paraId="574A0FF8" w14:textId="77777777" w:rsidR="00BC6853" w:rsidRDefault="00BC6853" w:rsidP="002D3260">
      <w:pPr>
        <w:pStyle w:val="Akapitzlist"/>
        <w:numPr>
          <w:ilvl w:val="1"/>
          <w:numId w:val="52"/>
        </w:numPr>
      </w:pPr>
      <w:r>
        <w:t>[A] Określenie wstępnej wizji celu do poprawy</w:t>
      </w:r>
    </w:p>
    <w:p w14:paraId="4F538338" w14:textId="77777777" w:rsidR="00BC6853" w:rsidRDefault="00BC6853" w:rsidP="002D3260">
      <w:pPr>
        <w:pStyle w:val="Akapitzlist"/>
        <w:numPr>
          <w:ilvl w:val="1"/>
          <w:numId w:val="52"/>
        </w:numPr>
      </w:pPr>
      <w:r>
        <w:t>[A] Określenie przewidywanych etapów wdrożenia i celów cząstkowych (m. in. uwzględnienie potrzeb treningu i wsparcia dla osób będących pod wpływem zmian)</w:t>
      </w:r>
    </w:p>
    <w:p w14:paraId="51DDEB49" w14:textId="77777777" w:rsidR="00BC6853" w:rsidRDefault="00BC6853" w:rsidP="002D3260">
      <w:pPr>
        <w:pStyle w:val="Akapitzlist"/>
        <w:numPr>
          <w:ilvl w:val="1"/>
          <w:numId w:val="52"/>
        </w:numPr>
        <w:rPr>
          <w:lang w:val="en-GB"/>
        </w:rPr>
      </w:pPr>
      <w:r>
        <w:t xml:space="preserve">[A] Ustalenie szczegółów pracy zespołu doskonalącego (skład zespołu i role w zespole, długość iteracji/sprintów, stopień zgodności z rekomendacjami konkretnej metody pracy – np. </w:t>
      </w:r>
      <w:r w:rsidRPr="00A55CBB">
        <w:rPr>
          <w:lang w:val="en-GB"/>
        </w:rPr>
        <w:t xml:space="preserve">Scrum, </w:t>
      </w:r>
      <w:proofErr w:type="spellStart"/>
      <w:r w:rsidRPr="00A55CBB">
        <w:rPr>
          <w:lang w:val="en-GB"/>
        </w:rPr>
        <w:t>SAFe</w:t>
      </w:r>
      <w:proofErr w:type="spellEnd"/>
      <w:r w:rsidRPr="00A55CBB">
        <w:rPr>
          <w:lang w:val="en-GB"/>
        </w:rPr>
        <w:t xml:space="preserve">, Kanban, FDD – Feature Driven Development, DSDM – Dynamic </w:t>
      </w:r>
      <w:r>
        <w:rPr>
          <w:lang w:val="en-GB"/>
        </w:rPr>
        <w:t xml:space="preserve">Systems Development Method, </w:t>
      </w:r>
      <w:proofErr w:type="spellStart"/>
      <w:r>
        <w:rPr>
          <w:lang w:val="en-GB"/>
        </w:rPr>
        <w:t>ScrumBan</w:t>
      </w:r>
      <w:proofErr w:type="spellEnd"/>
      <w:r>
        <w:rPr>
          <w:lang w:val="en-GB"/>
        </w:rPr>
        <w:t xml:space="preserve">, </w:t>
      </w:r>
      <w:proofErr w:type="spellStart"/>
      <w:r>
        <w:rPr>
          <w:lang w:val="en-GB"/>
        </w:rPr>
        <w:t>LeanStartUp</w:t>
      </w:r>
      <w:proofErr w:type="spellEnd"/>
      <w:r>
        <w:rPr>
          <w:lang w:val="en-GB"/>
        </w:rPr>
        <w:t xml:space="preserve">, </w:t>
      </w:r>
      <w:proofErr w:type="spellStart"/>
      <w:r w:rsidRPr="00A55CBB">
        <w:rPr>
          <w:lang w:val="en-GB"/>
        </w:rPr>
        <w:t>inne</w:t>
      </w:r>
      <w:proofErr w:type="spellEnd"/>
      <w:r w:rsidRPr="00A55CBB">
        <w:rPr>
          <w:lang w:val="en-GB"/>
        </w:rPr>
        <w:t>)</w:t>
      </w:r>
    </w:p>
    <w:p w14:paraId="49983798" w14:textId="77777777" w:rsidR="00BC6853" w:rsidRDefault="00BC6853" w:rsidP="002D3260">
      <w:pPr>
        <w:pStyle w:val="Akapitzlist"/>
        <w:numPr>
          <w:ilvl w:val="1"/>
          <w:numId w:val="52"/>
        </w:numPr>
      </w:pPr>
      <w:r w:rsidRPr="00A55CBB">
        <w:t xml:space="preserve">[A] </w:t>
      </w:r>
      <w:r>
        <w:t>Określenie minimalnego</w:t>
      </w:r>
      <w:r w:rsidRPr="00A55CBB">
        <w:t xml:space="preserve"> zakresu pierwszej w</w:t>
      </w:r>
      <w:r>
        <w:t xml:space="preserve">eryfikowalnej wersji wdrożonych zmian (rodzaj MVP) </w:t>
      </w:r>
    </w:p>
    <w:p w14:paraId="6F99A785" w14:textId="77777777" w:rsidR="00BC6853" w:rsidRDefault="00BC6853" w:rsidP="002D3260">
      <w:pPr>
        <w:pStyle w:val="Akapitzlist"/>
        <w:numPr>
          <w:ilvl w:val="1"/>
          <w:numId w:val="52"/>
        </w:numPr>
      </w:pPr>
      <w:r>
        <w:t>[A] Ustalenie wstępnego planu działań wraz z ich przewidywanymi kosztami oraz wzajemnymi zależnościami</w:t>
      </w:r>
    </w:p>
    <w:p w14:paraId="74BC8955" w14:textId="77777777" w:rsidR="00BC6853" w:rsidRDefault="00BC6853" w:rsidP="002D3260">
      <w:pPr>
        <w:pStyle w:val="Akapitzlist"/>
        <w:numPr>
          <w:ilvl w:val="1"/>
          <w:numId w:val="52"/>
        </w:numPr>
      </w:pPr>
      <w:r>
        <w:t>[A] Iteracyjne wdrażanie zmian i ich bieżąca weryfikacja (plan, realizacja, weryfikacja)</w:t>
      </w:r>
    </w:p>
    <w:p w14:paraId="7FED70FE" w14:textId="77777777" w:rsidR="00BC6853" w:rsidRDefault="00BC6853" w:rsidP="002D3260">
      <w:pPr>
        <w:pStyle w:val="Akapitzlist"/>
        <w:numPr>
          <w:ilvl w:val="1"/>
          <w:numId w:val="52"/>
        </w:numPr>
      </w:pPr>
      <w:r>
        <w:t>[A] Iteracyjne przeglądy i doskonalenie sposobów pracy i współpracy zespołu</w:t>
      </w:r>
    </w:p>
    <w:p w14:paraId="5314CEDC" w14:textId="77777777" w:rsidR="00BC6853" w:rsidRDefault="00BC6853" w:rsidP="002D3260">
      <w:pPr>
        <w:pStyle w:val="Akapitzlist"/>
        <w:numPr>
          <w:ilvl w:val="1"/>
          <w:numId w:val="52"/>
        </w:numPr>
      </w:pPr>
      <w:r>
        <w:t>[A] Weryfikacja MVP i ustalenie kolejnych etapów najbardziej wartościowych udoskonaleń pierwszej minimalnej wdrożonej wersji zmian (przy osiąganiu celu maksymalizować ilość pracy nie wykonanej)</w:t>
      </w:r>
    </w:p>
    <w:p w14:paraId="6050C13C" w14:textId="77777777" w:rsidR="00BC6853" w:rsidRDefault="00BC6853" w:rsidP="002D3260">
      <w:pPr>
        <w:pStyle w:val="Akapitzlist"/>
        <w:numPr>
          <w:ilvl w:val="1"/>
          <w:numId w:val="52"/>
        </w:numPr>
      </w:pPr>
      <w:r>
        <w:t>[A] Iteracyjne wdrażanie kolejnych udoskonaleń do MVP, aż do osiągnięcia celu poprawy lub określenia nowych celów doskonalenia</w:t>
      </w:r>
    </w:p>
    <w:p w14:paraId="1512098B" w14:textId="77777777" w:rsidR="00BC6853" w:rsidRDefault="00BC6853" w:rsidP="002D3260">
      <w:pPr>
        <w:pStyle w:val="Akapitzlist"/>
        <w:numPr>
          <w:ilvl w:val="1"/>
          <w:numId w:val="52"/>
        </w:numPr>
      </w:pPr>
      <w:r>
        <w:t>[W] Szczegółowe określenie celu do osiągnięcia</w:t>
      </w:r>
    </w:p>
    <w:p w14:paraId="7004DECD" w14:textId="77777777" w:rsidR="00BC6853" w:rsidRDefault="00BC6853" w:rsidP="002D3260">
      <w:pPr>
        <w:pStyle w:val="Akapitzlist"/>
        <w:numPr>
          <w:ilvl w:val="1"/>
          <w:numId w:val="52"/>
        </w:numPr>
      </w:pPr>
      <w:r>
        <w:lastRenderedPageBreak/>
        <w:t>[W] Wykonanie planu wdrożenia, przy wykorzystaniu dostępnych zasobów (m. in. uwzględnienie potrzeb treningu i wsparcia dla osób będących pod wpływem zmian)</w:t>
      </w:r>
    </w:p>
    <w:p w14:paraId="05E45F5A" w14:textId="77777777" w:rsidR="00BC6853" w:rsidRDefault="00BC6853" w:rsidP="002D3260">
      <w:pPr>
        <w:pStyle w:val="Akapitzlist"/>
        <w:numPr>
          <w:ilvl w:val="1"/>
          <w:numId w:val="52"/>
        </w:numPr>
      </w:pPr>
      <w:r>
        <w:t>[W] Weryfikacja planu i opracowanie harmonogramu wraz z harmonogramem wykorzystania zasobów</w:t>
      </w:r>
    </w:p>
    <w:p w14:paraId="252AC35C" w14:textId="77777777" w:rsidR="00BC6853" w:rsidRDefault="00BC6853" w:rsidP="002D3260">
      <w:pPr>
        <w:pStyle w:val="Akapitzlist"/>
        <w:numPr>
          <w:ilvl w:val="1"/>
          <w:numId w:val="52"/>
        </w:numPr>
      </w:pPr>
      <w:r>
        <w:t xml:space="preserve">[W] Określenie ścieżki krytycznej projektu i najistotniejszych </w:t>
      </w:r>
      <w:proofErr w:type="spellStart"/>
      <w:r>
        <w:t>ryzyk</w:t>
      </w:r>
      <w:proofErr w:type="spellEnd"/>
      <w:r>
        <w:t xml:space="preserve"> do monitorowania</w:t>
      </w:r>
    </w:p>
    <w:p w14:paraId="749554B8" w14:textId="77777777" w:rsidR="00BC6853" w:rsidRDefault="00BC6853" w:rsidP="002D3260">
      <w:pPr>
        <w:pStyle w:val="Akapitzlist"/>
        <w:numPr>
          <w:ilvl w:val="1"/>
          <w:numId w:val="52"/>
        </w:numPr>
      </w:pPr>
      <w:r>
        <w:t>[W] Wprowadzenie ewentualnych korekt do planu</w:t>
      </w:r>
    </w:p>
    <w:p w14:paraId="1FE00ECE" w14:textId="77777777" w:rsidR="00BC6853" w:rsidRDefault="00BC6853" w:rsidP="002D3260">
      <w:pPr>
        <w:pStyle w:val="Akapitzlist"/>
        <w:numPr>
          <w:ilvl w:val="1"/>
          <w:numId w:val="52"/>
        </w:numPr>
      </w:pPr>
      <w:r>
        <w:t xml:space="preserve">[W] Realizacja planu i monitorowanie sytuacji w celu identyfikacji konieczności wprowadzenie modyfikacji do planu </w:t>
      </w:r>
    </w:p>
    <w:p w14:paraId="71A4C754" w14:textId="77777777" w:rsidR="00BC6853" w:rsidRDefault="00BC6853" w:rsidP="002D3260">
      <w:pPr>
        <w:pStyle w:val="Akapitzlist"/>
        <w:numPr>
          <w:ilvl w:val="1"/>
          <w:numId w:val="52"/>
        </w:numPr>
      </w:pPr>
      <w:r>
        <w:t>[W] Weryfikacja stopnia osiągnięcia celu poprawy</w:t>
      </w:r>
    </w:p>
    <w:p w14:paraId="597FE131" w14:textId="77777777" w:rsidR="00BC6853" w:rsidRDefault="00BC6853" w:rsidP="002D3260">
      <w:pPr>
        <w:pStyle w:val="Akapitzlist"/>
        <w:numPr>
          <w:ilvl w:val="0"/>
          <w:numId w:val="52"/>
        </w:numPr>
      </w:pPr>
      <w:r>
        <w:t>Zaplanowanie ciągłego pozyskiwania informacji zwrotnej</w:t>
      </w:r>
    </w:p>
    <w:p w14:paraId="19EF026C" w14:textId="77777777" w:rsidR="00BC6853" w:rsidRDefault="00BC6853" w:rsidP="002D3260">
      <w:pPr>
        <w:pStyle w:val="Akapitzlist"/>
        <w:numPr>
          <w:ilvl w:val="1"/>
          <w:numId w:val="52"/>
        </w:numPr>
      </w:pPr>
      <w:r>
        <w:t>Ustalenie szczegółów metod ciągłego pozyskiwania informacji zwrotnej</w:t>
      </w:r>
    </w:p>
    <w:p w14:paraId="013CB91D" w14:textId="77777777" w:rsidR="00BC6853" w:rsidRDefault="00BC6853" w:rsidP="002D3260">
      <w:pPr>
        <w:pStyle w:val="Akapitzlist"/>
        <w:numPr>
          <w:ilvl w:val="1"/>
          <w:numId w:val="52"/>
        </w:numPr>
      </w:pPr>
      <w:r>
        <w:t>Zaplanowanie regularnych cykli pozyskiwania informacji zwrotnej</w:t>
      </w:r>
    </w:p>
    <w:p w14:paraId="119632C7" w14:textId="2601AF24" w:rsidR="00BC6853" w:rsidRDefault="00BC6853" w:rsidP="002D3260">
      <w:pPr>
        <w:pStyle w:val="Akapitzlist"/>
        <w:numPr>
          <w:ilvl w:val="1"/>
          <w:numId w:val="52"/>
        </w:numPr>
      </w:pPr>
      <w:r>
        <w:t>Automatyzacja procesu pozyskiwania informacji zwrotnej tam</w:t>
      </w:r>
      <w:r w:rsidR="00FD60D8">
        <w:t>,</w:t>
      </w:r>
      <w:r>
        <w:t xml:space="preserve"> gdzie to możliwe (wspierające osiąganie celów pozyskiwania informacji zwrotnej)</w:t>
      </w:r>
    </w:p>
    <w:p w14:paraId="4A26BA56" w14:textId="77777777" w:rsidR="00BC6853" w:rsidRDefault="00BC6853" w:rsidP="002D3260">
      <w:pPr>
        <w:pStyle w:val="Akapitzlist"/>
        <w:numPr>
          <w:ilvl w:val="1"/>
          <w:numId w:val="52"/>
        </w:numPr>
      </w:pPr>
      <w:r>
        <w:t>Zaangażowanie interesariuszy w proces udzielania informacji zwrotnej (m. in. poprzez komunikowanie o tym w jaki sposób ich informacja zwrotna przyczyniła się do wdrożenia konkretnych zmian)</w:t>
      </w:r>
    </w:p>
    <w:p w14:paraId="4AC74381" w14:textId="77777777" w:rsidR="00BC6853" w:rsidRDefault="00BC6853" w:rsidP="002D3260">
      <w:pPr>
        <w:pStyle w:val="Akapitzlist"/>
        <w:numPr>
          <w:ilvl w:val="0"/>
          <w:numId w:val="52"/>
        </w:numPr>
      </w:pPr>
      <w:r>
        <w:t>Ciągłe doskonalenie</w:t>
      </w:r>
    </w:p>
    <w:p w14:paraId="59758E51" w14:textId="77777777" w:rsidR="00BC6853" w:rsidRDefault="00BC6853" w:rsidP="002D3260">
      <w:pPr>
        <w:pStyle w:val="Akapitzlist"/>
        <w:numPr>
          <w:ilvl w:val="1"/>
          <w:numId w:val="52"/>
        </w:numPr>
      </w:pPr>
      <w:r>
        <w:t>Identyfikacja i ustanowienie wiarygodnych wskaźników działań uczelni (pozwalających na rzetelne i wiarygodne pozyskiwanie informacji w celu pomiaru i weryfikacji efektów działalności uczelni, w tym wprowadzanych zmian)</w:t>
      </w:r>
    </w:p>
    <w:p w14:paraId="0DE1AD32" w14:textId="77777777" w:rsidR="00BC6853" w:rsidRDefault="00BC6853" w:rsidP="002D3260">
      <w:pPr>
        <w:pStyle w:val="Akapitzlist"/>
        <w:numPr>
          <w:ilvl w:val="2"/>
          <w:numId w:val="52"/>
        </w:numPr>
      </w:pPr>
      <w:r>
        <w:t>Opracowanie zestawu wskaźników na podstawie dostępnej literatury oraz własnych badań uwzględniających specyfikę organizacji</w:t>
      </w:r>
    </w:p>
    <w:p w14:paraId="25BDFCA1" w14:textId="77777777" w:rsidR="00BC6853" w:rsidRDefault="00BC6853" w:rsidP="002D3260">
      <w:pPr>
        <w:pStyle w:val="Akapitzlist"/>
        <w:numPr>
          <w:ilvl w:val="2"/>
          <w:numId w:val="52"/>
        </w:numPr>
      </w:pPr>
      <w:r>
        <w:t>Podjęcie zobowiązania przez najwyższe kierownictwo do długoterminowego utrzymania pomiaru wybranych stałych wskaźników (obok zestawu wskaźników mogących podlegać zmianom w ramach zmieniających się potrzeb)</w:t>
      </w:r>
    </w:p>
    <w:p w14:paraId="04917F70" w14:textId="3DACF1B0" w:rsidR="00BC6853" w:rsidRDefault="00BC6853" w:rsidP="002D3260">
      <w:pPr>
        <w:pStyle w:val="Akapitzlist"/>
        <w:numPr>
          <w:ilvl w:val="1"/>
          <w:numId w:val="52"/>
        </w:numPr>
      </w:pPr>
      <w:r>
        <w:t xml:space="preserve">Ustanowienie cykli pomiaru i weryfikacji efektów działań uczelni (w tym działań doskonalących, np. metod ciągłego i cyklicznego </w:t>
      </w:r>
      <w:r w:rsidR="002320A6">
        <w:t>analizowania</w:t>
      </w:r>
      <w:r>
        <w:t xml:space="preserve"> informacji zwrotnej od interesariuszy)</w:t>
      </w:r>
    </w:p>
    <w:p w14:paraId="5CD2A216" w14:textId="77777777" w:rsidR="00BC6853" w:rsidRDefault="00BC6853" w:rsidP="002D3260">
      <w:pPr>
        <w:pStyle w:val="Akapitzlist"/>
        <w:numPr>
          <w:ilvl w:val="2"/>
          <w:numId w:val="52"/>
        </w:numPr>
      </w:pPr>
      <w:r>
        <w:t>Ustalenie potrzeb w zakresie długości cyklu pomiarów (i weryfikacji efektów działań uczelni w zależności od specyficznych uwarunkowań konkretnej uczelni, tak by pomiar pozwalał na osiągnięcie celów pomiaru)</w:t>
      </w:r>
    </w:p>
    <w:p w14:paraId="17A0FAE4" w14:textId="77777777" w:rsidR="00BC6853" w:rsidRDefault="00BC6853" w:rsidP="002D3260">
      <w:pPr>
        <w:pStyle w:val="Akapitzlist"/>
        <w:numPr>
          <w:ilvl w:val="2"/>
          <w:numId w:val="52"/>
        </w:numPr>
      </w:pPr>
      <w:r>
        <w:t>Ustanowienie zestawu metod pomiaru i weryfikacji efektów działań (uczelni, w tym procesów zmian/doskonalenia)</w:t>
      </w:r>
    </w:p>
    <w:p w14:paraId="15C5A897" w14:textId="77777777" w:rsidR="00BC6853" w:rsidRDefault="00BC6853" w:rsidP="002D3260">
      <w:pPr>
        <w:pStyle w:val="Akapitzlist"/>
        <w:numPr>
          <w:ilvl w:val="1"/>
          <w:numId w:val="52"/>
        </w:numPr>
      </w:pPr>
      <w:r>
        <w:t>Ustanowienie cykli przeglądu wniosków z pomiarów (efektów działań uczelni, w tym działań doskonalących) oraz pozyskiwania informacji zwrotnej (od interesariuszy)</w:t>
      </w:r>
    </w:p>
    <w:p w14:paraId="5AE15F54" w14:textId="77777777" w:rsidR="00BC6853" w:rsidRDefault="00BC6853" w:rsidP="002D3260">
      <w:pPr>
        <w:pStyle w:val="Akapitzlist"/>
        <w:numPr>
          <w:ilvl w:val="1"/>
          <w:numId w:val="52"/>
        </w:numPr>
      </w:pPr>
      <w:r>
        <w:t>Ustanowienie cykli regularnej analizy (kolejnych) obszarów do poprawy oraz wdrażania zmian</w:t>
      </w:r>
    </w:p>
    <w:p w14:paraId="1312F561" w14:textId="77777777" w:rsidR="00BC6853" w:rsidRDefault="00BC6853" w:rsidP="002D3260">
      <w:pPr>
        <w:pStyle w:val="Akapitzlist"/>
        <w:numPr>
          <w:ilvl w:val="1"/>
          <w:numId w:val="52"/>
        </w:numPr>
      </w:pPr>
      <w:r>
        <w:t xml:space="preserve">Zaplanowanie sposobów na świętowanie sukcesów w ramach organizacji (w zakresie wybranych spośród najistotniejszych wskaźników efektów działań, np. osiągnięcia wzrostu poziomu </w:t>
      </w:r>
      <w:r>
        <w:lastRenderedPageBreak/>
        <w:t>satysfakcji interesariuszy, tak by wzmocnić zaangażowanie społeczności uczelni w udzielanie informacji zwrotniej oraz podejmowanie działań doskonalących)</w:t>
      </w:r>
    </w:p>
    <w:p w14:paraId="595C583D" w14:textId="77777777" w:rsidR="00BC6853" w:rsidRDefault="00BC6853" w:rsidP="002D3260">
      <w:pPr>
        <w:pStyle w:val="Akapitzlist"/>
        <w:numPr>
          <w:ilvl w:val="1"/>
          <w:numId w:val="52"/>
        </w:numPr>
      </w:pPr>
      <w:r>
        <w:t>Ustanowienie sposobów transparentnego gromadzenia wiedzy (w zakresie działań doskonalących)</w:t>
      </w:r>
    </w:p>
    <w:p w14:paraId="46B1F95F" w14:textId="77777777" w:rsidR="00BC6853" w:rsidRDefault="00BC6853" w:rsidP="002D3260">
      <w:pPr>
        <w:pStyle w:val="Akapitzlist"/>
        <w:numPr>
          <w:ilvl w:val="1"/>
          <w:numId w:val="52"/>
        </w:numPr>
      </w:pPr>
      <w:r>
        <w:t xml:space="preserve">Ustanowienie regularnych przeglądów (np. retrospektywy) procesu ciągłego doskonalenia </w:t>
      </w:r>
    </w:p>
    <w:p w14:paraId="34B889DA" w14:textId="77777777" w:rsidR="00BC6853" w:rsidRPr="00A55CBB" w:rsidRDefault="00BC6853" w:rsidP="002D3260">
      <w:pPr>
        <w:pStyle w:val="Akapitzlist"/>
        <w:numPr>
          <w:ilvl w:val="1"/>
          <w:numId w:val="52"/>
        </w:numPr>
      </w:pPr>
      <w:r>
        <w:t>Regularne wdrażanie usprawnień (potrzebnych modyfikacji) procesu ciągłego doskonalenia.</w:t>
      </w:r>
    </w:p>
    <w:p w14:paraId="07817CF1" w14:textId="77777777" w:rsidR="00BC6853" w:rsidRPr="00BC6853" w:rsidRDefault="00BC6853" w:rsidP="00BC6853"/>
    <w:sectPr w:rsidR="00BC6853" w:rsidRPr="00BC6853" w:rsidSect="000830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Jan Paweł Szefler" w:date="2023-05-13T16:10:00Z" w:initials="JS">
    <w:p w14:paraId="422F12F4" w14:textId="77777777" w:rsidR="003C08E8" w:rsidRDefault="003C08E8" w:rsidP="003C08E8">
      <w:pPr>
        <w:pStyle w:val="Tekstkomentarza"/>
      </w:pPr>
      <w:r>
        <w:rPr>
          <w:rStyle w:val="Odwoaniedokomentarza"/>
        </w:rPr>
        <w:annotationRef/>
      </w:r>
      <w:r>
        <w:t>Wykres wstawić jako rysunek bo odwołania do Excela mogą się „wysypać”</w:t>
      </w:r>
    </w:p>
  </w:comment>
  <w:comment w:id="51" w:author="Jan Paweł Szefler" w:date="2023-05-13T16:11:00Z" w:initials="JS">
    <w:p w14:paraId="35DCCC91" w14:textId="77777777" w:rsidR="00847F16" w:rsidRDefault="00847F16" w:rsidP="00847F16">
      <w:pPr>
        <w:pStyle w:val="Tekstkomentarza"/>
      </w:pPr>
      <w:r>
        <w:rPr>
          <w:rStyle w:val="Odwoaniedokomentarza"/>
        </w:rPr>
        <w:annotationRef/>
      </w:r>
      <w:r>
        <w:t>Wykres wstawić jako rysunek bo odwołania do Excela mogą się „wysypać”</w:t>
      </w:r>
    </w:p>
  </w:comment>
  <w:comment w:id="55" w:author="Jan Paweł Szefler" w:date="2023-05-13T20:08:00Z" w:initials="JS">
    <w:p w14:paraId="72A098FC" w14:textId="77777777" w:rsidR="00847F16" w:rsidRDefault="00847F16" w:rsidP="00847F16">
      <w:pPr>
        <w:pStyle w:val="Tekstkomentarza"/>
      </w:pPr>
      <w:r>
        <w:rPr>
          <w:rStyle w:val="Odwoaniedokomentarza"/>
        </w:rPr>
        <w:annotationRef/>
      </w:r>
      <w:r>
        <w:t>Skorygować na podstawie kopii jako obraz z wcześniejszej dobrej wersji</w:t>
      </w:r>
    </w:p>
  </w:comment>
  <w:comment w:id="60" w:author="Jan Paweł Szefler" w:date="2023-05-13T20:11:00Z" w:initials="JS">
    <w:p w14:paraId="1619F23C" w14:textId="77777777" w:rsidR="00847F16" w:rsidRDefault="00847F16" w:rsidP="00847F16">
      <w:pPr>
        <w:pStyle w:val="Tekstkomentarza"/>
      </w:pPr>
      <w:r>
        <w:rPr>
          <w:rStyle w:val="Odwoaniedokomentarza"/>
        </w:rPr>
        <w:annotationRef/>
      </w:r>
      <w:r>
        <w:t>Skorygować na podstawie kopii jako obraz z wcześniejszej dobrej wersji</w:t>
      </w:r>
    </w:p>
  </w:comment>
  <w:comment w:id="65" w:author="Jan Paweł Szefler" w:date="2023-05-13T20:12:00Z" w:initials="JS">
    <w:p w14:paraId="7C6EB6D8" w14:textId="77777777" w:rsidR="00847F16" w:rsidRDefault="00847F16" w:rsidP="00847F16">
      <w:pPr>
        <w:pStyle w:val="Tekstkomentarza"/>
      </w:pPr>
      <w:r>
        <w:rPr>
          <w:rStyle w:val="Odwoaniedokomentarza"/>
        </w:rPr>
        <w:annotationRef/>
      </w:r>
      <w:r>
        <w:t>Skorygować na podstawie kopii jako obraz z wcześniejszej dobrej wersji</w:t>
      </w:r>
    </w:p>
  </w:comment>
  <w:comment w:id="69" w:author="Jan Paweł Szefler" w:date="2023-05-13T20:13:00Z" w:initials="JS">
    <w:p w14:paraId="3E696E83" w14:textId="77777777" w:rsidR="00847F16" w:rsidRDefault="00847F16" w:rsidP="00847F16">
      <w:pPr>
        <w:pStyle w:val="Tekstkomentarza"/>
      </w:pPr>
      <w:r>
        <w:rPr>
          <w:rStyle w:val="Odwoaniedokomentarza"/>
        </w:rPr>
        <w:annotationRef/>
      </w:r>
      <w:r>
        <w:t>Skorygować na podstawie kopii jako obraz z wcześniejszej dobrej wersji</w:t>
      </w:r>
    </w:p>
  </w:comment>
  <w:comment w:id="73" w:author="Jan Paweł Szefler" w:date="2023-05-13T20:14:00Z" w:initials="JS">
    <w:p w14:paraId="6DC15CBF" w14:textId="77777777" w:rsidR="00847F16" w:rsidRDefault="00847F16" w:rsidP="00847F16">
      <w:pPr>
        <w:pStyle w:val="Tekstkomentarza"/>
      </w:pPr>
      <w:r>
        <w:rPr>
          <w:rStyle w:val="Odwoaniedokomentarza"/>
        </w:rPr>
        <w:annotationRef/>
      </w:r>
    </w:p>
  </w:comment>
  <w:comment w:id="74" w:author="Jan Paweł Szefler" w:date="2023-05-13T20:14:00Z" w:initials="JS">
    <w:p w14:paraId="2E0FFE54" w14:textId="77777777" w:rsidR="00847F16" w:rsidRDefault="00847F16" w:rsidP="00847F16">
      <w:pPr>
        <w:pStyle w:val="Tekstkomentarza"/>
      </w:pPr>
      <w:r>
        <w:rPr>
          <w:rStyle w:val="Odwoaniedokomentarza"/>
        </w:rPr>
        <w:annotationRef/>
      </w:r>
    </w:p>
  </w:comment>
  <w:comment w:id="75" w:author="Jan Paweł Szefler" w:date="2023-05-13T20:14:00Z" w:initials="JS">
    <w:p w14:paraId="369CA892" w14:textId="77777777" w:rsidR="00847F16" w:rsidRDefault="00847F16" w:rsidP="00847F16">
      <w:pPr>
        <w:pStyle w:val="Tekstkomentarza"/>
      </w:pPr>
      <w:r>
        <w:rPr>
          <w:rStyle w:val="Odwoaniedokomentarza"/>
        </w:rPr>
        <w:annotationRef/>
      </w:r>
      <w:r>
        <w:t>Skorygować na podstawie kopii jako obraz z wcześniejszej dobrej wersji</w:t>
      </w:r>
    </w:p>
    <w:p w14:paraId="32FBAA87" w14:textId="77777777" w:rsidR="00847F16" w:rsidRDefault="00847F16" w:rsidP="00847F16">
      <w:pPr>
        <w:pStyle w:val="Tekstkomentarza"/>
      </w:pPr>
    </w:p>
  </w:comment>
  <w:comment w:id="79" w:author="Jan Paweł Szefler" w:date="2023-05-13T20:15:00Z" w:initials="JS">
    <w:p w14:paraId="7BC9CD70" w14:textId="77777777" w:rsidR="00847F16" w:rsidRDefault="00847F16" w:rsidP="00847F16">
      <w:pPr>
        <w:pStyle w:val="Tekstkomentarza"/>
      </w:pPr>
      <w:r>
        <w:rPr>
          <w:rStyle w:val="Odwoaniedokomentarza"/>
        </w:rPr>
        <w:annotationRef/>
      </w:r>
      <w:r>
        <w:t>Skorygować na podstawie kopii jako obraz z wcześniejszej dobrej wersji</w:t>
      </w:r>
    </w:p>
    <w:p w14:paraId="07DB3E12" w14:textId="77777777" w:rsidR="00847F16" w:rsidRDefault="00847F16" w:rsidP="00847F16">
      <w:pPr>
        <w:pStyle w:val="Tekstkomentarza"/>
      </w:pPr>
    </w:p>
  </w:comment>
  <w:comment w:id="83" w:author="Jan Paweł Szefler" w:date="2023-05-13T20:16:00Z" w:initials="JS">
    <w:p w14:paraId="00E9001A" w14:textId="77777777" w:rsidR="00847F16" w:rsidRDefault="00847F16" w:rsidP="00847F16">
      <w:pPr>
        <w:pStyle w:val="Tekstkomentarza"/>
      </w:pPr>
      <w:r>
        <w:rPr>
          <w:rStyle w:val="Odwoaniedokomentarza"/>
        </w:rPr>
        <w:annotationRef/>
      </w:r>
      <w:r>
        <w:t>Skorygować na podstawie kopii jako obraz z wcześniejszej dobrej wersji</w:t>
      </w:r>
    </w:p>
    <w:p w14:paraId="05B58478" w14:textId="77777777" w:rsidR="00847F16" w:rsidRDefault="00847F16" w:rsidP="00847F16">
      <w:pPr>
        <w:pStyle w:val="Tekstkomentarza"/>
      </w:pPr>
    </w:p>
  </w:comment>
  <w:comment w:id="101" w:author="Jan Paweł Szefler" w:date="2023-06-14T15:19:00Z" w:initials="JS">
    <w:p w14:paraId="5A0470A1" w14:textId="2856CEDF" w:rsidR="002B27E1" w:rsidRDefault="002B27E1">
      <w:pPr>
        <w:pStyle w:val="Tekstkomentarza"/>
      </w:pPr>
      <w:r>
        <w:rPr>
          <w:rStyle w:val="Odwoaniedokomentarza"/>
        </w:rPr>
        <w:annotationRef/>
      </w:r>
      <w:r>
        <w:t>Upewnić się na koniec czy numeracja się nie zmieniła.</w:t>
      </w:r>
    </w:p>
  </w:comment>
  <w:comment w:id="132" w:author="Jan Paweł Szefler" w:date="2024-03-26T08:19:00Z" w:initials="JS">
    <w:p w14:paraId="006FB1C8" w14:textId="65DCD355" w:rsidR="00DE5B26" w:rsidRDefault="00DE5B26">
      <w:pPr>
        <w:pStyle w:val="Tekstkomentarza"/>
      </w:pPr>
      <w:r>
        <w:rPr>
          <w:rStyle w:val="Odwoaniedokomentarza"/>
        </w:rPr>
        <w:annotationRef/>
      </w:r>
      <w:r>
        <w:t xml:space="preserve">Zweryfikować przy edycji końcowej </w:t>
      </w:r>
    </w:p>
  </w:comment>
  <w:comment w:id="161" w:author="Jan Paweł Szefler" w:date="2024-03-23T14:52:00Z" w:initials="JS">
    <w:p w14:paraId="6EC2215C" w14:textId="57955F2F" w:rsidR="00BC6853" w:rsidRDefault="00BC6853">
      <w:pPr>
        <w:pStyle w:val="Tekstkomentarza"/>
      </w:pPr>
      <w:r>
        <w:rPr>
          <w:rStyle w:val="Odwoaniedokomentarza"/>
        </w:rPr>
        <w:annotationRef/>
      </w:r>
      <w:r>
        <w:t>Wstawić na końcowym etapie edycji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12F4" w15:done="0"/>
  <w15:commentEx w15:paraId="35DCCC91" w15:done="0"/>
  <w15:commentEx w15:paraId="72A098FC" w15:done="0"/>
  <w15:commentEx w15:paraId="1619F23C" w15:done="0"/>
  <w15:commentEx w15:paraId="7C6EB6D8" w15:done="0"/>
  <w15:commentEx w15:paraId="3E696E83" w15:done="0"/>
  <w15:commentEx w15:paraId="6DC15CBF" w15:done="0"/>
  <w15:commentEx w15:paraId="2E0FFE54" w15:paraIdParent="6DC15CBF" w15:done="0"/>
  <w15:commentEx w15:paraId="32FBAA87" w15:paraIdParent="6DC15CBF" w15:done="0"/>
  <w15:commentEx w15:paraId="07DB3E12" w15:done="0"/>
  <w15:commentEx w15:paraId="05B58478" w15:done="0"/>
  <w15:commentEx w15:paraId="5A0470A1" w15:done="0"/>
  <w15:commentEx w15:paraId="006FB1C8" w15:done="0"/>
  <w15:commentEx w15:paraId="6EC221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A34F8" w16cex:dateUtc="2023-05-13T14:10:00Z"/>
  <w16cex:commentExtensible w16cex:durableId="280A3519" w16cex:dateUtc="2023-05-13T14:11:00Z"/>
  <w16cex:commentExtensible w16cex:durableId="280A6CB6" w16cex:dateUtc="2023-05-13T18:08:00Z"/>
  <w16cex:commentExtensible w16cex:durableId="280A6D79" w16cex:dateUtc="2023-05-13T18:11:00Z"/>
  <w16cex:commentExtensible w16cex:durableId="280A6DA7" w16cex:dateUtc="2023-05-13T18:12:00Z"/>
  <w16cex:commentExtensible w16cex:durableId="280A6DD7" w16cex:dateUtc="2023-05-13T18:13:00Z"/>
  <w16cex:commentExtensible w16cex:durableId="280A6E17" w16cex:dateUtc="2023-05-13T18:14:00Z"/>
  <w16cex:commentExtensible w16cex:durableId="280A6E18" w16cex:dateUtc="2023-05-13T18:14:00Z"/>
  <w16cex:commentExtensible w16cex:durableId="280A6E19" w16cex:dateUtc="2023-05-13T18:14:00Z"/>
  <w16cex:commentExtensible w16cex:durableId="280A6E5D" w16cex:dateUtc="2023-05-13T18:15:00Z"/>
  <w16cex:commentExtensible w16cex:durableId="280A6E96" w16cex:dateUtc="2023-05-13T18:16:00Z"/>
  <w16cex:commentExtensible w16cex:durableId="28345906" w16cex:dateUtc="2023-06-14T13:19:00Z"/>
  <w16cex:commentExtensible w16cex:durableId="3FAD42FA" w16cex:dateUtc="2024-03-26T07:19:00Z"/>
  <w16cex:commentExtensible w16cex:durableId="454B92C5" w16cex:dateUtc="2024-03-2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12F4" w16cid:durableId="280A34F8"/>
  <w16cid:commentId w16cid:paraId="35DCCC91" w16cid:durableId="280A3519"/>
  <w16cid:commentId w16cid:paraId="72A098FC" w16cid:durableId="280A6CB6"/>
  <w16cid:commentId w16cid:paraId="1619F23C" w16cid:durableId="280A6D79"/>
  <w16cid:commentId w16cid:paraId="7C6EB6D8" w16cid:durableId="280A6DA7"/>
  <w16cid:commentId w16cid:paraId="3E696E83" w16cid:durableId="280A6DD7"/>
  <w16cid:commentId w16cid:paraId="6DC15CBF" w16cid:durableId="280A6E17"/>
  <w16cid:commentId w16cid:paraId="2E0FFE54" w16cid:durableId="280A6E18"/>
  <w16cid:commentId w16cid:paraId="32FBAA87" w16cid:durableId="280A6E19"/>
  <w16cid:commentId w16cid:paraId="07DB3E12" w16cid:durableId="280A6E5D"/>
  <w16cid:commentId w16cid:paraId="05B58478" w16cid:durableId="280A6E96"/>
  <w16cid:commentId w16cid:paraId="5A0470A1" w16cid:durableId="28345906"/>
  <w16cid:commentId w16cid:paraId="006FB1C8" w16cid:durableId="3FAD42FA"/>
  <w16cid:commentId w16cid:paraId="6EC2215C" w16cid:durableId="454B92C5"/>
</w16cid:commentsIds>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DED4" w14:textId="77777777" w:rsidR="00083014" w:rsidRDefault="00083014" w:rsidP="00807180">
      <w:pPr>
        <w:spacing w:line="240" w:lineRule="auto"/>
      </w:pPr>
      <w:r>
        <w:separator/>
      </w:r>
    </w:p>
  </w:endnote>
  <w:endnote w:type="continuationSeparator" w:id="0">
    <w:p w14:paraId="7D45F5B1" w14:textId="77777777" w:rsidR="00083014" w:rsidRDefault="00083014"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8190"/>
      <w:docPartObj>
        <w:docPartGallery w:val="Page Numbers (Bottom of Page)"/>
        <w:docPartUnique/>
      </w:docPartObj>
    </w:sdtPr>
    <w:sdtContent>
      <w:p w14:paraId="6F8D25AC" w14:textId="77777777" w:rsidR="00920540" w:rsidRDefault="00920540" w:rsidP="00B758DF">
        <w:pPr>
          <w:pStyle w:val="Stopka"/>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190F" w14:textId="77777777" w:rsidR="00083014" w:rsidRDefault="00083014" w:rsidP="00807180">
      <w:pPr>
        <w:spacing w:line="240" w:lineRule="auto"/>
      </w:pPr>
      <w:r>
        <w:separator/>
      </w:r>
    </w:p>
  </w:footnote>
  <w:footnote w:type="continuationSeparator" w:id="0">
    <w:p w14:paraId="10516CD7" w14:textId="77777777" w:rsidR="00083014" w:rsidRDefault="00083014" w:rsidP="00807180">
      <w:pPr>
        <w:spacing w:line="240" w:lineRule="auto"/>
      </w:pPr>
      <w:r>
        <w:continuationSeparator/>
      </w:r>
    </w:p>
  </w:footnote>
  <w:footnote w:id="1">
    <w:p w14:paraId="163BB950" w14:textId="77777777" w:rsidR="003C08E8" w:rsidRPr="00297B9E" w:rsidRDefault="003C08E8" w:rsidP="003C08E8">
      <w:pPr>
        <w:pStyle w:val="Tekstprzypisudolnego"/>
        <w:rPr>
          <w:szCs w:val="20"/>
        </w:rPr>
      </w:pPr>
      <w:r w:rsidRPr="00297B9E">
        <w:rPr>
          <w:rStyle w:val="Odwoanieprzypisudolnego"/>
          <w:szCs w:val="20"/>
        </w:rPr>
        <w:footnoteRef/>
      </w:r>
      <w:r w:rsidRPr="00297B9E">
        <w:rPr>
          <w:szCs w:val="20"/>
        </w:rPr>
        <w:t xml:space="preserve"> https://ankietaplus.pl/</w:t>
      </w:r>
    </w:p>
  </w:footnote>
  <w:footnote w:id="2">
    <w:p w14:paraId="0C40FE1E" w14:textId="77777777" w:rsidR="003C08E8" w:rsidRPr="00297B9E" w:rsidRDefault="003C08E8" w:rsidP="003C08E8">
      <w:pPr>
        <w:pStyle w:val="Tekstprzypisudolnego"/>
        <w:rPr>
          <w:szCs w:val="20"/>
        </w:rPr>
      </w:pPr>
      <w:r w:rsidRPr="00297B9E">
        <w:rPr>
          <w:rStyle w:val="Odwoanieprzypisudolnego"/>
          <w:szCs w:val="20"/>
        </w:rPr>
        <w:footnoteRef/>
      </w:r>
      <w:r w:rsidRPr="00297B9E">
        <w:rPr>
          <w:szCs w:val="20"/>
        </w:rPr>
        <w:t xml:space="preserve"> Do liczby respondentów ankiet rozpoczętych zakwalifikowano ankiety rozpoczęte z odpowiedziami wskazującymi na osoby pełnoletnie, należące do co najmniej jednej grupy interesariuszy.</w:t>
      </w:r>
    </w:p>
  </w:footnote>
  <w:footnote w:id="3">
    <w:p w14:paraId="34618663" w14:textId="77777777" w:rsidR="003C08E8" w:rsidRPr="0024321C" w:rsidRDefault="003C08E8" w:rsidP="003C08E8">
      <w:pPr>
        <w:pStyle w:val="Tekstprzypisudolnego"/>
        <w:rPr>
          <w:rFonts w:cs="Arial"/>
          <w:szCs w:val="20"/>
        </w:rPr>
      </w:pPr>
      <w:r w:rsidRPr="0024321C">
        <w:rPr>
          <w:rStyle w:val="Odwoanieprzypisudolnego"/>
          <w:rFonts w:cs="Arial"/>
          <w:szCs w:val="20"/>
        </w:rPr>
        <w:footnoteRef/>
      </w:r>
      <w:r w:rsidRPr="0024321C">
        <w:rPr>
          <w:rFonts w:cs="Arial"/>
          <w:szCs w:val="20"/>
        </w:rPr>
        <w:t xml:space="preserve"> Grupa wiekowa poniżej 26 lat w grupie badawczej oznacza osoby w wieku 19</w:t>
      </w:r>
      <w:r w:rsidRPr="00772D01">
        <w:rPr>
          <w:rFonts w:cs="Arial"/>
          <w:szCs w:val="20"/>
        </w:rPr>
        <w:t>–</w:t>
      </w:r>
      <w:r w:rsidRPr="0024321C">
        <w:rPr>
          <w:rFonts w:cs="Arial"/>
          <w:szCs w:val="20"/>
        </w:rPr>
        <w:t>25 lat ponieważ w badaniu przy pomocy jednego z pytań filtrujących weryfikowano pełnoletniość. Natomiast w badaniu nie wzięła ani jedna osoba w wieku 18 lat.</w:t>
      </w:r>
    </w:p>
  </w:footnote>
  <w:footnote w:id="4">
    <w:p w14:paraId="1C6D545E" w14:textId="77777777" w:rsidR="003C08E8" w:rsidRPr="002D2DF1" w:rsidRDefault="003C08E8" w:rsidP="003C08E8">
      <w:pPr>
        <w:pStyle w:val="Tekstprzypisudolnego"/>
        <w:rPr>
          <w:rFonts w:cs="Arial"/>
          <w:szCs w:val="20"/>
        </w:rPr>
      </w:pPr>
      <w:r w:rsidRPr="002D2DF1">
        <w:rPr>
          <w:rStyle w:val="Odwoanieprzypisudolnego"/>
          <w:rFonts w:cs="Arial"/>
          <w:szCs w:val="20"/>
        </w:rPr>
        <w:footnoteRef/>
      </w:r>
      <w:r w:rsidRPr="002D2DF1">
        <w:rPr>
          <w:rFonts w:cs="Arial"/>
          <w:szCs w:val="20"/>
        </w:rPr>
        <w:t xml:space="preserve"> Wartości wyrażone w procentach [%] przy nazwach grup badanych wchodzących w skład grupy absolwentów oznaczają udział absolwentów wśród danej grupy interesariuszy.</w:t>
      </w:r>
    </w:p>
  </w:footnote>
  <w:footnote w:id="5">
    <w:p w14:paraId="1FA7AAB7" w14:textId="77777777" w:rsidR="00847F16" w:rsidRPr="007A02E6" w:rsidRDefault="00847F16" w:rsidP="00847F16">
      <w:pPr>
        <w:pStyle w:val="Tekstprzypisudolnego"/>
        <w:rPr>
          <w:rFonts w:cs="Arial"/>
        </w:rPr>
      </w:pPr>
      <w:r w:rsidRPr="007A02E6">
        <w:rPr>
          <w:rStyle w:val="Odwoanieprzypisudolnego"/>
          <w:rFonts w:cs="Arial"/>
        </w:rPr>
        <w:footnoteRef/>
      </w:r>
      <w:r w:rsidRPr="007A02E6">
        <w:rPr>
          <w:rFonts w:cs="Arial"/>
        </w:rPr>
        <w:t xml:space="preserve"> </w:t>
      </w:r>
      <w:r w:rsidRPr="00A256A1">
        <w:rPr>
          <w:rFonts w:cs="Arial"/>
          <w:szCs w:val="20"/>
        </w:rPr>
        <w:t>Treść pytania nr 1: „Którzy interesariusze ocenianej uczelni wyższej są najistotniejsi z punktu widzenia doskonalenia jej usług?”</w:t>
      </w:r>
    </w:p>
  </w:footnote>
  <w:footnote w:id="6">
    <w:p w14:paraId="7E4CF983" w14:textId="77777777" w:rsidR="00847F16" w:rsidRDefault="00847F16" w:rsidP="00847F16">
      <w:pPr>
        <w:pStyle w:val="Tekstprzypisudolnego"/>
      </w:pPr>
      <w:r w:rsidRPr="007A02E6">
        <w:rPr>
          <w:rStyle w:val="Odwoanieprzypisudolnego"/>
          <w:rFonts w:cs="Arial"/>
        </w:rPr>
        <w:footnoteRef/>
      </w:r>
      <w:r w:rsidRPr="007A02E6">
        <w:rPr>
          <w:rFonts w:cs="Arial"/>
        </w:rPr>
        <w:t xml:space="preserve"> </w:t>
      </w:r>
      <w:r w:rsidRPr="00E34BBC">
        <w:rPr>
          <w:rFonts w:cs="Arial"/>
          <w:szCs w:val="20"/>
        </w:rPr>
        <w:t>Treść pytania nr 2: „Opinie których interesariuszy są w praktyce najczęściej uwzględniane przy wprowadzaniu zmian na ocenianej uczelni?”</w:t>
      </w:r>
    </w:p>
  </w:footnote>
  <w:footnote w:id="7">
    <w:p w14:paraId="48B99BA9" w14:textId="0159200E" w:rsidR="00245930" w:rsidRDefault="00245930">
      <w:pPr>
        <w:pStyle w:val="Tekstprzypisudolnego"/>
      </w:pPr>
      <w:r>
        <w:rPr>
          <w:rStyle w:val="Odwoanieprzypisudolnego"/>
        </w:rPr>
        <w:footnoteRef/>
      </w:r>
      <w:r>
        <w:t xml:space="preserve"> </w:t>
      </w:r>
      <w:r w:rsidRPr="00245930">
        <w:rPr>
          <w:szCs w:val="20"/>
        </w:rPr>
        <w:t>Stan na początek roku 2023</w:t>
      </w:r>
    </w:p>
  </w:footnote>
  <w:footnote w:id="8">
    <w:p w14:paraId="35C8A11A" w14:textId="41626D8B" w:rsidR="00A61DD9" w:rsidRDefault="00A61DD9">
      <w:pPr>
        <w:pStyle w:val="Tekstprzypisudolnego"/>
      </w:pPr>
      <w:r>
        <w:rPr>
          <w:rStyle w:val="Odwoanieprzypisudolnego"/>
        </w:rPr>
        <w:footnoteRef/>
      </w:r>
      <w:r>
        <w:t xml:space="preserve"> </w:t>
      </w:r>
      <w:r w:rsidRPr="00A61DD9">
        <w:rPr>
          <w:szCs w:val="20"/>
        </w:rPr>
        <w:t>Wartości parametrów dla grupy absolwentów uczelni sklasyfikowanych jako nietechniczne</w:t>
      </w:r>
    </w:p>
  </w:footnote>
  <w:footnote w:id="9">
    <w:p w14:paraId="47C8587C" w14:textId="29E6CF5E" w:rsidR="00A61DD9" w:rsidRDefault="00A61DD9">
      <w:pPr>
        <w:pStyle w:val="Tekstprzypisudolnego"/>
      </w:pPr>
      <w:r>
        <w:rPr>
          <w:rStyle w:val="Odwoanieprzypisudolnego"/>
        </w:rPr>
        <w:footnoteRef/>
      </w:r>
      <w:r>
        <w:t xml:space="preserve"> </w:t>
      </w:r>
      <w:r w:rsidRPr="00A61DD9">
        <w:rPr>
          <w:szCs w:val="20"/>
        </w:rPr>
        <w:t>Wartości parametrów dla grupy absolwentów uczelni sklasyfikowanych jako techniczne</w:t>
      </w:r>
    </w:p>
  </w:footnote>
  <w:footnote w:id="10">
    <w:p w14:paraId="15DAE6ED" w14:textId="7AD71791" w:rsidR="00AA4CDC" w:rsidRPr="00AA4CDC" w:rsidRDefault="00AA4CDC">
      <w:pPr>
        <w:pStyle w:val="Tekstprzypisudolnego"/>
        <w:rPr>
          <w:szCs w:val="20"/>
        </w:rPr>
      </w:pPr>
      <w:r>
        <w:rPr>
          <w:rStyle w:val="Odwoanieprzypisudolnego"/>
        </w:rPr>
        <w:footnoteRef/>
      </w:r>
      <w:r>
        <w:t xml:space="preserve"> </w:t>
      </w:r>
      <w:r w:rsidRPr="00AA4CDC">
        <w:rPr>
          <w:szCs w:val="20"/>
        </w:rPr>
        <w:t>Oznacza to akceptację 10% ryzyka przyjęcia błędnego wniosku o istnieniu związku podczas gdy on nie istnieje.</w:t>
      </w:r>
    </w:p>
  </w:footnote>
  <w:footnote w:id="11">
    <w:p w14:paraId="54F53473" w14:textId="0708A138" w:rsidR="00361E22" w:rsidRDefault="00361E22">
      <w:pPr>
        <w:pStyle w:val="Tekstprzypisudolnego"/>
      </w:pPr>
      <w:r>
        <w:rPr>
          <w:rStyle w:val="Odwoanieprzypisudolnego"/>
        </w:rPr>
        <w:footnoteRef/>
      </w:r>
      <w:r>
        <w:t xml:space="preserve"> </w:t>
      </w:r>
      <w:r w:rsidRPr="00A52FA2">
        <w:rPr>
          <w:szCs w:val="20"/>
        </w:rPr>
        <w:t>Wartości współczynnika korelacji r-Pearsona przedstawione w tabeli kolejno odnoszą się do kategorii uczelni nietechnicznych, technicznych oraz do ogółu uczelni z badania kwestionariuszowego</w:t>
      </w:r>
    </w:p>
  </w:footnote>
  <w:footnote w:id="12">
    <w:p w14:paraId="1B5C53EE" w14:textId="15F9DE68" w:rsidR="00361E22" w:rsidRDefault="00361E22">
      <w:pPr>
        <w:pStyle w:val="Tekstprzypisudolnego"/>
      </w:pPr>
      <w:r>
        <w:rPr>
          <w:rStyle w:val="Odwoanieprzypisudolnego"/>
        </w:rPr>
        <w:footnoteRef/>
      </w:r>
      <w:r>
        <w:t xml:space="preserve"> </w:t>
      </w:r>
      <w:r w:rsidRPr="00A52FA2">
        <w:rPr>
          <w:szCs w:val="20"/>
        </w:rPr>
        <w:t>Wartości współczynnika istotności statystycznej p przedstawione w tabeli kolejno odnoszą się do kategorii uczelni nietechnicznych, technicznych oraz do ogółu uczelni z badania kwestionariuszowego</w:t>
      </w:r>
    </w:p>
  </w:footnote>
  <w:footnote w:id="13">
    <w:p w14:paraId="32DB9866" w14:textId="679E93B3" w:rsidR="00D947AB" w:rsidRDefault="00D947AB">
      <w:pPr>
        <w:pStyle w:val="Tekstprzypisudolnego"/>
      </w:pPr>
      <w:r>
        <w:rPr>
          <w:rStyle w:val="Odwoanieprzypisudolnego"/>
        </w:rPr>
        <w:footnoteRef/>
      </w:r>
      <w:r>
        <w:t xml:space="preserve"> SSDQM </w:t>
      </w:r>
      <w:r w:rsidR="00E973D4">
        <w:t>–</w:t>
      </w:r>
      <w:r>
        <w:t xml:space="preserve"> </w:t>
      </w:r>
      <w:r w:rsidR="00E973D4">
        <w:t>skrót na podstawie angielskiej nazwy Modelu doskonalenia SZJ uczelni inspirowanego satysfakcją interesariuszy (Stakeholders Satisfaction Driven Quality management system improvement Model)</w:t>
      </w:r>
    </w:p>
  </w:footnote>
  <w:footnote w:id="14">
    <w:p w14:paraId="7331D86D" w14:textId="48E31A38" w:rsidR="00B4213B" w:rsidRDefault="00B4213B">
      <w:pPr>
        <w:pStyle w:val="Tekstprzypisudolnego"/>
      </w:pPr>
      <w:r>
        <w:rPr>
          <w:rStyle w:val="Odwoanieprzypisudolnego"/>
        </w:rPr>
        <w:footnoteRef/>
      </w:r>
      <w:r>
        <w:t xml:space="preserve"> W</w:t>
      </w:r>
      <w:r w:rsidR="00405CB4">
        <w:t>e własnych</w:t>
      </w:r>
      <w:r>
        <w:t xml:space="preserve"> tłumaczeniach </w:t>
      </w:r>
      <w:r w:rsidR="00405CB4">
        <w:t xml:space="preserve">angielskiego tekstu Normy </w:t>
      </w:r>
      <w:r>
        <w:t>autor zdecydował się na wykorzystanie pojęcia „interesariusz” tam gdzie w oryginalnym tekście normy ISO</w:t>
      </w:r>
      <w:r w:rsidR="00405CB4">
        <w:t> </w:t>
      </w:r>
      <w:r>
        <w:t>21001</w:t>
      </w:r>
      <w:r w:rsidR="00405CB4">
        <w:t>:2018</w:t>
      </w:r>
      <w:r>
        <w:t xml:space="preserve"> jest użyte sformułowanie „</w:t>
      </w:r>
      <w:r w:rsidRPr="00B4213B">
        <w:rPr>
          <w:i/>
          <w:iCs/>
        </w:rPr>
        <w:t>interested party</w:t>
      </w:r>
      <w:r>
        <w:t>”</w:t>
      </w:r>
      <w:r w:rsidR="00405CB4">
        <w:t xml:space="preserve"> ze względu na łatwiejsze stosowanie tego synonimicznego określenia w opisach.</w:t>
      </w:r>
    </w:p>
  </w:footnote>
  <w:footnote w:id="15">
    <w:p w14:paraId="1D20B1F4" w14:textId="0CEA1BA2" w:rsidR="00DB50FB" w:rsidRDefault="00DB50FB">
      <w:pPr>
        <w:pStyle w:val="Tekstprzypisudolnego"/>
      </w:pPr>
      <w:r>
        <w:rPr>
          <w:rStyle w:val="Odwoanieprzypisudolnego"/>
        </w:rPr>
        <w:footnoteRef/>
      </w:r>
      <w:r>
        <w:t xml:space="preserve"> [Z] – oznaczenie dla punktów odnoszących się do opisu etapów postępowania przy wyborze metod zwinnych (agile)</w:t>
      </w:r>
    </w:p>
  </w:footnote>
  <w:footnote w:id="16">
    <w:p w14:paraId="1134C648" w14:textId="053CAE73" w:rsidR="00DB50FB" w:rsidRDefault="00DB50FB">
      <w:pPr>
        <w:pStyle w:val="Tekstprzypisudolnego"/>
      </w:pPr>
      <w:r>
        <w:rPr>
          <w:rStyle w:val="Odwoanieprzypisudolnego"/>
        </w:rPr>
        <w:footnoteRef/>
      </w:r>
      <w:r>
        <w:t xml:space="preserve"> [K] – oznaczenie dla punktów odnoszących się do opisu etapów postepowania przy wyborze metod kaskadowych</w:t>
      </w:r>
    </w:p>
  </w:footnote>
  <w:footnote w:id="17">
    <w:p w14:paraId="2DBA1D64" w14:textId="6ACD75FB" w:rsidR="00B6526F" w:rsidRDefault="00B6526F">
      <w:pPr>
        <w:pStyle w:val="Tekstprzypisudolnego"/>
      </w:pPr>
      <w:r>
        <w:rPr>
          <w:rStyle w:val="Odwoanieprzypisudolnego"/>
        </w:rPr>
        <w:footnoteRef/>
      </w:r>
      <w:r>
        <w:t xml:space="preserve"> W badaniu ELA publikowane są dane odnoszące się do okresów od 1. roku po ukończeniu studiów do 5. lat po ukończeniu studiów.</w:t>
      </w:r>
    </w:p>
  </w:footnote>
  <w:footnote w:id="18">
    <w:p w14:paraId="2967BFC4" w14:textId="77777777" w:rsidR="00E3060F" w:rsidRDefault="00E3060F">
      <w:pPr>
        <w:pStyle w:val="Tekstprzypisudolnego"/>
      </w:pPr>
      <w:r>
        <w:rPr>
          <w:rStyle w:val="Odwoanieprzypisudolnego"/>
        </w:rPr>
        <w:footnoteRef/>
      </w:r>
      <w:r>
        <w:t xml:space="preserve"> stan na dzień 06.04.2024</w:t>
      </w:r>
    </w:p>
  </w:footnote>
  <w:footnote w:id="19">
    <w:p w14:paraId="49C96803" w14:textId="6D87EFC1" w:rsidR="000906B0" w:rsidRDefault="000906B0">
      <w:pPr>
        <w:pStyle w:val="Tekstprzypisudolnego"/>
      </w:pPr>
      <w:r>
        <w:rPr>
          <w:rStyle w:val="Odwoanieprzypisudolnego"/>
        </w:rPr>
        <w:footnoteRef/>
      </w:r>
      <w:r>
        <w:t xml:space="preserve"> Liczności dotyczą potwierdzonego kontekstu występującego dla unikalnych wystąpień fraz</w:t>
      </w:r>
      <w:r w:rsidR="007F2E51">
        <w:t>.</w:t>
      </w:r>
      <w:r>
        <w:t xml:space="preserve"> tzn. frazy zawierające się w innych frazach nie były brane pod uwagę przy zliczaniu</w:t>
      </w:r>
      <w:r w:rsidR="007F2E51">
        <w:t>, ponadto jeśli dana fraza występowała w innym kontekście, to takie jej wystąpienia nie były zliczane.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517" w14:textId="08239FA3" w:rsidR="00920540" w:rsidRDefault="00000000" w:rsidP="00807180">
    <w:pPr>
      <w:pStyle w:val="Nagwek"/>
      <w:jc w:val="center"/>
    </w:pPr>
    <w:fldSimple w:instr=" FILENAME   \* MERGEFORMAT ">
      <w:r w:rsidR="009E351C">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1"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2"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4"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5"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8"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2"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4"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29"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2"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3"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4D518C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8"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0"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3"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5"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6"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28"/>
  </w:num>
  <w:num w:numId="2" w16cid:durableId="1152141714">
    <w:abstractNumId w:val="29"/>
  </w:num>
  <w:num w:numId="3" w16cid:durableId="412630402">
    <w:abstractNumId w:val="28"/>
    <w:lvlOverride w:ilvl="0">
      <w:startOverride w:val="1"/>
    </w:lvlOverride>
  </w:num>
  <w:num w:numId="4" w16cid:durableId="1852140090">
    <w:abstractNumId w:val="20"/>
  </w:num>
  <w:num w:numId="5" w16cid:durableId="1244490497">
    <w:abstractNumId w:val="34"/>
  </w:num>
  <w:num w:numId="6" w16cid:durableId="392588381">
    <w:abstractNumId w:val="48"/>
  </w:num>
  <w:num w:numId="7" w16cid:durableId="1496728163">
    <w:abstractNumId w:val="6"/>
  </w:num>
  <w:num w:numId="8" w16cid:durableId="1567885209">
    <w:abstractNumId w:val="47"/>
  </w:num>
  <w:num w:numId="9" w16cid:durableId="892035834">
    <w:abstractNumId w:val="43"/>
  </w:num>
  <w:num w:numId="10" w16cid:durableId="1420322924">
    <w:abstractNumId w:val="35"/>
  </w:num>
  <w:num w:numId="11" w16cid:durableId="1588689285">
    <w:abstractNumId w:val="37"/>
  </w:num>
  <w:num w:numId="12" w16cid:durableId="366374553">
    <w:abstractNumId w:val="9"/>
  </w:num>
  <w:num w:numId="13" w16cid:durableId="649604550">
    <w:abstractNumId w:val="33"/>
  </w:num>
  <w:num w:numId="14" w16cid:durableId="1096633854">
    <w:abstractNumId w:val="27"/>
  </w:num>
  <w:num w:numId="15" w16cid:durableId="386149807">
    <w:abstractNumId w:val="4"/>
  </w:num>
  <w:num w:numId="16" w16cid:durableId="1662730210">
    <w:abstractNumId w:val="36"/>
  </w:num>
  <w:num w:numId="17" w16cid:durableId="122966611">
    <w:abstractNumId w:val="38"/>
  </w:num>
  <w:num w:numId="18" w16cid:durableId="347293067">
    <w:abstractNumId w:val="44"/>
  </w:num>
  <w:num w:numId="19" w16cid:durableId="1658806952">
    <w:abstractNumId w:val="11"/>
  </w:num>
  <w:num w:numId="20" w16cid:durableId="1393308741">
    <w:abstractNumId w:val="1"/>
  </w:num>
  <w:num w:numId="21" w16cid:durableId="1303463920">
    <w:abstractNumId w:val="7"/>
  </w:num>
  <w:num w:numId="22" w16cid:durableId="1351032583">
    <w:abstractNumId w:val="16"/>
  </w:num>
  <w:num w:numId="23" w16cid:durableId="1279608975">
    <w:abstractNumId w:val="32"/>
  </w:num>
  <w:num w:numId="24" w16cid:durableId="1800755233">
    <w:abstractNumId w:val="22"/>
  </w:num>
  <w:num w:numId="25" w16cid:durableId="567154322">
    <w:abstractNumId w:val="23"/>
  </w:num>
  <w:num w:numId="26" w16cid:durableId="1644890384">
    <w:abstractNumId w:val="41"/>
  </w:num>
  <w:num w:numId="27" w16cid:durableId="1623997854">
    <w:abstractNumId w:val="12"/>
  </w:num>
  <w:num w:numId="28" w16cid:durableId="2073962726">
    <w:abstractNumId w:val="19"/>
  </w:num>
  <w:num w:numId="29" w16cid:durableId="1486900364">
    <w:abstractNumId w:val="26"/>
  </w:num>
  <w:num w:numId="30" w16cid:durableId="730884049">
    <w:abstractNumId w:val="13"/>
  </w:num>
  <w:num w:numId="31" w16cid:durableId="1098676612">
    <w:abstractNumId w:val="0"/>
  </w:num>
  <w:num w:numId="32" w16cid:durableId="2085108929">
    <w:abstractNumId w:val="39"/>
  </w:num>
  <w:num w:numId="33" w16cid:durableId="296843607">
    <w:abstractNumId w:val="45"/>
  </w:num>
  <w:num w:numId="34" w16cid:durableId="1608731842">
    <w:abstractNumId w:val="28"/>
    <w:lvlOverride w:ilvl="0">
      <w:startOverride w:val="1"/>
    </w:lvlOverride>
  </w:num>
  <w:num w:numId="35" w16cid:durableId="360979206">
    <w:abstractNumId w:val="10"/>
  </w:num>
  <w:num w:numId="36" w16cid:durableId="691804319">
    <w:abstractNumId w:val="28"/>
    <w:lvlOverride w:ilvl="0">
      <w:startOverride w:val="1"/>
    </w:lvlOverride>
  </w:num>
  <w:num w:numId="37" w16cid:durableId="793138348">
    <w:abstractNumId w:val="8"/>
  </w:num>
  <w:num w:numId="38" w16cid:durableId="675772132">
    <w:abstractNumId w:val="40"/>
  </w:num>
  <w:num w:numId="39" w16cid:durableId="1563834281">
    <w:abstractNumId w:val="2"/>
  </w:num>
  <w:num w:numId="40" w16cid:durableId="870218547">
    <w:abstractNumId w:val="15"/>
  </w:num>
  <w:num w:numId="41" w16cid:durableId="2139257992">
    <w:abstractNumId w:val="21"/>
  </w:num>
  <w:num w:numId="42" w16cid:durableId="1018849354">
    <w:abstractNumId w:val="42"/>
  </w:num>
  <w:num w:numId="43" w16cid:durableId="721712733">
    <w:abstractNumId w:val="18"/>
  </w:num>
  <w:num w:numId="44" w16cid:durableId="1378698831">
    <w:abstractNumId w:val="3"/>
  </w:num>
  <w:num w:numId="45" w16cid:durableId="141428669">
    <w:abstractNumId w:val="17"/>
  </w:num>
  <w:num w:numId="46" w16cid:durableId="240599873">
    <w:abstractNumId w:val="30"/>
  </w:num>
  <w:num w:numId="47" w16cid:durableId="1238396744">
    <w:abstractNumId w:val="31"/>
  </w:num>
  <w:num w:numId="48" w16cid:durableId="568423838">
    <w:abstractNumId w:val="5"/>
  </w:num>
  <w:num w:numId="49" w16cid:durableId="57435818">
    <w:abstractNumId w:val="25"/>
  </w:num>
  <w:num w:numId="50" w16cid:durableId="384261147">
    <w:abstractNumId w:val="24"/>
  </w:num>
  <w:num w:numId="51" w16cid:durableId="2056342842">
    <w:abstractNumId w:val="14"/>
  </w:num>
  <w:num w:numId="52" w16cid:durableId="474183920">
    <w:abstractNumId w:val="4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Paweł Szefler">
    <w15:presenceInfo w15:providerId="Windows Live" w15:userId="e84f5724f12f6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F08"/>
    <w:rsid w:val="00023FAB"/>
    <w:rsid w:val="0002475C"/>
    <w:rsid w:val="0002533D"/>
    <w:rsid w:val="00026808"/>
    <w:rsid w:val="00026B59"/>
    <w:rsid w:val="000276BD"/>
    <w:rsid w:val="0003034E"/>
    <w:rsid w:val="00031391"/>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014"/>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DC7"/>
    <w:rsid w:val="000A1840"/>
    <w:rsid w:val="000A24AD"/>
    <w:rsid w:val="000A2989"/>
    <w:rsid w:val="000A2AE0"/>
    <w:rsid w:val="000A2CD5"/>
    <w:rsid w:val="000A2DCC"/>
    <w:rsid w:val="000A38A4"/>
    <w:rsid w:val="000A3D81"/>
    <w:rsid w:val="000A40C8"/>
    <w:rsid w:val="000A4312"/>
    <w:rsid w:val="000A51B9"/>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FC6"/>
    <w:rsid w:val="000C4ED7"/>
    <w:rsid w:val="000C5A40"/>
    <w:rsid w:val="000C6698"/>
    <w:rsid w:val="000C72D7"/>
    <w:rsid w:val="000C7CA2"/>
    <w:rsid w:val="000D0240"/>
    <w:rsid w:val="000D1401"/>
    <w:rsid w:val="000D1BC0"/>
    <w:rsid w:val="000D1F81"/>
    <w:rsid w:val="000D1FB6"/>
    <w:rsid w:val="000D24F6"/>
    <w:rsid w:val="000D2C95"/>
    <w:rsid w:val="000D3BBD"/>
    <w:rsid w:val="000D44B5"/>
    <w:rsid w:val="000D4EB8"/>
    <w:rsid w:val="000D4ED5"/>
    <w:rsid w:val="000D5243"/>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6E26"/>
    <w:rsid w:val="000F6F48"/>
    <w:rsid w:val="000F73A1"/>
    <w:rsid w:val="000F7C66"/>
    <w:rsid w:val="00100034"/>
    <w:rsid w:val="001003C4"/>
    <w:rsid w:val="00100EFD"/>
    <w:rsid w:val="00101D02"/>
    <w:rsid w:val="00102C77"/>
    <w:rsid w:val="00102D4D"/>
    <w:rsid w:val="00103530"/>
    <w:rsid w:val="00103ADF"/>
    <w:rsid w:val="00103EF0"/>
    <w:rsid w:val="0010574F"/>
    <w:rsid w:val="001061EA"/>
    <w:rsid w:val="00106236"/>
    <w:rsid w:val="00107BE2"/>
    <w:rsid w:val="00107ECD"/>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9D"/>
    <w:rsid w:val="00137821"/>
    <w:rsid w:val="00137BD6"/>
    <w:rsid w:val="00140188"/>
    <w:rsid w:val="0014060A"/>
    <w:rsid w:val="00140A1A"/>
    <w:rsid w:val="00141644"/>
    <w:rsid w:val="0014301C"/>
    <w:rsid w:val="0014318A"/>
    <w:rsid w:val="0014594A"/>
    <w:rsid w:val="001459C0"/>
    <w:rsid w:val="00146B70"/>
    <w:rsid w:val="0014716A"/>
    <w:rsid w:val="00147B48"/>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820"/>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811"/>
    <w:rsid w:val="001905DA"/>
    <w:rsid w:val="00190722"/>
    <w:rsid w:val="0019084C"/>
    <w:rsid w:val="00190A2C"/>
    <w:rsid w:val="00190B46"/>
    <w:rsid w:val="00190D5F"/>
    <w:rsid w:val="00191A08"/>
    <w:rsid w:val="00191D2D"/>
    <w:rsid w:val="00191FBD"/>
    <w:rsid w:val="0019220B"/>
    <w:rsid w:val="0019268D"/>
    <w:rsid w:val="00193184"/>
    <w:rsid w:val="00194403"/>
    <w:rsid w:val="00194837"/>
    <w:rsid w:val="00196769"/>
    <w:rsid w:val="00196C5C"/>
    <w:rsid w:val="0019795B"/>
    <w:rsid w:val="00197967"/>
    <w:rsid w:val="001A0220"/>
    <w:rsid w:val="001A0F40"/>
    <w:rsid w:val="001A10C9"/>
    <w:rsid w:val="001A17B5"/>
    <w:rsid w:val="001A2410"/>
    <w:rsid w:val="001A2624"/>
    <w:rsid w:val="001A2B61"/>
    <w:rsid w:val="001A300B"/>
    <w:rsid w:val="001A37E8"/>
    <w:rsid w:val="001A429B"/>
    <w:rsid w:val="001A4E26"/>
    <w:rsid w:val="001A599A"/>
    <w:rsid w:val="001A5C9A"/>
    <w:rsid w:val="001A6695"/>
    <w:rsid w:val="001A69C5"/>
    <w:rsid w:val="001A71B5"/>
    <w:rsid w:val="001B0484"/>
    <w:rsid w:val="001B095F"/>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121D"/>
    <w:rsid w:val="001E1352"/>
    <w:rsid w:val="001E1A75"/>
    <w:rsid w:val="001E1BBF"/>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31A5"/>
    <w:rsid w:val="002132CB"/>
    <w:rsid w:val="00213860"/>
    <w:rsid w:val="0021443A"/>
    <w:rsid w:val="002144B5"/>
    <w:rsid w:val="00214578"/>
    <w:rsid w:val="00215388"/>
    <w:rsid w:val="00215C4F"/>
    <w:rsid w:val="0021649A"/>
    <w:rsid w:val="0021701A"/>
    <w:rsid w:val="002172EC"/>
    <w:rsid w:val="00220237"/>
    <w:rsid w:val="00220308"/>
    <w:rsid w:val="00222592"/>
    <w:rsid w:val="002230A9"/>
    <w:rsid w:val="0022314F"/>
    <w:rsid w:val="00223189"/>
    <w:rsid w:val="00224E3C"/>
    <w:rsid w:val="00225D51"/>
    <w:rsid w:val="00227EF6"/>
    <w:rsid w:val="002300CE"/>
    <w:rsid w:val="0023080C"/>
    <w:rsid w:val="00231F88"/>
    <w:rsid w:val="002320A6"/>
    <w:rsid w:val="00232191"/>
    <w:rsid w:val="002328E6"/>
    <w:rsid w:val="00232921"/>
    <w:rsid w:val="00232986"/>
    <w:rsid w:val="00233788"/>
    <w:rsid w:val="002343E4"/>
    <w:rsid w:val="002348B9"/>
    <w:rsid w:val="00234AA3"/>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321C"/>
    <w:rsid w:val="00243355"/>
    <w:rsid w:val="00243DD6"/>
    <w:rsid w:val="002442E6"/>
    <w:rsid w:val="00244AAA"/>
    <w:rsid w:val="00244E74"/>
    <w:rsid w:val="00245362"/>
    <w:rsid w:val="00245930"/>
    <w:rsid w:val="0024614F"/>
    <w:rsid w:val="0024692D"/>
    <w:rsid w:val="0024697F"/>
    <w:rsid w:val="00246C09"/>
    <w:rsid w:val="002506CD"/>
    <w:rsid w:val="00250B30"/>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201"/>
    <w:rsid w:val="002662D0"/>
    <w:rsid w:val="002668D9"/>
    <w:rsid w:val="00266E96"/>
    <w:rsid w:val="00266EE0"/>
    <w:rsid w:val="00267684"/>
    <w:rsid w:val="00270A7D"/>
    <w:rsid w:val="00270ACD"/>
    <w:rsid w:val="00271077"/>
    <w:rsid w:val="0027218A"/>
    <w:rsid w:val="002739C6"/>
    <w:rsid w:val="00273AC6"/>
    <w:rsid w:val="002757F2"/>
    <w:rsid w:val="00275FA5"/>
    <w:rsid w:val="00276213"/>
    <w:rsid w:val="00276B21"/>
    <w:rsid w:val="00276DBC"/>
    <w:rsid w:val="00276F42"/>
    <w:rsid w:val="00277953"/>
    <w:rsid w:val="002808B3"/>
    <w:rsid w:val="00280BD1"/>
    <w:rsid w:val="00280D0C"/>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87B"/>
    <w:rsid w:val="002C4484"/>
    <w:rsid w:val="002C4A09"/>
    <w:rsid w:val="002C4BC2"/>
    <w:rsid w:val="002C4CC0"/>
    <w:rsid w:val="002C5144"/>
    <w:rsid w:val="002C55AA"/>
    <w:rsid w:val="002C5EE6"/>
    <w:rsid w:val="002C6CC4"/>
    <w:rsid w:val="002D0F15"/>
    <w:rsid w:val="002D12AD"/>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D53"/>
    <w:rsid w:val="002E66CC"/>
    <w:rsid w:val="002E6E79"/>
    <w:rsid w:val="002F0CC2"/>
    <w:rsid w:val="002F1232"/>
    <w:rsid w:val="002F12CF"/>
    <w:rsid w:val="002F1656"/>
    <w:rsid w:val="002F241A"/>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10CFC"/>
    <w:rsid w:val="00310E21"/>
    <w:rsid w:val="00310E38"/>
    <w:rsid w:val="00313924"/>
    <w:rsid w:val="00313FC2"/>
    <w:rsid w:val="003157BD"/>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31AE"/>
    <w:rsid w:val="00363FDD"/>
    <w:rsid w:val="00364B36"/>
    <w:rsid w:val="00365303"/>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92D"/>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586"/>
    <w:rsid w:val="00394B04"/>
    <w:rsid w:val="00394CD2"/>
    <w:rsid w:val="0039524E"/>
    <w:rsid w:val="00395827"/>
    <w:rsid w:val="003965E2"/>
    <w:rsid w:val="00396757"/>
    <w:rsid w:val="00396EB0"/>
    <w:rsid w:val="00397F0D"/>
    <w:rsid w:val="003A07A2"/>
    <w:rsid w:val="003A0CA7"/>
    <w:rsid w:val="003A11C0"/>
    <w:rsid w:val="003A12F5"/>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2577"/>
    <w:rsid w:val="0043305D"/>
    <w:rsid w:val="00433E03"/>
    <w:rsid w:val="00433E4A"/>
    <w:rsid w:val="00434BBF"/>
    <w:rsid w:val="004350D1"/>
    <w:rsid w:val="00435756"/>
    <w:rsid w:val="00435ABB"/>
    <w:rsid w:val="00436830"/>
    <w:rsid w:val="00436D10"/>
    <w:rsid w:val="0044015D"/>
    <w:rsid w:val="004414CD"/>
    <w:rsid w:val="00442258"/>
    <w:rsid w:val="004423B5"/>
    <w:rsid w:val="004425F6"/>
    <w:rsid w:val="004430F0"/>
    <w:rsid w:val="004439F4"/>
    <w:rsid w:val="00444118"/>
    <w:rsid w:val="0044447F"/>
    <w:rsid w:val="00444A58"/>
    <w:rsid w:val="00444D0C"/>
    <w:rsid w:val="00444EC9"/>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CB7"/>
    <w:rsid w:val="0046164D"/>
    <w:rsid w:val="00461BD2"/>
    <w:rsid w:val="00461EC8"/>
    <w:rsid w:val="004621AB"/>
    <w:rsid w:val="004629BB"/>
    <w:rsid w:val="00462E20"/>
    <w:rsid w:val="00462F21"/>
    <w:rsid w:val="004635B5"/>
    <w:rsid w:val="004638FA"/>
    <w:rsid w:val="00463FDB"/>
    <w:rsid w:val="0046440A"/>
    <w:rsid w:val="004645F2"/>
    <w:rsid w:val="004658C8"/>
    <w:rsid w:val="00465951"/>
    <w:rsid w:val="00465E6B"/>
    <w:rsid w:val="004666E1"/>
    <w:rsid w:val="00466A2F"/>
    <w:rsid w:val="00470601"/>
    <w:rsid w:val="004715E3"/>
    <w:rsid w:val="00471742"/>
    <w:rsid w:val="0047176A"/>
    <w:rsid w:val="004731A5"/>
    <w:rsid w:val="004739FC"/>
    <w:rsid w:val="004743C6"/>
    <w:rsid w:val="00474752"/>
    <w:rsid w:val="00475984"/>
    <w:rsid w:val="0047619D"/>
    <w:rsid w:val="004762BC"/>
    <w:rsid w:val="00476301"/>
    <w:rsid w:val="00477AB0"/>
    <w:rsid w:val="00477C8D"/>
    <w:rsid w:val="00477F2F"/>
    <w:rsid w:val="00482587"/>
    <w:rsid w:val="00482BC9"/>
    <w:rsid w:val="00482E4B"/>
    <w:rsid w:val="00483136"/>
    <w:rsid w:val="0048361A"/>
    <w:rsid w:val="00484EB8"/>
    <w:rsid w:val="00484F48"/>
    <w:rsid w:val="00486183"/>
    <w:rsid w:val="00486195"/>
    <w:rsid w:val="004902EC"/>
    <w:rsid w:val="004910F9"/>
    <w:rsid w:val="00491347"/>
    <w:rsid w:val="00492634"/>
    <w:rsid w:val="004935BE"/>
    <w:rsid w:val="00493E69"/>
    <w:rsid w:val="00494468"/>
    <w:rsid w:val="00495F01"/>
    <w:rsid w:val="00496445"/>
    <w:rsid w:val="0049686D"/>
    <w:rsid w:val="00496D0E"/>
    <w:rsid w:val="004976E1"/>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C0144"/>
    <w:rsid w:val="004C09C1"/>
    <w:rsid w:val="004C0EFB"/>
    <w:rsid w:val="004C10DC"/>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96C"/>
    <w:rsid w:val="0052275C"/>
    <w:rsid w:val="00522E55"/>
    <w:rsid w:val="0052405C"/>
    <w:rsid w:val="00524980"/>
    <w:rsid w:val="00524BCB"/>
    <w:rsid w:val="005254D7"/>
    <w:rsid w:val="00526549"/>
    <w:rsid w:val="00526A7F"/>
    <w:rsid w:val="00530225"/>
    <w:rsid w:val="00530804"/>
    <w:rsid w:val="005308BA"/>
    <w:rsid w:val="005308C6"/>
    <w:rsid w:val="00530CD7"/>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735C"/>
    <w:rsid w:val="00537A05"/>
    <w:rsid w:val="005415DD"/>
    <w:rsid w:val="0054253B"/>
    <w:rsid w:val="00542A82"/>
    <w:rsid w:val="00542EFE"/>
    <w:rsid w:val="005433CB"/>
    <w:rsid w:val="00543F87"/>
    <w:rsid w:val="00543F91"/>
    <w:rsid w:val="00544152"/>
    <w:rsid w:val="005450CF"/>
    <w:rsid w:val="00545255"/>
    <w:rsid w:val="0054582C"/>
    <w:rsid w:val="00545BFC"/>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695"/>
    <w:rsid w:val="0056796C"/>
    <w:rsid w:val="00567EDE"/>
    <w:rsid w:val="00570835"/>
    <w:rsid w:val="005709A9"/>
    <w:rsid w:val="0057102E"/>
    <w:rsid w:val="00571EA4"/>
    <w:rsid w:val="005726DA"/>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500"/>
    <w:rsid w:val="005A7ABF"/>
    <w:rsid w:val="005B0269"/>
    <w:rsid w:val="005B14C0"/>
    <w:rsid w:val="005B184C"/>
    <w:rsid w:val="005B2276"/>
    <w:rsid w:val="005B2971"/>
    <w:rsid w:val="005B2EE1"/>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415B8"/>
    <w:rsid w:val="00642671"/>
    <w:rsid w:val="006448AE"/>
    <w:rsid w:val="00644DA7"/>
    <w:rsid w:val="00644DFA"/>
    <w:rsid w:val="00645435"/>
    <w:rsid w:val="006458AA"/>
    <w:rsid w:val="00646A48"/>
    <w:rsid w:val="00646C5E"/>
    <w:rsid w:val="00646C98"/>
    <w:rsid w:val="00646DFD"/>
    <w:rsid w:val="00647468"/>
    <w:rsid w:val="00647922"/>
    <w:rsid w:val="00647B88"/>
    <w:rsid w:val="00647EA0"/>
    <w:rsid w:val="00647FB2"/>
    <w:rsid w:val="006502BB"/>
    <w:rsid w:val="006503C1"/>
    <w:rsid w:val="0065047B"/>
    <w:rsid w:val="00651AD7"/>
    <w:rsid w:val="00651CC0"/>
    <w:rsid w:val="006528C7"/>
    <w:rsid w:val="00654DD1"/>
    <w:rsid w:val="00654DE0"/>
    <w:rsid w:val="006554F6"/>
    <w:rsid w:val="00655614"/>
    <w:rsid w:val="00655665"/>
    <w:rsid w:val="00655BA8"/>
    <w:rsid w:val="00656460"/>
    <w:rsid w:val="00656863"/>
    <w:rsid w:val="00657F4D"/>
    <w:rsid w:val="00660008"/>
    <w:rsid w:val="00660A3C"/>
    <w:rsid w:val="00661B1E"/>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C83"/>
    <w:rsid w:val="00674E70"/>
    <w:rsid w:val="006755DF"/>
    <w:rsid w:val="006756A2"/>
    <w:rsid w:val="00675E07"/>
    <w:rsid w:val="00675EBF"/>
    <w:rsid w:val="00676316"/>
    <w:rsid w:val="006768BB"/>
    <w:rsid w:val="00677337"/>
    <w:rsid w:val="00677DB7"/>
    <w:rsid w:val="00680025"/>
    <w:rsid w:val="006808D4"/>
    <w:rsid w:val="00681032"/>
    <w:rsid w:val="00682406"/>
    <w:rsid w:val="00682701"/>
    <w:rsid w:val="0068283C"/>
    <w:rsid w:val="00682CC0"/>
    <w:rsid w:val="006836FA"/>
    <w:rsid w:val="00683BD5"/>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318F"/>
    <w:rsid w:val="006D3AD3"/>
    <w:rsid w:val="006D44D8"/>
    <w:rsid w:val="006D4515"/>
    <w:rsid w:val="006D5BD9"/>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7375"/>
    <w:rsid w:val="006E768A"/>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3149"/>
    <w:rsid w:val="0072343B"/>
    <w:rsid w:val="007235ED"/>
    <w:rsid w:val="00723745"/>
    <w:rsid w:val="0072376E"/>
    <w:rsid w:val="00723E17"/>
    <w:rsid w:val="007258BC"/>
    <w:rsid w:val="00725C07"/>
    <w:rsid w:val="00725FC3"/>
    <w:rsid w:val="00726A94"/>
    <w:rsid w:val="0072768D"/>
    <w:rsid w:val="00727E58"/>
    <w:rsid w:val="00730997"/>
    <w:rsid w:val="007318CE"/>
    <w:rsid w:val="00731AB6"/>
    <w:rsid w:val="00732D44"/>
    <w:rsid w:val="0073325F"/>
    <w:rsid w:val="00733A0C"/>
    <w:rsid w:val="0073511A"/>
    <w:rsid w:val="00736347"/>
    <w:rsid w:val="007406C7"/>
    <w:rsid w:val="00740DB6"/>
    <w:rsid w:val="0074196F"/>
    <w:rsid w:val="00742210"/>
    <w:rsid w:val="00742C1E"/>
    <w:rsid w:val="007432A6"/>
    <w:rsid w:val="0074340C"/>
    <w:rsid w:val="0074403E"/>
    <w:rsid w:val="00744096"/>
    <w:rsid w:val="007451FB"/>
    <w:rsid w:val="00746AFE"/>
    <w:rsid w:val="007472C1"/>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60291"/>
    <w:rsid w:val="007603CC"/>
    <w:rsid w:val="007604D4"/>
    <w:rsid w:val="007607BC"/>
    <w:rsid w:val="007607F5"/>
    <w:rsid w:val="00760904"/>
    <w:rsid w:val="007609B0"/>
    <w:rsid w:val="00761516"/>
    <w:rsid w:val="00761F7B"/>
    <w:rsid w:val="00762C37"/>
    <w:rsid w:val="00763205"/>
    <w:rsid w:val="00764202"/>
    <w:rsid w:val="007646FC"/>
    <w:rsid w:val="007662C2"/>
    <w:rsid w:val="007670CC"/>
    <w:rsid w:val="0076752E"/>
    <w:rsid w:val="00767DE8"/>
    <w:rsid w:val="00771127"/>
    <w:rsid w:val="0077161A"/>
    <w:rsid w:val="00771F9F"/>
    <w:rsid w:val="00773090"/>
    <w:rsid w:val="00773828"/>
    <w:rsid w:val="00773931"/>
    <w:rsid w:val="00774187"/>
    <w:rsid w:val="007741A4"/>
    <w:rsid w:val="0077463C"/>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7290"/>
    <w:rsid w:val="007A73ED"/>
    <w:rsid w:val="007B00CD"/>
    <w:rsid w:val="007B0411"/>
    <w:rsid w:val="007B079E"/>
    <w:rsid w:val="007B0AE1"/>
    <w:rsid w:val="007B0D0A"/>
    <w:rsid w:val="007B0D4A"/>
    <w:rsid w:val="007B1454"/>
    <w:rsid w:val="007B157B"/>
    <w:rsid w:val="007B1799"/>
    <w:rsid w:val="007B2305"/>
    <w:rsid w:val="007B2346"/>
    <w:rsid w:val="007B24B9"/>
    <w:rsid w:val="007B295C"/>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831"/>
    <w:rsid w:val="007D4314"/>
    <w:rsid w:val="007D58FB"/>
    <w:rsid w:val="007D5FAD"/>
    <w:rsid w:val="007D626A"/>
    <w:rsid w:val="007D646E"/>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3F0"/>
    <w:rsid w:val="007E64CA"/>
    <w:rsid w:val="007E6A5E"/>
    <w:rsid w:val="007E6F2C"/>
    <w:rsid w:val="007E745D"/>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73"/>
    <w:rsid w:val="00835861"/>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F19"/>
    <w:rsid w:val="008640C5"/>
    <w:rsid w:val="00864276"/>
    <w:rsid w:val="00864550"/>
    <w:rsid w:val="00864C5E"/>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7E30"/>
    <w:rsid w:val="00887E37"/>
    <w:rsid w:val="00890B6E"/>
    <w:rsid w:val="00890E68"/>
    <w:rsid w:val="008913F9"/>
    <w:rsid w:val="00892015"/>
    <w:rsid w:val="00892147"/>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2B0"/>
    <w:rsid w:val="008A6553"/>
    <w:rsid w:val="008A691B"/>
    <w:rsid w:val="008A7934"/>
    <w:rsid w:val="008A7C5F"/>
    <w:rsid w:val="008B04A7"/>
    <w:rsid w:val="008B1C36"/>
    <w:rsid w:val="008B24F0"/>
    <w:rsid w:val="008B28EB"/>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6245"/>
    <w:rsid w:val="008C64F7"/>
    <w:rsid w:val="008C71AF"/>
    <w:rsid w:val="008C72E5"/>
    <w:rsid w:val="008C7ABA"/>
    <w:rsid w:val="008C7D92"/>
    <w:rsid w:val="008D0629"/>
    <w:rsid w:val="008D0A56"/>
    <w:rsid w:val="008D16EC"/>
    <w:rsid w:val="008D1826"/>
    <w:rsid w:val="008D18C7"/>
    <w:rsid w:val="008D1C68"/>
    <w:rsid w:val="008D1FCB"/>
    <w:rsid w:val="008D2744"/>
    <w:rsid w:val="008D363C"/>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489E"/>
    <w:rsid w:val="008E50BF"/>
    <w:rsid w:val="008E6153"/>
    <w:rsid w:val="008E6D7E"/>
    <w:rsid w:val="008E7EFF"/>
    <w:rsid w:val="008F05F2"/>
    <w:rsid w:val="008F0655"/>
    <w:rsid w:val="008F07DF"/>
    <w:rsid w:val="008F0805"/>
    <w:rsid w:val="008F1514"/>
    <w:rsid w:val="008F15CB"/>
    <w:rsid w:val="008F235D"/>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1C04"/>
    <w:rsid w:val="00913F24"/>
    <w:rsid w:val="00914B41"/>
    <w:rsid w:val="009153B5"/>
    <w:rsid w:val="009174AB"/>
    <w:rsid w:val="009176C7"/>
    <w:rsid w:val="00917D95"/>
    <w:rsid w:val="009200BD"/>
    <w:rsid w:val="00920540"/>
    <w:rsid w:val="009205FD"/>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798"/>
    <w:rsid w:val="009337B8"/>
    <w:rsid w:val="0093438A"/>
    <w:rsid w:val="00934E1F"/>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41A7"/>
    <w:rsid w:val="009742D9"/>
    <w:rsid w:val="009754B1"/>
    <w:rsid w:val="00976339"/>
    <w:rsid w:val="00976F9F"/>
    <w:rsid w:val="00977041"/>
    <w:rsid w:val="00977D7A"/>
    <w:rsid w:val="00977F18"/>
    <w:rsid w:val="009804E3"/>
    <w:rsid w:val="00980EB8"/>
    <w:rsid w:val="00981279"/>
    <w:rsid w:val="009832CD"/>
    <w:rsid w:val="0098330F"/>
    <w:rsid w:val="009834EA"/>
    <w:rsid w:val="0098367A"/>
    <w:rsid w:val="00983983"/>
    <w:rsid w:val="00983FE9"/>
    <w:rsid w:val="00985351"/>
    <w:rsid w:val="00986591"/>
    <w:rsid w:val="009873DE"/>
    <w:rsid w:val="00990019"/>
    <w:rsid w:val="00990971"/>
    <w:rsid w:val="00991161"/>
    <w:rsid w:val="00991438"/>
    <w:rsid w:val="009916A7"/>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5842"/>
    <w:rsid w:val="009A70F2"/>
    <w:rsid w:val="009A7905"/>
    <w:rsid w:val="009A7917"/>
    <w:rsid w:val="009A7D9F"/>
    <w:rsid w:val="009B01E5"/>
    <w:rsid w:val="009B17A1"/>
    <w:rsid w:val="009B1929"/>
    <w:rsid w:val="009B234C"/>
    <w:rsid w:val="009B24BC"/>
    <w:rsid w:val="009B2CA8"/>
    <w:rsid w:val="009B3194"/>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CF4"/>
    <w:rsid w:val="009C7211"/>
    <w:rsid w:val="009C7E0F"/>
    <w:rsid w:val="009D0004"/>
    <w:rsid w:val="009D0A6E"/>
    <w:rsid w:val="009D0F02"/>
    <w:rsid w:val="009D122D"/>
    <w:rsid w:val="009D2272"/>
    <w:rsid w:val="009D22CB"/>
    <w:rsid w:val="009D362E"/>
    <w:rsid w:val="009D391E"/>
    <w:rsid w:val="009D3ABA"/>
    <w:rsid w:val="009D4BA4"/>
    <w:rsid w:val="009D4EBF"/>
    <w:rsid w:val="009D5392"/>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349A"/>
    <w:rsid w:val="00A139A4"/>
    <w:rsid w:val="00A14420"/>
    <w:rsid w:val="00A14599"/>
    <w:rsid w:val="00A145E9"/>
    <w:rsid w:val="00A147A1"/>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40436"/>
    <w:rsid w:val="00A416D4"/>
    <w:rsid w:val="00A41774"/>
    <w:rsid w:val="00A41873"/>
    <w:rsid w:val="00A419BC"/>
    <w:rsid w:val="00A41F04"/>
    <w:rsid w:val="00A420B7"/>
    <w:rsid w:val="00A4299F"/>
    <w:rsid w:val="00A443E2"/>
    <w:rsid w:val="00A4457E"/>
    <w:rsid w:val="00A448A9"/>
    <w:rsid w:val="00A44AAE"/>
    <w:rsid w:val="00A45B98"/>
    <w:rsid w:val="00A45F41"/>
    <w:rsid w:val="00A4706F"/>
    <w:rsid w:val="00A470BA"/>
    <w:rsid w:val="00A4762F"/>
    <w:rsid w:val="00A51435"/>
    <w:rsid w:val="00A5201B"/>
    <w:rsid w:val="00A524B0"/>
    <w:rsid w:val="00A52642"/>
    <w:rsid w:val="00A52FA2"/>
    <w:rsid w:val="00A53242"/>
    <w:rsid w:val="00A53B36"/>
    <w:rsid w:val="00A53F3D"/>
    <w:rsid w:val="00A54146"/>
    <w:rsid w:val="00A54177"/>
    <w:rsid w:val="00A55CBB"/>
    <w:rsid w:val="00A55D60"/>
    <w:rsid w:val="00A55F23"/>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7DAD"/>
    <w:rsid w:val="00A67DBC"/>
    <w:rsid w:val="00A724EC"/>
    <w:rsid w:val="00A7287E"/>
    <w:rsid w:val="00A7454A"/>
    <w:rsid w:val="00A764F5"/>
    <w:rsid w:val="00A76C43"/>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B24"/>
    <w:rsid w:val="00AB5BF6"/>
    <w:rsid w:val="00AB6543"/>
    <w:rsid w:val="00AB7F3E"/>
    <w:rsid w:val="00AC0D7F"/>
    <w:rsid w:val="00AC1B58"/>
    <w:rsid w:val="00AC3066"/>
    <w:rsid w:val="00AC3392"/>
    <w:rsid w:val="00AC4789"/>
    <w:rsid w:val="00AC48BA"/>
    <w:rsid w:val="00AC4C22"/>
    <w:rsid w:val="00AC4F92"/>
    <w:rsid w:val="00AC5028"/>
    <w:rsid w:val="00AC5ECE"/>
    <w:rsid w:val="00AC6434"/>
    <w:rsid w:val="00AC660C"/>
    <w:rsid w:val="00AC6AFB"/>
    <w:rsid w:val="00AC6C46"/>
    <w:rsid w:val="00AC750B"/>
    <w:rsid w:val="00AC7707"/>
    <w:rsid w:val="00AD0475"/>
    <w:rsid w:val="00AD0CE7"/>
    <w:rsid w:val="00AD0F62"/>
    <w:rsid w:val="00AD1533"/>
    <w:rsid w:val="00AD1556"/>
    <w:rsid w:val="00AD24C9"/>
    <w:rsid w:val="00AD2D65"/>
    <w:rsid w:val="00AD40B6"/>
    <w:rsid w:val="00AD48F6"/>
    <w:rsid w:val="00AD4D7C"/>
    <w:rsid w:val="00AD5C47"/>
    <w:rsid w:val="00AD5D59"/>
    <w:rsid w:val="00AD5E78"/>
    <w:rsid w:val="00AD647F"/>
    <w:rsid w:val="00AD6E4A"/>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5963"/>
    <w:rsid w:val="00AF6459"/>
    <w:rsid w:val="00AF6E49"/>
    <w:rsid w:val="00AF7334"/>
    <w:rsid w:val="00AF75C2"/>
    <w:rsid w:val="00AF7ED9"/>
    <w:rsid w:val="00AF7F32"/>
    <w:rsid w:val="00B004C5"/>
    <w:rsid w:val="00B007DF"/>
    <w:rsid w:val="00B010A3"/>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F87"/>
    <w:rsid w:val="00B17595"/>
    <w:rsid w:val="00B20D80"/>
    <w:rsid w:val="00B21058"/>
    <w:rsid w:val="00B2130A"/>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C64"/>
    <w:rsid w:val="00B47F8D"/>
    <w:rsid w:val="00B5097B"/>
    <w:rsid w:val="00B50CFF"/>
    <w:rsid w:val="00B51006"/>
    <w:rsid w:val="00B511BF"/>
    <w:rsid w:val="00B51B74"/>
    <w:rsid w:val="00B5207E"/>
    <w:rsid w:val="00B520B2"/>
    <w:rsid w:val="00B5225D"/>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7E2"/>
    <w:rsid w:val="00B668E3"/>
    <w:rsid w:val="00B66AF5"/>
    <w:rsid w:val="00B66BC9"/>
    <w:rsid w:val="00B67459"/>
    <w:rsid w:val="00B67FFB"/>
    <w:rsid w:val="00B71A26"/>
    <w:rsid w:val="00B71B41"/>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706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56DD"/>
    <w:rsid w:val="00BA59F7"/>
    <w:rsid w:val="00BA6B2E"/>
    <w:rsid w:val="00BA7272"/>
    <w:rsid w:val="00BA763A"/>
    <w:rsid w:val="00BA7FE8"/>
    <w:rsid w:val="00BB01E5"/>
    <w:rsid w:val="00BB0276"/>
    <w:rsid w:val="00BB06C8"/>
    <w:rsid w:val="00BB0B54"/>
    <w:rsid w:val="00BB1057"/>
    <w:rsid w:val="00BB11F4"/>
    <w:rsid w:val="00BB1991"/>
    <w:rsid w:val="00BB231B"/>
    <w:rsid w:val="00BB3567"/>
    <w:rsid w:val="00BB5193"/>
    <w:rsid w:val="00BB5577"/>
    <w:rsid w:val="00BB55F1"/>
    <w:rsid w:val="00BB57E4"/>
    <w:rsid w:val="00BB5952"/>
    <w:rsid w:val="00BB5A66"/>
    <w:rsid w:val="00BB5B3E"/>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A19"/>
    <w:rsid w:val="00BD4F64"/>
    <w:rsid w:val="00BD54AC"/>
    <w:rsid w:val="00BD55A2"/>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E5E"/>
    <w:rsid w:val="00BF5AD8"/>
    <w:rsid w:val="00BF6A9E"/>
    <w:rsid w:val="00BF6AA1"/>
    <w:rsid w:val="00C015CE"/>
    <w:rsid w:val="00C01819"/>
    <w:rsid w:val="00C01F16"/>
    <w:rsid w:val="00C02052"/>
    <w:rsid w:val="00C02F6B"/>
    <w:rsid w:val="00C03418"/>
    <w:rsid w:val="00C0341C"/>
    <w:rsid w:val="00C03510"/>
    <w:rsid w:val="00C03961"/>
    <w:rsid w:val="00C03EDC"/>
    <w:rsid w:val="00C04924"/>
    <w:rsid w:val="00C04FEF"/>
    <w:rsid w:val="00C05DA5"/>
    <w:rsid w:val="00C0645D"/>
    <w:rsid w:val="00C069E1"/>
    <w:rsid w:val="00C105D4"/>
    <w:rsid w:val="00C11845"/>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F3"/>
    <w:rsid w:val="00C6299E"/>
    <w:rsid w:val="00C63D7B"/>
    <w:rsid w:val="00C64CEC"/>
    <w:rsid w:val="00C65699"/>
    <w:rsid w:val="00C65DE6"/>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71B2"/>
    <w:rsid w:val="00C7753D"/>
    <w:rsid w:val="00C77AB5"/>
    <w:rsid w:val="00C805E9"/>
    <w:rsid w:val="00C80B37"/>
    <w:rsid w:val="00C80FC0"/>
    <w:rsid w:val="00C811D1"/>
    <w:rsid w:val="00C81EDC"/>
    <w:rsid w:val="00C82DA1"/>
    <w:rsid w:val="00C83949"/>
    <w:rsid w:val="00C84972"/>
    <w:rsid w:val="00C8580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6C3E"/>
    <w:rsid w:val="00CC77DB"/>
    <w:rsid w:val="00CC7AA4"/>
    <w:rsid w:val="00CC7DA6"/>
    <w:rsid w:val="00CD0712"/>
    <w:rsid w:val="00CD09E6"/>
    <w:rsid w:val="00CD1693"/>
    <w:rsid w:val="00CD1C98"/>
    <w:rsid w:val="00CD2A94"/>
    <w:rsid w:val="00CD3684"/>
    <w:rsid w:val="00CD40E6"/>
    <w:rsid w:val="00CD584B"/>
    <w:rsid w:val="00CD64AA"/>
    <w:rsid w:val="00CE06BF"/>
    <w:rsid w:val="00CE084A"/>
    <w:rsid w:val="00CE1508"/>
    <w:rsid w:val="00CE17C6"/>
    <w:rsid w:val="00CE2893"/>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D03"/>
    <w:rsid w:val="00CF2304"/>
    <w:rsid w:val="00CF23DF"/>
    <w:rsid w:val="00CF28D1"/>
    <w:rsid w:val="00CF2A6F"/>
    <w:rsid w:val="00CF3066"/>
    <w:rsid w:val="00CF3651"/>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62A7"/>
    <w:rsid w:val="00D065D1"/>
    <w:rsid w:val="00D0708A"/>
    <w:rsid w:val="00D07233"/>
    <w:rsid w:val="00D073DE"/>
    <w:rsid w:val="00D078D3"/>
    <w:rsid w:val="00D07932"/>
    <w:rsid w:val="00D07A69"/>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A94"/>
    <w:rsid w:val="00D61D72"/>
    <w:rsid w:val="00D626F0"/>
    <w:rsid w:val="00D62834"/>
    <w:rsid w:val="00D62AE5"/>
    <w:rsid w:val="00D64139"/>
    <w:rsid w:val="00D64AD1"/>
    <w:rsid w:val="00D654E0"/>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564"/>
    <w:rsid w:val="00D82766"/>
    <w:rsid w:val="00D83652"/>
    <w:rsid w:val="00D84020"/>
    <w:rsid w:val="00D841C5"/>
    <w:rsid w:val="00D84A01"/>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B1B03"/>
    <w:rsid w:val="00DB1B7C"/>
    <w:rsid w:val="00DB4F81"/>
    <w:rsid w:val="00DB50FB"/>
    <w:rsid w:val="00DB55EC"/>
    <w:rsid w:val="00DB5602"/>
    <w:rsid w:val="00DB5D11"/>
    <w:rsid w:val="00DB65A4"/>
    <w:rsid w:val="00DB65CD"/>
    <w:rsid w:val="00DB66CA"/>
    <w:rsid w:val="00DB6F37"/>
    <w:rsid w:val="00DB71C6"/>
    <w:rsid w:val="00DB73E2"/>
    <w:rsid w:val="00DB7868"/>
    <w:rsid w:val="00DB78E8"/>
    <w:rsid w:val="00DB7BE7"/>
    <w:rsid w:val="00DC007B"/>
    <w:rsid w:val="00DC03C1"/>
    <w:rsid w:val="00DC043C"/>
    <w:rsid w:val="00DC04B9"/>
    <w:rsid w:val="00DC0658"/>
    <w:rsid w:val="00DC18AD"/>
    <w:rsid w:val="00DC2673"/>
    <w:rsid w:val="00DC35F6"/>
    <w:rsid w:val="00DC37A2"/>
    <w:rsid w:val="00DC37AB"/>
    <w:rsid w:val="00DC3FF3"/>
    <w:rsid w:val="00DC4F64"/>
    <w:rsid w:val="00DC5156"/>
    <w:rsid w:val="00DC5C21"/>
    <w:rsid w:val="00DC6838"/>
    <w:rsid w:val="00DC6E72"/>
    <w:rsid w:val="00DC7BBD"/>
    <w:rsid w:val="00DD160A"/>
    <w:rsid w:val="00DD16CE"/>
    <w:rsid w:val="00DD2561"/>
    <w:rsid w:val="00DD342E"/>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FD"/>
    <w:rsid w:val="00DF69AB"/>
    <w:rsid w:val="00DF6BB8"/>
    <w:rsid w:val="00DF7489"/>
    <w:rsid w:val="00E00098"/>
    <w:rsid w:val="00E00823"/>
    <w:rsid w:val="00E00C12"/>
    <w:rsid w:val="00E02729"/>
    <w:rsid w:val="00E03212"/>
    <w:rsid w:val="00E03484"/>
    <w:rsid w:val="00E04259"/>
    <w:rsid w:val="00E0438A"/>
    <w:rsid w:val="00E04437"/>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2C24"/>
    <w:rsid w:val="00E22DF7"/>
    <w:rsid w:val="00E23554"/>
    <w:rsid w:val="00E235BD"/>
    <w:rsid w:val="00E24170"/>
    <w:rsid w:val="00E2494C"/>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63B9"/>
    <w:rsid w:val="00E6725B"/>
    <w:rsid w:val="00E67AE8"/>
    <w:rsid w:val="00E701C9"/>
    <w:rsid w:val="00E716E7"/>
    <w:rsid w:val="00E71C43"/>
    <w:rsid w:val="00E737A7"/>
    <w:rsid w:val="00E73ED3"/>
    <w:rsid w:val="00E7442A"/>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F1E"/>
    <w:rsid w:val="00EA2C49"/>
    <w:rsid w:val="00EA2EB3"/>
    <w:rsid w:val="00EA3208"/>
    <w:rsid w:val="00EA32EC"/>
    <w:rsid w:val="00EA33BD"/>
    <w:rsid w:val="00EA4F50"/>
    <w:rsid w:val="00EA5105"/>
    <w:rsid w:val="00EA51D2"/>
    <w:rsid w:val="00EA5D6A"/>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5"/>
    <w:rsid w:val="00EE6014"/>
    <w:rsid w:val="00EE7563"/>
    <w:rsid w:val="00EF025D"/>
    <w:rsid w:val="00EF0331"/>
    <w:rsid w:val="00EF0ECB"/>
    <w:rsid w:val="00EF0FC6"/>
    <w:rsid w:val="00EF1470"/>
    <w:rsid w:val="00EF1BDE"/>
    <w:rsid w:val="00EF354C"/>
    <w:rsid w:val="00EF3F3F"/>
    <w:rsid w:val="00EF4917"/>
    <w:rsid w:val="00EF4E6E"/>
    <w:rsid w:val="00EF5BF2"/>
    <w:rsid w:val="00EF63C7"/>
    <w:rsid w:val="00EF6A86"/>
    <w:rsid w:val="00EF6E03"/>
    <w:rsid w:val="00EF7032"/>
    <w:rsid w:val="00EF7236"/>
    <w:rsid w:val="00EF7637"/>
    <w:rsid w:val="00EF7C46"/>
    <w:rsid w:val="00EF7D89"/>
    <w:rsid w:val="00F001B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7125"/>
    <w:rsid w:val="00F371C3"/>
    <w:rsid w:val="00F37921"/>
    <w:rsid w:val="00F40471"/>
    <w:rsid w:val="00F40C37"/>
    <w:rsid w:val="00F4195C"/>
    <w:rsid w:val="00F41F46"/>
    <w:rsid w:val="00F425C3"/>
    <w:rsid w:val="00F42EDC"/>
    <w:rsid w:val="00F449BB"/>
    <w:rsid w:val="00F44E80"/>
    <w:rsid w:val="00F44FBB"/>
    <w:rsid w:val="00F45ACD"/>
    <w:rsid w:val="00F45FB8"/>
    <w:rsid w:val="00F4633F"/>
    <w:rsid w:val="00F466D9"/>
    <w:rsid w:val="00F46B94"/>
    <w:rsid w:val="00F47A41"/>
    <w:rsid w:val="00F513DC"/>
    <w:rsid w:val="00F514C4"/>
    <w:rsid w:val="00F517D3"/>
    <w:rsid w:val="00F520F4"/>
    <w:rsid w:val="00F52756"/>
    <w:rsid w:val="00F52C45"/>
    <w:rsid w:val="00F535C6"/>
    <w:rsid w:val="00F54058"/>
    <w:rsid w:val="00F54893"/>
    <w:rsid w:val="00F54E50"/>
    <w:rsid w:val="00F56412"/>
    <w:rsid w:val="00F56821"/>
    <w:rsid w:val="00F56B0E"/>
    <w:rsid w:val="00F604FE"/>
    <w:rsid w:val="00F609F2"/>
    <w:rsid w:val="00F60E9F"/>
    <w:rsid w:val="00F61786"/>
    <w:rsid w:val="00F61FB6"/>
    <w:rsid w:val="00F62220"/>
    <w:rsid w:val="00F62528"/>
    <w:rsid w:val="00F64C2F"/>
    <w:rsid w:val="00F651C6"/>
    <w:rsid w:val="00F6562D"/>
    <w:rsid w:val="00F65AC8"/>
    <w:rsid w:val="00F66958"/>
    <w:rsid w:val="00F66CA4"/>
    <w:rsid w:val="00F66F63"/>
    <w:rsid w:val="00F672D2"/>
    <w:rsid w:val="00F71202"/>
    <w:rsid w:val="00F7184C"/>
    <w:rsid w:val="00F7187D"/>
    <w:rsid w:val="00F71EDB"/>
    <w:rsid w:val="00F72A5C"/>
    <w:rsid w:val="00F72A73"/>
    <w:rsid w:val="00F74CFB"/>
    <w:rsid w:val="00F755BF"/>
    <w:rsid w:val="00F759C1"/>
    <w:rsid w:val="00F760BD"/>
    <w:rsid w:val="00F76C75"/>
    <w:rsid w:val="00F76CFF"/>
    <w:rsid w:val="00F773E4"/>
    <w:rsid w:val="00F77A02"/>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B0BA8"/>
    <w:rsid w:val="00FB0BAA"/>
    <w:rsid w:val="00FB1317"/>
    <w:rsid w:val="00FB2A12"/>
    <w:rsid w:val="00FB3877"/>
    <w:rsid w:val="00FB3D95"/>
    <w:rsid w:val="00FB50A7"/>
    <w:rsid w:val="00FB5657"/>
    <w:rsid w:val="00FB5747"/>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5B94"/>
    <w:rsid w:val="00FE5E5D"/>
    <w:rsid w:val="00FF0240"/>
    <w:rsid w:val="00FF1481"/>
    <w:rsid w:val="00FF1D64"/>
    <w:rsid w:val="00FF278C"/>
    <w:rsid w:val="00FF2F63"/>
    <w:rsid w:val="00FF37ED"/>
    <w:rsid w:val="00FF472E"/>
    <w:rsid w:val="00FF4FAD"/>
    <w:rsid w:val="00FF52BC"/>
    <w:rsid w:val="00FF5610"/>
    <w:rsid w:val="00FF5846"/>
    <w:rsid w:val="00FF5B63"/>
    <w:rsid w:val="00FF5B75"/>
    <w:rsid w:val="00FF5C0C"/>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FDD64"/>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E6F2A"/>
    <w:pPr>
      <w:spacing w:before="120" w:line="360" w:lineRule="auto"/>
      <w:ind w:firstLine="709"/>
      <w:jc w:val="both"/>
    </w:pPr>
    <w:rPr>
      <w:rFonts w:ascii="Arial" w:hAnsi="Arial"/>
      <w:szCs w:val="22"/>
    </w:rPr>
  </w:style>
  <w:style w:type="paragraph" w:styleId="Nagwek1">
    <w:name w:val="heading 1"/>
    <w:basedOn w:val="Normalny"/>
    <w:next w:val="Normalny"/>
    <w:link w:val="Nagwek1Znak"/>
    <w:uiPriority w:val="9"/>
    <w:qFormat/>
    <w:rsid w:val="00D452EB"/>
    <w:pPr>
      <w:keepNext/>
      <w:keepLines/>
      <w:pageBreakBefore/>
      <w:numPr>
        <w:numId w:val="11"/>
      </w:numPr>
      <w:spacing w:before="240" w:after="120" w:line="240" w:lineRule="auto"/>
      <w:jc w:val="left"/>
      <w:outlineLvl w:val="0"/>
    </w:pPr>
    <w:rPr>
      <w:b/>
      <w:bCs/>
      <w:caps/>
      <w:sz w:val="24"/>
      <w:szCs w:val="28"/>
    </w:rPr>
  </w:style>
  <w:style w:type="paragraph" w:styleId="Nagwek2">
    <w:name w:val="heading 2"/>
    <w:basedOn w:val="Normalny"/>
    <w:next w:val="Normalny"/>
    <w:link w:val="Nagwek2Znak"/>
    <w:uiPriority w:val="9"/>
    <w:unhideWhenUsed/>
    <w:qFormat/>
    <w:rsid w:val="00D452EB"/>
    <w:pPr>
      <w:keepNext/>
      <w:keepLines/>
      <w:numPr>
        <w:ilvl w:val="1"/>
        <w:numId w:val="11"/>
      </w:numPr>
      <w:spacing w:before="240" w:after="120" w:line="240" w:lineRule="auto"/>
      <w:jc w:val="left"/>
      <w:outlineLvl w:val="1"/>
    </w:pPr>
    <w:rPr>
      <w:b/>
      <w:bCs/>
      <w:i/>
      <w:szCs w:val="26"/>
    </w:rPr>
  </w:style>
  <w:style w:type="paragraph" w:styleId="Nagwek3">
    <w:name w:val="heading 3"/>
    <w:basedOn w:val="Normalny"/>
    <w:next w:val="Normalny"/>
    <w:link w:val="Nagwek3Znak"/>
    <w:uiPriority w:val="9"/>
    <w:unhideWhenUsed/>
    <w:qFormat/>
    <w:rsid w:val="00D452EB"/>
    <w:pPr>
      <w:keepNext/>
      <w:keepLines/>
      <w:numPr>
        <w:ilvl w:val="2"/>
        <w:numId w:val="11"/>
      </w:numPr>
      <w:spacing w:before="240" w:after="120" w:line="240" w:lineRule="auto"/>
      <w:outlineLvl w:val="2"/>
    </w:pPr>
    <w:rPr>
      <w:bCs/>
      <w:i/>
    </w:rPr>
  </w:style>
  <w:style w:type="paragraph" w:styleId="Nagwek4">
    <w:name w:val="heading 4"/>
    <w:basedOn w:val="Normalny"/>
    <w:next w:val="Normalny"/>
    <w:link w:val="Nagwek4Znak"/>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Nagwek5">
    <w:name w:val="heading 5"/>
    <w:basedOn w:val="Normalny"/>
    <w:next w:val="Normalny"/>
    <w:link w:val="Nagwek5Znak"/>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Nagwek6">
    <w:name w:val="heading 6"/>
    <w:basedOn w:val="Normalny"/>
    <w:next w:val="Normalny"/>
    <w:link w:val="Nagwek6Znak"/>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Nagwek7">
    <w:name w:val="heading 7"/>
    <w:basedOn w:val="Normalny"/>
    <w:next w:val="Normalny"/>
    <w:link w:val="Nagwek7Znak"/>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Nagwek8">
    <w:name w:val="heading 8"/>
    <w:basedOn w:val="Normalny"/>
    <w:next w:val="Normalny"/>
    <w:link w:val="Nagwek8Znak"/>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Nagwek9">
    <w:name w:val="heading 9"/>
    <w:basedOn w:val="Normalny"/>
    <w:next w:val="Normalny"/>
    <w:link w:val="Nagwek9Znak"/>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qFormat/>
    <w:rsid w:val="00AE6B86"/>
    <w:rPr>
      <w:sz w:val="18"/>
    </w:rPr>
  </w:style>
  <w:style w:type="character" w:customStyle="1" w:styleId="TekstprzypisudolnegoZnak">
    <w:name w:val="Tekst przypisu dolnego Znak"/>
    <w:basedOn w:val="Domylnaczcionkaakapitu"/>
    <w:link w:val="Tekstprzypisudolnego"/>
    <w:uiPriority w:val="99"/>
    <w:semiHidden/>
    <w:rsid w:val="00AE6B86"/>
    <w:rPr>
      <w:rFonts w:ascii="Arial" w:hAnsi="Arial"/>
      <w:sz w:val="18"/>
      <w:szCs w:val="22"/>
    </w:rPr>
  </w:style>
  <w:style w:type="paragraph" w:styleId="Nagwek">
    <w:name w:val="header"/>
    <w:basedOn w:val="Normalny"/>
    <w:link w:val="NagwekZnak"/>
    <w:uiPriority w:val="99"/>
    <w:unhideWhenUsed/>
    <w:rsid w:val="00807180"/>
    <w:pPr>
      <w:tabs>
        <w:tab w:val="center" w:pos="4536"/>
        <w:tab w:val="right" w:pos="9072"/>
      </w:tabs>
      <w:spacing w:line="240" w:lineRule="auto"/>
    </w:pPr>
  </w:style>
  <w:style w:type="character" w:customStyle="1" w:styleId="NagwekZnak">
    <w:name w:val="Nagłówek Znak"/>
    <w:basedOn w:val="Domylnaczcionkaakapitu"/>
    <w:link w:val="Nagwek"/>
    <w:uiPriority w:val="99"/>
    <w:rsid w:val="00807180"/>
  </w:style>
  <w:style w:type="paragraph" w:styleId="Stopka">
    <w:name w:val="footer"/>
    <w:basedOn w:val="Normalny"/>
    <w:link w:val="StopkaZnak"/>
    <w:uiPriority w:val="99"/>
    <w:unhideWhenUsed/>
    <w:rsid w:val="00807180"/>
    <w:pPr>
      <w:tabs>
        <w:tab w:val="center" w:pos="4536"/>
        <w:tab w:val="right" w:pos="9072"/>
      </w:tabs>
      <w:spacing w:line="240" w:lineRule="auto"/>
    </w:pPr>
  </w:style>
  <w:style w:type="character" w:customStyle="1" w:styleId="StopkaZnak">
    <w:name w:val="Stopka Znak"/>
    <w:basedOn w:val="Domylnaczcionkaakapitu"/>
    <w:link w:val="Stopka"/>
    <w:uiPriority w:val="99"/>
    <w:rsid w:val="00807180"/>
  </w:style>
  <w:style w:type="paragraph" w:styleId="Akapitzlist">
    <w:name w:val="List Paragraph"/>
    <w:basedOn w:val="Normalny"/>
    <w:link w:val="AkapitzlistZnak"/>
    <w:uiPriority w:val="34"/>
    <w:qFormat/>
    <w:rsid w:val="00D452EB"/>
    <w:pPr>
      <w:ind w:left="720"/>
      <w:contextualSpacing/>
    </w:pPr>
  </w:style>
  <w:style w:type="character" w:customStyle="1" w:styleId="Nagwek1Znak">
    <w:name w:val="Nagłówek 1 Znak"/>
    <w:basedOn w:val="Domylnaczcionkaakapitu"/>
    <w:link w:val="Nagwek1"/>
    <w:uiPriority w:val="9"/>
    <w:rsid w:val="00D452EB"/>
    <w:rPr>
      <w:rFonts w:ascii="Arial" w:hAnsi="Arial"/>
      <w:b/>
      <w:bCs/>
      <w:caps/>
      <w:sz w:val="24"/>
      <w:szCs w:val="28"/>
    </w:rPr>
  </w:style>
  <w:style w:type="character" w:customStyle="1" w:styleId="Nagwek2Znak">
    <w:name w:val="Nagłówek 2 Znak"/>
    <w:basedOn w:val="Domylnaczcionkaakapitu"/>
    <w:link w:val="Nagwek2"/>
    <w:uiPriority w:val="9"/>
    <w:rsid w:val="00D452EB"/>
    <w:rPr>
      <w:rFonts w:ascii="Arial" w:hAnsi="Arial"/>
      <w:b/>
      <w:bCs/>
      <w:i/>
      <w:szCs w:val="26"/>
    </w:rPr>
  </w:style>
  <w:style w:type="character" w:customStyle="1" w:styleId="Nagwek3Znak">
    <w:name w:val="Nagłówek 3 Znak"/>
    <w:basedOn w:val="Domylnaczcionkaakapitu"/>
    <w:link w:val="Nagwek3"/>
    <w:uiPriority w:val="9"/>
    <w:rsid w:val="00D452EB"/>
    <w:rPr>
      <w:rFonts w:ascii="Arial" w:hAnsi="Arial"/>
      <w:bCs/>
      <w:i/>
      <w:szCs w:val="22"/>
    </w:rPr>
  </w:style>
  <w:style w:type="character" w:customStyle="1" w:styleId="Nagwek4Znak">
    <w:name w:val="Nagłówek 4 Znak"/>
    <w:basedOn w:val="Domylnaczcionkaakapitu"/>
    <w:link w:val="Nagwek4"/>
    <w:uiPriority w:val="9"/>
    <w:rsid w:val="001D7F64"/>
    <w:rPr>
      <w:rFonts w:asciiTheme="minorHAnsi" w:eastAsiaTheme="minorEastAsia" w:hAnsiTheme="minorHAnsi" w:cstheme="minorBidi"/>
      <w:bCs/>
      <w:i/>
      <w:szCs w:val="28"/>
    </w:rPr>
  </w:style>
  <w:style w:type="character" w:customStyle="1" w:styleId="Nagwek5Znak">
    <w:name w:val="Nagłówek 5 Znak"/>
    <w:basedOn w:val="Domylnaczcionkaakapitu"/>
    <w:link w:val="Nagwek5"/>
    <w:uiPriority w:val="9"/>
    <w:rsid w:val="00611162"/>
    <w:rPr>
      <w:rFonts w:asciiTheme="minorHAnsi" w:eastAsiaTheme="minorEastAsia" w:hAnsiTheme="minorHAnsi" w:cstheme="minorBidi"/>
      <w:b/>
      <w:bCs/>
      <w:i/>
      <w:iCs/>
      <w:sz w:val="26"/>
      <w:szCs w:val="26"/>
    </w:rPr>
  </w:style>
  <w:style w:type="character" w:customStyle="1" w:styleId="Nagwek6Znak">
    <w:name w:val="Nagłówek 6 Znak"/>
    <w:basedOn w:val="Domylnaczcionkaakapitu"/>
    <w:link w:val="Nagwek6"/>
    <w:uiPriority w:val="9"/>
    <w:semiHidden/>
    <w:rsid w:val="00611162"/>
    <w:rPr>
      <w:rFonts w:asciiTheme="minorHAnsi" w:eastAsiaTheme="minorEastAsia" w:hAnsiTheme="minorHAnsi" w:cstheme="minorBidi"/>
      <w:b/>
      <w:bCs/>
      <w:sz w:val="22"/>
      <w:szCs w:val="22"/>
    </w:rPr>
  </w:style>
  <w:style w:type="character" w:customStyle="1" w:styleId="Nagwek7Znak">
    <w:name w:val="Nagłówek 7 Znak"/>
    <w:basedOn w:val="Domylnaczcionkaakapitu"/>
    <w:link w:val="Nagwek7"/>
    <w:uiPriority w:val="9"/>
    <w:semiHidden/>
    <w:rsid w:val="00611162"/>
    <w:rPr>
      <w:rFonts w:asciiTheme="minorHAnsi" w:eastAsiaTheme="minorEastAsia" w:hAnsiTheme="minorHAnsi" w:cstheme="minorBidi"/>
      <w:sz w:val="24"/>
      <w:szCs w:val="24"/>
    </w:rPr>
  </w:style>
  <w:style w:type="character" w:customStyle="1" w:styleId="Nagwek8Znak">
    <w:name w:val="Nagłówek 8 Znak"/>
    <w:basedOn w:val="Domylnaczcionkaakapitu"/>
    <w:link w:val="Nagwek8"/>
    <w:uiPriority w:val="9"/>
    <w:semiHidden/>
    <w:rsid w:val="00611162"/>
    <w:rPr>
      <w:rFonts w:asciiTheme="minorHAnsi" w:eastAsiaTheme="minorEastAsia" w:hAnsiTheme="minorHAnsi" w:cstheme="minorBidi"/>
      <w:i/>
      <w:iCs/>
      <w:sz w:val="24"/>
      <w:szCs w:val="24"/>
    </w:rPr>
  </w:style>
  <w:style w:type="character" w:customStyle="1" w:styleId="Nagwek9Znak">
    <w:name w:val="Nagłówek 9 Znak"/>
    <w:basedOn w:val="Domylnaczcionkaakapitu"/>
    <w:link w:val="Nagwek9"/>
    <w:uiPriority w:val="9"/>
    <w:semiHidden/>
    <w:rsid w:val="00611162"/>
    <w:rPr>
      <w:rFonts w:asciiTheme="majorHAnsi" w:eastAsiaTheme="majorEastAsia" w:hAnsiTheme="majorHAnsi" w:cstheme="majorBidi"/>
      <w:sz w:val="22"/>
      <w:szCs w:val="22"/>
    </w:rPr>
  </w:style>
  <w:style w:type="paragraph" w:styleId="Tytu">
    <w:name w:val="Title"/>
    <w:basedOn w:val="Normalny"/>
    <w:next w:val="Normalny"/>
    <w:link w:val="TytuZnak"/>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611162"/>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qFormat/>
    <w:rsid w:val="00611162"/>
    <w:pPr>
      <w:spacing w:after="60"/>
      <w:jc w:val="center"/>
      <w:outlineLvl w:val="1"/>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rsid w:val="00611162"/>
    <w:rPr>
      <w:rFonts w:asciiTheme="majorHAnsi" w:eastAsiaTheme="majorEastAsia" w:hAnsiTheme="majorHAnsi" w:cstheme="majorBidi"/>
      <w:sz w:val="24"/>
      <w:szCs w:val="24"/>
    </w:rPr>
  </w:style>
  <w:style w:type="character" w:styleId="Pogrubienie">
    <w:name w:val="Strong"/>
    <w:uiPriority w:val="22"/>
    <w:qFormat/>
    <w:rsid w:val="00611162"/>
    <w:rPr>
      <w:b/>
      <w:bCs/>
    </w:rPr>
  </w:style>
  <w:style w:type="character" w:styleId="Uwydatnienie">
    <w:name w:val="Emphasis"/>
    <w:basedOn w:val="Domylnaczcionkaakapitu"/>
    <w:uiPriority w:val="20"/>
    <w:qFormat/>
    <w:rsid w:val="00D452EB"/>
    <w:rPr>
      <w:i/>
      <w:iCs/>
    </w:rPr>
  </w:style>
  <w:style w:type="paragraph" w:styleId="Bezodstpw">
    <w:name w:val="No Spacing"/>
    <w:link w:val="BezodstpwZnak"/>
    <w:uiPriority w:val="1"/>
    <w:qFormat/>
    <w:rsid w:val="00D452EB"/>
    <w:pPr>
      <w:ind w:firstLine="709"/>
      <w:jc w:val="both"/>
    </w:pPr>
    <w:rPr>
      <w:rFonts w:ascii="Arial" w:hAnsi="Arial"/>
      <w:szCs w:val="22"/>
    </w:rPr>
  </w:style>
  <w:style w:type="paragraph" w:styleId="Cytat">
    <w:name w:val="Quote"/>
    <w:basedOn w:val="Normalny"/>
    <w:next w:val="Normalny"/>
    <w:link w:val="CytatZnak"/>
    <w:uiPriority w:val="29"/>
    <w:qFormat/>
    <w:rsid w:val="00611162"/>
    <w:rPr>
      <w:i/>
      <w:iCs/>
      <w:color w:val="000000" w:themeColor="text1"/>
    </w:rPr>
  </w:style>
  <w:style w:type="character" w:customStyle="1" w:styleId="CytatZnak">
    <w:name w:val="Cytat Znak"/>
    <w:basedOn w:val="Domylnaczcionkaakapitu"/>
    <w:link w:val="Cytat"/>
    <w:uiPriority w:val="29"/>
    <w:rsid w:val="00611162"/>
    <w:rPr>
      <w:rFonts w:ascii="Arial" w:hAnsi="Arial"/>
      <w:i/>
      <w:iCs/>
      <w:color w:val="000000" w:themeColor="text1"/>
      <w:szCs w:val="22"/>
    </w:rPr>
  </w:style>
  <w:style w:type="paragraph" w:styleId="Cytatintensywny">
    <w:name w:val="Intense Quote"/>
    <w:basedOn w:val="Normalny"/>
    <w:next w:val="Normalny"/>
    <w:link w:val="CytatintensywnyZnak"/>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611162"/>
    <w:rPr>
      <w:rFonts w:ascii="Arial" w:hAnsi="Arial"/>
      <w:b/>
      <w:bCs/>
      <w:i/>
      <w:iCs/>
      <w:color w:val="4F81BD" w:themeColor="accent1"/>
      <w:szCs w:val="22"/>
    </w:rPr>
  </w:style>
  <w:style w:type="character" w:styleId="Wyrnieniedelikatne">
    <w:name w:val="Subtle Emphasis"/>
    <w:uiPriority w:val="19"/>
    <w:qFormat/>
    <w:rsid w:val="00611162"/>
    <w:rPr>
      <w:i/>
      <w:iCs/>
      <w:color w:val="808080" w:themeColor="text1" w:themeTint="7F"/>
    </w:rPr>
  </w:style>
  <w:style w:type="character" w:styleId="Wyrnienieintensywne">
    <w:name w:val="Intense Emphasis"/>
    <w:uiPriority w:val="21"/>
    <w:qFormat/>
    <w:rsid w:val="00611162"/>
    <w:rPr>
      <w:b/>
      <w:bCs/>
      <w:i/>
      <w:iCs/>
      <w:color w:val="4F81BD" w:themeColor="accent1"/>
    </w:rPr>
  </w:style>
  <w:style w:type="character" w:styleId="Odwoaniedelikatne">
    <w:name w:val="Subtle Reference"/>
    <w:uiPriority w:val="31"/>
    <w:qFormat/>
    <w:rsid w:val="00611162"/>
    <w:rPr>
      <w:smallCaps/>
      <w:color w:val="C0504D" w:themeColor="accent2"/>
      <w:u w:val="single"/>
    </w:rPr>
  </w:style>
  <w:style w:type="character" w:styleId="Odwoanieintensywne">
    <w:name w:val="Intense Reference"/>
    <w:uiPriority w:val="32"/>
    <w:qFormat/>
    <w:rsid w:val="00611162"/>
    <w:rPr>
      <w:b/>
      <w:bCs/>
      <w:smallCaps/>
      <w:color w:val="C0504D" w:themeColor="accent2"/>
      <w:spacing w:val="5"/>
      <w:u w:val="single"/>
    </w:rPr>
  </w:style>
  <w:style w:type="character" w:styleId="Tytuksiki">
    <w:name w:val="Book Title"/>
    <w:uiPriority w:val="33"/>
    <w:qFormat/>
    <w:rsid w:val="00611162"/>
    <w:rPr>
      <w:b/>
      <w:bCs/>
      <w:smallCaps/>
      <w:spacing w:val="5"/>
    </w:rPr>
  </w:style>
  <w:style w:type="paragraph" w:styleId="Nagwekspisutreci">
    <w:name w:val="TOC Heading"/>
    <w:basedOn w:val="Nagwek1"/>
    <w:next w:val="Normalny"/>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Legenda">
    <w:name w:val="caption"/>
    <w:basedOn w:val="Normalny"/>
    <w:next w:val="Normalny"/>
    <w:uiPriority w:val="35"/>
    <w:unhideWhenUsed/>
    <w:qFormat/>
    <w:rsid w:val="00D452EB"/>
    <w:pPr>
      <w:spacing w:after="200" w:line="240" w:lineRule="auto"/>
    </w:pPr>
    <w:rPr>
      <w:b/>
      <w:bCs/>
      <w:color w:val="DDDDDD"/>
      <w:sz w:val="18"/>
      <w:szCs w:val="18"/>
    </w:rPr>
  </w:style>
  <w:style w:type="character" w:customStyle="1" w:styleId="BezodstpwZnak">
    <w:name w:val="Bez odstępów Znak"/>
    <w:basedOn w:val="Domylnaczcionkaakapitu"/>
    <w:link w:val="Bezodstpw"/>
    <w:uiPriority w:val="1"/>
    <w:rsid w:val="00611162"/>
    <w:rPr>
      <w:rFonts w:ascii="Arial" w:hAnsi="Arial"/>
      <w:szCs w:val="22"/>
    </w:rPr>
  </w:style>
  <w:style w:type="paragraph" w:customStyle="1" w:styleId="Wypunktowanie">
    <w:name w:val="Wypunktowanie"/>
    <w:basedOn w:val="Akapitzlist"/>
    <w:link w:val="WypunktowanieZnak"/>
    <w:qFormat/>
    <w:rsid w:val="00D452EB"/>
    <w:pPr>
      <w:numPr>
        <w:numId w:val="1"/>
      </w:numPr>
    </w:pPr>
    <w:rPr>
      <w:rFonts w:eastAsia="Times New Roman"/>
    </w:rPr>
  </w:style>
  <w:style w:type="character" w:customStyle="1" w:styleId="WypunktowanieZnak">
    <w:name w:val="Wypunktowanie Znak"/>
    <w:basedOn w:val="AkapitzlistZnak"/>
    <w:link w:val="Wypunktowanie"/>
    <w:rsid w:val="00D452EB"/>
    <w:rPr>
      <w:rFonts w:ascii="Arial" w:eastAsia="Times New Roman" w:hAnsi="Arial"/>
      <w:szCs w:val="22"/>
    </w:rPr>
  </w:style>
  <w:style w:type="paragraph" w:customStyle="1" w:styleId="Tytutabeli">
    <w:name w:val="Tytuł tabeli"/>
    <w:basedOn w:val="Normalny"/>
    <w:link w:val="TytutabeliZnak"/>
    <w:qFormat/>
    <w:rsid w:val="005B0269"/>
    <w:pPr>
      <w:keepNext/>
      <w:ind w:firstLine="0"/>
      <w:jc w:val="left"/>
    </w:pPr>
    <w:rPr>
      <w:rFonts w:eastAsia="Times New Roman"/>
      <w:bCs/>
      <w:sz w:val="18"/>
    </w:rPr>
  </w:style>
  <w:style w:type="character" w:customStyle="1" w:styleId="TytutabeliZnak">
    <w:name w:val="Tytuł tabeli Znak"/>
    <w:basedOn w:val="Domylnaczcionkaakapitu"/>
    <w:link w:val="Tytutabeli"/>
    <w:rsid w:val="005B0269"/>
    <w:rPr>
      <w:rFonts w:ascii="Arial" w:eastAsia="Times New Roman" w:hAnsi="Arial"/>
      <w:bCs/>
      <w:sz w:val="18"/>
      <w:szCs w:val="22"/>
    </w:rPr>
  </w:style>
  <w:style w:type="paragraph" w:customStyle="1" w:styleId="Numerowanie">
    <w:name w:val="Numerowanie"/>
    <w:basedOn w:val="Akapitzlist"/>
    <w:link w:val="NumerowanieZnak"/>
    <w:qFormat/>
    <w:rsid w:val="00D452EB"/>
    <w:pPr>
      <w:ind w:left="0" w:firstLine="0"/>
    </w:pPr>
    <w:rPr>
      <w:rFonts w:eastAsia="Times New Roman"/>
    </w:rPr>
  </w:style>
  <w:style w:type="character" w:customStyle="1" w:styleId="NumerowanieZnak">
    <w:name w:val="Numerowanie Znak"/>
    <w:basedOn w:val="AkapitzlistZnak"/>
    <w:link w:val="Numerowanie"/>
    <w:rsid w:val="00D452EB"/>
    <w:rPr>
      <w:rFonts w:ascii="Arial" w:eastAsia="Times New Roman" w:hAnsi="Arial"/>
      <w:szCs w:val="22"/>
    </w:rPr>
  </w:style>
  <w:style w:type="paragraph" w:customStyle="1" w:styleId="Pozycjabibliografii">
    <w:name w:val="Pozycja bibliografii"/>
    <w:basedOn w:val="Normalny"/>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omylnaczcionkaakapitu"/>
    <w:link w:val="Pozycjabibliografii"/>
    <w:rsid w:val="00D452EB"/>
    <w:rPr>
      <w:rFonts w:ascii="Arial" w:eastAsia="Times New Roman" w:hAnsi="Arial"/>
      <w:szCs w:val="22"/>
    </w:rPr>
  </w:style>
  <w:style w:type="character" w:customStyle="1" w:styleId="AkapitzlistZnak">
    <w:name w:val="Akapit z listą Znak"/>
    <w:basedOn w:val="Domylnaczcionkaakapitu"/>
    <w:link w:val="Akapitzlist"/>
    <w:uiPriority w:val="34"/>
    <w:rsid w:val="00D452EB"/>
    <w:rPr>
      <w:rFonts w:ascii="Arial" w:hAnsi="Arial"/>
      <w:szCs w:val="22"/>
    </w:rPr>
  </w:style>
  <w:style w:type="paragraph" w:styleId="Spistreci1">
    <w:name w:val="toc 1"/>
    <w:basedOn w:val="Normalny"/>
    <w:next w:val="Normalny"/>
    <w:autoRedefine/>
    <w:uiPriority w:val="39"/>
    <w:unhideWhenUsed/>
    <w:rsid w:val="00B758DF"/>
    <w:pPr>
      <w:spacing w:after="100"/>
    </w:pPr>
  </w:style>
  <w:style w:type="paragraph" w:styleId="Spistreci2">
    <w:name w:val="toc 2"/>
    <w:basedOn w:val="Normalny"/>
    <w:next w:val="Normalny"/>
    <w:autoRedefine/>
    <w:uiPriority w:val="39"/>
    <w:unhideWhenUsed/>
    <w:rsid w:val="00B758DF"/>
    <w:pPr>
      <w:spacing w:after="100"/>
      <w:ind w:left="200"/>
    </w:pPr>
  </w:style>
  <w:style w:type="paragraph" w:styleId="Spistreci3">
    <w:name w:val="toc 3"/>
    <w:basedOn w:val="Normalny"/>
    <w:next w:val="Normalny"/>
    <w:autoRedefine/>
    <w:uiPriority w:val="39"/>
    <w:unhideWhenUsed/>
    <w:rsid w:val="00B758DF"/>
    <w:pPr>
      <w:spacing w:after="100"/>
      <w:ind w:left="400"/>
    </w:pPr>
  </w:style>
  <w:style w:type="character" w:styleId="Hipercze">
    <w:name w:val="Hyperlink"/>
    <w:basedOn w:val="Domylnaczcionkaakapitu"/>
    <w:uiPriority w:val="99"/>
    <w:unhideWhenUsed/>
    <w:rsid w:val="00B758DF"/>
    <w:rPr>
      <w:color w:val="0000FF" w:themeColor="hyperlink"/>
      <w:u w:val="single"/>
    </w:rPr>
  </w:style>
  <w:style w:type="paragraph" w:styleId="Tekstdymka">
    <w:name w:val="Balloon Text"/>
    <w:basedOn w:val="Normalny"/>
    <w:link w:val="TekstdymkaZnak"/>
    <w:uiPriority w:val="99"/>
    <w:semiHidden/>
    <w:unhideWhenUsed/>
    <w:rsid w:val="00B758DF"/>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58DF"/>
    <w:rPr>
      <w:rFonts w:ascii="Tahoma" w:hAnsi="Tahoma" w:cs="Tahoma"/>
      <w:sz w:val="16"/>
      <w:szCs w:val="16"/>
    </w:rPr>
  </w:style>
  <w:style w:type="paragraph" w:customStyle="1" w:styleId="wzor">
    <w:name w:val="wzor"/>
    <w:basedOn w:val="Normalny"/>
    <w:next w:val="Normalny"/>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Odwoaniedokomentarza">
    <w:name w:val="annotation reference"/>
    <w:semiHidden/>
    <w:rsid w:val="00482E4B"/>
    <w:rPr>
      <w:sz w:val="16"/>
    </w:rPr>
  </w:style>
  <w:style w:type="paragraph" w:styleId="Tekstkomentarza">
    <w:name w:val="annotation text"/>
    <w:basedOn w:val="Normalny"/>
    <w:link w:val="TekstkomentarzaZnak"/>
    <w:semiHidden/>
    <w:rsid w:val="00482E4B"/>
    <w:pPr>
      <w:spacing w:line="480" w:lineRule="auto"/>
      <w:ind w:firstLine="0"/>
    </w:pPr>
    <w:rPr>
      <w:rFonts w:ascii="Times New Roman" w:eastAsia="Times New Roman" w:hAnsi="Times New Roman"/>
      <w:szCs w:val="20"/>
      <w:lang w:eastAsia="pl-PL"/>
    </w:rPr>
  </w:style>
  <w:style w:type="character" w:customStyle="1" w:styleId="TekstkomentarzaZnak">
    <w:name w:val="Tekst komentarza Znak"/>
    <w:basedOn w:val="Domylnaczcionkaakapitu"/>
    <w:link w:val="Tekstkomentarza"/>
    <w:semiHidden/>
    <w:rsid w:val="00482E4B"/>
    <w:rPr>
      <w:rFonts w:ascii="Times New Roman" w:eastAsia="Times New Roman" w:hAnsi="Times New Roman"/>
      <w:lang w:eastAsia="pl-PL"/>
    </w:rPr>
  </w:style>
  <w:style w:type="paragraph" w:styleId="Tekstpodstawowy">
    <w:name w:val="Body Text"/>
    <w:basedOn w:val="Normalny"/>
    <w:link w:val="TekstpodstawowyZnak"/>
    <w:rsid w:val="00482E4B"/>
    <w:pPr>
      <w:spacing w:after="120" w:line="480" w:lineRule="auto"/>
      <w:ind w:firstLine="0"/>
    </w:pPr>
    <w:rPr>
      <w:rFonts w:ascii="Times New Roman" w:eastAsia="Times New Roman" w:hAnsi="Times New Roman"/>
      <w:sz w:val="24"/>
      <w:szCs w:val="20"/>
      <w:lang w:eastAsia="pl-PL"/>
    </w:rPr>
  </w:style>
  <w:style w:type="character" w:customStyle="1" w:styleId="TekstpodstawowyZnak">
    <w:name w:val="Tekst podstawowy Znak"/>
    <w:basedOn w:val="Domylnaczcionkaakapitu"/>
    <w:link w:val="Tekstpodstawowy"/>
    <w:rsid w:val="00482E4B"/>
    <w:rPr>
      <w:rFonts w:ascii="Times New Roman" w:eastAsia="Times New Roman" w:hAnsi="Times New Roman"/>
      <w:sz w:val="24"/>
      <w:lang w:eastAsia="pl-PL"/>
    </w:rPr>
  </w:style>
  <w:style w:type="paragraph" w:styleId="Tekstpodstawowyzwciciem">
    <w:name w:val="Body Text First Indent"/>
    <w:basedOn w:val="Tekstpodstawowy"/>
    <w:link w:val="TekstpodstawowyzwciciemZnak"/>
    <w:rsid w:val="00482E4B"/>
    <w:pPr>
      <w:ind w:firstLine="210"/>
    </w:pPr>
  </w:style>
  <w:style w:type="character" w:customStyle="1" w:styleId="TekstpodstawowyzwciciemZnak">
    <w:name w:val="Tekst podstawowy z wcięciem Znak"/>
    <w:basedOn w:val="TekstpodstawowyZnak"/>
    <w:link w:val="Tekstpodstawowyzwciciem"/>
    <w:rsid w:val="00482E4B"/>
    <w:rPr>
      <w:rFonts w:ascii="Times New Roman" w:eastAsia="Times New Roman" w:hAnsi="Times New Roman"/>
      <w:sz w:val="24"/>
      <w:lang w:eastAsia="pl-PL"/>
    </w:rPr>
  </w:style>
  <w:style w:type="table" w:styleId="Tabela-Siatka">
    <w:name w:val="Table Grid"/>
    <w:basedOn w:val="Standardowy"/>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matkomentarza">
    <w:name w:val="annotation subject"/>
    <w:basedOn w:val="Tekstkomentarza"/>
    <w:next w:val="Tekstkomentarza"/>
    <w:link w:val="TematkomentarzaZnak"/>
    <w:uiPriority w:val="99"/>
    <w:semiHidden/>
    <w:unhideWhenUsed/>
    <w:rsid w:val="00E5202E"/>
    <w:pPr>
      <w:spacing w:line="240" w:lineRule="auto"/>
      <w:ind w:firstLine="709"/>
    </w:pPr>
    <w:rPr>
      <w:rFonts w:ascii="Arial" w:eastAsia="Calibri" w:hAnsi="Arial"/>
      <w:b/>
      <w:bCs/>
      <w:lang w:eastAsia="en-US"/>
    </w:rPr>
  </w:style>
  <w:style w:type="character" w:customStyle="1" w:styleId="TematkomentarzaZnak">
    <w:name w:val="Temat komentarza Znak"/>
    <w:basedOn w:val="TekstkomentarzaZnak"/>
    <w:link w:val="Tematkomentarza"/>
    <w:uiPriority w:val="99"/>
    <w:semiHidden/>
    <w:rsid w:val="00E5202E"/>
    <w:rPr>
      <w:rFonts w:ascii="Arial" w:eastAsia="Times New Roman" w:hAnsi="Arial"/>
      <w:b/>
      <w:bCs/>
      <w:lang w:eastAsia="pl-PL"/>
    </w:rPr>
  </w:style>
  <w:style w:type="paragraph" w:styleId="Bibliografia">
    <w:name w:val="Bibliography"/>
    <w:basedOn w:val="Normalny"/>
    <w:next w:val="Normalny"/>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Jasnecieniowanie">
    <w:name w:val="Light Shading"/>
    <w:basedOn w:val="Standardowy"/>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Odwoanieprzypisudolnego">
    <w:name w:val="footnote reference"/>
    <w:basedOn w:val="Domylnaczcionkaakapitu"/>
    <w:uiPriority w:val="99"/>
    <w:semiHidden/>
    <w:unhideWhenUsed/>
    <w:rsid w:val="00EB6B83"/>
    <w:rPr>
      <w:vertAlign w:val="superscript"/>
    </w:rPr>
  </w:style>
  <w:style w:type="paragraph" w:styleId="Spisilustracji">
    <w:name w:val="table of figures"/>
    <w:basedOn w:val="Normalny"/>
    <w:next w:val="Normalny"/>
    <w:uiPriority w:val="99"/>
    <w:unhideWhenUsed/>
    <w:rsid w:val="009E61F0"/>
  </w:style>
  <w:style w:type="paragraph" w:styleId="Tekstprzypisukocowego">
    <w:name w:val="endnote text"/>
    <w:basedOn w:val="Normalny"/>
    <w:link w:val="TekstprzypisukocowegoZnak"/>
    <w:uiPriority w:val="99"/>
    <w:semiHidden/>
    <w:unhideWhenUsed/>
    <w:rsid w:val="00042DAF"/>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042DAF"/>
    <w:rPr>
      <w:rFonts w:ascii="Arial" w:hAnsi="Arial"/>
    </w:rPr>
  </w:style>
  <w:style w:type="character" w:styleId="Odwoanieprzypisukocowego">
    <w:name w:val="endnote reference"/>
    <w:basedOn w:val="Domylnaczcionkaakapitu"/>
    <w:uiPriority w:val="99"/>
    <w:semiHidden/>
    <w:unhideWhenUsed/>
    <w:rsid w:val="00042DAF"/>
    <w:rPr>
      <w:vertAlign w:val="superscript"/>
    </w:rPr>
  </w:style>
  <w:style w:type="paragraph" w:customStyle="1" w:styleId="rdo">
    <w:name w:val="Źródło"/>
    <w:basedOn w:val="Normalny"/>
    <w:link w:val="rdoZnak"/>
    <w:autoRedefine/>
    <w:qFormat/>
    <w:rsid w:val="00E3060F"/>
    <w:pPr>
      <w:jc w:val="left"/>
    </w:pPr>
    <w:rPr>
      <w:sz w:val="18"/>
    </w:rPr>
  </w:style>
  <w:style w:type="character" w:customStyle="1" w:styleId="rdoZnak">
    <w:name w:val="Źródło Znak"/>
    <w:basedOn w:val="Domylnaczcionkaakapitu"/>
    <w:link w:val="rdo"/>
    <w:rsid w:val="00E3060F"/>
    <w:rPr>
      <w:rFonts w:ascii="Arial" w:hAnsi="Arial"/>
      <w:sz w:val="18"/>
      <w:szCs w:val="22"/>
    </w:rPr>
  </w:style>
  <w:style w:type="character" w:styleId="Nierozpoznanawzmianka">
    <w:name w:val="Unresolved Mention"/>
    <w:basedOn w:val="Domylnaczcionkaakapitu"/>
    <w:uiPriority w:val="99"/>
    <w:semiHidden/>
    <w:unhideWhenUsed/>
    <w:rsid w:val="00AF5963"/>
    <w:rPr>
      <w:color w:val="605E5C"/>
      <w:shd w:val="clear" w:color="auto" w:fill="E1DFDD"/>
    </w:rPr>
  </w:style>
  <w:style w:type="paragraph" w:customStyle="1" w:styleId="Rysunek">
    <w:name w:val="Rysunek"/>
    <w:basedOn w:val="Normalny"/>
    <w:next w:val="rdo"/>
    <w:link w:val="RysunekZnak"/>
    <w:autoRedefine/>
    <w:qFormat/>
    <w:rsid w:val="0031651A"/>
    <w:pPr>
      <w:keepNext/>
      <w:spacing w:before="240"/>
      <w:ind w:firstLine="0"/>
      <w:jc w:val="center"/>
    </w:pPr>
    <w:rPr>
      <w:sz w:val="18"/>
    </w:rPr>
  </w:style>
  <w:style w:type="character" w:customStyle="1" w:styleId="RysunekZnak">
    <w:name w:val="Rysunek Znak"/>
    <w:basedOn w:val="Domylnaczcionkaakapitu"/>
    <w:link w:val="Rysunek"/>
    <w:rsid w:val="0031651A"/>
    <w:rPr>
      <w:rFonts w:ascii="Arial" w:hAnsi="Arial"/>
      <w:sz w:val="18"/>
      <w:szCs w:val="22"/>
    </w:rPr>
  </w:style>
  <w:style w:type="paragraph" w:styleId="NormalnyWeb">
    <w:name w:val="Normal (Web)"/>
    <w:basedOn w:val="Normalny"/>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Poprawka">
    <w:name w:val="Revision"/>
    <w:hidden/>
    <w:uiPriority w:val="99"/>
    <w:semiHidden/>
    <w:rsid w:val="0026465E"/>
    <w:rPr>
      <w:rFonts w:ascii="Arial" w:hAnsi="Arial"/>
      <w:szCs w:val="22"/>
    </w:rPr>
  </w:style>
  <w:style w:type="table" w:styleId="Siatkatabelijasna">
    <w:name w:val="Grid Table Light"/>
    <w:basedOn w:val="Standardowy"/>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yteHipercze">
    <w:name w:val="FollowedHyperlink"/>
    <w:basedOn w:val="Domylnaczcionkaakapitu"/>
    <w:uiPriority w:val="99"/>
    <w:semiHidden/>
    <w:unhideWhenUsed/>
    <w:rsid w:val="00622247"/>
    <w:rPr>
      <w:color w:val="954F72"/>
      <w:u w:val="single"/>
    </w:rPr>
  </w:style>
  <w:style w:type="paragraph" w:customStyle="1" w:styleId="msonormal0">
    <w:name w:val="msonormal"/>
    <w:basedOn w:val="Normalny"/>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ny"/>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ny"/>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Tekstzastpczy">
    <w:name w:val="Placeholder Text"/>
    <w:basedOn w:val="Domylnaczcionkaakapitu"/>
    <w:uiPriority w:val="99"/>
    <w:semiHidden/>
    <w:rsid w:val="000862F2"/>
    <w:rPr>
      <w:color w:val="808080"/>
    </w:rPr>
  </w:style>
  <w:style w:type="table" w:styleId="Zwykatabela1">
    <w:name w:val="Plain Table 1"/>
    <w:basedOn w:val="Standardowy"/>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ny"/>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omylnaczcionkaakapitu"/>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omments" Target="comments.xml"/><Relationship Id="rId26" Type="http://schemas.openxmlformats.org/officeDocument/2006/relationships/chart" Target="charts/chart14.xml"/><Relationship Id="rId39" Type="http://schemas.openxmlformats.org/officeDocument/2006/relationships/theme" Target="theme/theme1.xm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3.xml"/><Relationship Id="rId33" Type="http://schemas.openxmlformats.org/officeDocument/2006/relationships/image" Target="media/image4.png"/><Relationship Id="rId38" Type="http://schemas.microsoft.com/office/2011/relationships/people" Target="people.xml"/><Relationship Id="rId2" Type="http://schemas.openxmlformats.org/officeDocument/2006/relationships/customXml" Target="../customXml/item1.xml"/><Relationship Id="rId16" Type="http://schemas.openxmlformats.org/officeDocument/2006/relationships/chart" Target="charts/chart8.xml"/><Relationship Id="rId20" Type="http://schemas.microsoft.com/office/2016/09/relationships/commentsIds" Target="commentsIds.xml"/><Relationship Id="rId29" Type="http://schemas.openxmlformats.org/officeDocument/2006/relationships/chart" Target="charts/chart1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oter" Target="footer1.xml"/><Relationship Id="rId10" Type="http://schemas.openxmlformats.org/officeDocument/2006/relationships/chart" Target="charts/chart2.xml"/><Relationship Id="rId19" Type="http://schemas.microsoft.com/office/2011/relationships/commentsExtended" Target="commentsExtended.xm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image" Target="media/image1.png"/><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PSZ\Desktop\STUDIA\doktorat_git\analizy_wynikow\Wyniki_indywidualne_SSI_v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Zestawienia!$A$28</c:f>
              <c:strCache>
                <c:ptCount val="1"/>
                <c:pt idx="0">
                  <c:v>Interesariusze: Podział respondentów wg płci</c:v>
                </c:pt>
              </c:strCache>
            </c:strRef>
          </c:tx>
          <c:dPt>
            <c:idx val="0"/>
            <c:bubble3D val="0"/>
            <c:spPr>
              <a:pattFill prst="ltUpDiag">
                <a:fgClr>
                  <a:schemeClr val="dk1">
                    <a:tint val="88500"/>
                  </a:schemeClr>
                </a:fgClr>
                <a:bgClr>
                  <a:schemeClr val="dk1">
                    <a:tint val="88500"/>
                    <a:lumMod val="20000"/>
                    <a:lumOff val="80000"/>
                  </a:schemeClr>
                </a:bgClr>
              </a:pattFill>
              <a:ln w="12700">
                <a:solidFill>
                  <a:schemeClr val="tx1"/>
                </a:solidFill>
              </a:ln>
              <a:effectLst>
                <a:innerShdw blurRad="114300">
                  <a:schemeClr val="dk1">
                    <a:tint val="88500"/>
                  </a:schemeClr>
                </a:innerShdw>
              </a:effectLst>
            </c:spPr>
            <c:extLst>
              <c:ext xmlns:c16="http://schemas.microsoft.com/office/drawing/2014/chart" uri="{C3380CC4-5D6E-409C-BE32-E72D297353CC}">
                <c16:uniqueId val="{00000001-9E54-47D1-BAA7-4793590896D6}"/>
              </c:ext>
            </c:extLst>
          </c:dPt>
          <c:dPt>
            <c:idx val="1"/>
            <c:bubble3D val="0"/>
            <c:spPr>
              <a:pattFill prst="ltUpDiag">
                <a:fgClr>
                  <a:schemeClr val="dk1">
                    <a:tint val="55000"/>
                  </a:schemeClr>
                </a:fgClr>
                <a:bgClr>
                  <a:schemeClr val="dk1">
                    <a:tint val="55000"/>
                    <a:lumMod val="20000"/>
                    <a:lumOff val="80000"/>
                  </a:schemeClr>
                </a:bgClr>
              </a:pattFill>
              <a:ln w="6350">
                <a:solidFill>
                  <a:schemeClr val="tx1"/>
                </a:solidFill>
              </a:ln>
              <a:effectLst>
                <a:innerShdw blurRad="114300">
                  <a:schemeClr val="dk1">
                    <a:tint val="55000"/>
                  </a:schemeClr>
                </a:innerShdw>
              </a:effectLst>
            </c:spPr>
            <c:extLst>
              <c:ext xmlns:c16="http://schemas.microsoft.com/office/drawing/2014/chart" uri="{C3380CC4-5D6E-409C-BE32-E72D297353CC}">
                <c16:uniqueId val="{00000003-9E54-47D1-BAA7-4793590896D6}"/>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ctr"/>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Zestawienia!$B$29:$B$30</c:f>
              <c:strCache>
                <c:ptCount val="2"/>
                <c:pt idx="0">
                  <c:v>Kobieta</c:v>
                </c:pt>
                <c:pt idx="1">
                  <c:v>Mężczyzna</c:v>
                </c:pt>
              </c:strCache>
            </c:strRef>
          </c:cat>
          <c:val>
            <c:numRef>
              <c:f>Zestawienia!$A$29:$A$30</c:f>
              <c:numCache>
                <c:formatCode>0</c:formatCode>
                <c:ptCount val="2"/>
                <c:pt idx="0">
                  <c:v>67</c:v>
                </c:pt>
                <c:pt idx="1">
                  <c:v>66</c:v>
                </c:pt>
              </c:numCache>
            </c:numRef>
          </c:val>
          <c:extLst>
            <c:ext xmlns:c16="http://schemas.microsoft.com/office/drawing/2014/chart" uri="{C3380CC4-5D6E-409C-BE32-E72D297353CC}">
              <c16:uniqueId val="{00000004-9E54-47D1-BAA7-4793590896D6}"/>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Studenci</a:t>
            </a:r>
            <a:r>
              <a:rPr lang="pl-PL" sz="1200" baseline="0">
                <a:solidFill>
                  <a:sysClr val="windowText" lastClr="000000"/>
                </a:solidFill>
                <a:latin typeface="Arial" panose="020B0604020202020204" pitchFamily="34" charset="0"/>
                <a:cs typeface="Arial" panose="020B0604020202020204" pitchFamily="34" charset="0"/>
              </a:rPr>
              <a:t> – satysfakcja</a:t>
            </a:r>
            <a:endParaRPr lang="en-US"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Zestawienia!$C$133</c:f>
              <c:strCache>
                <c:ptCount val="1"/>
                <c:pt idx="0">
                  <c:v>liczba odpowiedzi</c:v>
                </c:pt>
              </c:strCache>
            </c:strRef>
          </c:tx>
          <c:spPr>
            <a:solidFill>
              <a:schemeClr val="dk1">
                <a:tint val="88500"/>
              </a:schemeClr>
            </a:solidFill>
            <a:ln>
              <a:noFill/>
            </a:ln>
            <a:effectLst/>
          </c:spPr>
          <c:invertIfNegative val="0"/>
          <c:cat>
            <c:multiLvlStrRef>
              <c:f>Zestawienia!$A$134:$B$140</c:f>
              <c:multiLvlStrCache>
                <c:ptCount val="7"/>
                <c:lvl>
                  <c:pt idx="0">
                    <c:v>zdecydowanie się zgadzam</c:v>
                  </c:pt>
                  <c:pt idx="1">
                    <c:v>zgadzam się</c:v>
                  </c:pt>
                  <c:pt idx="2">
                    <c:v>raczej się zgadzam</c:v>
                  </c:pt>
                  <c:pt idx="3">
                    <c:v>ani się zgadzam, ani nie zgadzam</c:v>
                  </c:pt>
                  <c:pt idx="4">
                    <c:v>raczej się nie zgadzam</c:v>
                  </c:pt>
                  <c:pt idx="5">
                    <c:v>nie zgadzam się</c:v>
                  </c:pt>
                  <c:pt idx="6">
                    <c:v>zdecydowanie się nie zgadzam</c:v>
                  </c:pt>
                </c:lvl>
                <c:lvl>
                  <c:pt idx="0">
                    <c:v>7</c:v>
                  </c:pt>
                  <c:pt idx="1">
                    <c:v>6</c:v>
                  </c:pt>
                  <c:pt idx="2">
                    <c:v>5</c:v>
                  </c:pt>
                  <c:pt idx="3">
                    <c:v>4</c:v>
                  </c:pt>
                  <c:pt idx="4">
                    <c:v>3</c:v>
                  </c:pt>
                  <c:pt idx="5">
                    <c:v>2</c:v>
                  </c:pt>
                  <c:pt idx="6">
                    <c:v>1</c:v>
                  </c:pt>
                </c:lvl>
              </c:multiLvlStrCache>
            </c:multiLvlStrRef>
          </c:cat>
          <c:val>
            <c:numRef>
              <c:f>Zestawienia!$C$134:$C$140</c:f>
              <c:numCache>
                <c:formatCode>General</c:formatCode>
                <c:ptCount val="7"/>
                <c:pt idx="0">
                  <c:v>3</c:v>
                </c:pt>
                <c:pt idx="1">
                  <c:v>2</c:v>
                </c:pt>
                <c:pt idx="2">
                  <c:v>5</c:v>
                </c:pt>
                <c:pt idx="3">
                  <c:v>2</c:v>
                </c:pt>
                <c:pt idx="4">
                  <c:v>1</c:v>
                </c:pt>
                <c:pt idx="5">
                  <c:v>1</c:v>
                </c:pt>
                <c:pt idx="6">
                  <c:v>0</c:v>
                </c:pt>
              </c:numCache>
            </c:numRef>
          </c:val>
          <c:extLst>
            <c:ext xmlns:c16="http://schemas.microsoft.com/office/drawing/2014/chart" uri="{C3380CC4-5D6E-409C-BE32-E72D297353CC}">
              <c16:uniqueId val="{00000000-AD99-48F2-A576-EDBE4953EA14}"/>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Absolwenci</a:t>
            </a:r>
            <a:r>
              <a:rPr lang="pl-PL" sz="1200" baseline="0">
                <a:solidFill>
                  <a:sysClr val="windowText" lastClr="000000"/>
                </a:solidFill>
                <a:latin typeface="Arial" panose="020B0604020202020204" pitchFamily="34" charset="0"/>
                <a:cs typeface="Arial" panose="020B0604020202020204" pitchFamily="34" charset="0"/>
              </a:rPr>
              <a:t> – satysfakcja</a:t>
            </a:r>
            <a:endParaRPr lang="en-US"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Zestawienia!$C$171</c:f>
              <c:strCache>
                <c:ptCount val="1"/>
              </c:strCache>
            </c:strRef>
          </c:tx>
          <c:spPr>
            <a:solidFill>
              <a:schemeClr val="dk1">
                <a:tint val="88500"/>
              </a:schemeClr>
            </a:solidFill>
            <a:ln>
              <a:noFill/>
            </a:ln>
            <a:effectLst/>
          </c:spPr>
          <c:invertIfNegative val="0"/>
          <c:cat>
            <c:multiLvlStrRef>
              <c:f>Zestawienia!$A$172:$B$178</c:f>
              <c:multiLvlStrCache>
                <c:ptCount val="7"/>
                <c:lvl>
                  <c:pt idx="1">
                    <c:v>zdecydowanie się zgadzam</c:v>
                  </c:pt>
                  <c:pt idx="2">
                    <c:v>zgadzam się</c:v>
                  </c:pt>
                  <c:pt idx="3">
                    <c:v>raczej się zgadzam</c:v>
                  </c:pt>
                  <c:pt idx="4">
                    <c:v>ani się zgadzam, ani nie zgadzam</c:v>
                  </c:pt>
                  <c:pt idx="5">
                    <c:v>raczej się nie zgadzam</c:v>
                  </c:pt>
                  <c:pt idx="6">
                    <c:v>nie zgadzam się</c:v>
                  </c:pt>
                </c:lvl>
                <c:lvl>
                  <c:pt idx="0">
                    <c:v>Absolwenci: Moja satysfakcja z (efektów) usług edukacyjnych ocenianej uczelni jest wysoka.</c:v>
                  </c:pt>
                  <c:pt idx="1">
                    <c:v>7</c:v>
                  </c:pt>
                  <c:pt idx="2">
                    <c:v>6</c:v>
                  </c:pt>
                  <c:pt idx="3">
                    <c:v>5</c:v>
                  </c:pt>
                  <c:pt idx="4">
                    <c:v>4</c:v>
                  </c:pt>
                  <c:pt idx="5">
                    <c:v>3</c:v>
                  </c:pt>
                  <c:pt idx="6">
                    <c:v>2</c:v>
                  </c:pt>
                </c:lvl>
              </c:multiLvlStrCache>
            </c:multiLvlStrRef>
          </c:cat>
          <c:val>
            <c:numRef>
              <c:f>Zestawienia!$C$172:$C$178</c:f>
              <c:numCache>
                <c:formatCode>General</c:formatCode>
                <c:ptCount val="7"/>
                <c:pt idx="0">
                  <c:v>0</c:v>
                </c:pt>
                <c:pt idx="1">
                  <c:v>17</c:v>
                </c:pt>
                <c:pt idx="2">
                  <c:v>43</c:v>
                </c:pt>
                <c:pt idx="3">
                  <c:v>32</c:v>
                </c:pt>
                <c:pt idx="4">
                  <c:v>8</c:v>
                </c:pt>
                <c:pt idx="5">
                  <c:v>12</c:v>
                </c:pt>
                <c:pt idx="6">
                  <c:v>6</c:v>
                </c:pt>
              </c:numCache>
            </c:numRef>
          </c:val>
          <c:extLst>
            <c:ext xmlns:c16="http://schemas.microsoft.com/office/drawing/2014/chart" uri="{C3380CC4-5D6E-409C-BE32-E72D297353CC}">
              <c16:uniqueId val="{00000000-DFF0-4C9B-877A-2E27B8DB1228}"/>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Rodzice</a:t>
            </a:r>
            <a:r>
              <a:rPr lang="pl-PL" sz="1200" baseline="0">
                <a:solidFill>
                  <a:sysClr val="windowText" lastClr="000000"/>
                </a:solidFill>
                <a:latin typeface="Arial" panose="020B0604020202020204" pitchFamily="34" charset="0"/>
                <a:cs typeface="Arial" panose="020B0604020202020204" pitchFamily="34" charset="0"/>
              </a:rPr>
              <a:t> – satysfakcja</a:t>
            </a:r>
            <a:endParaRPr lang="en-US"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Zestawienia!$C$207</c:f>
              <c:strCache>
                <c:ptCount val="1"/>
                <c:pt idx="0">
                  <c:v>119</c:v>
                </c:pt>
              </c:strCache>
            </c:strRef>
          </c:tx>
          <c:spPr>
            <a:solidFill>
              <a:schemeClr val="dk1">
                <a:tint val="88500"/>
              </a:schemeClr>
            </a:solidFill>
            <a:ln>
              <a:noFill/>
            </a:ln>
            <a:effectLst/>
          </c:spPr>
          <c:invertIfNegative val="0"/>
          <c:cat>
            <c:multiLvlStrRef>
              <c:f>Zestawienia!$A$208:$B$214</c:f>
              <c:multiLvlStrCache>
                <c:ptCount val="7"/>
                <c:lvl>
                  <c:pt idx="2">
                    <c:v>zdecydowanie się zgadzam</c:v>
                  </c:pt>
                  <c:pt idx="3">
                    <c:v>zgadzam się</c:v>
                  </c:pt>
                  <c:pt idx="4">
                    <c:v>raczej się zgadzam</c:v>
                  </c:pt>
                  <c:pt idx="5">
                    <c:v>ani się zgadzam, ani nie zgadzam</c:v>
                  </c:pt>
                  <c:pt idx="6">
                    <c:v>raczej się nie zgadzam</c:v>
                  </c:pt>
                </c:lvl>
                <c:lvl>
                  <c:pt idx="1">
                    <c:v>Rodzice: Moja satysfakcja z (efektów) usług edukacyjnych ocenianej uczelni jest wysoka.8</c:v>
                  </c:pt>
                  <c:pt idx="2">
                    <c:v>7</c:v>
                  </c:pt>
                  <c:pt idx="3">
                    <c:v>6</c:v>
                  </c:pt>
                  <c:pt idx="4">
                    <c:v>5</c:v>
                  </c:pt>
                  <c:pt idx="5">
                    <c:v>4</c:v>
                  </c:pt>
                  <c:pt idx="6">
                    <c:v>3</c:v>
                  </c:pt>
                </c:lvl>
              </c:multiLvlStrCache>
            </c:multiLvlStrRef>
          </c:cat>
          <c:val>
            <c:numRef>
              <c:f>Zestawienia!$C$208:$C$214</c:f>
              <c:numCache>
                <c:formatCode>General</c:formatCode>
                <c:ptCount val="7"/>
                <c:pt idx="1">
                  <c:v>0</c:v>
                </c:pt>
                <c:pt idx="2">
                  <c:v>6</c:v>
                </c:pt>
                <c:pt idx="3">
                  <c:v>5</c:v>
                </c:pt>
                <c:pt idx="4">
                  <c:v>2</c:v>
                </c:pt>
                <c:pt idx="5">
                  <c:v>2</c:v>
                </c:pt>
                <c:pt idx="6">
                  <c:v>0</c:v>
                </c:pt>
              </c:numCache>
            </c:numRef>
          </c:val>
          <c:extLst>
            <c:ext xmlns:c16="http://schemas.microsoft.com/office/drawing/2014/chart" uri="{C3380CC4-5D6E-409C-BE32-E72D297353CC}">
              <c16:uniqueId val="{00000000-DE9A-4C34-9256-82C3E82A19CB}"/>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Pracownicy administracyjni</a:t>
            </a:r>
            <a:r>
              <a:rPr lang="pl-PL" sz="1200" baseline="0">
                <a:solidFill>
                  <a:sysClr val="windowText" lastClr="000000"/>
                </a:solidFill>
                <a:latin typeface="Arial" panose="020B0604020202020204" pitchFamily="34" charset="0"/>
                <a:cs typeface="Arial" panose="020B0604020202020204" pitchFamily="34" charset="0"/>
              </a:rPr>
              <a:t> – satysfakcja</a:t>
            </a:r>
            <a:endParaRPr lang="en-US"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Zestawienia!$C$246</c:f>
              <c:strCache>
                <c:ptCount val="1"/>
              </c:strCache>
            </c:strRef>
          </c:tx>
          <c:spPr>
            <a:solidFill>
              <a:schemeClr val="dk1">
                <a:tint val="88500"/>
              </a:schemeClr>
            </a:solidFill>
            <a:ln>
              <a:noFill/>
            </a:ln>
            <a:effectLst/>
          </c:spPr>
          <c:invertIfNegative val="0"/>
          <c:cat>
            <c:multiLvlStrRef>
              <c:f>Zestawienia!$A$247:$B$253</c:f>
              <c:multiLvlStrCache>
                <c:ptCount val="7"/>
                <c:lvl>
                  <c:pt idx="3">
                    <c:v>zdecydowanie się zgadzam</c:v>
                  </c:pt>
                  <c:pt idx="4">
                    <c:v>zgadzam się</c:v>
                  </c:pt>
                  <c:pt idx="5">
                    <c:v>raczej się zgadzam</c:v>
                  </c:pt>
                  <c:pt idx="6">
                    <c:v>ani się zgadzam, ani nie zgadzam</c:v>
                  </c:pt>
                </c:lvl>
                <c:lvl>
                  <c:pt idx="2">
                    <c:v>Pracownicy administracyjni: Moja satysfakcja z pracy na ocenianej uczelni jest wysoka.</c:v>
                  </c:pt>
                  <c:pt idx="3">
                    <c:v>7</c:v>
                  </c:pt>
                  <c:pt idx="4">
                    <c:v>6</c:v>
                  </c:pt>
                  <c:pt idx="5">
                    <c:v>5</c:v>
                  </c:pt>
                  <c:pt idx="6">
                    <c:v>4</c:v>
                  </c:pt>
                </c:lvl>
              </c:multiLvlStrCache>
            </c:multiLvlStrRef>
          </c:cat>
          <c:val>
            <c:numRef>
              <c:f>Zestawienia!$C$247:$C$253</c:f>
              <c:numCache>
                <c:formatCode>General</c:formatCode>
                <c:ptCount val="7"/>
                <c:pt idx="2">
                  <c:v>0</c:v>
                </c:pt>
                <c:pt idx="3">
                  <c:v>3</c:v>
                </c:pt>
                <c:pt idx="4">
                  <c:v>1</c:v>
                </c:pt>
                <c:pt idx="5">
                  <c:v>0</c:v>
                </c:pt>
                <c:pt idx="6">
                  <c:v>0</c:v>
                </c:pt>
              </c:numCache>
            </c:numRef>
          </c:val>
          <c:extLst>
            <c:ext xmlns:c16="http://schemas.microsoft.com/office/drawing/2014/chart" uri="{C3380CC4-5D6E-409C-BE32-E72D297353CC}">
              <c16:uniqueId val="{00000000-E067-48B7-B185-4F9F3853D43A}"/>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Pracownicy naukowi / dydaktyczni</a:t>
            </a:r>
            <a:r>
              <a:rPr lang="pl-PL" sz="1200" baseline="0">
                <a:solidFill>
                  <a:sysClr val="windowText" lastClr="000000"/>
                </a:solidFill>
                <a:latin typeface="Arial" panose="020B0604020202020204" pitchFamily="34" charset="0"/>
                <a:cs typeface="Arial" panose="020B0604020202020204" pitchFamily="34" charset="0"/>
              </a:rPr>
              <a:t> – satysfakcja</a:t>
            </a:r>
            <a:endParaRPr lang="en-US" sz="12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Zestawienia!$C$318</c:f>
              <c:strCache>
                <c:ptCount val="1"/>
                <c:pt idx="0">
                  <c:v>0</c:v>
                </c:pt>
              </c:strCache>
            </c:strRef>
          </c:tx>
          <c:spPr>
            <a:solidFill>
              <a:schemeClr val="dk1">
                <a:tint val="88500"/>
              </a:schemeClr>
            </a:solidFill>
            <a:ln>
              <a:noFill/>
            </a:ln>
            <a:effectLst/>
          </c:spPr>
          <c:invertIfNegative val="0"/>
          <c:cat>
            <c:multiLvlStrRef>
              <c:f>Zestawienia!$A$319:$B$325</c:f>
              <c:multiLvlStrCache>
                <c:ptCount val="7"/>
                <c:lvl>
                  <c:pt idx="0">
                    <c:v>Suma kontrolna</c:v>
                  </c:pt>
                  <c:pt idx="1">
                    <c:v>Suma do średniej</c:v>
                  </c:pt>
                  <c:pt idx="4">
                    <c:v>zdecydowanie się zgadzam</c:v>
                  </c:pt>
                  <c:pt idx="5">
                    <c:v>zgadzam się</c:v>
                  </c:pt>
                  <c:pt idx="6">
                    <c:v>raczej się zgadzam</c:v>
                  </c:pt>
                </c:lvl>
                <c:lvl>
                  <c:pt idx="3">
                    <c:v>Pracownicy naukowi lub dydaktyczni: Moja satysfakcja z pracy na ocenianej uczelni jest wysoka.42</c:v>
                  </c:pt>
                  <c:pt idx="4">
                    <c:v>7</c:v>
                  </c:pt>
                  <c:pt idx="5">
                    <c:v>6</c:v>
                  </c:pt>
                  <c:pt idx="6">
                    <c:v>5</c:v>
                  </c:pt>
                </c:lvl>
              </c:multiLvlStrCache>
            </c:multiLvlStrRef>
          </c:cat>
          <c:val>
            <c:numRef>
              <c:f>Zestawienia!$C$319:$C$325</c:f>
              <c:numCache>
                <c:formatCode>General</c:formatCode>
                <c:ptCount val="7"/>
                <c:pt idx="0">
                  <c:v>4</c:v>
                </c:pt>
                <c:pt idx="1">
                  <c:v>4</c:v>
                </c:pt>
                <c:pt idx="3">
                  <c:v>0</c:v>
                </c:pt>
                <c:pt idx="4">
                  <c:v>7</c:v>
                </c:pt>
                <c:pt idx="5">
                  <c:v>6</c:v>
                </c:pt>
                <c:pt idx="6">
                  <c:v>2</c:v>
                </c:pt>
              </c:numCache>
            </c:numRef>
          </c:val>
          <c:extLst>
            <c:ext xmlns:c16="http://schemas.microsoft.com/office/drawing/2014/chart" uri="{C3380CC4-5D6E-409C-BE32-E72D297353CC}">
              <c16:uniqueId val="{00000000-A87B-4F9D-A0A7-71A0D34F7170}"/>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Władze uczelni –</a:t>
            </a:r>
            <a:r>
              <a:rPr lang="pl-PL" sz="1200" baseline="0">
                <a:solidFill>
                  <a:sysClr val="windowText" lastClr="000000"/>
                </a:solidFill>
                <a:latin typeface="Arial" panose="020B0604020202020204" pitchFamily="34" charset="0"/>
                <a:cs typeface="Arial" panose="020B0604020202020204" pitchFamily="34" charset="0"/>
              </a:rPr>
              <a:t> ogólna satysfakcja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Zestawienia!$C$390</c:f>
              <c:strCache>
                <c:ptCount val="1"/>
                <c:pt idx="0">
                  <c:v>0</c:v>
                </c:pt>
              </c:strCache>
            </c:strRef>
          </c:tx>
          <c:spPr>
            <a:solidFill>
              <a:schemeClr val="dk1">
                <a:tint val="88500"/>
              </a:schemeClr>
            </a:solidFill>
            <a:ln>
              <a:noFill/>
            </a:ln>
            <a:effectLst/>
          </c:spPr>
          <c:invertIfNegative val="0"/>
          <c:cat>
            <c:multiLvlStrRef>
              <c:f>Zestawienia!$A$391:$B$397</c:f>
              <c:multiLvlStrCache>
                <c:ptCount val="7"/>
                <c:lvl>
                  <c:pt idx="0">
                    <c:v>nie dotyczy</c:v>
                  </c:pt>
                  <c:pt idx="1">
                    <c:v>Suma kontrolna</c:v>
                  </c:pt>
                  <c:pt idx="2">
                    <c:v>Suma do średniej</c:v>
                  </c:pt>
                  <c:pt idx="5">
                    <c:v>zdecydowanie się zgadzam</c:v>
                  </c:pt>
                  <c:pt idx="6">
                    <c:v>zgadzam się</c:v>
                  </c:pt>
                </c:lvl>
                <c:lvl>
                  <c:pt idx="0">
                    <c:v>N/D</c:v>
                  </c:pt>
                  <c:pt idx="4">
                    <c:v>Władze uczelni: Ogólny poziom mojej satysfakcji z jakości usług edukacyjnych ocenianej uczelni jest wysoki.</c:v>
                  </c:pt>
                  <c:pt idx="5">
                    <c:v>7</c:v>
                  </c:pt>
                  <c:pt idx="6">
                    <c:v>6</c:v>
                  </c:pt>
                </c:lvl>
              </c:multiLvlStrCache>
            </c:multiLvlStrRef>
          </c:cat>
          <c:val>
            <c:numRef>
              <c:f>Zestawienia!$C$391:$C$397</c:f>
              <c:numCache>
                <c:formatCode>General</c:formatCode>
                <c:ptCount val="7"/>
                <c:pt idx="0">
                  <c:v>0</c:v>
                </c:pt>
                <c:pt idx="1">
                  <c:v>16</c:v>
                </c:pt>
                <c:pt idx="2">
                  <c:v>16</c:v>
                </c:pt>
                <c:pt idx="4">
                  <c:v>0</c:v>
                </c:pt>
                <c:pt idx="5">
                  <c:v>1</c:v>
                </c:pt>
                <c:pt idx="6">
                  <c:v>2</c:v>
                </c:pt>
              </c:numCache>
            </c:numRef>
          </c:val>
          <c:extLst>
            <c:ext xmlns:c16="http://schemas.microsoft.com/office/drawing/2014/chart" uri="{C3380CC4-5D6E-409C-BE32-E72D297353CC}">
              <c16:uniqueId val="{00000000-FB7C-4E3C-8A86-93F292A46D27}"/>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Przedsiębiorcy –</a:t>
            </a:r>
            <a:r>
              <a:rPr lang="pl-PL" sz="1200" baseline="0">
                <a:solidFill>
                  <a:sysClr val="windowText" lastClr="000000"/>
                </a:solidFill>
                <a:latin typeface="Arial" panose="020B0604020202020204" pitchFamily="34" charset="0"/>
                <a:cs typeface="Arial" panose="020B0604020202020204" pitchFamily="34" charset="0"/>
              </a:rPr>
              <a:t> ogólna satysfakcja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Zestawienia!$F$486</c:f>
              <c:strCache>
                <c:ptCount val="1"/>
                <c:pt idx="0">
                  <c:v>29,15916955</c:v>
                </c:pt>
              </c:strCache>
            </c:strRef>
          </c:tx>
          <c:spPr>
            <a:solidFill>
              <a:schemeClr val="dk1">
                <a:tint val="88500"/>
              </a:schemeClr>
            </a:solidFill>
            <a:ln>
              <a:noFill/>
            </a:ln>
            <a:effectLst/>
          </c:spPr>
          <c:invertIfNegative val="0"/>
          <c:cat>
            <c:multiLvlStrRef>
              <c:f>Zestawienia!$A$487:$B$493</c:f>
              <c:multiLvlStrCache>
                <c:ptCount val="7"/>
                <c:lvl>
                  <c:pt idx="0">
                    <c:v>zdecydowanie się nie zgadzam</c:v>
                  </c:pt>
                  <c:pt idx="1">
                    <c:v>nie dotyczy</c:v>
                  </c:pt>
                  <c:pt idx="2">
                    <c:v>Suma kontrolna</c:v>
                  </c:pt>
                  <c:pt idx="3">
                    <c:v>Suma do średniej</c:v>
                  </c:pt>
                  <c:pt idx="6">
                    <c:v>zdecydowanie się zgadzam</c:v>
                  </c:pt>
                </c:lvl>
                <c:lvl>
                  <c:pt idx="0">
                    <c:v>1</c:v>
                  </c:pt>
                  <c:pt idx="1">
                    <c:v>N/D</c:v>
                  </c:pt>
                  <c:pt idx="5">
                    <c:v>Przedsiębiorcy: Moja satysfakcja z (efektów) usług edukacyjnych na ocenianej uczelni jest wysoka.</c:v>
                  </c:pt>
                  <c:pt idx="6">
                    <c:v>7</c:v>
                  </c:pt>
                </c:lvl>
              </c:multiLvlStrCache>
            </c:multiLvlStrRef>
          </c:cat>
          <c:val>
            <c:numRef>
              <c:f>Zestawienia!$F$487:$F$493</c:f>
              <c:numCache>
                <c:formatCode>General</c:formatCode>
                <c:ptCount val="7"/>
                <c:pt idx="0">
                  <c:v>0</c:v>
                </c:pt>
                <c:pt idx="2" formatCode="0.000">
                  <c:v>3.2352941176470589</c:v>
                </c:pt>
                <c:pt idx="3" formatCode="0.000">
                  <c:v>1.7986923354612536</c:v>
                </c:pt>
                <c:pt idx="5">
                  <c:v>0</c:v>
                </c:pt>
                <c:pt idx="6">
                  <c:v>5</c:v>
                </c:pt>
              </c:numCache>
            </c:numRef>
          </c:val>
          <c:extLst>
            <c:ext xmlns:c16="http://schemas.microsoft.com/office/drawing/2014/chart" uri="{C3380CC4-5D6E-409C-BE32-E72D297353CC}">
              <c16:uniqueId val="{00000000-5731-4EB4-BF96-774D95F39399}"/>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l-PL" sz="1200">
                <a:solidFill>
                  <a:sysClr val="windowText" lastClr="000000"/>
                </a:solidFill>
                <a:latin typeface="Arial" panose="020B0604020202020204" pitchFamily="34" charset="0"/>
                <a:cs typeface="Arial" panose="020B0604020202020204" pitchFamily="34" charset="0"/>
              </a:rPr>
              <a:t>Władze samorządowe –</a:t>
            </a:r>
            <a:r>
              <a:rPr lang="pl-PL" sz="1200" baseline="0">
                <a:solidFill>
                  <a:sysClr val="windowText" lastClr="000000"/>
                </a:solidFill>
                <a:latin typeface="Arial" panose="020B0604020202020204" pitchFamily="34" charset="0"/>
                <a:cs typeface="Arial" panose="020B0604020202020204" pitchFamily="34" charset="0"/>
              </a:rPr>
              <a:t> ogólna satysfakcja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Zestawienia!$C$522</c:f>
              <c:strCache>
                <c:ptCount val="1"/>
                <c:pt idx="0">
                  <c:v>3</c:v>
                </c:pt>
              </c:strCache>
            </c:strRef>
          </c:tx>
          <c:spPr>
            <a:solidFill>
              <a:schemeClr val="dk1">
                <a:tint val="88500"/>
              </a:schemeClr>
            </a:solidFill>
            <a:ln>
              <a:noFill/>
            </a:ln>
            <a:effectLst/>
          </c:spPr>
          <c:invertIfNegative val="0"/>
          <c:cat>
            <c:multiLvlStrRef>
              <c:f>Zestawienia!$A$523:$B$529</c:f>
              <c:multiLvlStrCache>
                <c:ptCount val="7"/>
                <c:lvl>
                  <c:pt idx="0">
                    <c:v>nie zgadzam się</c:v>
                  </c:pt>
                  <c:pt idx="1">
                    <c:v>zdecydowanie się nie zgadzam</c:v>
                  </c:pt>
                  <c:pt idx="2">
                    <c:v>nie dotyczy</c:v>
                  </c:pt>
                  <c:pt idx="3">
                    <c:v>Suma kontrolna</c:v>
                  </c:pt>
                  <c:pt idx="4">
                    <c:v>Suma do średniej</c:v>
                  </c:pt>
                </c:lvl>
                <c:lvl>
                  <c:pt idx="0">
                    <c:v>2</c:v>
                  </c:pt>
                  <c:pt idx="1">
                    <c:v>1</c:v>
                  </c:pt>
                  <c:pt idx="2">
                    <c:v>N/D</c:v>
                  </c:pt>
                  <c:pt idx="6">
                    <c:v>Władze samorządowe: Ogólny poziom mojej satysfakcji z jakości usług edukacyjnych ocenianej uczelni jest wysoki.32</c:v>
                  </c:pt>
                </c:lvl>
              </c:multiLvlStrCache>
            </c:multiLvlStrRef>
          </c:cat>
          <c:val>
            <c:numRef>
              <c:f>Zestawienia!$C$523:$C$529</c:f>
              <c:numCache>
                <c:formatCode>General</c:formatCode>
                <c:ptCount val="7"/>
                <c:pt idx="0">
                  <c:v>3</c:v>
                </c:pt>
                <c:pt idx="1">
                  <c:v>0</c:v>
                </c:pt>
                <c:pt idx="2">
                  <c:v>1</c:v>
                </c:pt>
                <c:pt idx="3">
                  <c:v>18</c:v>
                </c:pt>
                <c:pt idx="4">
                  <c:v>17</c:v>
                </c:pt>
                <c:pt idx="6">
                  <c:v>0</c:v>
                </c:pt>
              </c:numCache>
            </c:numRef>
          </c:val>
          <c:extLst>
            <c:ext xmlns:c16="http://schemas.microsoft.com/office/drawing/2014/chart" uri="{C3380CC4-5D6E-409C-BE32-E72D297353CC}">
              <c16:uniqueId val="{00000000-E0B4-4CD7-9D2A-CA104127E31D}"/>
            </c:ext>
          </c:extLst>
        </c:ser>
        <c:dLbls>
          <c:showLegendKey val="0"/>
          <c:showVal val="0"/>
          <c:showCatName val="0"/>
          <c:showSerName val="0"/>
          <c:showPercent val="0"/>
          <c:showBubbleSize val="0"/>
        </c:dLbls>
        <c:gapWidth val="182"/>
        <c:axId val="500681312"/>
        <c:axId val="500681640"/>
      </c:barChart>
      <c:catAx>
        <c:axId val="50068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640"/>
        <c:crosses val="autoZero"/>
        <c:auto val="1"/>
        <c:lblAlgn val="ctr"/>
        <c:lblOffset val="100"/>
        <c:noMultiLvlLbl val="0"/>
      </c:catAx>
      <c:valAx>
        <c:axId val="5006816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00681312"/>
        <c:crossesAt val="1"/>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792537187636592"/>
          <c:y val="0.17143372703412074"/>
          <c:w val="0.54123887899047973"/>
          <c:h val="0.80528105861767263"/>
        </c:manualLayout>
      </c:layout>
      <c:pieChart>
        <c:varyColors val="1"/>
        <c:ser>
          <c:idx val="0"/>
          <c:order val="0"/>
          <c:tx>
            <c:strRef>
              <c:f>Zestawienia!$A$33</c:f>
              <c:strCache>
                <c:ptCount val="1"/>
                <c:pt idx="0">
                  <c:v>Interesariusze: Podział respondentów wg grup wiekowych</c:v>
                </c:pt>
              </c:strCache>
            </c:strRef>
          </c:tx>
          <c:spPr>
            <a:ln w="6350">
              <a:solidFill>
                <a:schemeClr val="tx1"/>
              </a:solidFill>
            </a:ln>
          </c:spPr>
          <c:dPt>
            <c:idx val="0"/>
            <c:bubble3D val="0"/>
            <c:spPr>
              <a:pattFill prst="ltUpDiag">
                <a:fgClr>
                  <a:schemeClr val="dk1">
                    <a:tint val="88500"/>
                  </a:schemeClr>
                </a:fgClr>
                <a:bgClr>
                  <a:schemeClr val="dk1">
                    <a:tint val="88500"/>
                    <a:lumMod val="20000"/>
                    <a:lumOff val="80000"/>
                  </a:schemeClr>
                </a:bgClr>
              </a:pattFill>
              <a:ln w="6350">
                <a:solidFill>
                  <a:schemeClr val="tx1"/>
                </a:solidFill>
              </a:ln>
              <a:effectLst>
                <a:innerShdw blurRad="114300">
                  <a:schemeClr val="dk1">
                    <a:tint val="88500"/>
                  </a:schemeClr>
                </a:innerShdw>
              </a:effectLst>
            </c:spPr>
            <c:extLst>
              <c:ext xmlns:c16="http://schemas.microsoft.com/office/drawing/2014/chart" uri="{C3380CC4-5D6E-409C-BE32-E72D297353CC}">
                <c16:uniqueId val="{00000001-0A87-4CE8-994A-D40E300533C4}"/>
              </c:ext>
            </c:extLst>
          </c:dPt>
          <c:dPt>
            <c:idx val="1"/>
            <c:bubble3D val="0"/>
            <c:spPr>
              <a:pattFill prst="ltUpDiag">
                <a:fgClr>
                  <a:schemeClr val="dk1">
                    <a:tint val="55000"/>
                  </a:schemeClr>
                </a:fgClr>
                <a:bgClr>
                  <a:schemeClr val="dk1">
                    <a:tint val="55000"/>
                    <a:lumMod val="20000"/>
                    <a:lumOff val="80000"/>
                  </a:schemeClr>
                </a:bgClr>
              </a:pattFill>
              <a:ln w="6350">
                <a:solidFill>
                  <a:schemeClr val="tx1"/>
                </a:solidFill>
              </a:ln>
              <a:effectLst>
                <a:innerShdw blurRad="114300">
                  <a:schemeClr val="dk1">
                    <a:tint val="55000"/>
                  </a:schemeClr>
                </a:innerShdw>
              </a:effectLst>
            </c:spPr>
            <c:extLst>
              <c:ext xmlns:c16="http://schemas.microsoft.com/office/drawing/2014/chart" uri="{C3380CC4-5D6E-409C-BE32-E72D297353CC}">
                <c16:uniqueId val="{00000003-0A87-4CE8-994A-D40E300533C4}"/>
              </c:ext>
            </c:extLst>
          </c:dPt>
          <c:dPt>
            <c:idx val="2"/>
            <c:bubble3D val="0"/>
            <c:spPr>
              <a:pattFill prst="ltUpDiag">
                <a:fgClr>
                  <a:schemeClr val="dk1">
                    <a:tint val="75000"/>
                  </a:schemeClr>
                </a:fgClr>
                <a:bgClr>
                  <a:schemeClr val="dk1">
                    <a:tint val="75000"/>
                    <a:lumMod val="20000"/>
                    <a:lumOff val="80000"/>
                  </a:schemeClr>
                </a:bgClr>
              </a:pattFill>
              <a:ln w="6350">
                <a:solidFill>
                  <a:schemeClr val="tx1"/>
                </a:solidFill>
              </a:ln>
              <a:effectLst>
                <a:innerShdw blurRad="114300">
                  <a:schemeClr val="dk1">
                    <a:tint val="75000"/>
                  </a:schemeClr>
                </a:innerShdw>
              </a:effectLst>
            </c:spPr>
            <c:extLst>
              <c:ext xmlns:c16="http://schemas.microsoft.com/office/drawing/2014/chart" uri="{C3380CC4-5D6E-409C-BE32-E72D297353CC}">
                <c16:uniqueId val="{00000005-0A87-4CE8-994A-D40E300533C4}"/>
              </c:ext>
            </c:extLst>
          </c:dPt>
          <c:dPt>
            <c:idx val="3"/>
            <c:bubble3D val="0"/>
            <c:spPr>
              <a:pattFill prst="ltUpDiag">
                <a:fgClr>
                  <a:schemeClr val="dk1">
                    <a:tint val="98500"/>
                  </a:schemeClr>
                </a:fgClr>
                <a:bgClr>
                  <a:schemeClr val="dk1">
                    <a:tint val="98500"/>
                    <a:lumMod val="20000"/>
                    <a:lumOff val="80000"/>
                  </a:schemeClr>
                </a:bgClr>
              </a:pattFill>
              <a:ln w="6350">
                <a:solidFill>
                  <a:schemeClr val="tx1"/>
                </a:solidFill>
              </a:ln>
              <a:effectLst>
                <a:innerShdw blurRad="114300">
                  <a:schemeClr val="dk1">
                    <a:tint val="98500"/>
                  </a:schemeClr>
                </a:innerShdw>
              </a:effectLst>
            </c:spPr>
            <c:extLst>
              <c:ext xmlns:c16="http://schemas.microsoft.com/office/drawing/2014/chart" uri="{C3380CC4-5D6E-409C-BE32-E72D297353CC}">
                <c16:uniqueId val="{00000007-0A87-4CE8-994A-D40E300533C4}"/>
              </c:ext>
            </c:extLst>
          </c:dPt>
          <c:dPt>
            <c:idx val="4"/>
            <c:bubble3D val="0"/>
            <c:spPr>
              <a:pattFill prst="ltUpDiag">
                <a:fgClr>
                  <a:schemeClr val="dk1">
                    <a:tint val="30000"/>
                  </a:schemeClr>
                </a:fgClr>
                <a:bgClr>
                  <a:schemeClr val="dk1">
                    <a:tint val="30000"/>
                    <a:lumMod val="20000"/>
                    <a:lumOff val="80000"/>
                  </a:schemeClr>
                </a:bgClr>
              </a:pattFill>
              <a:ln w="6350">
                <a:solidFill>
                  <a:schemeClr val="tx1"/>
                </a:solidFill>
              </a:ln>
              <a:effectLst>
                <a:innerShdw blurRad="114300">
                  <a:schemeClr val="dk1">
                    <a:tint val="30000"/>
                  </a:schemeClr>
                </a:innerShdw>
              </a:effectLst>
            </c:spPr>
            <c:extLst>
              <c:ext xmlns:c16="http://schemas.microsoft.com/office/drawing/2014/chart" uri="{C3380CC4-5D6E-409C-BE32-E72D297353CC}">
                <c16:uniqueId val="{00000009-0A87-4CE8-994A-D40E300533C4}"/>
              </c:ext>
            </c:extLst>
          </c:dPt>
          <c:dPt>
            <c:idx val="5"/>
            <c:bubble3D val="0"/>
            <c:spPr>
              <a:pattFill prst="ltUpDiag">
                <a:fgClr>
                  <a:schemeClr val="dk1">
                    <a:tint val="60000"/>
                  </a:schemeClr>
                </a:fgClr>
                <a:bgClr>
                  <a:schemeClr val="dk1">
                    <a:tint val="60000"/>
                    <a:lumMod val="20000"/>
                    <a:lumOff val="80000"/>
                  </a:schemeClr>
                </a:bgClr>
              </a:pattFill>
              <a:ln w="6350">
                <a:solidFill>
                  <a:schemeClr val="tx1"/>
                </a:solidFill>
              </a:ln>
              <a:effectLst>
                <a:innerShdw blurRad="114300">
                  <a:schemeClr val="dk1">
                    <a:tint val="60000"/>
                  </a:schemeClr>
                </a:innerShdw>
              </a:effectLst>
            </c:spPr>
            <c:extLst>
              <c:ext xmlns:c16="http://schemas.microsoft.com/office/drawing/2014/chart" uri="{C3380CC4-5D6E-409C-BE32-E72D297353CC}">
                <c16:uniqueId val="{0000000B-0A87-4CE8-994A-D40E300533C4}"/>
              </c:ext>
            </c:extLst>
          </c:dPt>
          <c:dPt>
            <c:idx val="6"/>
            <c:bubble3D val="0"/>
            <c:spPr>
              <a:pattFill prst="ltUpDiag">
                <a:fgClr>
                  <a:schemeClr val="dk1">
                    <a:tint val="80000"/>
                  </a:schemeClr>
                </a:fgClr>
                <a:bgClr>
                  <a:schemeClr val="dk1">
                    <a:tint val="80000"/>
                    <a:lumMod val="20000"/>
                    <a:lumOff val="80000"/>
                  </a:schemeClr>
                </a:bgClr>
              </a:pattFill>
              <a:ln w="6350">
                <a:solidFill>
                  <a:schemeClr val="tx1"/>
                </a:solidFill>
              </a:ln>
              <a:effectLst>
                <a:innerShdw blurRad="114300">
                  <a:schemeClr val="dk1">
                    <a:tint val="80000"/>
                  </a:schemeClr>
                </a:innerShdw>
              </a:effectLst>
            </c:spPr>
            <c:extLst>
              <c:ext xmlns:c16="http://schemas.microsoft.com/office/drawing/2014/chart" uri="{C3380CC4-5D6E-409C-BE32-E72D297353CC}">
                <c16:uniqueId val="{0000000D-0A87-4CE8-994A-D40E300533C4}"/>
              </c:ext>
            </c:extLst>
          </c:dPt>
          <c:dLbls>
            <c:dLbl>
              <c:idx val="0"/>
              <c:dLblPos val="outEnd"/>
              <c:showLegendKey val="0"/>
              <c:showVal val="0"/>
              <c:showCatName val="1"/>
              <c:showSerName val="0"/>
              <c:showPercent val="1"/>
              <c:showBubbleSize val="0"/>
              <c:extLst>
                <c:ext xmlns:c15="http://schemas.microsoft.com/office/drawing/2012/chart" uri="{CE6537A1-D6FC-4f65-9D91-7224C49458BB}">
                  <c15:layout>
                    <c:manualLayout>
                      <c:w val="0.23713721350966219"/>
                      <c:h val="0.19194444444444445"/>
                    </c:manualLayout>
                  </c15:layout>
                </c:ext>
                <c:ext xmlns:c16="http://schemas.microsoft.com/office/drawing/2014/chart" uri="{C3380CC4-5D6E-409C-BE32-E72D297353CC}">
                  <c16:uniqueId val="{00000001-0A87-4CE8-994A-D40E300533C4}"/>
                </c:ext>
              </c:extLst>
            </c:dLbl>
            <c:dLbl>
              <c:idx val="6"/>
              <c:layout>
                <c:manualLayout>
                  <c:x val="-2.1806848233412262E-2"/>
                  <c:y val="-1.388888888888889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0A87-4CE8-994A-D40E300533C4}"/>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out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Zestawienia!$B$35:$B$41</c:f>
              <c:strCache>
                <c:ptCount val="7"/>
                <c:pt idx="0">
                  <c:v>powyżej 65 lat</c:v>
                </c:pt>
                <c:pt idx="1">
                  <c:v>56–65 lat</c:v>
                </c:pt>
                <c:pt idx="2">
                  <c:v>46–55 lat</c:v>
                </c:pt>
                <c:pt idx="3">
                  <c:v>36–45 lat</c:v>
                </c:pt>
                <c:pt idx="4">
                  <c:v>26–35 lat</c:v>
                </c:pt>
                <c:pt idx="5">
                  <c:v>poniżej 26 lat</c:v>
                </c:pt>
                <c:pt idx="6">
                  <c:v>b/d</c:v>
                </c:pt>
              </c:strCache>
            </c:strRef>
          </c:cat>
          <c:val>
            <c:numRef>
              <c:f>Zestawienia!$A$35:$A$41</c:f>
              <c:numCache>
                <c:formatCode>General</c:formatCode>
                <c:ptCount val="7"/>
                <c:pt idx="0">
                  <c:v>7</c:v>
                </c:pt>
                <c:pt idx="1">
                  <c:v>13</c:v>
                </c:pt>
                <c:pt idx="2">
                  <c:v>10</c:v>
                </c:pt>
                <c:pt idx="3">
                  <c:v>30</c:v>
                </c:pt>
                <c:pt idx="4">
                  <c:v>61</c:v>
                </c:pt>
                <c:pt idx="5">
                  <c:v>9</c:v>
                </c:pt>
                <c:pt idx="6">
                  <c:v>3</c:v>
                </c:pt>
              </c:numCache>
            </c:numRef>
          </c:val>
          <c:extLst>
            <c:ext xmlns:c16="http://schemas.microsoft.com/office/drawing/2014/chart" uri="{C3380CC4-5D6E-409C-BE32-E72D297353CC}">
              <c16:uniqueId val="{0000000E-0A87-4CE8-994A-D40E300533C4}"/>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6515287728974973"/>
          <c:y val="4.3283670942341881E-2"/>
          <c:w val="0.43786769629731775"/>
          <c:h val="0.8758457423164846"/>
        </c:manualLayout>
      </c:layout>
      <c:pieChart>
        <c:varyColors val="1"/>
        <c:ser>
          <c:idx val="0"/>
          <c:order val="0"/>
          <c:tx>
            <c:strRef>
              <c:f>Zestawienia!$A$44</c:f>
              <c:strCache>
                <c:ptCount val="1"/>
                <c:pt idx="0">
                  <c:v>Interesariusze: Podział respondentów wg kategorii wielkości i rodzaju miejscowości pochodzenia</c:v>
                </c:pt>
              </c:strCache>
            </c:strRef>
          </c:tx>
          <c:spPr>
            <a:ln w="6350">
              <a:solidFill>
                <a:schemeClr val="tx1"/>
              </a:solidFill>
            </a:ln>
          </c:spPr>
          <c:dPt>
            <c:idx val="0"/>
            <c:bubble3D val="0"/>
            <c:spPr>
              <a:pattFill prst="ltUpDiag">
                <a:fgClr>
                  <a:schemeClr val="dk1">
                    <a:tint val="88500"/>
                  </a:schemeClr>
                </a:fgClr>
                <a:bgClr>
                  <a:schemeClr val="dk1">
                    <a:tint val="88500"/>
                    <a:lumMod val="20000"/>
                    <a:lumOff val="80000"/>
                  </a:schemeClr>
                </a:bgClr>
              </a:pattFill>
              <a:ln w="6350">
                <a:solidFill>
                  <a:schemeClr val="tx1"/>
                </a:solidFill>
              </a:ln>
              <a:effectLst>
                <a:innerShdw blurRad="114300">
                  <a:schemeClr val="dk1">
                    <a:tint val="88500"/>
                  </a:schemeClr>
                </a:innerShdw>
              </a:effectLst>
            </c:spPr>
            <c:extLst>
              <c:ext xmlns:c16="http://schemas.microsoft.com/office/drawing/2014/chart" uri="{C3380CC4-5D6E-409C-BE32-E72D297353CC}">
                <c16:uniqueId val="{00000001-A4DD-410E-A27E-0E4F75EBCC02}"/>
              </c:ext>
            </c:extLst>
          </c:dPt>
          <c:dPt>
            <c:idx val="1"/>
            <c:bubble3D val="0"/>
            <c:spPr>
              <a:pattFill prst="ltUpDiag">
                <a:fgClr>
                  <a:schemeClr val="dk1">
                    <a:tint val="55000"/>
                  </a:schemeClr>
                </a:fgClr>
                <a:bgClr>
                  <a:schemeClr val="dk1">
                    <a:tint val="55000"/>
                    <a:lumMod val="20000"/>
                    <a:lumOff val="80000"/>
                  </a:schemeClr>
                </a:bgClr>
              </a:pattFill>
              <a:ln w="6350">
                <a:solidFill>
                  <a:schemeClr val="tx1"/>
                </a:solidFill>
              </a:ln>
              <a:effectLst>
                <a:innerShdw blurRad="114300">
                  <a:schemeClr val="dk1">
                    <a:tint val="55000"/>
                  </a:schemeClr>
                </a:innerShdw>
              </a:effectLst>
            </c:spPr>
            <c:extLst>
              <c:ext xmlns:c16="http://schemas.microsoft.com/office/drawing/2014/chart" uri="{C3380CC4-5D6E-409C-BE32-E72D297353CC}">
                <c16:uniqueId val="{00000003-A4DD-410E-A27E-0E4F75EBCC02}"/>
              </c:ext>
            </c:extLst>
          </c:dPt>
          <c:dPt>
            <c:idx val="2"/>
            <c:bubble3D val="0"/>
            <c:spPr>
              <a:pattFill prst="ltUpDiag">
                <a:fgClr>
                  <a:schemeClr val="dk1">
                    <a:tint val="75000"/>
                  </a:schemeClr>
                </a:fgClr>
                <a:bgClr>
                  <a:schemeClr val="dk1">
                    <a:tint val="75000"/>
                    <a:lumMod val="20000"/>
                    <a:lumOff val="80000"/>
                  </a:schemeClr>
                </a:bgClr>
              </a:pattFill>
              <a:ln w="6350">
                <a:solidFill>
                  <a:schemeClr val="tx1"/>
                </a:solidFill>
              </a:ln>
              <a:effectLst>
                <a:innerShdw blurRad="114300">
                  <a:schemeClr val="dk1">
                    <a:tint val="75000"/>
                  </a:schemeClr>
                </a:innerShdw>
              </a:effectLst>
            </c:spPr>
            <c:extLst>
              <c:ext xmlns:c16="http://schemas.microsoft.com/office/drawing/2014/chart" uri="{C3380CC4-5D6E-409C-BE32-E72D297353CC}">
                <c16:uniqueId val="{00000005-A4DD-410E-A27E-0E4F75EBCC02}"/>
              </c:ext>
            </c:extLst>
          </c:dPt>
          <c:dPt>
            <c:idx val="3"/>
            <c:bubble3D val="0"/>
            <c:spPr>
              <a:pattFill prst="ltUpDiag">
                <a:fgClr>
                  <a:schemeClr val="dk1">
                    <a:tint val="98500"/>
                  </a:schemeClr>
                </a:fgClr>
                <a:bgClr>
                  <a:schemeClr val="dk1">
                    <a:tint val="98500"/>
                    <a:lumMod val="20000"/>
                    <a:lumOff val="80000"/>
                  </a:schemeClr>
                </a:bgClr>
              </a:pattFill>
              <a:ln w="6350">
                <a:solidFill>
                  <a:schemeClr val="tx1"/>
                </a:solidFill>
              </a:ln>
              <a:effectLst>
                <a:innerShdw blurRad="114300">
                  <a:schemeClr val="dk1">
                    <a:tint val="98500"/>
                  </a:schemeClr>
                </a:innerShdw>
              </a:effectLst>
            </c:spPr>
            <c:extLst>
              <c:ext xmlns:c16="http://schemas.microsoft.com/office/drawing/2014/chart" uri="{C3380CC4-5D6E-409C-BE32-E72D297353CC}">
                <c16:uniqueId val="{00000007-A4DD-410E-A27E-0E4F75EBCC02}"/>
              </c:ext>
            </c:extLst>
          </c:dPt>
          <c:dPt>
            <c:idx val="4"/>
            <c:bubble3D val="0"/>
            <c:spPr>
              <a:pattFill prst="ltUpDiag">
                <a:fgClr>
                  <a:schemeClr val="dk1">
                    <a:tint val="30000"/>
                  </a:schemeClr>
                </a:fgClr>
                <a:bgClr>
                  <a:schemeClr val="dk1">
                    <a:tint val="30000"/>
                    <a:lumMod val="20000"/>
                    <a:lumOff val="80000"/>
                  </a:schemeClr>
                </a:bgClr>
              </a:pattFill>
              <a:ln w="6350">
                <a:solidFill>
                  <a:schemeClr val="tx1"/>
                </a:solidFill>
              </a:ln>
              <a:effectLst>
                <a:innerShdw blurRad="114300">
                  <a:schemeClr val="dk1">
                    <a:tint val="30000"/>
                  </a:schemeClr>
                </a:innerShdw>
              </a:effectLst>
            </c:spPr>
            <c:extLst>
              <c:ext xmlns:c16="http://schemas.microsoft.com/office/drawing/2014/chart" uri="{C3380CC4-5D6E-409C-BE32-E72D297353CC}">
                <c16:uniqueId val="{00000009-A4DD-410E-A27E-0E4F75EBCC02}"/>
              </c:ext>
            </c:extLst>
          </c:dPt>
          <c:dPt>
            <c:idx val="5"/>
            <c:bubble3D val="0"/>
            <c:spPr>
              <a:pattFill prst="ltUpDiag">
                <a:fgClr>
                  <a:schemeClr val="dk1">
                    <a:tint val="60000"/>
                  </a:schemeClr>
                </a:fgClr>
                <a:bgClr>
                  <a:schemeClr val="dk1">
                    <a:tint val="60000"/>
                    <a:lumMod val="20000"/>
                    <a:lumOff val="80000"/>
                  </a:schemeClr>
                </a:bgClr>
              </a:pattFill>
              <a:ln w="6350">
                <a:solidFill>
                  <a:schemeClr val="tx1"/>
                </a:solidFill>
              </a:ln>
              <a:effectLst>
                <a:innerShdw blurRad="114300">
                  <a:schemeClr val="dk1">
                    <a:tint val="60000"/>
                  </a:schemeClr>
                </a:innerShdw>
              </a:effectLst>
            </c:spPr>
            <c:extLst>
              <c:ext xmlns:c16="http://schemas.microsoft.com/office/drawing/2014/chart" uri="{C3380CC4-5D6E-409C-BE32-E72D297353CC}">
                <c16:uniqueId val="{0000000B-A4DD-410E-A27E-0E4F75EBCC02}"/>
              </c:ext>
            </c:extLst>
          </c:dPt>
          <c:dPt>
            <c:idx val="6"/>
            <c:bubble3D val="0"/>
            <c:spPr>
              <a:pattFill prst="ltUpDiag">
                <a:fgClr>
                  <a:schemeClr val="dk1">
                    <a:tint val="80000"/>
                  </a:schemeClr>
                </a:fgClr>
                <a:bgClr>
                  <a:schemeClr val="dk1">
                    <a:tint val="80000"/>
                    <a:lumMod val="20000"/>
                    <a:lumOff val="80000"/>
                  </a:schemeClr>
                </a:bgClr>
              </a:pattFill>
              <a:ln w="6350">
                <a:solidFill>
                  <a:schemeClr val="tx1"/>
                </a:solidFill>
              </a:ln>
              <a:effectLst>
                <a:innerShdw blurRad="114300">
                  <a:schemeClr val="dk1">
                    <a:tint val="80000"/>
                  </a:schemeClr>
                </a:innerShdw>
              </a:effectLst>
            </c:spPr>
            <c:extLst>
              <c:ext xmlns:c16="http://schemas.microsoft.com/office/drawing/2014/chart" uri="{C3380CC4-5D6E-409C-BE32-E72D297353CC}">
                <c16:uniqueId val="{0000000D-A4DD-410E-A27E-0E4F75EBCC02}"/>
              </c:ext>
            </c:extLst>
          </c:dPt>
          <c:dLbls>
            <c:dLbl>
              <c:idx val="0"/>
              <c:layout>
                <c:manualLayout>
                  <c:x val="-4.0498309785289628E-2"/>
                  <c:y val="-1.389693362882859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3713721350966219"/>
                      <c:h val="0.19194444444444445"/>
                    </c:manualLayout>
                  </c15:layout>
                </c:ext>
                <c:ext xmlns:c16="http://schemas.microsoft.com/office/drawing/2014/chart" uri="{C3380CC4-5D6E-409C-BE32-E72D297353CC}">
                  <c16:uniqueId val="{00000001-A4DD-410E-A27E-0E4F75EBCC02}"/>
                </c:ext>
              </c:extLst>
            </c:dLbl>
            <c:dLbl>
              <c:idx val="1"/>
              <c:layout>
                <c:manualLayout>
                  <c:x val="-5.406463696888588E-2"/>
                  <c:y val="0"/>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4691582728289363"/>
                      <c:h val="0.22955032119914343"/>
                    </c:manualLayout>
                  </c15:layout>
                </c:ext>
                <c:ext xmlns:c16="http://schemas.microsoft.com/office/drawing/2014/chart" uri="{C3380CC4-5D6E-409C-BE32-E72D297353CC}">
                  <c16:uniqueId val="{00000003-A4DD-410E-A27E-0E4F75EBCC02}"/>
                </c:ext>
              </c:extLst>
            </c:dLbl>
            <c:dLbl>
              <c:idx val="2"/>
              <c:layout>
                <c:manualLayout>
                  <c:x val="-1.5119062618117688E-2"/>
                  <c:y val="-3.024193548387096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4DD-410E-A27E-0E4F75EBCC02}"/>
                </c:ext>
              </c:extLst>
            </c:dLbl>
            <c:dLbl>
              <c:idx val="4"/>
              <c:layout>
                <c:manualLayout>
                  <c:x val="-3.5277812775607938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4DD-410E-A27E-0E4F75EBCC02}"/>
                </c:ext>
              </c:extLst>
            </c:dLbl>
            <c:dLbl>
              <c:idx val="5"/>
              <c:layout>
                <c:manualLayout>
                  <c:x val="-3.275796900592163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4DD-410E-A27E-0E4F75EBCC02}"/>
                </c:ext>
              </c:extLst>
            </c:dLbl>
            <c:dLbl>
              <c:idx val="6"/>
              <c:layout>
                <c:manualLayout>
                  <c:x val="-2.1806848233412262E-2"/>
                  <c:y val="-1.388888888888889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4DD-410E-A27E-0E4F75EBCC0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Zestawienia!$B$46:$B$51</c:f>
              <c:strCache>
                <c:ptCount val="6"/>
                <c:pt idx="0">
                  <c:v>miasto wojewódzkie</c:v>
                </c:pt>
                <c:pt idx="1">
                  <c:v>duże miasto powiatowe</c:v>
                </c:pt>
                <c:pt idx="2">
                  <c:v>nieduże miasto powiatowe</c:v>
                </c:pt>
                <c:pt idx="3">
                  <c:v>miasto gminne</c:v>
                </c:pt>
                <c:pt idx="4">
                  <c:v>wieś gminna</c:v>
                </c:pt>
                <c:pt idx="5">
                  <c:v>wieś</c:v>
                </c:pt>
              </c:strCache>
            </c:strRef>
          </c:cat>
          <c:val>
            <c:numRef>
              <c:f>Zestawienia!$A$46:$A$51</c:f>
              <c:numCache>
                <c:formatCode>General</c:formatCode>
                <c:ptCount val="6"/>
                <c:pt idx="0">
                  <c:v>60</c:v>
                </c:pt>
                <c:pt idx="1">
                  <c:v>24</c:v>
                </c:pt>
                <c:pt idx="2">
                  <c:v>12</c:v>
                </c:pt>
                <c:pt idx="3">
                  <c:v>19</c:v>
                </c:pt>
                <c:pt idx="4">
                  <c:v>2</c:v>
                </c:pt>
                <c:pt idx="5">
                  <c:v>16</c:v>
                </c:pt>
              </c:numCache>
            </c:numRef>
          </c:val>
          <c:extLst>
            <c:ext xmlns:c16="http://schemas.microsoft.com/office/drawing/2014/chart" uri="{C3380CC4-5D6E-409C-BE32-E72D297353CC}">
              <c16:uniqueId val="{0000000E-A4DD-410E-A27E-0E4F75EBCC02}"/>
            </c:ext>
          </c:extLst>
        </c:ser>
        <c:dLbls>
          <c:dLblPos val="outEnd"/>
          <c:showLegendKey val="0"/>
          <c:showVal val="0"/>
          <c:showCatName val="1"/>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05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Zestawienia!$A$16</c:f>
              <c:strCache>
                <c:ptCount val="1"/>
                <c:pt idx="0">
                  <c:v>Liczba respondentów badania ilościowego przynależących do grupy interesariuszy</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Zestawienia!$B$17:$B$24</c:f>
              <c:strCache>
                <c:ptCount val="8"/>
                <c:pt idx="0">
                  <c:v>Studenci</c:v>
                </c:pt>
                <c:pt idx="1">
                  <c:v>Absolwenci</c:v>
                </c:pt>
                <c:pt idx="2">
                  <c:v>Rodzice / opiekunowie</c:v>
                </c:pt>
                <c:pt idx="3">
                  <c:v>Pracownicy administracyjni</c:v>
                </c:pt>
                <c:pt idx="4">
                  <c:v>Pracownicy naukowi lub dydaktyczni</c:v>
                </c:pt>
                <c:pt idx="5">
                  <c:v>Władze uczelni</c:v>
                </c:pt>
                <c:pt idx="6">
                  <c:v>Przedsiębiorcy</c:v>
                </c:pt>
                <c:pt idx="7">
                  <c:v>Władze samorządowe</c:v>
                </c:pt>
              </c:strCache>
            </c:strRef>
          </c:cat>
          <c:val>
            <c:numRef>
              <c:f>Zestawienia!$A$17:$A$24</c:f>
              <c:numCache>
                <c:formatCode>General</c:formatCode>
                <c:ptCount val="8"/>
                <c:pt idx="0">
                  <c:v>14</c:v>
                </c:pt>
                <c:pt idx="1">
                  <c:v>120</c:v>
                </c:pt>
                <c:pt idx="2">
                  <c:v>17</c:v>
                </c:pt>
                <c:pt idx="3">
                  <c:v>4</c:v>
                </c:pt>
                <c:pt idx="4">
                  <c:v>16</c:v>
                </c:pt>
                <c:pt idx="5">
                  <c:v>5</c:v>
                </c:pt>
                <c:pt idx="6">
                  <c:v>18</c:v>
                </c:pt>
                <c:pt idx="7">
                  <c:v>2</c:v>
                </c:pt>
              </c:numCache>
            </c:numRef>
          </c:val>
          <c:extLst>
            <c:ext xmlns:c16="http://schemas.microsoft.com/office/drawing/2014/chart" uri="{C3380CC4-5D6E-409C-BE32-E72D297353CC}">
              <c16:uniqueId val="{00000000-029E-426C-8960-F9876ACBBC5D}"/>
            </c:ext>
          </c:extLst>
        </c:ser>
        <c:dLbls>
          <c:showLegendKey val="0"/>
          <c:showVal val="0"/>
          <c:showCatName val="0"/>
          <c:showSerName val="0"/>
          <c:showPercent val="0"/>
          <c:showBubbleSize val="0"/>
        </c:dLbls>
        <c:gapWidth val="182"/>
        <c:axId val="602819544"/>
        <c:axId val="602821840"/>
      </c:barChart>
      <c:catAx>
        <c:axId val="602819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602821840"/>
        <c:crosses val="autoZero"/>
        <c:auto val="1"/>
        <c:lblAlgn val="ctr"/>
        <c:lblOffset val="100"/>
        <c:noMultiLvlLbl val="0"/>
      </c:catAx>
      <c:valAx>
        <c:axId val="602821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l-PL"/>
          </a:p>
        </c:txPr>
        <c:crossAx val="60281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l">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pl-PL">
                <a:solidFill>
                  <a:sysClr val="windowText" lastClr="000000"/>
                </a:solidFill>
              </a:rPr>
              <a:t>Udział wybranych grup interesariuszy w badaniu kwestionariuszowym wśród grupy absolwentów</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l-PL"/>
        </a:p>
      </c:txPr>
    </c:title>
    <c:autoTitleDeleted val="0"/>
    <c:plotArea>
      <c:layout/>
      <c:barChart>
        <c:barDir val="bar"/>
        <c:grouping val="clustered"/>
        <c:varyColors val="0"/>
        <c:ser>
          <c:idx val="0"/>
          <c:order val="0"/>
          <c:tx>
            <c:strRef>
              <c:f>Zestawienia!$C$58</c:f>
              <c:strCache>
                <c:ptCount val="1"/>
                <c:pt idx="0">
                  <c:v>Udział wybranych grup interesariuszy w badaniu kwestionariuszowym wśród grupy absolwentów</c:v>
                </c:pt>
              </c:strCache>
            </c:strRef>
          </c:tx>
          <c:spPr>
            <a:solidFill>
              <a:schemeClr val="dk1">
                <a:tint val="88500"/>
              </a:schemeClr>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(Zestawienia!$C$59:$D$59,Zestawienia!$C$61:$D$66)</c:f>
              <c:multiLvlStrCache>
                <c:ptCount val="7"/>
                <c:lvl>
                  <c:pt idx="0">
                    <c:v>Studenci</c:v>
                  </c:pt>
                  <c:pt idx="1">
                    <c:v>Rodzice / opiekunowie</c:v>
                  </c:pt>
                  <c:pt idx="2">
                    <c:v>Pracownicy administracyjni</c:v>
                  </c:pt>
                  <c:pt idx="3">
                    <c:v>Pracownicy naukowi lub dydaktyczni</c:v>
                  </c:pt>
                  <c:pt idx="4">
                    <c:v>Władze uczelni</c:v>
                  </c:pt>
                  <c:pt idx="5">
                    <c:v>Przedsiębiorcy</c:v>
                  </c:pt>
                  <c:pt idx="6">
                    <c:v>Władze samorządowe</c:v>
                  </c:pt>
                </c:lvl>
                <c:lvl>
                  <c:pt idx="0">
                    <c:v>21%</c:v>
                  </c:pt>
                  <c:pt idx="1">
                    <c:v>100%</c:v>
                  </c:pt>
                  <c:pt idx="2">
                    <c:v>100%</c:v>
                  </c:pt>
                  <c:pt idx="3">
                    <c:v>94%</c:v>
                  </c:pt>
                  <c:pt idx="4">
                    <c:v>100%</c:v>
                  </c:pt>
                  <c:pt idx="5">
                    <c:v>89%</c:v>
                  </c:pt>
                  <c:pt idx="6">
                    <c:v>100%</c:v>
                  </c:pt>
                </c:lvl>
              </c:multiLvlStrCache>
              <c:extLst/>
            </c:multiLvlStrRef>
          </c:cat>
          <c:val>
            <c:numRef>
              <c:f>(Zestawienia!$A$59,Zestawienia!$A$61:$A$66)</c:f>
              <c:numCache>
                <c:formatCode>0.00%</c:formatCode>
                <c:ptCount val="7"/>
                <c:pt idx="0">
                  <c:v>2.5000000000000001E-2</c:v>
                </c:pt>
                <c:pt idx="1">
                  <c:v>0.14166666666666666</c:v>
                </c:pt>
                <c:pt idx="2">
                  <c:v>3.3333333333333333E-2</c:v>
                </c:pt>
                <c:pt idx="3">
                  <c:v>0.125</c:v>
                </c:pt>
                <c:pt idx="4">
                  <c:v>4.1666666666666664E-2</c:v>
                </c:pt>
                <c:pt idx="5">
                  <c:v>0.13333333333333333</c:v>
                </c:pt>
                <c:pt idx="6">
                  <c:v>1.6666666666666666E-2</c:v>
                </c:pt>
              </c:numCache>
              <c:extLst/>
            </c:numRef>
          </c:val>
          <c:extLst>
            <c:ext xmlns:c16="http://schemas.microsoft.com/office/drawing/2014/chart" uri="{C3380CC4-5D6E-409C-BE32-E72D297353CC}">
              <c16:uniqueId val="{00000000-6D18-41CC-8145-F4B4AA4CCE9D}"/>
            </c:ext>
          </c:extLst>
        </c:ser>
        <c:dLbls>
          <c:showLegendKey val="0"/>
          <c:showVal val="0"/>
          <c:showCatName val="0"/>
          <c:showSerName val="0"/>
          <c:showPercent val="0"/>
          <c:showBubbleSize val="0"/>
        </c:dLbls>
        <c:gapWidth val="150"/>
        <c:axId val="510615792"/>
        <c:axId val="510614808"/>
      </c:barChart>
      <c:valAx>
        <c:axId val="510614808"/>
        <c:scaling>
          <c:orientation val="minMax"/>
        </c:scaling>
        <c:delete val="1"/>
        <c:axPos val="b"/>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510615792"/>
        <c:crosses val="autoZero"/>
        <c:crossBetween val="between"/>
      </c:valAx>
      <c:catAx>
        <c:axId val="51061579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pl-PL"/>
          </a:p>
        </c:txPr>
        <c:crossAx val="51061480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Zestawienia!$A$71</c:f>
              <c:strCache>
                <c:ptCount val="1"/>
                <c:pt idx="0">
                  <c:v>Absolwenci: Podział respondentów wg płci</c:v>
                </c:pt>
              </c:strCache>
            </c:strRef>
          </c:tx>
          <c:dPt>
            <c:idx val="0"/>
            <c:bubble3D val="0"/>
            <c:spPr>
              <a:pattFill prst="ltUpDiag">
                <a:fgClr>
                  <a:schemeClr val="dk1">
                    <a:tint val="88500"/>
                  </a:schemeClr>
                </a:fgClr>
                <a:bgClr>
                  <a:schemeClr val="dk1">
                    <a:tint val="88500"/>
                    <a:lumMod val="20000"/>
                    <a:lumOff val="80000"/>
                  </a:schemeClr>
                </a:bgClr>
              </a:pattFill>
              <a:ln w="12700">
                <a:solidFill>
                  <a:schemeClr val="tx1"/>
                </a:solidFill>
              </a:ln>
              <a:effectLst>
                <a:innerShdw blurRad="114300">
                  <a:schemeClr val="dk1">
                    <a:tint val="88500"/>
                  </a:schemeClr>
                </a:innerShdw>
              </a:effectLst>
            </c:spPr>
            <c:extLst>
              <c:ext xmlns:c16="http://schemas.microsoft.com/office/drawing/2014/chart" uri="{C3380CC4-5D6E-409C-BE32-E72D297353CC}">
                <c16:uniqueId val="{00000001-333D-4B97-A500-5B23D84AE1E9}"/>
              </c:ext>
            </c:extLst>
          </c:dPt>
          <c:dPt>
            <c:idx val="1"/>
            <c:bubble3D val="0"/>
            <c:spPr>
              <a:pattFill prst="ltUpDiag">
                <a:fgClr>
                  <a:schemeClr val="dk1">
                    <a:tint val="55000"/>
                  </a:schemeClr>
                </a:fgClr>
                <a:bgClr>
                  <a:schemeClr val="dk1">
                    <a:tint val="55000"/>
                    <a:lumMod val="20000"/>
                    <a:lumOff val="80000"/>
                  </a:schemeClr>
                </a:bgClr>
              </a:pattFill>
              <a:ln w="6350">
                <a:solidFill>
                  <a:schemeClr val="tx1"/>
                </a:solidFill>
              </a:ln>
              <a:effectLst>
                <a:innerShdw blurRad="114300">
                  <a:schemeClr val="dk1">
                    <a:tint val="55000"/>
                  </a:schemeClr>
                </a:innerShdw>
              </a:effectLst>
            </c:spPr>
            <c:extLst>
              <c:ext xmlns:c16="http://schemas.microsoft.com/office/drawing/2014/chart" uri="{C3380CC4-5D6E-409C-BE32-E72D297353CC}">
                <c16:uniqueId val="{00000003-333D-4B97-A500-5B23D84AE1E9}"/>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ctr"/>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Zestawienia!$B$72:$B$73</c:f>
              <c:strCache>
                <c:ptCount val="2"/>
                <c:pt idx="0">
                  <c:v>Kobieta</c:v>
                </c:pt>
                <c:pt idx="1">
                  <c:v>Mężczyzna</c:v>
                </c:pt>
              </c:strCache>
            </c:strRef>
          </c:cat>
          <c:val>
            <c:numRef>
              <c:f>Zestawienia!$A$72:$A$73</c:f>
              <c:numCache>
                <c:formatCode>General</c:formatCode>
                <c:ptCount val="2"/>
                <c:pt idx="0">
                  <c:v>58</c:v>
                </c:pt>
                <c:pt idx="1">
                  <c:v>62</c:v>
                </c:pt>
              </c:numCache>
            </c:numRef>
          </c:val>
          <c:extLst>
            <c:ext xmlns:c16="http://schemas.microsoft.com/office/drawing/2014/chart" uri="{C3380CC4-5D6E-409C-BE32-E72D297353CC}">
              <c16:uniqueId val="{00000004-333D-4B97-A500-5B23D84AE1E9}"/>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792537187636592"/>
          <c:y val="0.17143372703412074"/>
          <c:w val="0.54123887899047973"/>
          <c:h val="0.80528105861767263"/>
        </c:manualLayout>
      </c:layout>
      <c:pieChart>
        <c:varyColors val="1"/>
        <c:ser>
          <c:idx val="0"/>
          <c:order val="0"/>
          <c:tx>
            <c:strRef>
              <c:f>Zestawienia!$A$75</c:f>
              <c:strCache>
                <c:ptCount val="1"/>
                <c:pt idx="0">
                  <c:v>Absolwenci: Podział respondentów wg grup wiekowych</c:v>
                </c:pt>
              </c:strCache>
            </c:strRef>
          </c:tx>
          <c:spPr>
            <a:ln w="6350">
              <a:solidFill>
                <a:schemeClr val="tx1"/>
              </a:solidFill>
            </a:ln>
          </c:spPr>
          <c:dPt>
            <c:idx val="0"/>
            <c:bubble3D val="0"/>
            <c:spPr>
              <a:pattFill prst="ltUpDiag">
                <a:fgClr>
                  <a:schemeClr val="dk1">
                    <a:tint val="88500"/>
                  </a:schemeClr>
                </a:fgClr>
                <a:bgClr>
                  <a:schemeClr val="dk1">
                    <a:tint val="88500"/>
                    <a:lumMod val="20000"/>
                    <a:lumOff val="80000"/>
                  </a:schemeClr>
                </a:bgClr>
              </a:pattFill>
              <a:ln w="6350">
                <a:solidFill>
                  <a:schemeClr val="tx1"/>
                </a:solidFill>
              </a:ln>
              <a:effectLst>
                <a:innerShdw blurRad="114300">
                  <a:schemeClr val="dk1">
                    <a:tint val="88500"/>
                  </a:schemeClr>
                </a:innerShdw>
              </a:effectLst>
            </c:spPr>
            <c:extLst>
              <c:ext xmlns:c16="http://schemas.microsoft.com/office/drawing/2014/chart" uri="{C3380CC4-5D6E-409C-BE32-E72D297353CC}">
                <c16:uniqueId val="{00000001-7E65-4DD8-85AB-4C5497E342DF}"/>
              </c:ext>
            </c:extLst>
          </c:dPt>
          <c:dPt>
            <c:idx val="1"/>
            <c:bubble3D val="0"/>
            <c:spPr>
              <a:pattFill prst="ltUpDiag">
                <a:fgClr>
                  <a:schemeClr val="dk1">
                    <a:tint val="55000"/>
                  </a:schemeClr>
                </a:fgClr>
                <a:bgClr>
                  <a:schemeClr val="dk1">
                    <a:tint val="55000"/>
                    <a:lumMod val="20000"/>
                    <a:lumOff val="80000"/>
                  </a:schemeClr>
                </a:bgClr>
              </a:pattFill>
              <a:ln w="6350">
                <a:solidFill>
                  <a:schemeClr val="tx1"/>
                </a:solidFill>
              </a:ln>
              <a:effectLst>
                <a:innerShdw blurRad="114300">
                  <a:schemeClr val="dk1">
                    <a:tint val="55000"/>
                  </a:schemeClr>
                </a:innerShdw>
              </a:effectLst>
            </c:spPr>
            <c:extLst>
              <c:ext xmlns:c16="http://schemas.microsoft.com/office/drawing/2014/chart" uri="{C3380CC4-5D6E-409C-BE32-E72D297353CC}">
                <c16:uniqueId val="{00000003-7E65-4DD8-85AB-4C5497E342DF}"/>
              </c:ext>
            </c:extLst>
          </c:dPt>
          <c:dPt>
            <c:idx val="2"/>
            <c:bubble3D val="0"/>
            <c:spPr>
              <a:pattFill prst="ltUpDiag">
                <a:fgClr>
                  <a:schemeClr val="dk1">
                    <a:tint val="75000"/>
                  </a:schemeClr>
                </a:fgClr>
                <a:bgClr>
                  <a:schemeClr val="dk1">
                    <a:tint val="75000"/>
                    <a:lumMod val="20000"/>
                    <a:lumOff val="80000"/>
                  </a:schemeClr>
                </a:bgClr>
              </a:pattFill>
              <a:ln w="6350">
                <a:solidFill>
                  <a:schemeClr val="tx1"/>
                </a:solidFill>
              </a:ln>
              <a:effectLst>
                <a:innerShdw blurRad="114300">
                  <a:schemeClr val="dk1">
                    <a:tint val="75000"/>
                  </a:schemeClr>
                </a:innerShdw>
              </a:effectLst>
            </c:spPr>
            <c:extLst>
              <c:ext xmlns:c16="http://schemas.microsoft.com/office/drawing/2014/chart" uri="{C3380CC4-5D6E-409C-BE32-E72D297353CC}">
                <c16:uniqueId val="{00000005-7E65-4DD8-85AB-4C5497E342DF}"/>
              </c:ext>
            </c:extLst>
          </c:dPt>
          <c:dPt>
            <c:idx val="3"/>
            <c:bubble3D val="0"/>
            <c:spPr>
              <a:pattFill prst="ltUpDiag">
                <a:fgClr>
                  <a:schemeClr val="dk1">
                    <a:tint val="98500"/>
                  </a:schemeClr>
                </a:fgClr>
                <a:bgClr>
                  <a:schemeClr val="dk1">
                    <a:tint val="98500"/>
                    <a:lumMod val="20000"/>
                    <a:lumOff val="80000"/>
                  </a:schemeClr>
                </a:bgClr>
              </a:pattFill>
              <a:ln w="6350">
                <a:solidFill>
                  <a:schemeClr val="tx1"/>
                </a:solidFill>
              </a:ln>
              <a:effectLst>
                <a:innerShdw blurRad="114300">
                  <a:schemeClr val="dk1">
                    <a:tint val="98500"/>
                  </a:schemeClr>
                </a:innerShdw>
              </a:effectLst>
            </c:spPr>
            <c:extLst>
              <c:ext xmlns:c16="http://schemas.microsoft.com/office/drawing/2014/chart" uri="{C3380CC4-5D6E-409C-BE32-E72D297353CC}">
                <c16:uniqueId val="{00000007-7E65-4DD8-85AB-4C5497E342DF}"/>
              </c:ext>
            </c:extLst>
          </c:dPt>
          <c:dPt>
            <c:idx val="4"/>
            <c:bubble3D val="0"/>
            <c:spPr>
              <a:pattFill prst="ltUpDiag">
                <a:fgClr>
                  <a:schemeClr val="dk1">
                    <a:tint val="30000"/>
                  </a:schemeClr>
                </a:fgClr>
                <a:bgClr>
                  <a:schemeClr val="dk1">
                    <a:tint val="30000"/>
                    <a:lumMod val="20000"/>
                    <a:lumOff val="80000"/>
                  </a:schemeClr>
                </a:bgClr>
              </a:pattFill>
              <a:ln w="6350">
                <a:solidFill>
                  <a:schemeClr val="tx1"/>
                </a:solidFill>
              </a:ln>
              <a:effectLst>
                <a:innerShdw blurRad="114300">
                  <a:schemeClr val="dk1">
                    <a:tint val="30000"/>
                  </a:schemeClr>
                </a:innerShdw>
              </a:effectLst>
            </c:spPr>
            <c:extLst>
              <c:ext xmlns:c16="http://schemas.microsoft.com/office/drawing/2014/chart" uri="{C3380CC4-5D6E-409C-BE32-E72D297353CC}">
                <c16:uniqueId val="{00000009-7E65-4DD8-85AB-4C5497E342DF}"/>
              </c:ext>
            </c:extLst>
          </c:dPt>
          <c:dPt>
            <c:idx val="5"/>
            <c:bubble3D val="0"/>
            <c:spPr>
              <a:pattFill prst="ltUpDiag">
                <a:fgClr>
                  <a:schemeClr val="dk1">
                    <a:tint val="60000"/>
                  </a:schemeClr>
                </a:fgClr>
                <a:bgClr>
                  <a:schemeClr val="dk1">
                    <a:tint val="60000"/>
                    <a:lumMod val="20000"/>
                    <a:lumOff val="80000"/>
                  </a:schemeClr>
                </a:bgClr>
              </a:pattFill>
              <a:ln w="6350">
                <a:solidFill>
                  <a:schemeClr val="tx1"/>
                </a:solidFill>
              </a:ln>
              <a:effectLst>
                <a:innerShdw blurRad="114300">
                  <a:schemeClr val="dk1">
                    <a:tint val="60000"/>
                  </a:schemeClr>
                </a:innerShdw>
              </a:effectLst>
            </c:spPr>
            <c:extLst>
              <c:ext xmlns:c16="http://schemas.microsoft.com/office/drawing/2014/chart" uri="{C3380CC4-5D6E-409C-BE32-E72D297353CC}">
                <c16:uniqueId val="{0000000B-7E65-4DD8-85AB-4C5497E342DF}"/>
              </c:ext>
            </c:extLst>
          </c:dPt>
          <c:dPt>
            <c:idx val="6"/>
            <c:bubble3D val="0"/>
            <c:spPr>
              <a:pattFill prst="ltUpDiag">
                <a:fgClr>
                  <a:schemeClr val="dk1">
                    <a:tint val="80000"/>
                  </a:schemeClr>
                </a:fgClr>
                <a:bgClr>
                  <a:schemeClr val="dk1">
                    <a:tint val="80000"/>
                    <a:lumMod val="20000"/>
                    <a:lumOff val="80000"/>
                  </a:schemeClr>
                </a:bgClr>
              </a:pattFill>
              <a:ln w="6350">
                <a:solidFill>
                  <a:schemeClr val="tx1"/>
                </a:solidFill>
              </a:ln>
              <a:effectLst>
                <a:innerShdw blurRad="114300">
                  <a:schemeClr val="dk1">
                    <a:tint val="80000"/>
                  </a:schemeClr>
                </a:innerShdw>
              </a:effectLst>
            </c:spPr>
            <c:extLst>
              <c:ext xmlns:c16="http://schemas.microsoft.com/office/drawing/2014/chart" uri="{C3380CC4-5D6E-409C-BE32-E72D297353CC}">
                <c16:uniqueId val="{0000000D-7E65-4DD8-85AB-4C5497E342DF}"/>
              </c:ext>
            </c:extLst>
          </c:dPt>
          <c:dLbls>
            <c:dLbl>
              <c:idx val="0"/>
              <c:dLblPos val="outEnd"/>
              <c:showLegendKey val="0"/>
              <c:showVal val="0"/>
              <c:showCatName val="1"/>
              <c:showSerName val="0"/>
              <c:showPercent val="1"/>
              <c:showBubbleSize val="0"/>
              <c:extLst>
                <c:ext xmlns:c15="http://schemas.microsoft.com/office/drawing/2012/chart" uri="{CE6537A1-D6FC-4f65-9D91-7224C49458BB}">
                  <c15:layout>
                    <c:manualLayout>
                      <c:w val="0.23713721350966219"/>
                      <c:h val="0.19194444444444445"/>
                    </c:manualLayout>
                  </c15:layout>
                </c:ext>
                <c:ext xmlns:c16="http://schemas.microsoft.com/office/drawing/2014/chart" uri="{C3380CC4-5D6E-409C-BE32-E72D297353CC}">
                  <c16:uniqueId val="{00000001-7E65-4DD8-85AB-4C5497E342DF}"/>
                </c:ext>
              </c:extLst>
            </c:dLbl>
            <c:dLbl>
              <c:idx val="5"/>
              <c:layout>
                <c:manualLayout>
                  <c:x val="-0.10890700003724153"/>
                  <c:y val="1.8845886313680754E-2"/>
                </c:manualLayout>
              </c:layout>
              <c:spPr>
                <a:noFill/>
                <a:ln>
                  <a:noFill/>
                </a:ln>
                <a:effectLst/>
              </c:spPr>
              <c:txPr>
                <a:bodyPr rot="0" spcFirstLastPara="1" vertOverflow="ellipsis" vert="horz" wrap="square" lIns="38100" tIns="19050" rIns="38100" bIns="19050" anchor="ctr" anchorCtr="1">
                  <a:no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bestFit"/>
              <c:showLegendKey val="0"/>
              <c:showVal val="0"/>
              <c:showCatName val="1"/>
              <c:showSerName val="0"/>
              <c:showPercent val="1"/>
              <c:showBubbleSize val="0"/>
              <c:extLst>
                <c:ext xmlns:c15="http://schemas.microsoft.com/office/drawing/2012/chart" uri="{CE6537A1-D6FC-4f65-9D91-7224C49458BB}">
                  <c15:layout>
                    <c:manualLayout>
                      <c:w val="0.22143892485637506"/>
                      <c:h val="0.18351001177856299"/>
                    </c:manualLayout>
                  </c15:layout>
                </c:ext>
                <c:ext xmlns:c16="http://schemas.microsoft.com/office/drawing/2014/chart" uri="{C3380CC4-5D6E-409C-BE32-E72D297353CC}">
                  <c16:uniqueId val="{0000000B-7E65-4DD8-85AB-4C5497E342DF}"/>
                </c:ext>
              </c:extLst>
            </c:dLbl>
            <c:dLbl>
              <c:idx val="6"/>
              <c:layout>
                <c:manualLayout>
                  <c:x val="-2.1806848233412262E-2"/>
                  <c:y val="-1.388888888888889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7E65-4DD8-85AB-4C5497E342DF}"/>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out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Zestawienia!$B$77:$B$83</c:f>
              <c:strCache>
                <c:ptCount val="7"/>
                <c:pt idx="0">
                  <c:v>powyżej 65 lat</c:v>
                </c:pt>
                <c:pt idx="1">
                  <c:v>56–65 lat</c:v>
                </c:pt>
                <c:pt idx="2">
                  <c:v>46–55 lat</c:v>
                </c:pt>
                <c:pt idx="3">
                  <c:v>36–45 lat</c:v>
                </c:pt>
                <c:pt idx="4">
                  <c:v>26–35 lat</c:v>
                </c:pt>
                <c:pt idx="5">
                  <c:v>poniżej 26 lat</c:v>
                </c:pt>
                <c:pt idx="6">
                  <c:v>B/D</c:v>
                </c:pt>
              </c:strCache>
            </c:strRef>
          </c:cat>
          <c:val>
            <c:numRef>
              <c:f>Zestawienia!$A$77:$A$83</c:f>
              <c:numCache>
                <c:formatCode>General</c:formatCode>
                <c:ptCount val="7"/>
                <c:pt idx="0">
                  <c:v>7</c:v>
                </c:pt>
                <c:pt idx="1">
                  <c:v>13</c:v>
                </c:pt>
                <c:pt idx="2">
                  <c:v>10</c:v>
                </c:pt>
                <c:pt idx="3">
                  <c:v>29</c:v>
                </c:pt>
                <c:pt idx="4">
                  <c:v>57</c:v>
                </c:pt>
                <c:pt idx="5">
                  <c:v>2</c:v>
                </c:pt>
                <c:pt idx="6">
                  <c:v>2</c:v>
                </c:pt>
              </c:numCache>
            </c:numRef>
          </c:val>
          <c:extLst>
            <c:ext xmlns:c16="http://schemas.microsoft.com/office/drawing/2014/chart" uri="{C3380CC4-5D6E-409C-BE32-E72D297353CC}">
              <c16:uniqueId val="{0000000E-7E65-4DD8-85AB-4C5497E342DF}"/>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9898381452318462"/>
          <c:y val="0.10780880037054191"/>
          <c:w val="0.43814370078740161"/>
          <c:h val="0.74226697545159803"/>
        </c:manualLayout>
      </c:layout>
      <c:pieChart>
        <c:varyColors val="1"/>
        <c:ser>
          <c:idx val="0"/>
          <c:order val="0"/>
          <c:tx>
            <c:strRef>
              <c:f>Zestawienia!$C$119</c:f>
              <c:strCache>
                <c:ptCount val="1"/>
                <c:pt idx="0">
                  <c:v>Udział %</c:v>
                </c:pt>
              </c:strCache>
            </c:strRef>
          </c:tx>
          <c:spPr>
            <a:pattFill prst="ltDnDiag">
              <a:fgClr>
                <a:schemeClr val="accent1"/>
              </a:fgClr>
              <a:bgClr>
                <a:schemeClr val="bg1"/>
              </a:bgClr>
            </a:pattFill>
          </c:spPr>
          <c:dPt>
            <c:idx val="0"/>
            <c:bubble3D val="0"/>
            <c:spPr>
              <a:pattFill prst="wdUpDiag">
                <a:fgClr>
                  <a:schemeClr val="tx1"/>
                </a:fgClr>
                <a:bgClr>
                  <a:schemeClr val="bg1"/>
                </a:bgClr>
              </a:pattFill>
              <a:ln w="6350">
                <a:solidFill>
                  <a:schemeClr val="tx1"/>
                </a:solidFill>
              </a:ln>
              <a:effectLst/>
            </c:spPr>
            <c:extLst>
              <c:ext xmlns:c16="http://schemas.microsoft.com/office/drawing/2014/chart" uri="{C3380CC4-5D6E-409C-BE32-E72D297353CC}">
                <c16:uniqueId val="{00000001-5FDF-4E10-8658-8ABCEC303329}"/>
              </c:ext>
            </c:extLst>
          </c:dPt>
          <c:dPt>
            <c:idx val="1"/>
            <c:bubble3D val="0"/>
            <c:spPr>
              <a:pattFill prst="pct10">
                <a:fgClr>
                  <a:schemeClr val="tx1"/>
                </a:fgClr>
                <a:bgClr>
                  <a:schemeClr val="bg1"/>
                </a:bgClr>
              </a:pattFill>
              <a:ln w="6350">
                <a:solidFill>
                  <a:schemeClr val="tx1"/>
                </a:solidFill>
              </a:ln>
              <a:effectLst/>
            </c:spPr>
            <c:extLst>
              <c:ext xmlns:c16="http://schemas.microsoft.com/office/drawing/2014/chart" uri="{C3380CC4-5D6E-409C-BE32-E72D297353CC}">
                <c16:uniqueId val="{00000003-5FDF-4E10-8658-8ABCEC303329}"/>
              </c:ext>
            </c:extLst>
          </c:dPt>
          <c:dPt>
            <c:idx val="2"/>
            <c:bubble3D val="0"/>
            <c:spPr>
              <a:solidFill>
                <a:schemeClr val="tx1"/>
              </a:solidFill>
              <a:ln w="6350">
                <a:solidFill>
                  <a:schemeClr val="tx1"/>
                </a:solidFill>
              </a:ln>
              <a:effectLst/>
            </c:spPr>
            <c:extLst>
              <c:ext xmlns:c16="http://schemas.microsoft.com/office/drawing/2014/chart" uri="{C3380CC4-5D6E-409C-BE32-E72D297353CC}">
                <c16:uniqueId val="{00000005-5FDF-4E10-8658-8ABCEC303329}"/>
              </c:ext>
            </c:extLst>
          </c:dPt>
          <c:dLbls>
            <c:dLbl>
              <c:idx val="0"/>
              <c:layout>
                <c:manualLayout>
                  <c:x val="-0.32484142607174105"/>
                  <c:y val="-0.1718840203798054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FDF-4E10-8658-8ABCEC303329}"/>
                </c:ext>
              </c:extLst>
            </c:dLbl>
            <c:dLbl>
              <c:idx val="1"/>
              <c:layout>
                <c:manualLayout>
                  <c:x val="-5.4650043744531931E-3"/>
                  <c:y val="-4.349791570171375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FDF-4E10-8658-8ABCEC303329}"/>
                </c:ext>
              </c:extLst>
            </c:dLbl>
            <c:dLbl>
              <c:idx val="2"/>
              <c:layout>
                <c:manualLayout>
                  <c:x val="1.6323272090988626E-2"/>
                  <c:y val="-8.496155627605372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FDF-4E10-8658-8ABCEC30332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pl-PL"/>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Zestawienia!$A$120:$B$122</c:f>
              <c:multiLvlStrCache>
                <c:ptCount val="3"/>
                <c:lvl>
                  <c:pt idx="0">
                    <c:v>Publiczna</c:v>
                  </c:pt>
                  <c:pt idx="1">
                    <c:v>Niepubliczna</c:v>
                  </c:pt>
                  <c:pt idx="2">
                    <c:v>Zagraniczna</c:v>
                  </c:pt>
                </c:lvl>
                <c:lvl>
                  <c:pt idx="0">
                    <c:v>113</c:v>
                  </c:pt>
                  <c:pt idx="1">
                    <c:v>6</c:v>
                  </c:pt>
                  <c:pt idx="2">
                    <c:v>1</c:v>
                  </c:pt>
                </c:lvl>
              </c:multiLvlStrCache>
            </c:multiLvlStrRef>
          </c:cat>
          <c:val>
            <c:numRef>
              <c:f>Zestawienia!$C$120:$C$122</c:f>
              <c:numCache>
                <c:formatCode>0.00%</c:formatCode>
                <c:ptCount val="3"/>
                <c:pt idx="0">
                  <c:v>0.94166666666666665</c:v>
                </c:pt>
                <c:pt idx="1">
                  <c:v>0.05</c:v>
                </c:pt>
                <c:pt idx="2">
                  <c:v>8.3333333333333332E-3</c:v>
                </c:pt>
              </c:numCache>
            </c:numRef>
          </c:val>
          <c:extLst>
            <c:ext xmlns:c16="http://schemas.microsoft.com/office/drawing/2014/chart" uri="{C3380CC4-5D6E-409C-BE32-E72D297353CC}">
              <c16:uniqueId val="{00000006-5FDF-4E10-8658-8ABCEC30332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tx>
            <c:strRef>
              <c:f>Zestawienia!$A$86</c:f>
              <c:strCache>
                <c:ptCount val="1"/>
                <c:pt idx="0">
                  <c:v>Absolwenci: podział respondentów wg ukończonych uczelni (ocenianych)</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Zestawienia!$B$87:$B$116</c:f>
              <c:strCache>
                <c:ptCount val="30"/>
                <c:pt idx="0">
                  <c:v>Akademia Ignatianum </c:v>
                </c:pt>
                <c:pt idx="1">
                  <c:v>Akademia Morska w Gdyni</c:v>
                </c:pt>
                <c:pt idx="2">
                  <c:v>Akademia Muzyczna w Gdańsku</c:v>
                </c:pt>
                <c:pt idx="3">
                  <c:v>Akademia Nauk Stosowanych w Elblągu</c:v>
                </c:pt>
                <c:pt idx="4">
                  <c:v>Akademia Sztuk Pięknych w Łodzi</c:v>
                </c:pt>
                <c:pt idx="5">
                  <c:v>Akademia Sztuk Pięknych we Wrocławiu</c:v>
                </c:pt>
                <c:pt idx="6">
                  <c:v>AWF Kraków</c:v>
                </c:pt>
                <c:pt idx="7">
                  <c:v>AWFiS Gdańsk</c:v>
                </c:pt>
                <c:pt idx="8">
                  <c:v>Gdański Uniwersytet Medyczny</c:v>
                </c:pt>
                <c:pt idx="9">
                  <c:v>Politechnika Gdańska</c:v>
                </c:pt>
                <c:pt idx="10">
                  <c:v>Politechnika Krakowska</c:v>
                </c:pt>
                <c:pt idx="11">
                  <c:v>Politechnika Łódzka</c:v>
                </c:pt>
                <c:pt idx="12">
                  <c:v>Politechnika Warszawska</c:v>
                </c:pt>
                <c:pt idx="13">
                  <c:v>SGH</c:v>
                </c:pt>
                <c:pt idx="14">
                  <c:v>SWPS</c:v>
                </c:pt>
                <c:pt idx="15">
                  <c:v>University of Suffolk </c:v>
                </c:pt>
                <c:pt idx="16">
                  <c:v>Uniwersytet Adama Mickiewicza w Poznaniu</c:v>
                </c:pt>
                <c:pt idx="17">
                  <c:v>Uniwersytet Ekonomiczny w Katowicach</c:v>
                </c:pt>
                <c:pt idx="18">
                  <c:v>Uniwersytet Ekonomiczny w Poznaniu</c:v>
                </c:pt>
                <c:pt idx="19">
                  <c:v>Uniwersytet Gdański</c:v>
                </c:pt>
                <c:pt idx="20">
                  <c:v>Uniwersytet Jagielloński</c:v>
                </c:pt>
                <c:pt idx="21">
                  <c:v>Uniwersytet Kardynała Stefana Wyszyńskiego w Warszawie</c:v>
                </c:pt>
                <c:pt idx="22">
                  <c:v>Uniwersytet Łódzki</c:v>
                </c:pt>
                <c:pt idx="23">
                  <c:v>Uniwersytet Medyczny w Poznaniu</c:v>
                </c:pt>
                <c:pt idx="24">
                  <c:v>Uniwersytet Mikołaja Kopernika w Toruniu</c:v>
                </c:pt>
                <c:pt idx="25">
                  <c:v>Uniwersytet Szczeciński</c:v>
                </c:pt>
                <c:pt idx="26">
                  <c:v>Uniwersytet Śląski</c:v>
                </c:pt>
                <c:pt idx="27">
                  <c:v>Uniwersytet Warmińsko-Mazurski</c:v>
                </c:pt>
                <c:pt idx="28">
                  <c:v>Uniwersytet Warszawski</c:v>
                </c:pt>
                <c:pt idx="29">
                  <c:v>WSB</c:v>
                </c:pt>
              </c:strCache>
            </c:strRef>
          </c:cat>
          <c:val>
            <c:numRef>
              <c:f>Zestawienia!$A$87:$A$116</c:f>
              <c:numCache>
                <c:formatCode>General</c:formatCode>
                <c:ptCount val="30"/>
                <c:pt idx="0">
                  <c:v>1</c:v>
                </c:pt>
                <c:pt idx="1">
                  <c:v>2</c:v>
                </c:pt>
                <c:pt idx="2">
                  <c:v>3</c:v>
                </c:pt>
                <c:pt idx="3">
                  <c:v>1</c:v>
                </c:pt>
                <c:pt idx="4">
                  <c:v>1</c:v>
                </c:pt>
                <c:pt idx="5">
                  <c:v>1</c:v>
                </c:pt>
                <c:pt idx="6">
                  <c:v>1</c:v>
                </c:pt>
                <c:pt idx="7">
                  <c:v>2</c:v>
                </c:pt>
                <c:pt idx="8">
                  <c:v>2</c:v>
                </c:pt>
                <c:pt idx="9">
                  <c:v>45</c:v>
                </c:pt>
                <c:pt idx="10">
                  <c:v>1</c:v>
                </c:pt>
                <c:pt idx="11">
                  <c:v>2</c:v>
                </c:pt>
                <c:pt idx="12">
                  <c:v>2</c:v>
                </c:pt>
                <c:pt idx="13">
                  <c:v>1</c:v>
                </c:pt>
                <c:pt idx="14">
                  <c:v>2</c:v>
                </c:pt>
                <c:pt idx="15">
                  <c:v>1</c:v>
                </c:pt>
                <c:pt idx="16">
                  <c:v>1</c:v>
                </c:pt>
                <c:pt idx="17">
                  <c:v>1</c:v>
                </c:pt>
                <c:pt idx="18">
                  <c:v>1</c:v>
                </c:pt>
                <c:pt idx="19">
                  <c:v>28</c:v>
                </c:pt>
                <c:pt idx="20">
                  <c:v>8</c:v>
                </c:pt>
                <c:pt idx="21">
                  <c:v>1</c:v>
                </c:pt>
                <c:pt idx="22">
                  <c:v>2</c:v>
                </c:pt>
                <c:pt idx="23">
                  <c:v>1</c:v>
                </c:pt>
                <c:pt idx="24">
                  <c:v>1</c:v>
                </c:pt>
                <c:pt idx="25">
                  <c:v>1</c:v>
                </c:pt>
                <c:pt idx="26">
                  <c:v>1</c:v>
                </c:pt>
                <c:pt idx="27">
                  <c:v>1</c:v>
                </c:pt>
                <c:pt idx="28">
                  <c:v>2</c:v>
                </c:pt>
                <c:pt idx="29">
                  <c:v>3</c:v>
                </c:pt>
              </c:numCache>
            </c:numRef>
          </c:val>
          <c:extLst>
            <c:ext xmlns:c16="http://schemas.microsoft.com/office/drawing/2014/chart" uri="{C3380CC4-5D6E-409C-BE32-E72D297353CC}">
              <c16:uniqueId val="{00000000-C618-49DF-82ED-7FFE009CD2C4}"/>
            </c:ext>
          </c:extLst>
        </c:ser>
        <c:dLbls>
          <c:showLegendKey val="0"/>
          <c:showVal val="0"/>
          <c:showCatName val="0"/>
          <c:showSerName val="0"/>
          <c:showPercent val="0"/>
          <c:showBubbleSize val="0"/>
        </c:dLbls>
        <c:gapWidth val="150"/>
        <c:axId val="556588560"/>
        <c:axId val="556590200"/>
      </c:barChart>
      <c:catAx>
        <c:axId val="556588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56590200"/>
        <c:crosses val="autoZero"/>
        <c:auto val="1"/>
        <c:lblAlgn val="ctr"/>
        <c:lblOffset val="100"/>
        <c:noMultiLvlLbl val="0"/>
      </c:catAx>
      <c:valAx>
        <c:axId val="556590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crossAx val="55658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66518</TotalTime>
  <Pages>144</Pages>
  <Words>68142</Words>
  <Characters>408854</Characters>
  <Application>Microsoft Office Word</Application>
  <DocSecurity>0</DocSecurity>
  <Lines>3407</Lines>
  <Paragraphs>952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Paweł Szefler</cp:lastModifiedBy>
  <cp:revision>1086</cp:revision>
  <cp:lastPrinted>2024-01-13T12:42:00Z</cp:lastPrinted>
  <dcterms:created xsi:type="dcterms:W3CDTF">2021-05-09T13:07:00Z</dcterms:created>
  <dcterms:modified xsi:type="dcterms:W3CDTF">2024-04-12T19:47:00Z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ies>
</file>