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color w:val="000000"/>
        </w:rPr>
      </w:pPr>
      <w:r w:rsidDel="00000000" w:rsidR="00000000" w:rsidRPr="00000000">
        <w:rPr>
          <w:rtl w:val="0"/>
        </w:rPr>
        <w:t xml:space="preserve">Plan de Trabajo de Investigación</w:t>
      </w:r>
      <w:r w:rsidDel="00000000" w:rsidR="00000000" w:rsidRPr="00000000">
        <w:rPr>
          <w:rtl w:val="0"/>
        </w:rPr>
      </w:r>
    </w:p>
    <w:p w:rsidR="00000000" w:rsidDel="00000000" w:rsidP="00000000" w:rsidRDefault="00000000" w:rsidRPr="00000000" w14:paraId="00000002">
      <w:pPr>
        <w:pStyle w:val="Heading1"/>
        <w:numPr>
          <w:ilvl w:val="0"/>
          <w:numId w:val="1"/>
        </w:numPr>
        <w:ind w:left="432" w:hanging="432"/>
        <w:rPr/>
      </w:pPr>
      <w:r w:rsidDel="00000000" w:rsidR="00000000" w:rsidRPr="00000000">
        <w:rPr>
          <w:rtl w:val="0"/>
        </w:rPr>
        <w:t xml:space="preserve">Tema:</w:t>
      </w:r>
    </w:p>
    <w:p w:rsidR="00000000" w:rsidDel="00000000" w:rsidP="00000000" w:rsidRDefault="00000000" w:rsidRPr="00000000" w14:paraId="00000003">
      <w:pPr>
        <w:rPr/>
      </w:pPr>
      <w:r w:rsidDel="00000000" w:rsidR="00000000" w:rsidRPr="00000000">
        <w:rPr>
          <w:b w:val="0"/>
          <w:bCs w:val="0"/>
          <w:i w:val="0"/>
          <w:iCs w:val="0"/>
          <w:rtl w:val="0"/>
        </w:rPr>
        <w:t xml:space="preserve">Gestión del tiempo y hábitos de estudio en estudiantes universitarios</w:t>
      </w:r>
      <w:r w:rsidDel="00000000" w:rsidR="00000000" w:rsidRPr="00000000">
        <w:rPr>
          <w:rtl w:val="0"/>
        </w:rPr>
      </w:r>
    </w:p>
    <w:p w:rsidR="00000000" w:rsidDel="00000000" w:rsidP="00000000" w:rsidRDefault="00000000" w:rsidRPr="00000000" w14:paraId="00000004">
      <w:pPr>
        <w:pStyle w:val="Heading1"/>
        <w:numPr>
          <w:ilvl w:val="0"/>
          <w:numId w:val="1"/>
        </w:numPr>
        <w:ind w:left="432" w:hanging="432"/>
        <w:rPr/>
      </w:pPr>
      <w:r w:rsidDel="00000000" w:rsidR="00000000" w:rsidRPr="00000000">
        <w:rPr>
          <w:rtl w:val="0"/>
        </w:rPr>
        <w:t xml:space="preserve">Título Propuesto:</w:t>
      </w:r>
    </w:p>
    <w:p w:rsidR="00000000" w:rsidDel="00000000" w:rsidP="00000000" w:rsidRDefault="00000000" w:rsidRPr="00000000" w14:paraId="00000005">
      <w:pPr>
        <w:rPr/>
      </w:pPr>
      <w:r w:rsidDel="00000000" w:rsidR="00000000" w:rsidRPr="00000000">
        <w:rPr>
          <w:b w:val="0"/>
          <w:bCs w:val="0"/>
          <w:i w:val="0"/>
          <w:iCs w:val="0"/>
          <w:rtl w:val="0"/>
        </w:rPr>
        <w:t xml:space="preserve">Modelo basado en Machine Learning para la predicción del riesgo de abandono de hábitos de estudio en estudiantes universitarios de Lima</w:t>
      </w:r>
      <w:r w:rsidDel="00000000" w:rsidR="00000000" w:rsidRPr="00000000">
        <w:rPr>
          <w:rtl w:val="0"/>
        </w:rPr>
      </w:r>
    </w:p>
    <w:p w:rsidR="00000000" w:rsidDel="00000000" w:rsidP="00000000" w:rsidRDefault="00000000" w:rsidRPr="00000000" w14:paraId="00000006">
      <w:pPr>
        <w:pStyle w:val="Heading1"/>
        <w:numPr>
          <w:ilvl w:val="0"/>
          <w:numId w:val="1"/>
        </w:numPr>
        <w:ind w:left="432" w:hanging="432"/>
        <w:rPr/>
      </w:pPr>
      <w:r w:rsidDel="00000000" w:rsidR="00000000" w:rsidRPr="00000000">
        <w:rPr>
          <w:rtl w:val="0"/>
        </w:rPr>
        <w:t xml:space="preserve">SUSTENTO</w:t>
      </w:r>
    </w:p>
    <w:p w:rsidR="00000000" w:rsidDel="00000000" w:rsidP="00000000" w:rsidRDefault="00000000" w:rsidRPr="00000000" w14:paraId="00000007">
      <w:pPr>
        <w:rPr/>
      </w:pPr>
      <w:r w:rsidDel="00000000" w:rsidR="00000000" w:rsidRPr="00000000">
        <w:rPr>
          <w:b w:val="0"/>
          <w:bCs w:val="0"/>
          <w:i w:val="0"/>
          <w:iCs w:val="0"/>
          <w:rtl w:val="0"/>
        </w:rPr>
        <w:t xml:space="preserve">La deserción universitaria continúa siendo un problema relevante en la educación superior peruana. El Centro Nacional de Planeamiento Estratégico (CEPLAN, 2025)</w:t>
      </w:r>
      <w:r w:rsidDel="00000000" w:rsidR="00000000" w:rsidRPr="00000000">
        <w:rPr>
          <w:rtl w:val="0"/>
        </w:rPr>
        <w:t xml:space="preserve"> mencionó</w:t>
      </w:r>
      <w:r w:rsidDel="00000000" w:rsidR="00000000" w:rsidRPr="00000000">
        <w:rPr>
          <w:b w:val="0"/>
          <w:bCs w:val="0"/>
          <w:i w:val="0"/>
          <w:iCs w:val="0"/>
          <w:rtl w:val="0"/>
        </w:rPr>
        <w:t xml:space="preserve"> en su Informe anual de políticas nacionales correspondiente al año 2024, reportó que el porcentaje de estudiantes que desertan de la educación superior universitaria aumentó de 13,89 % en 2023 a 16,2 % en 2024. Este dato evidencia que la permanencia universitaria sigue representando un desafío vigente. No obstante, esta estadística no atribuye la deserción a los hábitos de estudio; se incorpora como contexto general para mostrar la relevancia de identificar señales académicas tempranas antes de que se produzcan consecuencias más severas en la trayectoria del estudiante.</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En ese contexto, la presente investigación no busca predecir la deserción universitaria, sino un fenómeno previo y específico: el debilitamiento y la posible interrupción de las rutinas de estudio. En este trabajo, el “riesgo de abandono de hábitos de estudio” se entenderá como la disminución sostenida de la regularidad con la que el estudiante ejecuta conductas planificadas de estudio. Esta distinción permite analizar cambios en el comportamiento académico antes de que puedan traducirse en dificultades de rendimiento o continuidad de los estudios.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evidencia reciente en Lima muestra que una parte importante de los universitarios presenta hábitos de estudio poco consolidados. Najarro Vargas (2024) mencionó en una tesis de maestría realizada con una muestra de 120 estudiantes de la Escuela de Estudios Generales de la Facultad de Medicina de la Universidad Nacional Mayor de San Marcos, que el 19,2 % presentó un nivel negativo de hábitos de estudio y el 80,8 % un nivel moderado, sin estudiantes ubicados en el nivel positivo</w:t>
      </w:r>
      <w:r w:rsidDel="00000000" w:rsidR="00000000" w:rsidRPr="00000000">
        <w:rPr>
          <w:rtl w:val="0"/>
        </w:rPr>
        <w:t xml:space="preserve">. Además, en la dimensión de resolución de tareas, el 79,2 % se ubicó en un nivel negativo. Estos resultados no miden directamente el abandono de un hábito, pero evidencian dificultades en la consolidación de conductas de estudio y respaldan la pertinencia de realizar un seguimiento preventivo.</w:t>
      </w:r>
    </w:p>
    <w:p w:rsidR="00000000" w:rsidDel="00000000" w:rsidP="00000000" w:rsidRDefault="00000000" w:rsidRPr="00000000" w14:paraId="0000000A">
      <w:pPr>
        <w:rPr/>
      </w:pPr>
      <w:r w:rsidDel="00000000" w:rsidR="00000000" w:rsidRPr="00000000">
        <w:rPr>
          <w:rtl w:val="0"/>
        </w:rPr>
        <w:t xml:space="preserve">Desde la perspectiva de formación y cambio de hábitos, David et al. (2024) menciona que identificaron que la modificación y consolidación de las rutinas académicas de los universitarios puede verse afectada por cambios en la motivación y por las mayores exigencias de autorregulación propias de esta etapa. De manera complementaria, Krause et al. (2025) menciona que analizaron el uso de estrategias de aprendizaje desde la perspectiva de los hábitos y señalaron que la repetición en contextos estables y las señales del entorno pueden favorecer la persistencia automática de determinadas conductas de estudio. En conjunto, estos hallazgos muestran que conocer estrategias eficaces no garantiza que estas se mantengan de forma sostenida en el comportamiento cotidiano del estudiante.</w:t>
      </w:r>
    </w:p>
    <w:p w:rsidR="00000000" w:rsidDel="00000000" w:rsidP="00000000" w:rsidRDefault="00000000" w:rsidRPr="00000000" w14:paraId="0000000B">
      <w:pPr>
        <w:rPr/>
      </w:pPr>
      <w:r w:rsidDel="00000000" w:rsidR="00000000" w:rsidRPr="00000000">
        <w:rPr>
          <w:b w:val="0"/>
          <w:bCs w:val="0"/>
          <w:i w:val="0"/>
          <w:iCs w:val="0"/>
          <w:rtl w:val="0"/>
        </w:rPr>
        <w:t xml:space="preserve">La viabilidad de emplear Machine Learning en este contexto también está respaldada por estudios recientes. Lu et al. (2024) menciona que emplearon modelos como Random Forest, SVC y XGBoost para analizar el rendimiento académico universitario e identificaron variables vinculadas con la gestión del tiempo, el entorno, la motivación y la participación en el aprendizaje. De forma complementaria, Reina Marín et al. (2025) desarrollaron modelos de Machine Learning con datos de 386 estudiantes universitarios y evaluaron nueve algoritmos utilizando variables académicas, socioeconómicas, de bienestar y de gestión del tiempo, demostrando la utilidad de estas técnicas para modelar relaciones educativas complejas.</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i w:val="0"/>
          <w:iCs w:val="0"/>
          <w:rtl w:val="0"/>
        </w:rPr>
        <w:t xml:space="preserve">En consecuencia, existe evidencia local de hábitos de estudio bajos o con tendencia negativa y evidencia científica de que la regularidad, la motivación, la gestión del tiempo y el entorno influyen en la conducta académica. Sin embargo, los estudios revisados se orientan principalmente a describir los hábitos o a predecir el rendimiento académico, y no a anticipar de manera temprana el riesgo de que un estudiante deje de sostener una rutina de estudio. Por ello, se propone recolectar datos longitudinales mediante registros periódicos durante las primeras semanas y desarrollar un modelo capaz de identificar señales tempranas de riesgo en estudiantes universitarios de Lima. La propuesta se vincula con el Objetivo de Desarrollo Sostenible 4, </w:t>
      </w:r>
      <w:r w:rsidDel="00000000" w:rsidR="00000000" w:rsidRPr="00000000">
        <w:rPr>
          <w:rtl w:val="0"/>
        </w:rPr>
        <w:t xml:space="preserve">ed</w:t>
      </w:r>
      <w:r w:rsidDel="00000000" w:rsidR="00000000" w:rsidRPr="00000000">
        <w:rPr>
          <w:b w:val="0"/>
          <w:bCs w:val="0"/>
          <w:i w:val="0"/>
          <w:iCs w:val="0"/>
          <w:rtl w:val="0"/>
        </w:rPr>
        <w:t xml:space="preserve">ucación de </w:t>
      </w:r>
      <w:r w:rsidDel="00000000" w:rsidR="00000000" w:rsidRPr="00000000">
        <w:rPr>
          <w:rtl w:val="0"/>
        </w:rPr>
        <w:t xml:space="preserve">c</w:t>
      </w:r>
      <w:r w:rsidDel="00000000" w:rsidR="00000000" w:rsidRPr="00000000">
        <w:rPr>
          <w:b w:val="0"/>
          <w:bCs w:val="0"/>
          <w:i w:val="0"/>
          <w:iCs w:val="0"/>
          <w:rtl w:val="0"/>
        </w:rPr>
        <w:t xml:space="preserve">alidad, al buscar apoyar la continuidad de conductas de aprendizaje que favorezcan el desempeño y la permanencia académica.</w:t>
      </w:r>
      <w:r w:rsidDel="00000000" w:rsidR="00000000" w:rsidRPr="00000000">
        <w:rPr>
          <w:rtl w:val="0"/>
        </w:rPr>
      </w:r>
    </w:p>
    <w:p w:rsidR="00000000" w:rsidDel="00000000" w:rsidP="00000000" w:rsidRDefault="00000000" w:rsidRPr="00000000" w14:paraId="0000000D">
      <w:pPr>
        <w:pStyle w:val="Heading1"/>
        <w:numPr>
          <w:ilvl w:val="0"/>
          <w:numId w:val="1"/>
        </w:numPr>
        <w:ind w:left="432" w:hanging="432"/>
        <w:rPr/>
      </w:pPr>
      <w:r w:rsidDel="00000000" w:rsidR="00000000" w:rsidRPr="00000000">
        <w:rPr>
          <w:rtl w:val="0"/>
        </w:rPr>
        <w:t xml:space="preserve">OBJETIVO GENERAL</w:t>
      </w:r>
    </w:p>
    <w:p w:rsidR="00000000" w:rsidDel="00000000" w:rsidP="00000000" w:rsidRDefault="00000000" w:rsidRPr="00000000" w14:paraId="0000000E">
      <w:pPr>
        <w:rPr/>
      </w:pPr>
      <w:r w:rsidDel="00000000" w:rsidR="00000000" w:rsidRPr="00000000">
        <w:rPr>
          <w:b w:val="0"/>
          <w:bCs w:val="0"/>
          <w:i w:val="0"/>
          <w:iCs w:val="0"/>
          <w:rtl w:val="0"/>
        </w:rPr>
        <w:t xml:space="preserve">Desarrollar un modelo basado en Machine Learning para predecir el riesgo de abandono de hábitos de estudio en estudiantes universitarios de Lima, a partir de datos de comportamiento de las primeras semanas de seguimiento.</w:t>
      </w:r>
      <w:r w:rsidDel="00000000" w:rsidR="00000000" w:rsidRPr="00000000">
        <w:rPr>
          <w:rtl w:val="0"/>
        </w:rPr>
      </w:r>
    </w:p>
    <w:p w:rsidR="00000000" w:rsidDel="00000000" w:rsidP="00000000" w:rsidRDefault="00000000" w:rsidRPr="00000000" w14:paraId="0000000F">
      <w:pPr>
        <w:pStyle w:val="Heading1"/>
        <w:numPr>
          <w:ilvl w:val="0"/>
          <w:numId w:val="1"/>
        </w:numPr>
        <w:ind w:left="432" w:hanging="432"/>
        <w:rPr/>
      </w:pPr>
      <w:r w:rsidDel="00000000" w:rsidR="00000000" w:rsidRPr="00000000">
        <w:rPr>
          <w:rtl w:val="0"/>
        </w:rPr>
        <w:t xml:space="preserve">OBJETIVOS ESPECÍFICOS</w:t>
      </w:r>
    </w:p>
    <w:p w:rsidR="00000000" w:rsidDel="00000000" w:rsidP="00000000" w:rsidRDefault="00000000" w:rsidRPr="00000000" w14:paraId="00000010">
      <w:pPr>
        <w:rPr/>
      </w:pPr>
      <w:r w:rsidDel="00000000" w:rsidR="00000000" w:rsidRPr="00000000">
        <w:rPr>
          <w:b w:val="1"/>
          <w:bCs w:val="1"/>
          <w:rtl w:val="0"/>
        </w:rPr>
        <w:t xml:space="preserve">1. </w:t>
      </w:r>
      <w:r w:rsidDel="00000000" w:rsidR="00000000" w:rsidRPr="00000000">
        <w:rPr>
          <w:rtl w:val="0"/>
        </w:rPr>
        <w:t xml:space="preserve">Analizar los factores asociados al abandono de hábitos de estudio y los algoritmos de Machine Learning idóneos para su predicción en estudiantes universitarios, mediante la revisión de la literatura y un análisis comparativo.</w:t>
      </w:r>
    </w:p>
    <w:p w:rsidR="00000000" w:rsidDel="00000000" w:rsidP="00000000" w:rsidRDefault="00000000" w:rsidRPr="00000000" w14:paraId="00000011">
      <w:pPr>
        <w:rPr/>
      </w:pPr>
      <w:r w:rsidDel="00000000" w:rsidR="00000000" w:rsidRPr="00000000">
        <w:rPr>
          <w:b w:val="1"/>
          <w:bCs w:val="1"/>
          <w:rtl w:val="0"/>
        </w:rPr>
        <w:t xml:space="preserve">2. </w:t>
      </w:r>
      <w:r w:rsidDel="00000000" w:rsidR="00000000" w:rsidRPr="00000000">
        <w:rPr>
          <w:rtl w:val="0"/>
        </w:rPr>
        <w:t xml:space="preserve">Diseñar e implementar la arquitectura tecnológica y el modelo de Machine Learning que integre la recolección periódica de datos de comportamiento de los estudiantes y permita estimar el riesgo de abandono de sus hábitos de estudio.</w:t>
      </w:r>
    </w:p>
    <w:p w:rsidR="00000000" w:rsidDel="00000000" w:rsidP="00000000" w:rsidRDefault="00000000" w:rsidRPr="00000000" w14:paraId="00000012">
      <w:pPr>
        <w:rPr/>
      </w:pPr>
      <w:r w:rsidDel="00000000" w:rsidR="00000000" w:rsidRPr="00000000">
        <w:rPr>
          <w:b w:val="1"/>
          <w:bCs w:val="1"/>
          <w:rtl w:val="0"/>
        </w:rPr>
        <w:t xml:space="preserve">3. </w:t>
      </w:r>
      <w:r w:rsidDel="00000000" w:rsidR="00000000" w:rsidRPr="00000000">
        <w:rPr>
          <w:rtl w:val="0"/>
        </w:rPr>
        <w:t xml:space="preserve">Validar la capacidad predictiva del modelo de Machine Learning y el funcionamiento de la solución propuesta mediante un escenario de prueba con estudiantes universitarios de Lima, utilizando métricas de desempeño como </w:t>
      </w:r>
      <w:r w:rsidDel="00000000" w:rsidR="00000000" w:rsidRPr="00000000">
        <w:rPr>
          <w:rtl w:val="0"/>
        </w:rPr>
        <w:t xml:space="preserve">precision</w:t>
      </w:r>
      <w:r w:rsidDel="00000000" w:rsidR="00000000" w:rsidRPr="00000000">
        <w:rPr>
          <w:rtl w:val="0"/>
        </w:rPr>
        <w:t xml:space="preserve">, recall, F1-score, ROC-AUC y matriz de confusión.</w:t>
      </w:r>
    </w:p>
    <w:p w:rsidR="00000000" w:rsidDel="00000000" w:rsidP="00000000" w:rsidRDefault="00000000" w:rsidRPr="00000000" w14:paraId="00000013">
      <w:pPr>
        <w:rPr/>
      </w:pPr>
      <w:r w:rsidDel="00000000" w:rsidR="00000000" w:rsidRPr="00000000">
        <w:rPr>
          <w:b w:val="1"/>
          <w:bCs w:val="1"/>
          <w:rtl w:val="0"/>
        </w:rPr>
        <w:t xml:space="preserve">4. </w:t>
      </w:r>
      <w:r w:rsidDel="00000000" w:rsidR="00000000" w:rsidRPr="00000000">
        <w:rPr>
          <w:rtl w:val="0"/>
        </w:rPr>
        <w:t xml:space="preserve">Elaborar un plan de continuidad y escalabilidad que asegure el mantenimiento, actualización y reentrenamiento del modelo de Machine Learning ante la incorporación de nuevos datos de estudiantes.</w:t>
      </w:r>
    </w:p>
    <w:p w:rsidR="00000000" w:rsidDel="00000000" w:rsidP="00000000" w:rsidRDefault="00000000" w:rsidRPr="00000000" w14:paraId="00000014">
      <w:pPr>
        <w:pStyle w:val="Heading1"/>
        <w:numPr>
          <w:ilvl w:val="0"/>
          <w:numId w:val="1"/>
        </w:numPr>
        <w:ind w:left="432" w:hanging="432"/>
        <w:rPr/>
      </w:pPr>
      <w:r w:rsidDel="00000000" w:rsidR="00000000" w:rsidRPr="00000000">
        <w:rPr>
          <w:rtl w:val="0"/>
        </w:rPr>
        <w:t xml:space="preserve">DEFINICIONES</w:t>
      </w:r>
    </w:p>
    <w:p w:rsidR="00000000" w:rsidDel="00000000" w:rsidP="00000000" w:rsidRDefault="00000000" w:rsidRPr="00000000" w14:paraId="00000015">
      <w:pPr>
        <w:rPr/>
      </w:pPr>
      <w:r w:rsidDel="00000000" w:rsidR="00000000" w:rsidRPr="00000000">
        <w:rPr>
          <w:b w:val="0"/>
          <w:bCs w:val="0"/>
          <w:i w:val="0"/>
          <w:iCs w:val="0"/>
          <w:rtl w:val="0"/>
        </w:rPr>
        <w:t xml:space="preserve">Para delimitar conceptualmente el título de la investigación, se establecen cuatro elementos: artefacto, técnica, problema y contexto. Estas definiciones permiten precisar qué se desarrollará, mediante qué enfoque tecnológico, qué fenómeno se busca predecir y en qué población se aplicará la propuesta.</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Artefacto: modelo predictivo</w:t>
      </w:r>
      <w:r w:rsidDel="00000000" w:rsidR="00000000" w:rsidRPr="00000000">
        <w:rPr>
          <w:rtl w:val="0"/>
        </w:rPr>
      </w:r>
    </w:p>
    <w:p w:rsidR="00000000" w:rsidDel="00000000" w:rsidP="00000000" w:rsidRDefault="00000000" w:rsidRPr="00000000" w14:paraId="00000017">
      <w:pPr>
        <w:rPr/>
      </w:pPr>
      <w:r w:rsidDel="00000000" w:rsidR="00000000" w:rsidRPr="00000000">
        <w:rPr>
          <w:b w:val="0"/>
          <w:bCs w:val="0"/>
          <w:i w:val="0"/>
          <w:iCs w:val="0"/>
          <w:rtl w:val="0"/>
        </w:rPr>
        <w:t xml:space="preserve">El artefacto de la investigación corresponde a un modelo predictivo. En Design Science Research, la producción y evaluación de artefactos constituye un componente central de la generación de conocimiento aplicado, por lo que estos deben ser evaluados respecto de su funcionamiento y confiabilidad (Storey et al., 2025). En el ámbito educativo, Reina Marín et al. (2025) desarrollaron un modelo basado en Machine Learning con </w:t>
      </w:r>
      <w:r w:rsidDel="00000000" w:rsidR="00000000" w:rsidRPr="00000000">
        <w:rPr>
          <w:rtl w:val="0"/>
        </w:rPr>
        <w:t xml:space="preserve">una muestra </w:t>
      </w:r>
      <w:r w:rsidDel="00000000" w:rsidR="00000000" w:rsidRPr="00000000">
        <w:rPr>
          <w:b w:val="0"/>
          <w:bCs w:val="0"/>
          <w:i w:val="0"/>
          <w:iCs w:val="0"/>
          <w:rtl w:val="0"/>
        </w:rPr>
        <w:t xml:space="preserve">de 386 estudiantes universitarios y compararon nueve algoritmos para predecir resultados académicos. En consecuencia, para esta investigación el artefacto se define como el modelo computacional entrenado que, a partir de variables de comportamiento y gestión del tiempo, estima el riesgo de abandono de hábitos de estudio.</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Técnica: Machine Learning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esta investigación, Machine Learning (ML) se empleará como una técnica de aprendizaje supervisado orientada a la clasificación de estudiantes según su nivel de riesgo. Este enfoque implica entrenar modelos con observaciones cuya clase es conocida y posteriormente evaluar su desempeño con datos distintos a los utilizados durante el entrenamiento. Para problemas de clasificación, el rendimiento puede analizarse mediante métricas como accuracy, precision, recall y F1-score (Rainio et al., 2024).</w:t>
      </w:r>
    </w:p>
    <w:p w:rsidR="00000000" w:rsidDel="00000000" w:rsidP="00000000" w:rsidRDefault="00000000" w:rsidRPr="00000000" w14:paraId="0000001A">
      <w:pPr>
        <w:rPr/>
      </w:pPr>
      <w:r w:rsidDel="00000000" w:rsidR="00000000" w:rsidRPr="00000000">
        <w:rPr>
          <w:rtl w:val="0"/>
        </w:rPr>
        <w:t xml:space="preserve">En el ámbito educativo, esta técnica ha sido aplicada para identificar patrones y factores asociados al desempeño de estudiantes universitarios. </w:t>
      </w:r>
      <w:r w:rsidDel="00000000" w:rsidR="00000000" w:rsidRPr="00000000">
        <w:rPr>
          <w:rtl w:val="0"/>
        </w:rPr>
        <w:t xml:space="preserve">Lu et al. (2024)</w:t>
      </w:r>
      <w:r w:rsidDel="00000000" w:rsidR="00000000" w:rsidRPr="00000000">
        <w:rPr>
          <w:rtl w:val="0"/>
        </w:rPr>
        <w:t xml:space="preserve"> menciona que emplearon algoritmos como Random Forest y XGBoost para analizar variables relacionadas con el rendimiento académico, entre ellas la gestión del tiempo, la motivación, el entorno y la participación en el aprendizaje. Esta evidencia respalda la utilización de Machine Learning para modelar relaciones entre variables de comportamiento estudiantil y un resultado de interés.</w:t>
      </w:r>
    </w:p>
    <w:p w:rsidR="00000000" w:rsidDel="00000000" w:rsidP="00000000" w:rsidRDefault="00000000" w:rsidRPr="00000000" w14:paraId="0000001B">
      <w:pPr>
        <w:rPr/>
      </w:pPr>
      <w:r w:rsidDel="00000000" w:rsidR="00000000" w:rsidRPr="00000000">
        <w:rPr>
          <w:b w:val="1"/>
          <w:bCs w:val="1"/>
          <w:rtl w:val="0"/>
        </w:rPr>
        <w:t xml:space="preserve">Problema: riesgo de abandono de hábitos de estudio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problema abordado corresponde al riesgo de que un estudiante deje de mantener de manera regular las conductas asociadas a su rutina de estudio. David et al. (2024) evidencio que la modificación y consolidación de hábitos académicos puede verse afectada por factores como la motivación y las exigencias de autorregulación propias de la etapa universitaria. Asimismo, Krause et al. (2025) analizan las estrategias de aprendizaje desde la perspectiva de los hábitos y muestran que la repetición y las señales del entorno pueden favorecer la persistencia automática de determinadas conductas de estudio. En esta investigación, el riesgo de abandono se definirá operativamente como una disminución sostenida de la regularidad con la que el estudiante ejecuta conductas planificadas de estudio, identificada mediante registros longitudinales periódicos.</w:t>
      </w:r>
    </w:p>
    <w:p w:rsidR="00000000" w:rsidDel="00000000" w:rsidP="00000000" w:rsidRDefault="00000000" w:rsidRPr="00000000" w14:paraId="0000001D">
      <w:pPr>
        <w:rPr/>
      </w:pPr>
      <w:r w:rsidDel="00000000" w:rsidR="00000000" w:rsidRPr="00000000">
        <w:rPr>
          <w:b w:val="1"/>
          <w:bCs w:val="1"/>
          <w:rtl w:val="0"/>
        </w:rPr>
        <w:t xml:space="preserve">Contexto: estudiantes universitarios de Lima</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 contexto de aplicación está conformado por estudiantes universitarios que cursan estudios en Lima. Najarro Vargas (2024) sustento que utilizó una muestra de 120 estudiantes de la Universidad Nacional Mayor de San Marcos y encontró que el 19,2 % presentaba un nivel negativo de hábitos de estudio y el 80,8 % un nivel moderado; además, el 79,2 % mostró un nivel negativo en la dimensión de resolución de tareas. Estos resultados evidencian la pertinencia de estudiar la regularidad de los hábitos de estudio en el contexto universitario limeño y de evaluar un modelo orientado a identificar tempranamente señales de riesgo.</w:t>
      </w:r>
    </w:p>
    <w:p w:rsidR="00000000" w:rsidDel="00000000" w:rsidP="00000000" w:rsidRDefault="00000000" w:rsidRPr="00000000" w14:paraId="0000001F">
      <w:pPr>
        <w:pStyle w:val="Heading1"/>
        <w:numPr>
          <w:ilvl w:val="0"/>
          <w:numId w:val="1"/>
        </w:numPr>
        <w:ind w:left="432" w:hanging="432"/>
        <w:rPr/>
      </w:pPr>
      <w:r w:rsidDel="00000000" w:rsidR="00000000" w:rsidRPr="00000000">
        <w:rPr>
          <w:rtl w:val="0"/>
        </w:rPr>
        <w:t xml:space="preserve">REFERENCIAS</w:t>
      </w:r>
    </w:p>
    <w:p w:rsidR="00000000" w:rsidDel="00000000" w:rsidP="00000000" w:rsidRDefault="00000000" w:rsidRPr="00000000" w14:paraId="00000020">
      <w:pPr>
        <w:rPr/>
      </w:pPr>
      <w:r w:rsidDel="00000000" w:rsidR="00000000" w:rsidRPr="00000000">
        <w:rPr>
          <w:b w:val="0"/>
          <w:bCs w:val="0"/>
          <w:i w:val="0"/>
          <w:iCs w:val="0"/>
          <w:rtl w:val="0"/>
        </w:rPr>
        <w:t xml:space="preserve">Lista de fuentes utilizadas en la redacción del presente documento. Utilizar la norma APA para las citas y referencias bibliográficas.</w:t>
      </w:r>
      <w:r w:rsidDel="00000000" w:rsidR="00000000" w:rsidRPr="00000000">
        <w:rPr>
          <w:rtl w:val="0"/>
        </w:rPr>
      </w:r>
    </w:p>
    <w:p w:rsidR="00000000" w:rsidDel="00000000" w:rsidP="00000000" w:rsidRDefault="00000000" w:rsidRPr="00000000" w14:paraId="00000021">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Centro Nacional de Planeamiento Estratégico. (2025). </w:t>
      </w:r>
      <w:r w:rsidDel="00000000" w:rsidR="00000000" w:rsidRPr="00000000">
        <w:rPr>
          <w:rFonts w:ascii="Calibri" w:cs="Calibri" w:eastAsia="Calibri" w:hAnsi="Calibri"/>
          <w:i w:val="1"/>
          <w:iCs w:val="1"/>
          <w:sz w:val="22"/>
          <w:szCs w:val="22"/>
          <w:rtl w:val="0"/>
        </w:rPr>
        <w:t xml:space="preserve">Informe anual de políticas nacionales correspondiente al año 2024</w:t>
      </w:r>
      <w:r w:rsidDel="00000000" w:rsidR="00000000" w:rsidRPr="00000000">
        <w:rPr>
          <w:rFonts w:ascii="Calibri" w:cs="Calibri" w:eastAsia="Calibri" w:hAnsi="Calibri"/>
          <w:i w:val="0"/>
          <w:iCs w:val="0"/>
          <w:sz w:val="22"/>
          <w:szCs w:val="22"/>
          <w:rtl w:val="0"/>
        </w:rPr>
        <w:t xml:space="preserve">. </w:t>
      </w:r>
      <w:hyperlink r:id="rId7">
        <w:r w:rsidDel="00000000" w:rsidR="00000000" w:rsidRPr="00000000">
          <w:rPr>
            <w:rFonts w:ascii="Calibri" w:cs="Calibri" w:eastAsia="Calibri" w:hAnsi="Calibri"/>
            <w:i w:val="0"/>
            <w:iCs w:val="0"/>
            <w:color w:val="1155cc"/>
            <w:sz w:val="22"/>
            <w:szCs w:val="22"/>
            <w:u w:val="single"/>
            <w:rtl w:val="0"/>
          </w:rPr>
          <w:t xml:space="preserve">https://www.mef.gob.pe/contenidos/transparencia/doc_gestion/Informe_anual_politicas_nacionales_2024.pdf</w:t>
        </w:r>
      </w:hyperlink>
      <w:r w:rsidDel="00000000" w:rsidR="00000000" w:rsidRPr="00000000">
        <w:rPr>
          <w:rtl w:val="0"/>
        </w:rPr>
      </w:r>
    </w:p>
    <w:p w:rsidR="00000000" w:rsidDel="00000000" w:rsidP="00000000" w:rsidRDefault="00000000" w:rsidRPr="00000000" w14:paraId="00000022">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David, L., Biwer, F., Crutzen, R., &amp; de Bruin, A. (2024). The challenge of change: Understanding the role of habits in university students’ self-regulated learning. </w:t>
      </w:r>
      <w:r w:rsidDel="00000000" w:rsidR="00000000" w:rsidRPr="00000000">
        <w:rPr>
          <w:rFonts w:ascii="Calibri" w:cs="Calibri" w:eastAsia="Calibri" w:hAnsi="Calibri"/>
          <w:i w:val="1"/>
          <w:iCs w:val="1"/>
          <w:sz w:val="22"/>
          <w:szCs w:val="22"/>
          <w:rtl w:val="0"/>
        </w:rPr>
        <w:t xml:space="preserve">Higher Education, 88</w:t>
      </w:r>
      <w:r w:rsidDel="00000000" w:rsidR="00000000" w:rsidRPr="00000000">
        <w:rPr>
          <w:rFonts w:ascii="Calibri" w:cs="Calibri" w:eastAsia="Calibri" w:hAnsi="Calibri"/>
          <w:i w:val="0"/>
          <w:iCs w:val="0"/>
          <w:sz w:val="22"/>
          <w:szCs w:val="22"/>
          <w:rtl w:val="0"/>
        </w:rPr>
        <w:t xml:space="preserve">, 2037–2055. </w:t>
      </w:r>
      <w:hyperlink r:id="rId8">
        <w:r w:rsidDel="00000000" w:rsidR="00000000" w:rsidRPr="00000000">
          <w:rPr>
            <w:rFonts w:ascii="Calibri" w:cs="Calibri" w:eastAsia="Calibri" w:hAnsi="Calibri"/>
            <w:i w:val="0"/>
            <w:iCs w:val="0"/>
            <w:color w:val="1155cc"/>
            <w:sz w:val="22"/>
            <w:szCs w:val="22"/>
            <w:u w:val="single"/>
            <w:rtl w:val="0"/>
          </w:rPr>
          <w:t xml:space="preserve">https://doi.org/10.1007/s10734-024-01199-w</w:t>
        </w:r>
      </w:hyperlink>
      <w:r w:rsidDel="00000000" w:rsidR="00000000" w:rsidRPr="00000000">
        <w:rPr>
          <w:rtl w:val="0"/>
        </w:rPr>
      </w:r>
    </w:p>
    <w:p w:rsidR="00000000" w:rsidDel="00000000" w:rsidP="00000000" w:rsidRDefault="00000000" w:rsidRPr="00000000" w14:paraId="00000023">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Krause, A.-K., Breitwieser, J., &amp; Brod, G. (2025). Understanding learning strategy use through the lens of habit. </w:t>
      </w:r>
      <w:r w:rsidDel="00000000" w:rsidR="00000000" w:rsidRPr="00000000">
        <w:rPr>
          <w:rFonts w:ascii="Calibri" w:cs="Calibri" w:eastAsia="Calibri" w:hAnsi="Calibri"/>
          <w:i w:val="1"/>
          <w:iCs w:val="1"/>
          <w:sz w:val="22"/>
          <w:szCs w:val="22"/>
          <w:rtl w:val="0"/>
        </w:rPr>
        <w:t xml:space="preserve">Educational Psychology Review, 37</w:t>
      </w:r>
      <w:r w:rsidDel="00000000" w:rsidR="00000000" w:rsidRPr="00000000">
        <w:rPr>
          <w:rFonts w:ascii="Calibri" w:cs="Calibri" w:eastAsia="Calibri" w:hAnsi="Calibri"/>
          <w:i w:val="0"/>
          <w:iCs w:val="0"/>
          <w:sz w:val="22"/>
          <w:szCs w:val="22"/>
          <w:rtl w:val="0"/>
        </w:rPr>
        <w:t xml:space="preserve">, Article 109. </w:t>
      </w:r>
      <w:hyperlink r:id="rId9">
        <w:r w:rsidDel="00000000" w:rsidR="00000000" w:rsidRPr="00000000">
          <w:rPr>
            <w:rFonts w:ascii="Calibri" w:cs="Calibri" w:eastAsia="Calibri" w:hAnsi="Calibri"/>
            <w:i w:val="0"/>
            <w:iCs w:val="0"/>
            <w:color w:val="1155cc"/>
            <w:sz w:val="22"/>
            <w:szCs w:val="22"/>
            <w:u w:val="single"/>
            <w:rtl w:val="0"/>
          </w:rPr>
          <w:t xml:space="preserve">https://doi.org/10.1007/s10648-025-10087-3</w:t>
        </w:r>
      </w:hyperlink>
      <w:r w:rsidDel="00000000" w:rsidR="00000000" w:rsidRPr="00000000">
        <w:rPr>
          <w:rtl w:val="0"/>
        </w:rPr>
      </w:r>
    </w:p>
    <w:p w:rsidR="00000000" w:rsidDel="00000000" w:rsidP="00000000" w:rsidRDefault="00000000" w:rsidRPr="00000000" w14:paraId="00000024">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Lu, J., Liu, Y., Liu, S., Yan, Z., Zhao, X., Zhang, Y., Yang, C., Zhang, H., Su, W., &amp; Zhao, P. (2024). Machine learning analysis of factors affecting college students’ academic performance. </w:t>
      </w:r>
      <w:r w:rsidDel="00000000" w:rsidR="00000000" w:rsidRPr="00000000">
        <w:rPr>
          <w:rFonts w:ascii="Calibri" w:cs="Calibri" w:eastAsia="Calibri" w:hAnsi="Calibri"/>
          <w:i w:val="1"/>
          <w:iCs w:val="1"/>
          <w:sz w:val="22"/>
          <w:szCs w:val="22"/>
          <w:rtl w:val="0"/>
        </w:rPr>
        <w:t xml:space="preserve">Frontiers in Psychology, 15</w:t>
      </w:r>
      <w:r w:rsidDel="00000000" w:rsidR="00000000" w:rsidRPr="00000000">
        <w:rPr>
          <w:rFonts w:ascii="Calibri" w:cs="Calibri" w:eastAsia="Calibri" w:hAnsi="Calibri"/>
          <w:i w:val="0"/>
          <w:iCs w:val="0"/>
          <w:sz w:val="22"/>
          <w:szCs w:val="22"/>
          <w:rtl w:val="0"/>
        </w:rPr>
        <w:t xml:space="preserve">, Article 1447825. </w:t>
      </w:r>
      <w:hyperlink r:id="rId10">
        <w:r w:rsidDel="00000000" w:rsidR="00000000" w:rsidRPr="00000000">
          <w:rPr>
            <w:rFonts w:ascii="Calibri" w:cs="Calibri" w:eastAsia="Calibri" w:hAnsi="Calibri"/>
            <w:i w:val="0"/>
            <w:iCs w:val="0"/>
            <w:color w:val="1155cc"/>
            <w:sz w:val="22"/>
            <w:szCs w:val="22"/>
            <w:u w:val="single"/>
            <w:rtl w:val="0"/>
          </w:rPr>
          <w:t xml:space="preserve">https://doi.org/10.3389/fpsyg.2024.1447825</w:t>
        </w:r>
      </w:hyperlink>
      <w:r w:rsidDel="00000000" w:rsidR="00000000" w:rsidRPr="00000000">
        <w:rPr>
          <w:rtl w:val="0"/>
        </w:rPr>
      </w:r>
    </w:p>
    <w:p w:rsidR="00000000" w:rsidDel="00000000" w:rsidP="00000000" w:rsidRDefault="00000000" w:rsidRPr="00000000" w14:paraId="00000025">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Najarro Vargas, J. (2024). </w:t>
      </w:r>
      <w:r w:rsidDel="00000000" w:rsidR="00000000" w:rsidRPr="00000000">
        <w:rPr>
          <w:rFonts w:ascii="Calibri" w:cs="Calibri" w:eastAsia="Calibri" w:hAnsi="Calibri"/>
          <w:i w:val="1"/>
          <w:iCs w:val="1"/>
          <w:sz w:val="22"/>
          <w:szCs w:val="22"/>
          <w:rtl w:val="0"/>
        </w:rPr>
        <w:t xml:space="preserve">Hábitos de estudio y rendimiento académico de los estudiantes de la Escuela de Estudios Generales de la Facultad de Medicina de la Universidad Nacional Mayor de San Marcos en el año 2023</w:t>
      </w:r>
      <w:r w:rsidDel="00000000" w:rsidR="00000000" w:rsidRPr="00000000">
        <w:rPr>
          <w:rFonts w:ascii="Calibri" w:cs="Calibri" w:eastAsia="Calibri" w:hAnsi="Calibri"/>
          <w:i w:val="0"/>
          <w:iCs w:val="0"/>
          <w:sz w:val="22"/>
          <w:szCs w:val="22"/>
          <w:rtl w:val="0"/>
        </w:rPr>
        <w:t xml:space="preserve"> [Tesis de maestría, Universidad Nacional Mayor de San Marcos]. Repositorio Institucional de la Universidad Nacional Mayor de San Marcos. </w:t>
      </w:r>
      <w:hyperlink r:id="rId11">
        <w:r w:rsidDel="00000000" w:rsidR="00000000" w:rsidRPr="00000000">
          <w:rPr>
            <w:rFonts w:ascii="Calibri" w:cs="Calibri" w:eastAsia="Calibri" w:hAnsi="Calibri"/>
            <w:i w:val="0"/>
            <w:iCs w:val="0"/>
            <w:color w:val="1155cc"/>
            <w:sz w:val="22"/>
            <w:szCs w:val="22"/>
            <w:u w:val="single"/>
            <w:rtl w:val="0"/>
          </w:rPr>
          <w:t xml:space="preserve">https://hdl.handle.net/20.500.12672/21863</w:t>
        </w:r>
      </w:hyperlink>
      <w:r w:rsidDel="00000000" w:rsidR="00000000" w:rsidRPr="00000000">
        <w:rPr>
          <w:rtl w:val="0"/>
        </w:rPr>
      </w:r>
    </w:p>
    <w:p w:rsidR="00000000" w:rsidDel="00000000" w:rsidP="00000000" w:rsidRDefault="00000000" w:rsidRPr="00000000" w14:paraId="00000026">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Rainio, O., Teuho, J., &amp; Klén, R. (2024). Evaluation metrics and statistical tests for machine learning. </w:t>
      </w:r>
      <w:r w:rsidDel="00000000" w:rsidR="00000000" w:rsidRPr="00000000">
        <w:rPr>
          <w:rFonts w:ascii="Calibri" w:cs="Calibri" w:eastAsia="Calibri" w:hAnsi="Calibri"/>
          <w:i w:val="1"/>
          <w:iCs w:val="1"/>
          <w:sz w:val="22"/>
          <w:szCs w:val="22"/>
          <w:rtl w:val="0"/>
        </w:rPr>
        <w:t xml:space="preserve">Scientific Reports, 14</w:t>
      </w:r>
      <w:r w:rsidDel="00000000" w:rsidR="00000000" w:rsidRPr="00000000">
        <w:rPr>
          <w:rFonts w:ascii="Calibri" w:cs="Calibri" w:eastAsia="Calibri" w:hAnsi="Calibri"/>
          <w:i w:val="0"/>
          <w:iCs w:val="0"/>
          <w:sz w:val="22"/>
          <w:szCs w:val="22"/>
          <w:rtl w:val="0"/>
        </w:rPr>
        <w:t xml:space="preserve">, 6086. </w:t>
      </w:r>
      <w:hyperlink r:id="rId12">
        <w:r w:rsidDel="00000000" w:rsidR="00000000" w:rsidRPr="00000000">
          <w:rPr>
            <w:rFonts w:ascii="Calibri" w:cs="Calibri" w:eastAsia="Calibri" w:hAnsi="Calibri"/>
            <w:i w:val="0"/>
            <w:iCs w:val="0"/>
            <w:color w:val="1155cc"/>
            <w:sz w:val="22"/>
            <w:szCs w:val="22"/>
            <w:u w:val="single"/>
            <w:rtl w:val="0"/>
          </w:rPr>
          <w:t xml:space="preserve">https://doi.org/10.1038/s41598-024-56706-x</w:t>
        </w:r>
      </w:hyperlink>
      <w:r w:rsidDel="00000000" w:rsidR="00000000" w:rsidRPr="00000000">
        <w:rPr>
          <w:rtl w:val="0"/>
        </w:rPr>
      </w:r>
    </w:p>
    <w:p w:rsidR="00000000" w:rsidDel="00000000" w:rsidP="00000000" w:rsidRDefault="00000000" w:rsidRPr="00000000" w14:paraId="00000027">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Reina Marín, Y., Quiñones Huatangari, L., Alva Tuesta, J. N., Cruz Caro, O., Maicelo Guevara, J. L., Sánchez Bardales, E., &amp; Chávez Santos, R. (2025). Analysis of factors affecting the academic performance of university students using machine learning. </w:t>
      </w:r>
      <w:r w:rsidDel="00000000" w:rsidR="00000000" w:rsidRPr="00000000">
        <w:rPr>
          <w:rFonts w:ascii="Calibri" w:cs="Calibri" w:eastAsia="Calibri" w:hAnsi="Calibri"/>
          <w:i w:val="1"/>
          <w:iCs w:val="1"/>
          <w:sz w:val="22"/>
          <w:szCs w:val="22"/>
          <w:rtl w:val="0"/>
        </w:rPr>
        <w:t xml:space="preserve">Scientific Reports, 15</w:t>
      </w:r>
      <w:r w:rsidDel="00000000" w:rsidR="00000000" w:rsidRPr="00000000">
        <w:rPr>
          <w:rFonts w:ascii="Calibri" w:cs="Calibri" w:eastAsia="Calibri" w:hAnsi="Calibri"/>
          <w:i w:val="0"/>
          <w:iCs w:val="0"/>
          <w:sz w:val="22"/>
          <w:szCs w:val="22"/>
          <w:rtl w:val="0"/>
        </w:rPr>
        <w:t xml:space="preserve">, Article 44027. </w:t>
      </w:r>
      <w:hyperlink r:id="rId13">
        <w:r w:rsidDel="00000000" w:rsidR="00000000" w:rsidRPr="00000000">
          <w:rPr>
            <w:rFonts w:ascii="Calibri" w:cs="Calibri" w:eastAsia="Calibri" w:hAnsi="Calibri"/>
            <w:i w:val="0"/>
            <w:iCs w:val="0"/>
            <w:color w:val="1155cc"/>
            <w:sz w:val="22"/>
            <w:szCs w:val="22"/>
            <w:u w:val="single"/>
            <w:rtl w:val="0"/>
          </w:rPr>
          <w:t xml:space="preserve">https://doi.org/10.1038/s41598-025-28870-1</w:t>
        </w:r>
      </w:hyperlink>
      <w:r w:rsidDel="00000000" w:rsidR="00000000" w:rsidRPr="00000000">
        <w:rPr>
          <w:rtl w:val="0"/>
        </w:rPr>
      </w:r>
    </w:p>
    <w:p w:rsidR="00000000" w:rsidDel="00000000" w:rsidP="00000000" w:rsidRDefault="00000000" w:rsidRPr="00000000" w14:paraId="00000028">
      <w:pPr>
        <w:spacing w:after="0" w:before="0" w:line="480" w:lineRule="auto"/>
        <w:ind w:left="720" w:hanging="720"/>
        <w:rPr/>
      </w:pPr>
      <w:r w:rsidDel="00000000" w:rsidR="00000000" w:rsidRPr="00000000">
        <w:rPr>
          <w:rFonts w:ascii="Calibri" w:cs="Calibri" w:eastAsia="Calibri" w:hAnsi="Calibri"/>
          <w:i w:val="0"/>
          <w:iCs w:val="0"/>
          <w:sz w:val="22"/>
          <w:szCs w:val="22"/>
          <w:rtl w:val="0"/>
        </w:rPr>
        <w:t xml:space="preserve">Storey, V. C., Baskerville, R. L., &amp; Kaul, M. (2025). Reliability in design science research. </w:t>
      </w:r>
      <w:r w:rsidDel="00000000" w:rsidR="00000000" w:rsidRPr="00000000">
        <w:rPr>
          <w:rFonts w:ascii="Calibri" w:cs="Calibri" w:eastAsia="Calibri" w:hAnsi="Calibri"/>
          <w:i w:val="1"/>
          <w:iCs w:val="1"/>
          <w:sz w:val="22"/>
          <w:szCs w:val="22"/>
          <w:rtl w:val="0"/>
        </w:rPr>
        <w:t xml:space="preserve">Information Systems Journal, 35</w:t>
      </w:r>
      <w:r w:rsidDel="00000000" w:rsidR="00000000" w:rsidRPr="00000000">
        <w:rPr>
          <w:rFonts w:ascii="Calibri" w:cs="Calibri" w:eastAsia="Calibri" w:hAnsi="Calibri"/>
          <w:i w:val="0"/>
          <w:iCs w:val="0"/>
          <w:sz w:val="22"/>
          <w:szCs w:val="22"/>
          <w:rtl w:val="0"/>
        </w:rPr>
        <w:t xml:space="preserve">(3), 984–1014. </w:t>
      </w:r>
      <w:hyperlink r:id="rId14">
        <w:r w:rsidDel="00000000" w:rsidR="00000000" w:rsidRPr="00000000">
          <w:rPr>
            <w:rFonts w:ascii="Calibri" w:cs="Calibri" w:eastAsia="Calibri" w:hAnsi="Calibri"/>
            <w:i w:val="0"/>
            <w:iCs w:val="0"/>
            <w:color w:val="1155cc"/>
            <w:sz w:val="22"/>
            <w:szCs w:val="22"/>
            <w:u w:val="single"/>
            <w:rtl w:val="0"/>
          </w:rPr>
          <w:t xml:space="preserve">https://doi.org/10.1111/isj.12564</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bCs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252525"/>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252525"/>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Ttulo7">
    <w:name w:val="heading 7"/>
    <w:basedOn w:val="Normal"/>
    <w:next w:val="Normal"/>
    <w:link w:val="Ttulo7Car"/>
    <w:uiPriority w:val="9"/>
    <w:semiHidden w:val="1"/>
    <w:unhideWhenUsed w:val="1"/>
    <w:qFormat w:val="1"/>
    <w:pPr>
      <w:keepNext w:val="1"/>
      <w:keepLines w:val="1"/>
      <w:numPr>
        <w:ilvl w:val="6"/>
        <w:numId w:val="12"/>
      </w:numPr>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pPr>
      <w:keepNext w:val="1"/>
      <w:keepLines w:val="1"/>
      <w:numPr>
        <w:ilvl w:val="7"/>
        <w:numId w:val="12"/>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Ttulo9">
    <w:name w:val="heading 9"/>
    <w:basedOn w:val="Normal"/>
    <w:next w:val="Normal"/>
    <w:link w:val="Ttulo9Car"/>
    <w:uiPriority w:val="9"/>
    <w:semiHidden w:val="1"/>
    <w:unhideWhenUsed w:val="1"/>
    <w:qFormat w:val="1"/>
    <w:pPr>
      <w:keepNext w:val="1"/>
      <w:keepLines w:val="1"/>
      <w:numPr>
        <w:ilvl w:val="8"/>
        <w:numId w:val="12"/>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Pr>
      <w:rFonts w:asciiTheme="majorHAnsi" w:cstheme="majorBidi" w:eastAsiaTheme="majorEastAsia" w:hAnsiTheme="majorHAnsi"/>
      <w:color w:val="000000" w:themeColor="text1"/>
      <w:sz w:val="56"/>
      <w:szCs w:val="56"/>
    </w:rPr>
  </w:style>
  <w:style w:type="character" w:styleId="SubttuloCar" w:customStyle="1">
    <w:name w:val="Subtítulo Car"/>
    <w:basedOn w:val="Fuentedeprrafopredeter"/>
    <w:link w:val="Subttulo"/>
    <w:uiPriority w:val="11"/>
    <w:rPr>
      <w:color w:val="5a5a5a" w:themeColor="text1" w:themeTint="0000A5"/>
      <w:spacing w:val="10"/>
    </w:rPr>
  </w:style>
  <w:style w:type="character" w:styleId="Ttulo1Car" w:customStyle="1">
    <w:name w:val="Título 1 Car"/>
    <w:basedOn w:val="Fuentedeprrafopredeter"/>
    <w:link w:val="Ttulo1"/>
    <w:uiPriority w:val="9"/>
    <w:rPr>
      <w:rFonts w:asciiTheme="majorHAnsi" w:cstheme="majorBidi" w:eastAsiaTheme="majorEastAsia" w:hAnsiTheme="majorHAnsi"/>
      <w:b w:val="1"/>
      <w:bCs w:val="1"/>
      <w:smallCaps w:val="1"/>
      <w:color w:val="000000" w:themeColor="text1"/>
      <w:sz w:val="36"/>
      <w:szCs w:val="36"/>
    </w:rPr>
  </w:style>
  <w:style w:type="character" w:styleId="Ttulo2Car" w:customStyle="1">
    <w:name w:val="Título 2 Car"/>
    <w:basedOn w:val="Fuentedeprrafopredeter"/>
    <w:link w:val="Ttulo2"/>
    <w:uiPriority w:val="9"/>
    <w:rPr>
      <w:rFonts w:asciiTheme="majorHAnsi" w:cstheme="majorBidi" w:eastAsiaTheme="majorEastAsia" w:hAnsiTheme="majorHAnsi"/>
      <w:b w:val="1"/>
      <w:bCs w:val="1"/>
      <w:smallCaps w:val="1"/>
      <w:color w:val="000000" w:themeColor="text1"/>
      <w:sz w:val="28"/>
      <w:szCs w:val="28"/>
    </w:rPr>
  </w:style>
  <w:style w:type="character" w:styleId="Ttulo3Car" w:customStyle="1">
    <w:name w:val="Título 3 Car"/>
    <w:basedOn w:val="Fuentedeprrafopredeter"/>
    <w:link w:val="Ttulo3"/>
    <w:uiPriority w:val="9"/>
    <w:semiHidden w:val="1"/>
    <w:rPr>
      <w:rFonts w:asciiTheme="majorHAnsi" w:cstheme="majorBidi" w:eastAsiaTheme="majorEastAsia" w:hAnsiTheme="majorHAnsi"/>
      <w:b w:val="1"/>
      <w:bCs w:val="1"/>
      <w:color w:val="000000" w:themeColor="text1"/>
    </w:rPr>
  </w:style>
  <w:style w:type="character" w:styleId="Ttulo4Car" w:customStyle="1">
    <w:name w:val="Título 4 Car"/>
    <w:basedOn w:val="Fuentedeprrafopredeter"/>
    <w:link w:val="Ttulo4"/>
    <w:uiPriority w:val="9"/>
    <w:semiHidden w:val="1"/>
    <w:rPr>
      <w:rFonts w:asciiTheme="majorHAnsi" w:cstheme="majorBidi" w:eastAsiaTheme="majorEastAsia" w:hAnsiTheme="majorHAnsi"/>
      <w:b w:val="1"/>
      <w:bCs w:val="1"/>
      <w:i w:val="1"/>
      <w:iCs w:val="1"/>
      <w:color w:val="000000" w:themeColor="text1"/>
    </w:rPr>
  </w:style>
  <w:style w:type="character" w:styleId="Ttulo5Car" w:customStyle="1">
    <w:name w:val="Título 5 Car"/>
    <w:basedOn w:val="Fuentedeprrafopredeter"/>
    <w:link w:val="Ttulo5"/>
    <w:uiPriority w:val="9"/>
    <w:semiHidden w:val="1"/>
    <w:rPr>
      <w:rFonts w:asciiTheme="majorHAnsi" w:cstheme="majorBidi" w:eastAsiaTheme="majorEastAsia" w:hAnsiTheme="majorHAnsi"/>
      <w:color w:val="252525" w:themeColor="text2" w:themeShade="0000BF"/>
    </w:rPr>
  </w:style>
  <w:style w:type="character" w:styleId="Ttulo6Car" w:customStyle="1">
    <w:name w:val="Título 6 Car"/>
    <w:basedOn w:val="Fuentedeprrafopredeter"/>
    <w:link w:val="Ttulo6"/>
    <w:uiPriority w:val="9"/>
    <w:semiHidden w:val="1"/>
    <w:rPr>
      <w:rFonts w:asciiTheme="majorHAnsi" w:cstheme="majorBidi" w:eastAsiaTheme="majorEastAsia" w:hAnsiTheme="majorHAnsi"/>
      <w:i w:val="1"/>
      <w:iCs w:val="1"/>
      <w:color w:val="252525" w:themeColor="text2" w:themeShade="0000BF"/>
    </w:rPr>
  </w:style>
  <w:style w:type="character" w:styleId="Ttulo7Car" w:customStyle="1">
    <w:name w:val="Título 7 Car"/>
    <w:basedOn w:val="Fuentedeprrafopredeter"/>
    <w:link w:val="Ttulo7"/>
    <w:uiPriority w:val="9"/>
    <w:semiHidden w:val="1"/>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Pr>
      <w:rFonts w:asciiTheme="majorHAnsi" w:cstheme="majorBidi" w:eastAsiaTheme="majorEastAsia" w:hAnsiTheme="majorHAnsi"/>
      <w:color w:val="404040" w:themeColor="text1" w:themeTint="0000BF"/>
      <w:sz w:val="20"/>
      <w:szCs w:val="20"/>
    </w:rPr>
  </w:style>
  <w:style w:type="character" w:styleId="Ttulo9Car" w:customStyle="1">
    <w:name w:val="Título 9 Car"/>
    <w:basedOn w:val="Fuentedeprrafopredeter"/>
    <w:link w:val="Ttulo9"/>
    <w:uiPriority w:val="9"/>
    <w:semiHidden w:val="1"/>
    <w:rPr>
      <w:rFonts w:asciiTheme="majorHAnsi" w:cstheme="majorBidi" w:eastAsiaTheme="majorEastAsia" w:hAnsiTheme="majorHAnsi"/>
      <w:i w:val="1"/>
      <w:iCs w:val="1"/>
      <w:color w:val="404040" w:themeColor="text1" w:themeTint="0000BF"/>
      <w:sz w:val="20"/>
      <w:szCs w:val="20"/>
    </w:rPr>
  </w:style>
  <w:style w:type="character" w:styleId="nfasissutil">
    <w:name w:val="Subtle Emphasis"/>
    <w:basedOn w:val="Fuentedeprrafopredeter"/>
    <w:uiPriority w:val="19"/>
    <w:qFormat w:val="1"/>
    <w:rPr>
      <w:i w:val="1"/>
      <w:iCs w:val="1"/>
      <w:color w:val="404040" w:themeColor="text1" w:themeTint="0000BF"/>
    </w:rPr>
  </w:style>
  <w:style w:type="character" w:styleId="nfasis">
    <w:name w:val="Emphasis"/>
    <w:basedOn w:val="Fuentedeprrafopredeter"/>
    <w:uiPriority w:val="20"/>
    <w:qFormat w:val="1"/>
    <w:rPr>
      <w:i w:val="1"/>
      <w:iCs w:val="1"/>
      <w:color w:val="auto"/>
    </w:rPr>
  </w:style>
  <w:style w:type="character" w:styleId="nfasisintenso">
    <w:name w:val="Intense Emphasis"/>
    <w:basedOn w:val="Fuentedeprrafopredeter"/>
    <w:uiPriority w:val="21"/>
    <w:qFormat w:val="1"/>
    <w:rPr>
      <w:b w:val="1"/>
      <w:bCs w:val="1"/>
      <w:i w:val="1"/>
      <w:iCs w:val="1"/>
      <w:caps w:val="1"/>
    </w:rPr>
  </w:style>
  <w:style w:type="character" w:styleId="Textoennegrita">
    <w:name w:val="Strong"/>
    <w:basedOn w:val="Fuentedeprrafopredeter"/>
    <w:uiPriority w:val="22"/>
    <w:qFormat w:val="1"/>
    <w:rPr>
      <w:b w:val="1"/>
      <w:bCs w:val="1"/>
      <w:color w:val="000000" w:themeColor="text1"/>
    </w:rPr>
  </w:style>
  <w:style w:type="paragraph" w:styleId="Cita">
    <w:name w:val="Quote"/>
    <w:basedOn w:val="Normal"/>
    <w:next w:val="Normal"/>
    <w:link w:val="CitaCar"/>
    <w:uiPriority w:val="29"/>
    <w:qFormat w:val="1"/>
    <w:pPr>
      <w:spacing w:before="160"/>
      <w:ind w:left="720" w:right="720"/>
    </w:pPr>
    <w:rPr>
      <w:i w:val="1"/>
      <w:iCs w:val="1"/>
      <w:color w:val="000000" w:themeColor="text1"/>
    </w:rPr>
  </w:style>
  <w:style w:type="character" w:styleId="CitaCar" w:customStyle="1">
    <w:name w:val="Cita Car"/>
    <w:basedOn w:val="Fuentedeprrafopredeter"/>
    <w:link w:val="Cita"/>
    <w:uiPriority w:val="29"/>
    <w:rPr>
      <w:i w:val="1"/>
      <w:iCs w:val="1"/>
      <w:color w:val="000000" w:themeColor="text1"/>
    </w:rPr>
  </w:style>
  <w:style w:type="paragraph" w:styleId="Citadestacada">
    <w:name w:val="Intense Quote"/>
    <w:basedOn w:val="Normal"/>
    <w:next w:val="Normal"/>
    <w:link w:val="CitadestacadaCar"/>
    <w:uiPriority w:val="30"/>
    <w:qFormat w:val="1"/>
    <w:pPr>
      <w:pBdr>
        <w:top w:color="f2f2f2" w:space="1" w:sz="24" w:themeColor="background1" w:themeShade="0000F2" w:val="single"/>
        <w:bottom w:color="f2f2f2" w:space="1" w:sz="24" w:themeColor="background1" w:themeShade="0000F2" w:val="single"/>
      </w:pBdr>
      <w:shd w:color="auto" w:fill="f2f2f2" w:themeFill="background1" w:themeFillShade="0000F2" w:val="clear"/>
      <w:spacing w:after="240" w:before="240"/>
      <w:ind w:left="936" w:right="936"/>
      <w:jc w:val="center"/>
    </w:pPr>
    <w:rPr>
      <w:color w:val="000000" w:themeColor="text1"/>
    </w:rPr>
  </w:style>
  <w:style w:type="character" w:styleId="CitadestacadaCar" w:customStyle="1">
    <w:name w:val="Cita destacada Car"/>
    <w:basedOn w:val="Fuentedeprrafopredeter"/>
    <w:link w:val="Citadestacada"/>
    <w:uiPriority w:val="30"/>
    <w:rPr>
      <w:color w:val="000000" w:themeColor="text1"/>
      <w:shd w:color="auto" w:fill="f2f2f2" w:themeFill="background1" w:themeFillShade="0000F2" w:val="clear"/>
    </w:rPr>
  </w:style>
  <w:style w:type="character" w:styleId="Referenciasutil">
    <w:name w:val="Subtle Reference"/>
    <w:basedOn w:val="Fuentedeprrafopredeter"/>
    <w:uiPriority w:val="31"/>
    <w:qFormat w:val="1"/>
    <w:rPr>
      <w:smallCaps w:val="1"/>
      <w:color w:val="404040" w:themeColor="text1" w:themeTint="0000BF"/>
      <w:u w:color="7f7f7f" w:themeColor="text1" w:themeTint="000080" w:val="single"/>
    </w:rPr>
  </w:style>
  <w:style w:type="character" w:styleId="Referenciaintensa">
    <w:name w:val="Intense Reference"/>
    <w:basedOn w:val="Fuentedeprrafopredeter"/>
    <w:uiPriority w:val="32"/>
    <w:qFormat w:val="1"/>
    <w:rPr>
      <w:b w:val="1"/>
      <w:bCs w:val="1"/>
      <w:smallCaps w:val="1"/>
      <w:u w:val="single"/>
    </w:rPr>
  </w:style>
  <w:style w:type="character" w:styleId="Ttulodellibro">
    <w:name w:val="Book Title"/>
    <w:basedOn w:val="Fuentedeprrafopredeter"/>
    <w:uiPriority w:val="33"/>
    <w:qFormat w:val="1"/>
    <w:rPr>
      <w:b w:val="0"/>
      <w:bCs w:val="0"/>
      <w:smallCaps w:val="1"/>
      <w:spacing w:val="5"/>
    </w:rPr>
  </w:style>
  <w:style w:type="paragraph" w:styleId="Descripcin">
    <w:name w:val="caption"/>
    <w:basedOn w:val="Normal"/>
    <w:next w:val="Normal"/>
    <w:uiPriority w:val="35"/>
    <w:semiHidden w:val="1"/>
    <w:unhideWhenUsed w:val="1"/>
    <w:qFormat w:val="1"/>
    <w:pPr>
      <w:spacing w:after="200" w:line="240" w:lineRule="auto"/>
    </w:pPr>
    <w:rPr>
      <w:i w:val="1"/>
      <w:iCs w:val="1"/>
      <w:color w:val="323232" w:themeColor="text2"/>
      <w:sz w:val="18"/>
      <w:szCs w:val="18"/>
    </w:rPr>
  </w:style>
  <w:style w:type="paragraph" w:styleId="TtuloTDC">
    <w:name w:val="TOC Heading"/>
    <w:basedOn w:val="Ttulo1"/>
    <w:next w:val="Normal"/>
    <w:uiPriority w:val="39"/>
    <w:semiHidden w:val="1"/>
    <w:unhideWhenUsed w:val="1"/>
    <w:qFormat w:val="1"/>
    <w:pPr>
      <w:outlineLvl w:val="9"/>
    </w:pPr>
  </w:style>
  <w:style w:type="paragraph" w:styleId="Sinespaciado">
    <w:name w:val="No Spacing"/>
    <w:uiPriority w:val="1"/>
    <w:qFormat w:val="1"/>
    <w:pPr>
      <w:spacing w:after="0" w:line="240" w:lineRule="auto"/>
    </w:pPr>
  </w:style>
  <w:style w:type="paragraph" w:styleId="Prrafodelista">
    <w:name w:val="List Paragraph"/>
    <w:basedOn w:val="Normal"/>
    <w:uiPriority w:val="34"/>
    <w:qFormat w:val="1"/>
    <w:pPr>
      <w:ind w:left="720"/>
      <w:contextualSpacing w:val="1"/>
    </w:pPr>
  </w:style>
  <w:style w:type="character" w:styleId="Hipervnculo">
    <w:name w:val="Hyperlink"/>
    <w:basedOn w:val="Fuentedeprrafopredeter"/>
    <w:uiPriority w:val="99"/>
    <w:semiHidden w:val="1"/>
    <w:unhideWhenUsed w:val="1"/>
    <w:rsid w:val="00E24C8F"/>
    <w:rPr>
      <w:color w:val="0000ff"/>
      <w:u w:val="single"/>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hyperlink" Target="https://hdl.handle.net/20.500.12672/21863" TargetMode="External"/><Relationship Id="rId10" Type="http://schemas.openxmlformats.org/officeDocument/2006/relationships/hyperlink" Target="https://doi.org/10.3389/fpsyg.2024.1447825" TargetMode="External"/><Relationship Id="rId13" Type="http://schemas.openxmlformats.org/officeDocument/2006/relationships/hyperlink" Target="https://doi.org/10.1038/s41598-025-28870-1" TargetMode="External"/><Relationship Id="rId12" Type="http://schemas.openxmlformats.org/officeDocument/2006/relationships/hyperlink" Target="https://doi.org/10.1038/s41598-024-56706-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0648-025-10087-3" TargetMode="External"/><Relationship Id="rId14" Type="http://schemas.openxmlformats.org/officeDocument/2006/relationships/hyperlink" Target="https://doi.org/10.1111/isj.1256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ef.gob.pe/contenidos/transparencia/doc_gestion/Informe_anual_politicas_nacionales_2024.pdf" TargetMode="External"/><Relationship Id="rId8" Type="http://schemas.openxmlformats.org/officeDocument/2006/relationships/hyperlink" Target="https://doi.org/10.1007/s10734-024-01199-w"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egFnxiwSM95lIrz8htYiIQBg==">CgMxLjA4AHIhMXk4eW1BYmRoZHYtWVFJZzk2VDZkdTY4V1dGMzlkaHlo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2016-03-19T00:48:00Z</dcterms:created>
  <dc:creator>Jorge Cabrera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