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0169ED9B" w14:textId="77777777" w:rsidR="00F3406B" w:rsidRPr="00F3406B" w:rsidRDefault="00F3406B" w:rsidP="00F3406B">
            <w:pPr>
              <w:jc w:val="both"/>
              <w:rPr>
                <w:rFonts w:eastAsiaTheme="majorEastAsia"/>
                <w:sz w:val="24"/>
                <w:szCs w:val="24"/>
              </w:rPr>
            </w:pPr>
            <w:r w:rsidRPr="00F3406B">
              <w:rPr>
                <w:rFonts w:eastAsiaTheme="majorEastAsia"/>
                <w:sz w:val="24"/>
                <w:szCs w:val="24"/>
              </w:rPr>
              <w:t>Al cierre de la semana 13 cumplimos los cuatro primeros sprints dentro de los plazos definidos en la carta Gantt. De las cincuenta y ocho tareas planificadas hasta este punto, cincuenta y cuatro quedaron completadas y tres continúan en curso: los modelos de atribución entre campañas y comportamiento web, la validación de integridad del histórico y la auditoría de calidad por tenant. Una cuarta, la exportación de informes a PDF y CSV, fue eliminada del plan al constatar que duplicaba una funcionalidad que la herramienta de visualización ya ofrece de forma nativa.</w:t>
            </w:r>
          </w:p>
          <w:p w14:paraId="57CD08A8" w14:textId="77777777" w:rsidR="00F3406B" w:rsidRPr="00F3406B" w:rsidRDefault="00F3406B" w:rsidP="00F3406B">
            <w:pPr>
              <w:jc w:val="both"/>
              <w:rPr>
                <w:rFonts w:eastAsiaTheme="majorEastAsia"/>
                <w:sz w:val="24"/>
                <w:szCs w:val="24"/>
              </w:rPr>
            </w:pPr>
          </w:p>
          <w:p w14:paraId="6FD1FB75" w14:textId="77777777" w:rsidR="00F3406B" w:rsidRPr="00F3406B" w:rsidRDefault="00F3406B" w:rsidP="00F3406B">
            <w:pPr>
              <w:jc w:val="both"/>
              <w:rPr>
                <w:rFonts w:eastAsiaTheme="majorEastAsia"/>
                <w:sz w:val="24"/>
                <w:szCs w:val="24"/>
              </w:rPr>
            </w:pPr>
            <w:r w:rsidRPr="00F3406B">
              <w:rPr>
                <w:rFonts w:eastAsiaTheme="majorEastAsia"/>
                <w:sz w:val="24"/>
                <w:szCs w:val="24"/>
              </w:rPr>
              <w:t>El factor que más nos facilitó el trabajo fue desarrollar el proyecto sobre un entorno productivo real, con acceso directo a los sistemas y datos de los clientes. Eso nos permitió validar cada decisión contra el comportamiento efectivo de las fuentes en lugar de contra supuestos, y detectar temprano limitaciones que un entorno simulado no habría mostrado. También ayudó haber cerrado el diseño arquitectónico y las convenciones durante el Sprint 0, antes de escribir código, porque evitó rediseños en etapas avanzadas.</w:t>
            </w:r>
          </w:p>
          <w:p w14:paraId="65A8A86B" w14:textId="77777777" w:rsidR="00F3406B" w:rsidRPr="00F3406B" w:rsidRDefault="00F3406B" w:rsidP="00F3406B">
            <w:pPr>
              <w:jc w:val="both"/>
              <w:rPr>
                <w:rFonts w:eastAsiaTheme="majorEastAsia"/>
                <w:sz w:val="24"/>
                <w:szCs w:val="24"/>
              </w:rPr>
            </w:pPr>
          </w:p>
          <w:p w14:paraId="4B137E35" w14:textId="1DC3B17E" w:rsidR="004F2A8B" w:rsidRPr="00F3406B" w:rsidRDefault="00F3406B" w:rsidP="3D28A338">
            <w:pPr>
              <w:jc w:val="both"/>
              <w:rPr>
                <w:rFonts w:eastAsiaTheme="majorEastAsia"/>
                <w:sz w:val="24"/>
                <w:szCs w:val="24"/>
              </w:rPr>
            </w:pPr>
            <w:r w:rsidRPr="00F3406B">
              <w:rPr>
                <w:rFonts w:eastAsiaTheme="majorEastAsia"/>
                <w:sz w:val="24"/>
                <w:szCs w:val="24"/>
              </w:rPr>
              <w:t>Las dificultades fueron principalmente externas al equipo. El cortafuegos que protege el dominio de uno de los clientes bloqueaba las direcciones de la nube, lo que impedía ejecutar su pipeline desde la infraestructura prevista. Las plataformas de email marketing presentaron limitaciones no documentadas en sus interfaces de programación. Y los modelos de atribución dependen de una configuración en el sitio del cliente que no está bajo nuestro control. Internamente, la dificultad mayor fue coordinar los tiempos del equipo, ya que los tres combinamos el proyecto con responsabilidades laborales.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69A94C50" w14:textId="77777777" w:rsidR="00F3406B" w:rsidRDefault="00F3406B" w:rsidP="3D28A338">
      <w:pPr>
        <w:spacing w:after="0" w:line="360" w:lineRule="auto"/>
        <w:jc w:val="both"/>
        <w:rPr>
          <w:color w:val="595959" w:themeColor="text1" w:themeTint="A6"/>
          <w:sz w:val="24"/>
          <w:szCs w:val="24"/>
          <w:lang w:eastAsia="ja-JP"/>
        </w:rPr>
      </w:pPr>
    </w:p>
    <w:p w14:paraId="4F209E9E" w14:textId="77777777" w:rsidR="00F3406B" w:rsidRDefault="00F3406B" w:rsidP="3D28A338">
      <w:pPr>
        <w:spacing w:after="0" w:line="360" w:lineRule="auto"/>
        <w:jc w:val="both"/>
        <w:rPr>
          <w:color w:val="595959" w:themeColor="text1" w:themeTint="A6"/>
          <w:sz w:val="24"/>
          <w:szCs w:val="24"/>
          <w:lang w:eastAsia="ja-JP"/>
        </w:rPr>
      </w:pPr>
    </w:p>
    <w:p w14:paraId="7BC304EF" w14:textId="77777777" w:rsidR="00F3406B" w:rsidRDefault="00F3406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60CF4B40" w14:textId="77777777" w:rsidR="00F3406B" w:rsidRPr="00F3406B" w:rsidRDefault="00F3406B" w:rsidP="00F3406B">
            <w:pPr>
              <w:jc w:val="both"/>
              <w:rPr>
                <w:rFonts w:eastAsiaTheme="majorEastAsia"/>
                <w:sz w:val="24"/>
                <w:szCs w:val="24"/>
              </w:rPr>
            </w:pPr>
            <w:r w:rsidRPr="00F3406B">
              <w:rPr>
                <w:rFonts w:eastAsiaTheme="majorEastAsia"/>
                <w:sz w:val="24"/>
                <w:szCs w:val="24"/>
              </w:rPr>
              <w:t>Nuestro criterio fue no detener el avance por bloqueos que no podíamos resolver directamente, sino buscar una ruta alternativa mientras se gestionaba la solución definitiva.</w:t>
            </w:r>
          </w:p>
          <w:p w14:paraId="0B86C72C" w14:textId="77777777" w:rsidR="00F3406B" w:rsidRPr="00F3406B" w:rsidRDefault="00F3406B" w:rsidP="00F3406B">
            <w:pPr>
              <w:jc w:val="both"/>
              <w:rPr>
                <w:rFonts w:eastAsiaTheme="majorEastAsia"/>
                <w:sz w:val="24"/>
                <w:szCs w:val="24"/>
              </w:rPr>
            </w:pPr>
            <w:r w:rsidRPr="00F3406B">
              <w:rPr>
                <w:rFonts w:eastAsiaTheme="majorEastAsia"/>
                <w:sz w:val="24"/>
                <w:szCs w:val="24"/>
              </w:rPr>
              <w:t>Ante el bloqueo de red del cliente, implementamos una ejecución transitoria desde el servidor propio de la empresa y escalamos al área de tecnología del cliente la autorización de los rangos de direcciones correspondientes. La incorporación de ese tenant no se detuvo.</w:t>
            </w:r>
          </w:p>
          <w:p w14:paraId="4C938C32" w14:textId="77777777" w:rsidR="00F3406B" w:rsidRPr="00F3406B" w:rsidRDefault="00F3406B" w:rsidP="00F3406B">
            <w:pPr>
              <w:jc w:val="both"/>
              <w:rPr>
                <w:rFonts w:eastAsiaTheme="majorEastAsia"/>
                <w:sz w:val="24"/>
                <w:szCs w:val="24"/>
              </w:rPr>
            </w:pPr>
            <w:r w:rsidRPr="00F3406B">
              <w:rPr>
                <w:rFonts w:eastAsiaTheme="majorEastAsia"/>
                <w:sz w:val="24"/>
                <w:szCs w:val="24"/>
              </w:rPr>
              <w:t>Frente a las limitaciones de las interfaces de origen, rediseñamos la estrategia de extracción en cada caso: para una plataforma, un proceso en dos fases con persistencia intermedia que permite reconstruir el dato aunque la interfaz no entregue todos los campos; para la otra, una ventana de consulta retroactiva ampliada tras medir el desfase máximo observado entre creación y envío de campañas.</w:t>
            </w:r>
          </w:p>
          <w:p w14:paraId="3BBA6BFE" w14:textId="404B3CD5" w:rsidR="004F2A8B" w:rsidRPr="00F3406B" w:rsidRDefault="00F3406B" w:rsidP="3D28A338">
            <w:pPr>
              <w:jc w:val="both"/>
              <w:rPr>
                <w:rFonts w:eastAsiaTheme="majorEastAsia"/>
                <w:sz w:val="24"/>
                <w:szCs w:val="24"/>
              </w:rPr>
            </w:pPr>
            <w:r w:rsidRPr="00F3406B">
              <w:rPr>
                <w:rFonts w:eastAsiaTheme="majorEastAsia"/>
                <w:sz w:val="24"/>
                <w:szCs w:val="24"/>
              </w:rPr>
              <w:t>Para las tareas que quedaron en curso, la estrategia es incorporarlas como primeras actividades del sprint de cierre, donde conviven naturalmente con la marcha blanca. La auditoría de calidad y la validación del histórico son precisamente el tipo de actividad que esa etapa contempla. En el caso de los modelos de atribución, avanzaremos con las métricas agregadas disponibles y dejaremos documentada la dependencia externa como limitación conocida.</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13BAC158" w14:textId="77777777" w:rsidR="00F3406B" w:rsidRPr="00F3406B" w:rsidRDefault="00F3406B" w:rsidP="00F3406B">
            <w:pPr>
              <w:jc w:val="both"/>
              <w:rPr>
                <w:rFonts w:eastAsiaTheme="majorEastAsia"/>
                <w:sz w:val="24"/>
                <w:szCs w:val="24"/>
              </w:rPr>
            </w:pPr>
            <w:r w:rsidRPr="00F3406B">
              <w:rPr>
                <w:rFonts w:eastAsiaTheme="majorEastAsia"/>
                <w:sz w:val="24"/>
                <w:szCs w:val="24"/>
              </w:rPr>
              <w:t>Evaluamos nuestro trabajo como satisfactorio en los resultados y mejorable en el proceso.</w:t>
            </w:r>
          </w:p>
          <w:p w14:paraId="7E97FE1E" w14:textId="77777777" w:rsidR="00F3406B" w:rsidRPr="00F3406B" w:rsidRDefault="00F3406B" w:rsidP="00F3406B">
            <w:pPr>
              <w:jc w:val="both"/>
              <w:rPr>
                <w:rFonts w:eastAsiaTheme="majorEastAsia"/>
                <w:sz w:val="24"/>
                <w:szCs w:val="24"/>
              </w:rPr>
            </w:pPr>
            <w:r w:rsidRPr="00F3406B">
              <w:rPr>
                <w:rFonts w:eastAsiaTheme="majorEastAsia"/>
                <w:sz w:val="24"/>
                <w:szCs w:val="24"/>
              </w:rPr>
              <w:t>Destacamos que la plataforma está operativa en producción para los tres clientes, que el pipeline corre de forma autónoma a diario, y que la arquitectura demostró ser efectivamente escalable: incorporar el segundo y tercer tenant no requirió rediseñar los modelos, solo crear sus vistas de preparación. También destacamos la capacidad de diagnóstico que desarrollamos, ya que varias de las fallas que enfrentamos no eran errores de programación sino problemas de configuración, permisos o comportamiento de servicios externos, y resolverlas exigió entender el sistema completo y no solo el código.</w:t>
            </w:r>
          </w:p>
          <w:p w14:paraId="27FCCB19" w14:textId="77777777" w:rsidR="00F3406B" w:rsidRPr="00F3406B" w:rsidRDefault="00F3406B" w:rsidP="00F3406B">
            <w:pPr>
              <w:jc w:val="both"/>
              <w:rPr>
                <w:rFonts w:eastAsiaTheme="majorEastAsia"/>
                <w:sz w:val="24"/>
                <w:szCs w:val="24"/>
              </w:rPr>
            </w:pPr>
            <w:r w:rsidRPr="00F3406B">
              <w:rPr>
                <w:rFonts w:eastAsiaTheme="majorEastAsia"/>
                <w:sz w:val="24"/>
                <w:szCs w:val="24"/>
              </w:rPr>
              <w:t>Lo que podríamos mejorar es la distribución del trabajo. Durante los primeros sprints la carga se concentró de forma desigual, en parte porque el conocimiento previo del sistema no estaba repartido de manera uniforme en el equipo. Reconocerlo nos llevó a redistribuir deliberadamente las tareas de documentación y modelado en los sprints posteriores.</w:t>
            </w:r>
          </w:p>
          <w:p w14:paraId="7318E986" w14:textId="77777777" w:rsidR="004F2A8B" w:rsidRDefault="00F3406B" w:rsidP="3D28A338">
            <w:pPr>
              <w:jc w:val="both"/>
              <w:rPr>
                <w:rFonts w:eastAsiaTheme="majorEastAsia"/>
                <w:sz w:val="24"/>
                <w:szCs w:val="24"/>
              </w:rPr>
            </w:pPr>
            <w:r w:rsidRPr="00F3406B">
              <w:rPr>
                <w:rFonts w:eastAsiaTheme="majorEastAsia"/>
                <w:sz w:val="24"/>
                <w:szCs w:val="24"/>
              </w:rPr>
              <w:t>También identificamos que no incorporamos pruebas automatizadas sobre los modelos de transformación. La validación de calidad la hicimos de forma manual, contrastando volúmenes contra las fuentes, lo que funciona pero no escala ni deja registro sistemático. Es una práctica estándar de la disciplina que deberíamos haber incorporado antes.</w:t>
            </w:r>
          </w:p>
          <w:p w14:paraId="75A589DF" w14:textId="018568AC" w:rsidR="00F3406B" w:rsidRPr="00F3406B" w:rsidRDefault="00F3406B" w:rsidP="3D28A338">
            <w:pPr>
              <w:jc w:val="both"/>
              <w:rPr>
                <w:rFonts w:eastAsiaTheme="majorEastAsia"/>
                <w:sz w:val="24"/>
                <w:szCs w:val="24"/>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p w14:paraId="0F8FE570" w14:textId="77777777" w:rsidR="00F3406B" w:rsidRDefault="00F3406B" w:rsidP="3D28A338"/>
    <w:p w14:paraId="271CD4D3" w14:textId="77777777" w:rsidR="00F3406B" w:rsidRDefault="00F3406B" w:rsidP="3D28A338"/>
    <w:p w14:paraId="3B4CA154" w14:textId="77777777" w:rsidR="00F3406B" w:rsidRDefault="00F3406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06E828E6" w14:textId="77777777" w:rsidR="00F3406B" w:rsidRPr="00F3406B" w:rsidRDefault="00F3406B" w:rsidP="00F3406B">
            <w:pPr>
              <w:jc w:val="both"/>
              <w:rPr>
                <w:rFonts w:eastAsiaTheme="majorEastAsia"/>
                <w:sz w:val="24"/>
                <w:szCs w:val="24"/>
              </w:rPr>
            </w:pPr>
            <w:r w:rsidRPr="00F3406B">
              <w:rPr>
                <w:rFonts w:eastAsiaTheme="majorEastAsia"/>
                <w:sz w:val="24"/>
                <w:szCs w:val="24"/>
              </w:rPr>
              <w:t>Nos quedan tres inquietudes concretas.</w:t>
            </w:r>
          </w:p>
          <w:p w14:paraId="1375B847" w14:textId="77777777" w:rsidR="00F3406B" w:rsidRPr="00F3406B" w:rsidRDefault="00F3406B" w:rsidP="00F3406B">
            <w:pPr>
              <w:jc w:val="both"/>
              <w:rPr>
                <w:rFonts w:eastAsiaTheme="majorEastAsia"/>
                <w:sz w:val="24"/>
                <w:szCs w:val="24"/>
              </w:rPr>
            </w:pPr>
            <w:r w:rsidRPr="00F3406B">
              <w:rPr>
                <w:rFonts w:eastAsiaTheme="majorEastAsia"/>
                <w:sz w:val="24"/>
                <w:szCs w:val="24"/>
              </w:rPr>
              <w:t>La primera es sobre el tratamiento de las dependencias externas en la evaluación. Los modelos de atribución dependen de una configuración en el sitio del cliente que gestionamos pero no controlamos. Queremos saber si es suficiente con documentarla como limitación conocida o si se espera que implementemos una solución alternativa que no la requiera.</w:t>
            </w:r>
          </w:p>
          <w:p w14:paraId="262B4287" w14:textId="77777777" w:rsidR="00F3406B" w:rsidRPr="00F3406B" w:rsidRDefault="00F3406B" w:rsidP="00F3406B">
            <w:pPr>
              <w:jc w:val="both"/>
              <w:rPr>
                <w:rFonts w:eastAsiaTheme="majorEastAsia"/>
                <w:sz w:val="24"/>
                <w:szCs w:val="24"/>
              </w:rPr>
            </w:pPr>
            <w:r w:rsidRPr="00F3406B">
              <w:rPr>
                <w:rFonts w:eastAsiaTheme="majorEastAsia"/>
                <w:sz w:val="24"/>
                <w:szCs w:val="24"/>
              </w:rPr>
              <w:t>La segunda es sobre el alcance de la marcha blanca. No tenemos claro qué nivel de evidencia se espera de esa etapa: si basta con documentar las incidencias detectadas y su resolución, o si se requiere un registro más formal de la operación supervisada.</w:t>
            </w:r>
          </w:p>
          <w:p w14:paraId="5BB3B444" w14:textId="393CC6D0" w:rsidR="004F2A8B" w:rsidRPr="00F3406B" w:rsidRDefault="00F3406B" w:rsidP="3D28A338">
            <w:pPr>
              <w:jc w:val="both"/>
              <w:rPr>
                <w:rFonts w:eastAsiaTheme="majorEastAsia"/>
                <w:sz w:val="24"/>
                <w:szCs w:val="24"/>
              </w:rPr>
            </w:pPr>
            <w:r w:rsidRPr="00F3406B">
              <w:rPr>
                <w:rFonts w:eastAsiaTheme="majorEastAsia"/>
                <w:sz w:val="24"/>
                <w:szCs w:val="24"/>
              </w:rPr>
              <w:t>La tercera es sobre los apartados en inglés. Las instrucciones piden abstract bilingüe, conclusiones individuales y reflexión en inglés, pero no especifican extensión. Nos gustaría conocer el largo esperado para cada uno.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724933F9" w14:textId="77777777" w:rsidR="00F3406B" w:rsidRPr="00F3406B" w:rsidRDefault="00F3406B" w:rsidP="00F3406B">
            <w:pPr>
              <w:jc w:val="both"/>
              <w:rPr>
                <w:rFonts w:eastAsiaTheme="majorEastAsia"/>
                <w:sz w:val="24"/>
                <w:szCs w:val="24"/>
              </w:rPr>
            </w:pPr>
            <w:r w:rsidRPr="00F3406B">
              <w:rPr>
                <w:rFonts w:eastAsiaTheme="majorEastAsia"/>
                <w:sz w:val="24"/>
                <w:szCs w:val="24"/>
              </w:rPr>
              <w:t>Sí, y de hecho ya hicimos una redistribución durante el desarrollo.</w:t>
            </w:r>
          </w:p>
          <w:p w14:paraId="7D5BC66C" w14:textId="77777777" w:rsidR="00F3406B" w:rsidRPr="00F3406B" w:rsidRDefault="00F3406B" w:rsidP="00F3406B">
            <w:pPr>
              <w:jc w:val="both"/>
              <w:rPr>
                <w:rFonts w:eastAsiaTheme="majorEastAsia"/>
                <w:sz w:val="24"/>
                <w:szCs w:val="24"/>
              </w:rPr>
            </w:pPr>
            <w:r w:rsidRPr="00F3406B">
              <w:rPr>
                <w:rFonts w:eastAsiaTheme="majorEastAsia"/>
                <w:sz w:val="24"/>
                <w:szCs w:val="24"/>
              </w:rPr>
              <w:t>En los primeros sprints la carga técnica se concentró de forma desigual, porque el levantamiento inicial y el diseño arquitectónico recayeron en quien tenía el conocimiento previo del sistema. A partir del Sprint 2 repartimos el trabajo por bloques temáticos: Jean Pontigo asumió la capa de preparación por tenant, las dimensiones y los controles de gobernanza; Jaime Vergara los pipelines de email marketing, la incorporación de eventos web y la capa analítica; y Rodrigo Urbina la ingesta de e-commerce, la orquestación y la integración continua.</w:t>
            </w:r>
          </w:p>
          <w:p w14:paraId="3C35FF15" w14:textId="157CF0EE" w:rsidR="004F2A8B" w:rsidRPr="00F3406B" w:rsidRDefault="00F3406B" w:rsidP="3D28A338">
            <w:pPr>
              <w:jc w:val="both"/>
              <w:rPr>
                <w:rFonts w:eastAsiaTheme="majorEastAsia"/>
                <w:sz w:val="24"/>
                <w:szCs w:val="24"/>
              </w:rPr>
            </w:pPr>
            <w:r w:rsidRPr="00F3406B">
              <w:rPr>
                <w:rFonts w:eastAsiaTheme="majorEastAsia"/>
                <w:sz w:val="24"/>
                <w:szCs w:val="24"/>
              </w:rPr>
              <w:t>Para el sprint de cierre consideramos necesaria una redistribución adicional, orientada a equilibrar el aporte documentado de cada integrante. Las actividades de documentación técnica, elaboración del informe final y preparación de la presentación se repartirán en partes iguales, y cada uno subirá sus propias secciones al repositorio en lugar de consolidarlas a través de una sola persona. Esto responde a que la evaluación considera explícitamente la evidencia de aporte individual en el control de versiones, y nuestro historial hasta ahora no refleja de forma equitativa el trabajo realizado.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1FF1E6A5" w14:textId="77777777" w:rsidR="00F3406B" w:rsidRPr="00F3406B" w:rsidRDefault="00F3406B" w:rsidP="00F3406B">
            <w:pPr>
              <w:jc w:val="both"/>
              <w:rPr>
                <w:rFonts w:eastAsiaTheme="majorEastAsia"/>
                <w:sz w:val="24"/>
                <w:szCs w:val="24"/>
              </w:rPr>
            </w:pPr>
            <w:r w:rsidRPr="00F3406B">
              <w:rPr>
                <w:rFonts w:eastAsiaTheme="majorEastAsia"/>
                <w:sz w:val="24"/>
                <w:szCs w:val="24"/>
              </w:rPr>
              <w:t>Evaluamos el trabajo en grupo de forma positiva, con un aspecto claro por mejorar.</w:t>
            </w:r>
          </w:p>
          <w:p w14:paraId="1E2A0862" w14:textId="77777777" w:rsidR="00F3406B" w:rsidRPr="00F3406B" w:rsidRDefault="00F3406B" w:rsidP="00F3406B">
            <w:pPr>
              <w:jc w:val="both"/>
              <w:rPr>
                <w:rFonts w:eastAsiaTheme="majorEastAsia"/>
                <w:sz w:val="24"/>
                <w:szCs w:val="24"/>
              </w:rPr>
            </w:pPr>
            <w:r w:rsidRPr="00F3406B">
              <w:rPr>
                <w:rFonts w:eastAsiaTheme="majorEastAsia"/>
                <w:sz w:val="24"/>
                <w:szCs w:val="24"/>
              </w:rPr>
              <w:t>Destacamos la capacidad del equipo para tomar decisiones técnicas de forma conjunta y sostenerlas. Varias de las decisiones de arquitectura, como introducir una capa de preparación por tenant o reestructurar la orquestación para reducir el costo de ejecución, se discutieron entre los tres antes de implementarse, y eso evitó rehacer trabajo. También destacamos la disposición a corregir: cuando una decisión resultó equivocada, como la configuración inicial de los trabajos de transformación, la revertimos sin defenderla.</w:t>
            </w:r>
          </w:p>
          <w:p w14:paraId="739A6F94" w14:textId="6CEF1FA2" w:rsidR="004F2A8B" w:rsidRPr="00F3406B" w:rsidRDefault="00F3406B" w:rsidP="3D28A338">
            <w:pPr>
              <w:jc w:val="both"/>
              <w:rPr>
                <w:rFonts w:eastAsiaTheme="majorEastAsia"/>
                <w:sz w:val="24"/>
                <w:szCs w:val="24"/>
              </w:rPr>
            </w:pPr>
            <w:r w:rsidRPr="00F3406B">
              <w:rPr>
                <w:rFonts w:eastAsiaTheme="majorEastAsia"/>
                <w:sz w:val="24"/>
                <w:szCs w:val="24"/>
              </w:rPr>
              <w:lastRenderedPageBreak/>
              <w:t>El aspecto a mejorar es la distribución del conocimiento. Al comenzar el proyecto, uno de los integrantes tenía familiaridad previa con el sistema y los otros dos no, lo que generó una dependencia que ralentizó algunas tareas y concentró decisiones. Lo abordamos documentando las decisiones de arquitectura y los estándares desde el Sprint 0, pero reconocemos que debimos invertir tiempo explícito en nivelar ese conocimiento al inicio en lugar de resolverlo sobre la marcha.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07B9" w14:textId="77777777" w:rsidR="00431666" w:rsidRDefault="00431666" w:rsidP="00DF38AE">
      <w:pPr>
        <w:spacing w:after="0" w:line="240" w:lineRule="auto"/>
      </w:pPr>
      <w:r>
        <w:separator/>
      </w:r>
    </w:p>
  </w:endnote>
  <w:endnote w:type="continuationSeparator" w:id="0">
    <w:p w14:paraId="614F0AB3" w14:textId="77777777" w:rsidR="00431666" w:rsidRDefault="004316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B133" w14:textId="77777777" w:rsidR="00431666" w:rsidRDefault="00431666" w:rsidP="00DF38AE">
      <w:pPr>
        <w:spacing w:after="0" w:line="240" w:lineRule="auto"/>
      </w:pPr>
      <w:r>
        <w:separator/>
      </w:r>
    </w:p>
  </w:footnote>
  <w:footnote w:type="continuationSeparator" w:id="0">
    <w:p w14:paraId="31F38A0F" w14:textId="77777777" w:rsidR="00431666" w:rsidRDefault="004316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6443177">
    <w:abstractNumId w:val="3"/>
  </w:num>
  <w:num w:numId="2" w16cid:durableId="545027748">
    <w:abstractNumId w:val="8"/>
  </w:num>
  <w:num w:numId="3" w16cid:durableId="289172311">
    <w:abstractNumId w:val="12"/>
  </w:num>
  <w:num w:numId="4" w16cid:durableId="134107703">
    <w:abstractNumId w:val="28"/>
  </w:num>
  <w:num w:numId="5" w16cid:durableId="938872829">
    <w:abstractNumId w:val="30"/>
  </w:num>
  <w:num w:numId="6" w16cid:durableId="1340354220">
    <w:abstractNumId w:val="4"/>
  </w:num>
  <w:num w:numId="7" w16cid:durableId="668487237">
    <w:abstractNumId w:val="11"/>
  </w:num>
  <w:num w:numId="8" w16cid:durableId="1491092602">
    <w:abstractNumId w:val="19"/>
  </w:num>
  <w:num w:numId="9" w16cid:durableId="980310675">
    <w:abstractNumId w:val="15"/>
  </w:num>
  <w:num w:numId="10" w16cid:durableId="700327458">
    <w:abstractNumId w:val="9"/>
  </w:num>
  <w:num w:numId="11" w16cid:durableId="1370453976">
    <w:abstractNumId w:val="24"/>
  </w:num>
  <w:num w:numId="12" w16cid:durableId="552813728">
    <w:abstractNumId w:val="35"/>
  </w:num>
  <w:num w:numId="13" w16cid:durableId="745227448">
    <w:abstractNumId w:val="29"/>
  </w:num>
  <w:num w:numId="14" w16cid:durableId="494734032">
    <w:abstractNumId w:val="1"/>
  </w:num>
  <w:num w:numId="15" w16cid:durableId="1310402182">
    <w:abstractNumId w:val="36"/>
  </w:num>
  <w:num w:numId="16" w16cid:durableId="172303719">
    <w:abstractNumId w:val="21"/>
  </w:num>
  <w:num w:numId="17" w16cid:durableId="876086837">
    <w:abstractNumId w:val="17"/>
  </w:num>
  <w:num w:numId="18" w16cid:durableId="415251160">
    <w:abstractNumId w:val="31"/>
  </w:num>
  <w:num w:numId="19" w16cid:durableId="833766545">
    <w:abstractNumId w:val="10"/>
  </w:num>
  <w:num w:numId="20" w16cid:durableId="1160077097">
    <w:abstractNumId w:val="39"/>
  </w:num>
  <w:num w:numId="21" w16cid:durableId="287780425">
    <w:abstractNumId w:val="34"/>
  </w:num>
  <w:num w:numId="22" w16cid:durableId="952786099">
    <w:abstractNumId w:val="13"/>
  </w:num>
  <w:num w:numId="23" w16cid:durableId="2071877945">
    <w:abstractNumId w:val="14"/>
  </w:num>
  <w:num w:numId="24" w16cid:durableId="1350644946">
    <w:abstractNumId w:val="5"/>
  </w:num>
  <w:num w:numId="25" w16cid:durableId="768697324">
    <w:abstractNumId w:val="16"/>
  </w:num>
  <w:num w:numId="26" w16cid:durableId="1724673534">
    <w:abstractNumId w:val="20"/>
  </w:num>
  <w:num w:numId="27" w16cid:durableId="1566724730">
    <w:abstractNumId w:val="23"/>
  </w:num>
  <w:num w:numId="28" w16cid:durableId="747994624">
    <w:abstractNumId w:val="0"/>
  </w:num>
  <w:num w:numId="29" w16cid:durableId="356780033">
    <w:abstractNumId w:val="18"/>
  </w:num>
  <w:num w:numId="30" w16cid:durableId="735511522">
    <w:abstractNumId w:val="22"/>
  </w:num>
  <w:num w:numId="31" w16cid:durableId="2123844852">
    <w:abstractNumId w:val="2"/>
  </w:num>
  <w:num w:numId="32" w16cid:durableId="1944918988">
    <w:abstractNumId w:val="7"/>
  </w:num>
  <w:num w:numId="33" w16cid:durableId="1279482881">
    <w:abstractNumId w:val="32"/>
  </w:num>
  <w:num w:numId="34" w16cid:durableId="1773745883">
    <w:abstractNumId w:val="38"/>
  </w:num>
  <w:num w:numId="35" w16cid:durableId="328290926">
    <w:abstractNumId w:val="6"/>
  </w:num>
  <w:num w:numId="36" w16cid:durableId="1724523797">
    <w:abstractNumId w:val="25"/>
  </w:num>
  <w:num w:numId="37" w16cid:durableId="2117211054">
    <w:abstractNumId w:val="37"/>
  </w:num>
  <w:num w:numId="38" w16cid:durableId="1100875444">
    <w:abstractNumId w:val="27"/>
  </w:num>
  <w:num w:numId="39" w16cid:durableId="663892957">
    <w:abstractNumId w:val="26"/>
  </w:num>
  <w:num w:numId="40" w16cid:durableId="14879361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4C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1666"/>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672E0"/>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6B"/>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1276</Words>
  <Characters>7021</Characters>
  <Application>Microsoft Office Word</Application>
  <DocSecurity>0</DocSecurity>
  <Lines>58</Lines>
  <Paragraphs>16</Paragraphs>
  <ScaleCrop>false</ScaleCrop>
  <Company>Wal-Mart Stores, Inc.</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Urbina</cp:lastModifiedBy>
  <cp:revision>44</cp:revision>
  <cp:lastPrinted>2019-12-16T20:10:00Z</cp:lastPrinted>
  <dcterms:created xsi:type="dcterms:W3CDTF">2021-12-31T12:50:00Z</dcterms:created>
  <dcterms:modified xsi:type="dcterms:W3CDTF">2026-10-20T01:09:00Z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