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1933575" cy="485775"/>
            <wp:effectExtent b="0" l="0" r="0" t="0"/>
            <wp:docPr id="19819370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42"/>
          <w:szCs w:val="42"/>
        </w:rPr>
      </w:pPr>
      <w:bookmarkStart w:colFirst="0" w:colLast="0" w:name="_heading=h.7ikt7x4zh2rf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2"/>
          <w:szCs w:val="42"/>
          <w:rtl w:val="0"/>
        </w:rPr>
        <w:t xml:space="preserve">  Alcance del MVP — Proyecto MarTech (ATLAS)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Ind w:w="-115.0" w:type="dxa"/>
        <w:tblLayout w:type="fixed"/>
        <w:tblLook w:val="0400"/>
      </w:tblPr>
      <w:tblGrid>
        <w:gridCol w:w="1697"/>
        <w:gridCol w:w="7173"/>
        <w:tblGridChange w:id="0">
          <w:tblGrid>
            <w:gridCol w:w="1697"/>
            <w:gridCol w:w="7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8" w:val="single"/>
              <w:bottom w:color="f1f5f9" w:space="0" w:sz="8" w:val="single"/>
            </w:tcBorders>
            <w:shd w:fill="f8fafc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e2e8f0" w:space="0" w:sz="8" w:val="single"/>
              <w:bottom w:color="f1f5f9" w:space="0" w:sz="8" w:val="single"/>
            </w:tcBorders>
            <w:shd w:fill="f8fafc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Plataforma de datos(MarTech)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Alcance-mvp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Rodrigo Urbina (Scrum Master) · Jaime Vergara (Product Owner) · Jean Carlos Pontigo (Data/Dev)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JeanPontigo/Martech (rama main)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vigencia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1f5f9" w:space="0" w:sz="8" w:val="single"/>
              <w:bottom w:color="f1f5f9" w:space="0" w:sz="8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Octubre 2026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b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b63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794448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ikt7x4zh2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MVP — Proyecto MarTech (ATLAS)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ghkftv4qg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del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koly427hl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 incluido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vdb6f7e0v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Fuera del alcance del MVP (fases futuras)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jjljcfidc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Criterios de éxito del MVP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m3ghkftv4qgr" w:id="1"/>
      <w:bookmarkEnd w:id="1"/>
      <w:r w:rsidDel="00000000" w:rsidR="00000000" w:rsidRPr="00000000">
        <w:rPr>
          <w:rtl w:val="0"/>
        </w:rPr>
        <w:t xml:space="preserve">1. Objetivo del MVP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Demostrar que la migración de los ETL legacy (Python → MySQL local) a una plataforma GCP es viable, entregando un </w:t>
      </w:r>
      <w:r w:rsidDel="00000000" w:rsidR="00000000" w:rsidRPr="00000000">
        <w:rPr>
          <w:b w:val="1"/>
          <w:bCs w:val="1"/>
          <w:rtl w:val="0"/>
        </w:rPr>
        <w:t xml:space="preserve">pipeline diario funcional extremo a extremo</w:t>
      </w:r>
      <w:r w:rsidDel="00000000" w:rsidR="00000000" w:rsidRPr="00000000">
        <w:rPr>
          <w:rtl w:val="0"/>
        </w:rPr>
        <w:t xml:space="preserve"> para los 3 tenants (PF, Carozzi, Ariztía) con datos de e-commerce modelados hasta la capa Gold y dashboards consumibles.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mtkoly427hlq" w:id="2"/>
      <w:bookmarkEnd w:id="2"/>
      <w:r w:rsidDel="00000000" w:rsidR="00000000" w:rsidRPr="00000000">
        <w:rPr>
          <w:rtl w:val="0"/>
        </w:rPr>
        <w:t xml:space="preserve">2. Alcance incluido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 extractores contenerizados (Cloud Run Jobs), uno por tenant, contra Magento REST API con paginación, reintentos y watermarks delta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pipeline_state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ingesta append-only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bronze.ecommerce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bronze.email_mailup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PF) y tablas operacionales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pipeline_state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pipeline_logs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Orquestación mínima viable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Cloud Scheduler (04:00 America/Santiago) → Pub/Sub (un tópico por tenant) → Cloud Function que dispara dbt Cloud.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Transformación dbt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martech_atlas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Staging: 16 vistas de normalización por tenant.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Silver: dimensiones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dim_client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dim_company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dim_product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dim_category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dim_product_category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hechos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fact_orders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fact_order_items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fact_email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fact_web_events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incrementales con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tenant_id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 17 tablas de negocio (KPIs diarios,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customer_360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RFM, performance de productos/categorías/campañas, sesiones web).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Gobernanza y seguridad: IAM con cuentas de servicio (saccount) por tenant bajo mínimo privilegio, Row Level Security (RLS) por tenant_id en BigQuery, y Dynamic Data Masking (DDM) sobre PII (RUT, email, teléfono) con rol Masked Reader — implementado y validado con pruebas de aislamiento entre tenants.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y CI/CD: pruebas automatizadas dbt (unique, not_null) y pipeline CI/CD en GitHub (martechanalytics) con validación de Pull Requests y despliegue automático de modelos — implementado.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Fuentes integradas: Magento (3 tenants), Mailup (PF), GA4 export nativo (PF); extracción de campañas de email marketing desde las plataformas de cada tenant (métricas de envío y apertura, PB15).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dashboards en Looker Studio sobre la capa Gold.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Gobernanza multi-tenant: incorporación de nuevos clientes reutilizando la arquitectura existente sin comprometer el aislamiento (PB17); recuperación del historial completo de datos por tenant para análisis de tendencias (PB18); contraste de volúmenes cargados contra la fuente de origen (PB19).</w:t>
        <w:br/>
        <w:t>Documentación y operación: README completo, manual técnico, plan de pruebas y este alcance.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vxvdb6f7e0vl" w:id="3"/>
      <w:bookmarkEnd w:id="3"/>
      <w:r w:rsidDel="00000000" w:rsidR="00000000" w:rsidRPr="00000000">
        <w:rPr>
          <w:rtl w:val="0"/>
        </w:rPr>
        <w:t xml:space="preserve">3. Fuera del alcance del MVP (fases futuras)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Migración total de secretos a Secret Manager (hoy parcialmente en variables de entorno).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Extracción de Fidelizador (pendiente de integración).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automáticas de anomalías en la ingesta — en validación (trazabilidad de volumen y linaje dbt ya implementados; falta la notificación automática).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externa para que el Cliente de MarTech consuma métricas procesadas (PB08) — en proceso, prioridad baja, no bloqueante para el cierre del MVP.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x8jjljcfidcm" w:id="4"/>
      <w:bookmarkEnd w:id="4"/>
      <w:r w:rsidDel="00000000" w:rsidR="00000000" w:rsidRPr="00000000">
        <w:rPr>
          <w:rtl w:val="0"/>
        </w:rPr>
        <w:t xml:space="preserve">4. Criterios de éxito del MVP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3 extractores corren diariamente sin intervención manual.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dbt run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completo (staging → silver → gold) termina en verde.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KPIs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2121"/>
          <w:sz w:val="22"/>
          <w:szCs w:val="22"/>
          <w:u w:val="none"/>
          <w:shd w:fill="auto" w:val="clear"/>
          <w:vertAlign w:val="baseline"/>
          <w:rtl w:val="0"/>
        </w:rPr>
        <w:t xml:space="preserve">kpi_orders_daily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cuadran con Magento en muestra de 3 días.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disponibles antes de las 07:00 con datos del día anterior.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secretos versionados en el repositorio.</w:t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88888"/>
        <w:sz w:val="16"/>
        <w:szCs w:val="16"/>
        <w:u w:val="none"/>
        <w:shd w:fill="auto" w:val="clear"/>
        <w:vertAlign w:val="baseline"/>
        <w:rtl w:val="0"/>
      </w:rPr>
      <w:t xml:space="preserve">Proyecto MarTech — Plataforma de datos ATLAS · Documento de apoyo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43000" cy="285750"/>
          <wp:effectExtent b="0" l="0" r="0" t="0"/>
          <wp:docPr id="198193707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285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b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346BFA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346BF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346BFA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2yiVG5Pd3Hzrkiw7N+1ozddvUg==">CgMxLjAyDmguN2lrdDd4NHpoMnJmMg5oLm0zZ2hrZnR2NHFncjIOaC5tdGtvbHk0MjdobHEyDmgudnh2ZGI2ZjdlMHZsMg5oLng4ampsamNmaWRjbTgAciExTUxVYVA4NlJjUEl1akllTlk2bUdDNkVpNDhKSjdLcng=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