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>
        <w:tc>
          <w:tcPr>
            <w:tcW w:type="dxa" w:w="10076"/>
          </w:tcPr>
          <w:p>
            <w:r/>
            <w:r>
              <w:rPr>
                <w:rFonts w:ascii="Calibri" w:hAnsi="Calibri"/>
                <w:b/>
                <w:sz w:val="22"/>
              </w:rPr>
              <w:t xml:space="preserve">Respuesta: </w:t>
            </w:r>
            <w:r>
              <w:rPr>
                <w:rFonts w:ascii="Calibri" w:hAnsi="Calibri"/>
                <w:sz w:val="22"/>
              </w:rPr>
              <w:t>Sí, hemos cumplido las actividades en los tiempos definidos. Hasta ahora llevamos 107 de los 146 story points (PB01 a PB19) completados, 16 en proceso y 23 en validación, y la presentación del 13 de octubre nos salió bien.</w:t>
            </w:r>
          </w:p>
          <w:p>
            <w:r>
              <w:rPr>
                <w:rFonts w:ascii="Calibri" w:hAnsi="Calibri"/>
                <w:sz w:val="22"/>
              </w:rPr>
              <w:t>Lo que nos ayudó fue tener las tareas bien repartidas, revisar todo en el repositorio antes de subirlo y que el pipeline diario funciona estable, así trabajamos con datos reales.</w:t>
            </w:r>
          </w:p>
          <w:p>
            <w:r>
              <w:rPr>
                <w:rFonts w:ascii="Calibri" w:hAnsi="Calibri"/>
                <w:sz w:val="22"/>
              </w:rPr>
              <w:t>Lo que nos costó fueron los horarios de cada uno (yo estoy en la práctica de 8:30 a 17:30 más el viaje), revisar la atribución de los commits y las diferencias que encontramos entre los diagramas y el código, como el horario del pipeline que aparecía distinto en dos partes.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>
        <w:tc>
          <w:tcPr>
            <w:tcW w:type="dxa" w:w="10076"/>
          </w:tcPr>
          <w:p>
            <w:r/>
            <w:r>
              <w:rPr>
                <w:rFonts w:ascii="Calibri" w:hAnsi="Calibri"/>
                <w:b/>
                <w:sz w:val="22"/>
              </w:rPr>
              <w:t xml:space="preserve">Respuesta: </w:t>
            </w:r>
            <w:r>
              <w:rPr>
                <w:rFonts w:ascii="Calibri" w:hAnsi="Calibri"/>
                <w:sz w:val="22"/>
              </w:rPr>
              <w:t>Las enfrentamos revisando el repositorio commit por commit y reasignando las correcciones a quien correspondía: Rodrigo está confirmando sus commits, Jaime está corrigiendo el bloque de GA4/email/métricas, y los diagramas de secuencia y clases los corregimos y re-subimos el 12 de octubre. Cuando encontramos el token expuesto en el repositorio lo declaramos como riesgo en el informe en vez de esconderlo.</w:t>
            </w:r>
          </w:p>
          <w:p>
            <w:r>
              <w:rPr>
                <w:rFonts w:ascii="Calibri" w:hAnsi="Calibri"/>
                <w:sz w:val="22"/>
              </w:rPr>
              <w:t>Para lo que viene, vamos a revisar el código y los diagramas juntos antes de la entrega final y documentar las configuraciones de seguridad de la consola de GCP (DDM y RLS), porque no están en el repositorio.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>
        <w:tc>
          <w:tcPr>
            <w:tcW w:type="dxa" w:w="10076"/>
          </w:tcPr>
          <w:p>
            <w:r/>
            <w:r>
              <w:rPr>
                <w:rFonts w:ascii="Calibri" w:hAnsi="Calibri"/>
                <w:b/>
                <w:sz w:val="22"/>
              </w:rPr>
              <w:t xml:space="preserve">Respuesta: </w:t>
            </w:r>
            <w:r>
              <w:rPr>
                <w:rFonts w:ascii="Calibri" w:hAnsi="Calibri"/>
                <w:sz w:val="22"/>
              </w:rPr>
              <w:t>Yo me he encargado de la documentación y del control de los archivos: el Informe General con los 10 diagramas, la revisión del repositorio completo y subir los cambios por archivo con su diff real. Creo que lo hice con cuidado, usando solo datos reales.</w:t>
            </w:r>
          </w:p>
          <w:p>
            <w:r>
              <w:rPr>
                <w:rFonts w:ascii="Calibri" w:hAnsi="Calibri"/>
                <w:sz w:val="22"/>
              </w:rPr>
              <w:t>Lo que puedo mejorar es organizar mejor mi tiempo entre la práctica y el proyecto, y haber pedido la revisión cruzada de los commits desde antes.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>
        <w:tc>
          <w:tcPr>
            <w:tcW w:type="dxa" w:w="10076"/>
          </w:tcPr>
          <w:p>
            <w:r/>
            <w:r>
              <w:rPr>
                <w:rFonts w:ascii="Calibri" w:hAnsi="Calibri"/>
                <w:b/>
                <w:sz w:val="22"/>
              </w:rPr>
              <w:t xml:space="preserve">Respuesta: </w:t>
            </w:r>
            <w:r>
              <w:rPr>
                <w:rFonts w:ascii="Calibri" w:hAnsi="Calibri"/>
                <w:sz w:val="22"/>
              </w:rPr>
              <w:t>Nos quedan tres dudas: si el alcance de PB17 (incorporar nuevos clientes) va más allá de los 3 tenants actuales, cómo respaldar en el informe las configuraciones de seguridad que solo están en la consola de GCP (DDM y RLS), y si el plan de 1104 HH se cumple con el cierre del 02/11/26.</w:t>
            </w:r>
          </w:p>
          <w:p>
            <w:r>
              <w:rPr>
                <w:rFonts w:ascii="Calibri" w:hAnsi="Calibri"/>
                <w:sz w:val="22"/>
              </w:rPr>
              <w:t>Al docente le preguntaría: ¿qué evidencia espera que presentemos para las configuraciones que no están en el repositorio?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>
        <w:tc>
          <w:tcPr>
            <w:tcW w:type="dxa" w:w="10076"/>
          </w:tcPr>
          <w:p>
            <w:r/>
            <w:r>
              <w:rPr>
                <w:rFonts w:ascii="Calibri" w:hAnsi="Calibri"/>
                <w:b/>
                <w:sz w:val="22"/>
              </w:rPr>
              <w:t xml:space="preserve">Respuesta: </w:t>
            </w:r>
            <w:r>
              <w:rPr>
                <w:rFonts w:ascii="Calibri" w:hAnsi="Calibri"/>
                <w:sz w:val="22"/>
              </w:rPr>
              <w:t>La distribución actual funciona bien y no la cambiaríamos: Rodrigo lleva la auditoría de atribución y el ETL, Jaime el bloque de GA4/email/métricas, y yo la documentación e informes. Cada uno revisa lo del otro.</w:t>
            </w:r>
          </w:p>
          <w:p>
            <w:r>
              <w:rPr>
                <w:rFonts w:ascii="Calibri" w:hAnsi="Calibri"/>
                <w:sz w:val="22"/>
              </w:rPr>
              <w:t>Las actividades nuevas serían las de cierre: juntar la evidencia de las configuraciones de consola, validar los 23 story points que están en validación y terminar el Informe Final.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>
        <w:tc>
          <w:tcPr>
            <w:tcW w:type="dxa" w:w="10076"/>
          </w:tcPr>
          <w:p>
            <w:r/>
            <w:r>
              <w:rPr>
                <w:rFonts w:ascii="Calibri" w:hAnsi="Calibri"/>
                <w:b/>
                <w:sz w:val="22"/>
              </w:rPr>
              <w:t xml:space="preserve">Respuesta: </w:t>
            </w:r>
            <w:r>
              <w:rPr>
                <w:rFonts w:ascii="Calibri" w:hAnsi="Calibri"/>
                <w:sz w:val="22"/>
              </w:rPr>
              <w:t>Trabajamos bien como grupo. Lo positivo es que nos comunicamos directo y nos avisamos los problemas sin taparlos, y cuando hay que corregir lo hacemos rápido.</w:t>
            </w:r>
          </w:p>
          <w:p>
            <w:r>
              <w:rPr>
                <w:rFonts w:ascii="Calibri" w:hAnsi="Calibri"/>
                <w:sz w:val="22"/>
              </w:rPr>
              <w:t>Lo que debemos mejorar es haber cuidado la atribución de los commits desde el principio y mantener los diagramas y el código sincronizados siempre.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