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Rodrigo Urbina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20.808.130-6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tl w:val="0"/>
              </w:rPr>
              <w:t xml:space="preserve">Migración de plataforma analítica de datos desde infraestructura local a Google Cloud Platform para la integración de fuentes heterogéneas y generación de una vista unificada del cliente (Customer 360)</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4"/>
                <w:szCs w:val="24"/>
              </w:rPr>
            </w:pPr>
            <w:r w:rsidDel="00000000" w:rsidR="00000000" w:rsidRPr="00000000">
              <w:rPr>
                <w:sz w:val="24"/>
                <w:szCs w:val="24"/>
                <w:rtl w:val="0"/>
              </w:rPr>
              <w:t xml:space="preserve">Gestión de Proyectos BI.</w:t>
              <w:br w:type="textWrapping"/>
              <w:t xml:space="preserve">Análisis y Evaluación de Soluciones Informáticas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sz w:val="24"/>
                <w:szCs w:val="24"/>
                <w:u w:val="none"/>
              </w:rPr>
            </w:pPr>
            <w:r w:rsidDel="00000000" w:rsidR="00000000" w:rsidRPr="00000000">
              <w:rPr>
                <w:sz w:val="24"/>
                <w:szCs w:val="24"/>
                <w:rtl w:val="0"/>
              </w:rPr>
              <w:t xml:space="preserve">Implementar soluciones sistemáticas integrales para automatizar y optimizar procesos de negocio de acuerdo a las necesidades de la organización.</w:t>
            </w:r>
          </w:p>
          <w:p w:rsidR="00000000" w:rsidDel="00000000" w:rsidP="00000000" w:rsidRDefault="00000000" w:rsidRPr="00000000" w14:paraId="0000001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sz w:val="24"/>
                <w:szCs w:val="24"/>
                <w:u w:val="none"/>
              </w:rPr>
            </w:pPr>
            <w:r w:rsidDel="00000000" w:rsidR="00000000" w:rsidRPr="00000000">
              <w:rPr>
                <w:sz w:val="24"/>
                <w:szCs w:val="24"/>
                <w:rtl w:val="0"/>
              </w:rPr>
              <w:t xml:space="preserve">Desarrollar la transformación de grandes volúmenes de datos para la obtención de información y conocimiento de la organización con el fin de apoyar a la toma de decisiones y la mejora de los procesos de negocios</w:t>
            </w:r>
          </w:p>
          <w:p w:rsidR="00000000" w:rsidDel="00000000" w:rsidP="00000000" w:rsidRDefault="00000000" w:rsidRPr="00000000" w14:paraId="0000002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4"/>
                <w:szCs w:val="24"/>
                <w:u w:val="none"/>
              </w:rPr>
            </w:pPr>
            <w:r w:rsidDel="00000000" w:rsidR="00000000" w:rsidRPr="00000000">
              <w:rPr>
                <w:sz w:val="24"/>
                <w:szCs w:val="24"/>
                <w:rtl w:val="0"/>
              </w:rPr>
              <w:t xml:space="preserve">Construir un modelo arquitectónico de una solución sistémica que soporte los procesos de negocio de acuerdo a los requerimientos de la organización y estándares de la industria</w:t>
            </w: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Martech es una empresa chilena de marketing automation y analítica de datos B2B que presta servicios a clientes del sector de alimentos y consumo masivo, entre ellos PF, Carozzi y Ariztía. Previo a este proyecto, la operación de datos de Martech dependía de una infraestructura local basada en MySQL, con el pipelines ETL desarrollados de forma ad-hoc por cliente, sin trazabilidad de datos crudos, sin capacidad de integrar múltiples fuentes (e-commerce, email marketing, web analytics) en una vista unificada, y sin escalabilidad para incorporar nuevos clientes sin rediseñar desde cero.</w:t>
            </w:r>
          </w:p>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Esta arquitectura generaba problemas concretos: duplicación de esfuerzo de ingeniería por cada nuevo tenant, imposibilidad de cruzar fuentes de datos en análisis unificados, ausencia de un historial auditable de los datos originales, y procesamiento manual de reportes que debían actualizarse diariamente. Adicionalmente, la entrada en vigencia de la Ley 21.719 de protección de datos personales en Chile (efectiva el 1 de diciembre de 2026) impuso una urgencia regulatoria: los datos de clientes deben gestionarse con controles de acceso auditables y bajo una arquitectura que distinga claramente el rol del encargado (Martech) del responsable (cliente final), algo que la infraestructura MySQL local no podía garantizar.</w:t>
            </w:r>
          </w:p>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El proyecto se ubica en Santiago, Chile e impacta directamente a los equipos comerciales y de marketing de empresas del sector alimentos con operación de venta B2B online, donde la segmentación de clientes, el seguimientos del ciclo de compra y la atribución de campañas son procesos críticos que hasta hora se realizaban con datos fragmentados.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El objetivo del proyecto es migrar la plataforma de datos de Martech desde una infraestructura local basada en MySQL hacia Google Cloud Platform (GCP), adoptando una arquitectura de datos estandarizada que permita integrar múltiple fuentes de datos y producir una vista unificada del cliente (Customer 360) como producto analítico principal.</w:t>
            </w:r>
          </w:p>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La migración implicó redefinir el destino de los pipelines ELT (de MySQL a BigQuery), adoptar el patrón Medallion (Bronze -&gt;  Silver -&gt; Gold) como arquitectura de capas, reescribir los modelos de transformación en dbt Cloud, e implementar la orquestación en servicios gestionados de GCP (Cloud Run, Cloud Scheduler, Pub/Sub). El aislamiento entre clientes se implementa mediante una columna tenant_id en todas las capas y Row Level Security en BigQuery. El primer tenant migrado a producción es PF, validando la arquitectura antes de escalar a Carozzi y Ariztía.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La migración como proyecto involucra necesariamente decisiones de nivel 4: no se trata de replicar la infraestructura anterior en otro servidor, sino de evaluar la arquitectura existente, identificar sus limitaciones, y diseñar e implementar una solución superior que resuelva problemas que la infraestructura anterior no podía abordar.</w:t>
            </w:r>
          </w:p>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La competencia de nivel 4 “Implementar soluciones sistemáticas integrales para automatizar u optimizar procesos de negocio” se ejerce al reemplazar un proceso manual y frágil (pipelines ad-hoc a MySQL) por un sistema automatizado, estandarizado y observable: pipelines en Cloud Run con delta loading, orquestación vía Pub/Sub, y modelos dbt que producen KPIs accionables diariamente sin intervención humana.</w:t>
            </w:r>
          </w:p>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La competencia de nivel 4 “Desarrollar la transformación de grandes volúmenes de datos para la obtención de información y conocimiento” se pone en práctica al construir las capas Silver y Gold sobre BigQuery: los modelos dbt integran tres fuentes heterogéneas (Magento, Mailup/Fidelizador y GA4), aplican segmentación RFM, y producen la tabla customer_360 que antes no existía en ninguna forma en la estructura anterior.</w:t>
            </w:r>
          </w:p>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La competencia de nivel 3 “Construir el modelo arquitectónico de una solución sistémica” se manifiesta en las decisiones de migración documentadas: elección de patrón Medallion, estrategia de aislamiento multi tenant por tenant_id versus schemas separados, selección de BigQuery como Data Warehouse, y la separación de orquestación (Cloud Scheduler + Pub/Sub) de transformación (dbt Cloud) para mayor resiliencia operacional.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Señala cómo se relaciona el Proyecto APT que propones con tus intereses profesionales.</w:t>
            </w:r>
          </w:p>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¿Cuáles son tus intereses profesionales?  ¿Qué aspectos de tus intereses profesionales se ven reflejados en tu Proyecto APT? Realizar este Proyecto APT, ¿de qué manera va a contribuir a tu desarrollo profesional? </w:t>
            </w:r>
          </w:p>
        </w:tc>
      </w:tr>
      <w:tr>
        <w:trPr>
          <w:cantSplit w:val="0"/>
          <w:trHeight w:val="132"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br w:type="textWrapping"/>
              <w:t xml:space="preserve">El proyecto es factible porque la migración ya fue ejecutada: el tenant piloto de PF está activo en producción sobre GCP, los pipelines corren diariamente en Cloud Run escribiendo a BigQuery, los modelos dbt Silver y Gold están desplegados, y los dashboards de Looker Studio son consumidos por el cliente. Esto elimina el riesgo técnico principal, ya que no se trata de un prototipo sino de un sistema en operación real.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En cuanto a recursos, el proyecto utiliza servicios GCP bajo el proyecto martech-data-platform-atlas, dbt Cloud en cuenta activa, y código Python con librerías de uso libre. No se requiere inversión adicional en infraestructura para el desarrollo del APT. El semestre se destina a documentar, analizar y formalizar la migración realizada, lo que es alcanzable dentro de los plazos académicos.</w:t>
            </w:r>
            <w:r w:rsidDel="00000000" w:rsidR="00000000" w:rsidRPr="00000000">
              <w:rPr>
                <w:rtl w:val="0"/>
              </w:rPr>
            </w:r>
          </w:p>
        </w:tc>
      </w:tr>
    </w:tbl>
    <w:p w:rsidR="00000000" w:rsidDel="00000000" w:rsidP="00000000" w:rsidRDefault="00000000" w:rsidRPr="00000000" w14:paraId="00000038">
      <w:pPr>
        <w:rPr>
          <w:b w:val="1"/>
          <w:bCs w:val="1"/>
          <w:color w:val="4472c4"/>
          <w:sz w:val="32"/>
          <w:szCs w:val="3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E">
            <w:pPr>
              <w:jc w:val="both"/>
              <w:rPr>
                <w:rFonts w:ascii="Calibri" w:cs="Calibri" w:eastAsia="Calibri" w:hAnsi="Calibri"/>
                <w:i w:val="1"/>
                <w:iCs w:val="1"/>
                <w:color w:val="548dd4"/>
                <w:sz w:val="20"/>
                <w:szCs w:val="20"/>
              </w:rPr>
            </w:pPr>
            <w:r w:rsidDel="00000000" w:rsidR="00000000" w:rsidRPr="00000000">
              <w:rPr>
                <w:sz w:val="20"/>
                <w:szCs w:val="20"/>
                <w:rtl w:val="0"/>
              </w:rPr>
              <w:t xml:space="preserve">Migrar la plataforma de datos de MArtech desde una infraestructura local basada en MySQL hacia Google Cloud Platform, adoptando una arquitectura Medallion sobre BigQuery con pipelines estandarizados en Cloud Run y transformaciones en dbt Cloud, que integre fuentes de datos heterogéneas y produzca una vista unificada del cliente escalable, auditable y conforme a la normativa chilena de protección de datos.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0">
            <w:pPr>
              <w:numPr>
                <w:ilvl w:val="0"/>
                <w:numId w:val="2"/>
              </w:numPr>
              <w:spacing w:after="0" w:afterAutospacing="0"/>
              <w:ind w:left="720" w:hanging="360"/>
              <w:jc w:val="both"/>
              <w:rPr>
                <w:rFonts w:ascii="Calibri" w:cs="Calibri" w:eastAsia="Calibri" w:hAnsi="Calibri"/>
                <w:sz w:val="20"/>
                <w:szCs w:val="20"/>
              </w:rPr>
            </w:pPr>
            <w:r w:rsidDel="00000000" w:rsidR="00000000" w:rsidRPr="00000000">
              <w:rPr>
                <w:sz w:val="20"/>
                <w:szCs w:val="20"/>
                <w:rtl w:val="0"/>
              </w:rPr>
              <w:t xml:space="preserve">Evaluar las limitaciones de la infraestructura anterior (MySQL local, pipelines ad-hoc) y definir los requerimientos de la arquitectura de destino en GCP</w:t>
            </w:r>
          </w:p>
          <w:p w:rsidR="00000000" w:rsidDel="00000000" w:rsidP="00000000" w:rsidRDefault="00000000" w:rsidRPr="00000000" w14:paraId="00000041">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Migrar los pipelines ELT a Cloud Run, redirigiendo desde MySQL hacia la capa Bronze en BigQuery con persistencia del JSON crudo de cada fuente</w:t>
            </w:r>
          </w:p>
          <w:p w:rsidR="00000000" w:rsidDel="00000000" w:rsidP="00000000" w:rsidRDefault="00000000" w:rsidRPr="00000000" w14:paraId="00000042">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Implementar la ingesta de datos de email marketing desde Mailup (PF) y Fidelizador (otros tenants) hacia Bronze, con manejo diferenciado por fuente</w:t>
            </w:r>
          </w:p>
          <w:p w:rsidR="00000000" w:rsidDel="00000000" w:rsidP="00000000" w:rsidRDefault="00000000" w:rsidRPr="00000000" w14:paraId="00000043">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Construir los modelos dbt Silver que reemplacen las transformaciones anteriores con normalización estándar, deduplicación por PK compuesta y reglas de negocio documentadas.</w:t>
            </w:r>
          </w:p>
          <w:p w:rsidR="00000000" w:rsidDel="00000000" w:rsidP="00000000" w:rsidRDefault="00000000" w:rsidRPr="00000000" w14:paraId="00000044">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Construir con los modelos dbt Gold que generen KPIs de negocio, segmentación RFM y la tabla customer_360 integrando comportamiento transaccional, email y web analytics.</w:t>
            </w:r>
          </w:p>
          <w:p w:rsidR="00000000" w:rsidDel="00000000" w:rsidP="00000000" w:rsidRDefault="00000000" w:rsidRPr="00000000" w14:paraId="00000045">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Implementar la orquestación automatizada del pipeline mediante Cloud Scheduler y Pub/Sub, reemplazando la ejecución anterior.</w:t>
            </w:r>
          </w:p>
          <w:p w:rsidR="00000000" w:rsidDel="00000000" w:rsidP="00000000" w:rsidRDefault="00000000" w:rsidRPr="00000000" w14:paraId="00000046">
            <w:pPr>
              <w:numPr>
                <w:ilvl w:val="0"/>
                <w:numId w:val="2"/>
              </w:numPr>
              <w:ind w:left="720" w:hanging="360"/>
              <w:jc w:val="both"/>
              <w:rPr>
                <w:sz w:val="20"/>
                <w:szCs w:val="20"/>
                <w:u w:val="none"/>
              </w:rPr>
            </w:pPr>
            <w:r w:rsidDel="00000000" w:rsidR="00000000" w:rsidRPr="00000000">
              <w:rPr>
                <w:sz w:val="20"/>
                <w:szCs w:val="20"/>
                <w:rtl w:val="0"/>
              </w:rPr>
              <w:t xml:space="preserve">Validar la migración en producción con el tenant PF y documentar los estándares replicables para la incorporación de Carozzi y Ariztía. </w:t>
            </w: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Para el desarrollo del presente proyecto se utilizó una metodología ágil basada en Scrum, adaptada al contexto de un proyecto de ingeniería de datos ejecutado en un entorno profesional real. Esta metodología fue seleccionada por su capacidad de gestionar la incertidumbre técnica inherente a una migración de infraestructura, donde los requerimientos evolucionan a medida que se descubren restricciones de las APIs, limitaciones de los proveedores y necesidades de los clientes.</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b w:val="1"/>
                <w:bCs w:val="1"/>
                <w:sz w:val="20"/>
                <w:szCs w:val="20"/>
                <w:rtl w:val="0"/>
              </w:rPr>
              <w:t xml:space="preserve">Marco de trabajo Scrum aplicado</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El proyecto se organizó en sprints de dos semanas, cada uno con un incremento funcional concreto y verificable. Al inicio de cada sprint se definió el objetivo mediante una sesión de planificación, y al cierre se evaluó el resultado contra los criterios de aceptación definidos (por ejemplo: pipeline corriendo en producción, modelos dbt pasando los tests de integridad, datos validados en BigQuery).</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El backlog del producto fue evolucionando a lo largo del proyecto e incluyó ítems como: separación del pipeline ETL original del nuevo pipeline ELT a GCP, construcción de la capa Bronze por tenant, diseño e implementación de modelos Silver con staging layer, construcción de la capa Gold con segmentación RFM, integración de email marketing (Mailup y Fidelizador), integración de GA4, orquestación automática del pipeline, y configuración de seguridad y compliance.</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b w:val="1"/>
                <w:bCs w:val="1"/>
                <w:sz w:val="20"/>
                <w:szCs w:val="20"/>
              </w:rPr>
            </w:pPr>
            <w:r w:rsidDel="00000000" w:rsidR="00000000" w:rsidRPr="00000000">
              <w:rPr>
                <w:b w:val="1"/>
                <w:bCs w:val="1"/>
                <w:sz w:val="20"/>
                <w:szCs w:val="20"/>
                <w:rtl w:val="0"/>
              </w:rPr>
              <w:t xml:space="preserve">Etapas del proyecto</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Etapa 1 — Diagnóstico y diseño de arquitectura: levantamiento de la infraestructura existente (MySQL local, pipelines ETL ad-hoc), identificación de sus limitaciones, definición de la arquitectura de destino en GCP con patrón Medallion (Bronze → Silver → Gold), selección del stack tecnológico y diseño del esquema de tablas por capa.</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Etapa 2 — Migración de la capa Bronze: desarrollo de los pipelines ELT en Python con Cloud Run. Cada tenant (PF, AATN, MC) tuvo su propio sprint de migración, incluyendo extracción desde Magento REST API con delta loading, escritura del JSON crudo a bronze.ecommerce, y configuración de la infraestructura de orquestación (Cloud Scheduler, Pub/Sub, Cloud Functions). Se ejecutó la carga histórica de datos desde MySQL a BigQuery mes por mes.</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Etapa 3 — Construcción de la capa Silver: diseño e implementación de modelos dbt Cloud con staging layer por tenant. Cada modelo staging parsea el JSON crudo de Bronze y aplica reglas de negocio específicas del tenant (normalización de RUT, conversión de zona horaria, mapeo de estados). Los modelos Silver consolidan todos los tenants via UNION ALL en tablas unificadas: fact_orders, fact_order_items, dim_client, dim_product, dim_company.</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Etapa 4 — Integración de email marketing: desarrollo de pipelines separados para Mailup (PF) y Fidelizador (AATN, MC, DUOC), con lógica diferenciada por plataforma. Construcción del modelo fact_email en Silver que unifica ambas fuentes en una tabla común.</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Etapa 5 — Construcción de la capa Gold: implementación de modelos analíticos sobre Silver: kpi_orders_daily, customer_360 con segmentación RFM via NTILE(5), campaign_performance, email_ga4_performance con integración de GA4 BigQuery Export, product_performance y monthly_summary.</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Etapa 6 — Operación, validación y documentación: validación del pipeline completo en producción con el tenant PF como piloto, resolución de incidentes (Cloudflare, .env en Docker, Cloud Function), definición de estándares de compliance bajo Ley 21.719, y documentación de la arquitectura y estándares replicables para nuevos tenants.</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b w:val="1"/>
                <w:bCs w:val="1"/>
                <w:sz w:val="20"/>
                <w:szCs w:val="20"/>
                <w:rtl w:val="0"/>
              </w:rPr>
              <w:t xml:space="preserve">Gestión durante la operación continua</w:t>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Una vez estabilizado el sistema en producción, la gestión del backlog de mejoras y correcciones se gestionó con un enfoque Kanban, con columnas de estado (pendiente → en progreso → en revisión → en producción), lo que permitió priorizar cambios sin necesidad de interrumpir el ciclo de sprints formales.</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b w:val="1"/>
                <w:bCs w:val="1"/>
                <w:sz w:val="20"/>
                <w:szCs w:val="20"/>
                <w:rtl w:val="0"/>
              </w:rPr>
              <w:t xml:space="preserve">Métodos de validación</w:t>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0"/>
                <w:szCs w:val="20"/>
              </w:rPr>
            </w:pPr>
            <w:r w:rsidDel="00000000" w:rsidR="00000000" w:rsidRPr="00000000">
              <w:rPr>
                <w:sz w:val="20"/>
                <w:szCs w:val="20"/>
                <w:rtl w:val="0"/>
              </w:rPr>
              <w:t xml:space="preserve">Cada incremento fue validado mediante: ejecución de dbt test para verificar integridad referencial y nulidad de PKs, comparación de conteos entre Bronze y Silver para detectar pérdida de registros en las transformaciones, y revisión de datos reales en Looker Studio con el equipo de Martech antes de considerar cada componente como producción.</w:t>
            </w:r>
          </w:p>
          <w:p w:rsidR="00000000" w:rsidDel="00000000" w:rsidP="00000000" w:rsidRDefault="00000000" w:rsidRPr="00000000" w14:paraId="00000060">
            <w:pPr>
              <w:jc w:val="both"/>
              <w:rPr>
                <w:i w:val="1"/>
                <w:iCs w:val="1"/>
                <w:color w:val="ff0000"/>
                <w:sz w:val="18"/>
                <w:szCs w:val="18"/>
              </w:rPr>
            </w:pPr>
            <w:r w:rsidDel="00000000" w:rsidR="00000000" w:rsidRPr="00000000">
              <w:rPr>
                <w:rtl w:val="0"/>
              </w:rPr>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Documento de arquitectura técnica</w:t>
            </w:r>
          </w:p>
        </w:tc>
        <w:tc>
          <w:tcPr/>
          <w:p w:rsidR="00000000" w:rsidDel="00000000" w:rsidP="00000000" w:rsidRDefault="00000000" w:rsidRPr="00000000" w14:paraId="0000006D">
            <w:pPr>
              <w:jc w:val="both"/>
              <w:rPr>
                <w:rFonts w:ascii="Calibri" w:cs="Calibri" w:eastAsia="Calibri" w:hAnsi="Calibri"/>
              </w:rPr>
            </w:pPr>
            <w:r w:rsidDel="00000000" w:rsidR="00000000" w:rsidRPr="00000000">
              <w:rPr>
                <w:rtl w:val="0"/>
              </w:rPr>
              <w:t xml:space="preserve">Especificación formal de la arquitectura Medallion en GCP: diagrama de componentes, stack tecnológico, decisiones de diseño y justificación frente a alternativas evaluadas </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Informe de avance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Diagrama de flujo del pipeline ELT</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Diagrama de carriles que representa el flujo completo desde la API de Magento hasta BigQuery Bronze, incluyendo Cloud Run, Cloud Scheduler y Pub/Sub </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Informe de avance</w:t>
            </w:r>
          </w:p>
        </w:tc>
      </w:tr>
      <w:tr>
        <w:trPr>
          <w:cantSplit w:val="0"/>
          <w:trHeight w:val="362" w:hRule="atLeast"/>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Código fuente comentado del pipeline ELT</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Módulos </w:t>
            </w:r>
            <w:r w:rsidDel="00000000" w:rsidR="00000000" w:rsidRPr="00000000">
              <w:rPr>
                <w:rtl w:val="0"/>
              </w:rPr>
              <w:t xml:space="preserve">main.py</w:t>
            </w:r>
            <w:r w:rsidDel="00000000" w:rsidR="00000000" w:rsidRPr="00000000">
              <w:rPr>
                <w:rtl w:val="0"/>
              </w:rPr>
              <w:t xml:space="preserve">, </w:t>
            </w:r>
            <w:r w:rsidDel="00000000" w:rsidR="00000000" w:rsidRPr="00000000">
              <w:rPr>
                <w:rtl w:val="0"/>
              </w:rPr>
              <w:t xml:space="preserve">extract.py</w:t>
            </w:r>
            <w:r w:rsidDel="00000000" w:rsidR="00000000" w:rsidRPr="00000000">
              <w:rPr>
                <w:rtl w:val="0"/>
              </w:rPr>
              <w:t xml:space="preserve">, </w:t>
            </w:r>
            <w:r w:rsidDel="00000000" w:rsidR="00000000" w:rsidRPr="00000000">
              <w:rPr>
                <w:rtl w:val="0"/>
              </w:rPr>
              <w:t xml:space="preserve">transform.py</w:t>
            </w:r>
            <w:r w:rsidDel="00000000" w:rsidR="00000000" w:rsidRPr="00000000">
              <w:rPr>
                <w:rtl w:val="0"/>
              </w:rPr>
              <w:t xml:space="preserve"> y </w:t>
            </w:r>
            <w:r w:rsidDel="00000000" w:rsidR="00000000" w:rsidRPr="00000000">
              <w:rPr>
                <w:rtl w:val="0"/>
              </w:rPr>
              <w:t xml:space="preserve">load.py</w:t>
            </w:r>
            <w:r w:rsidDel="00000000" w:rsidR="00000000" w:rsidRPr="00000000">
              <w:rPr>
                <w:rtl w:val="0"/>
              </w:rPr>
              <w:t xml:space="preserve"> con comentarios técnicos que explican el delta loading, la paginación paralela y la escritura a Bronze </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Informe de avance</w:t>
            </w:r>
          </w:p>
        </w:tc>
      </w:tr>
      <w:tr>
        <w:trPr>
          <w:cantSplit w:val="0"/>
          <w:trHeight w:val="362" w:hRule="atLeast"/>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Modelos dbt Silver con documentación</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Código SQL de los modelos staging y Silver con descripción de las reglas de negocio aplicadas en cada transformación por tenant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Informe de avance</w:t>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Modelos dbt Gold con documentación </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Código SQL de los modelos analíticos (customer_360, kpi_orders_daily, campaign_performance, email_ga4_performance) con descripción de métricas y lógica de segmentación RFM</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Informe final</w:t>
            </w:r>
          </w:p>
        </w:tc>
      </w:tr>
      <w:tr>
        <w:trPr>
          <w:cantSplit w:val="0"/>
          <w:trHeight w:val="362" w:hRule="atLeast"/>
          <w:tblHeader w:val="0"/>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80">
            <w:pPr>
              <w:tabs>
                <w:tab w:val="center" w:leader="none" w:pos="4419"/>
                <w:tab w:val="right" w:leader="none" w:pos="8838"/>
              </w:tabs>
              <w:spacing w:after="0" w:line="240" w:lineRule="auto"/>
              <w:jc w:val="both"/>
              <w:rPr/>
            </w:pPr>
            <w:r w:rsidDel="00000000" w:rsidR="00000000" w:rsidRPr="00000000">
              <w:rPr>
                <w:rtl w:val="0"/>
              </w:rPr>
              <w:t xml:space="preserve">Pipeline de email marketing </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Código fuente de los pipelines Mailup y Fidelizador con documentación de las diferencias por plataforma y las decisiones para unificarlos en fact_email</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Informe final</w:t>
            </w:r>
          </w:p>
        </w:tc>
      </w:tr>
      <w:tr>
        <w:trPr>
          <w:cantSplit w:val="0"/>
          <w:trHeight w:val="362" w:hRule="atLeast"/>
          <w:tblHeader w:val="0"/>
        </w:trPr>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84">
            <w:pPr>
              <w:tabs>
                <w:tab w:val="center" w:leader="none" w:pos="4419"/>
                <w:tab w:val="right" w:leader="none" w:pos="8838"/>
              </w:tabs>
              <w:spacing w:after="0" w:line="240" w:lineRule="auto"/>
              <w:jc w:val="both"/>
              <w:rPr/>
            </w:pPr>
            <w:r w:rsidDel="00000000" w:rsidR="00000000" w:rsidRPr="00000000">
              <w:rPr>
                <w:rtl w:val="0"/>
              </w:rPr>
              <w:t xml:space="preserve">Dashboard Looker Studio </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Vista funcional del customer_360, KPIs de órdenes y rendimiento de campañas para el tenant PF como producto analítico final</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Informe final</w:t>
            </w:r>
          </w:p>
        </w:tc>
      </w:tr>
      <w:tr>
        <w:trPr>
          <w:cantSplit w:val="0"/>
          <w:trHeight w:val="362" w:hRule="atLeast"/>
          <w:tblHeader w:val="0"/>
        </w:trP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88">
            <w:pPr>
              <w:tabs>
                <w:tab w:val="center" w:leader="none" w:pos="4419"/>
                <w:tab w:val="right" w:leader="none" w:pos="8838"/>
              </w:tabs>
              <w:spacing w:after="0" w:line="240" w:lineRule="auto"/>
              <w:jc w:val="both"/>
              <w:rPr/>
            </w:pPr>
            <w:r w:rsidDel="00000000" w:rsidR="00000000" w:rsidRPr="00000000">
              <w:rPr>
                <w:rtl w:val="0"/>
              </w:rPr>
              <w:t xml:space="preserve">Informe técnico final </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Documento que integra diagnóstico de la infraestructura anterior, justificación de la migración, arquitectura implementada, resultados en producción, cumplimiento Ley 21.719 y proyección de escalabilidad</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Informe final</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b w:val="1"/>
                <w:bCs w:val="1"/>
                <w:sz w:val="18"/>
                <w:szCs w:val="18"/>
                <w:rtl w:val="0"/>
              </w:rPr>
              <w:t xml:space="preserve">Construir el modelo arquitectónico (Nivel 3) </w:t>
            </w:r>
            <w:r w:rsidDel="00000000" w:rsidR="00000000" w:rsidRPr="00000000">
              <w:rPr>
                <w:rtl w:val="0"/>
              </w:rPr>
            </w:r>
          </w:p>
        </w:tc>
        <w:tc>
          <w:tcPr/>
          <w:p w:rsidR="00000000" w:rsidDel="00000000" w:rsidP="00000000" w:rsidRDefault="00000000" w:rsidRPr="00000000" w14:paraId="0000009F">
            <w:pPr>
              <w:jc w:val="both"/>
              <w:rPr>
                <w:b w:val="1"/>
                <w:bCs w:val="1"/>
                <w:sz w:val="18"/>
                <w:szCs w:val="18"/>
              </w:rPr>
            </w:pPr>
            <w:r w:rsidDel="00000000" w:rsidR="00000000" w:rsidRPr="00000000">
              <w:rPr>
                <w:b w:val="1"/>
                <w:bCs w:val="1"/>
                <w:sz w:val="18"/>
                <w:szCs w:val="18"/>
                <w:rtl w:val="0"/>
              </w:rPr>
              <w:t xml:space="preserve">Diagnóstico de la infraestructura actual</w:t>
            </w:r>
          </w:p>
        </w:tc>
        <w:tc>
          <w:tcPr/>
          <w:p w:rsidR="00000000" w:rsidDel="00000000" w:rsidP="00000000" w:rsidRDefault="00000000" w:rsidRPr="00000000" w14:paraId="000000A0">
            <w:pPr>
              <w:jc w:val="both"/>
              <w:rPr>
                <w:b w:val="1"/>
                <w:bCs w:val="1"/>
                <w:sz w:val="18"/>
                <w:szCs w:val="18"/>
              </w:rPr>
            </w:pPr>
            <w:r w:rsidDel="00000000" w:rsidR="00000000" w:rsidRPr="00000000">
              <w:rPr>
                <w:b w:val="1"/>
                <w:bCs w:val="1"/>
                <w:sz w:val="18"/>
                <w:szCs w:val="18"/>
                <w:rtl w:val="0"/>
              </w:rPr>
              <w:t xml:space="preserve">Levantamiento y análisis de la infraestructura existente basada en MySQL local: identificación de limitaciones técnicas, problemas de escalabilidad y ausencia de integración de fuentes. Definición de requerimientos para la arquitectura de destino </w:t>
            </w:r>
          </w:p>
        </w:tc>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Documentación técnica existente, acceso a MySQL local</w:t>
            </w:r>
          </w:p>
        </w:tc>
        <w:tc>
          <w:tcPr>
            <w:tcBorders>
              <w:right w:color="ffffff" w:space="0" w:sz="4" w:val="single"/>
            </w:tcBorders>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Escribe la duración de actividades o tarea.</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Escribe el nombre del integrante del equipo responsable de la actividad y tareas asociadas.</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Escribe las dificultades o facilitadores que se podrían presentar durante la ejecución de cada una de las actividades propuestas para llevar a cabo el plan de trabajo.</w:t>
            </w:r>
          </w:p>
        </w:tc>
      </w:tr>
      <w:tr>
        <w:trPr>
          <w:cantSplit w:val="0"/>
          <w:tblHeader w:val="0"/>
        </w:trPr>
        <w:tc>
          <w:tcPr/>
          <w:p w:rsidR="00000000" w:rsidDel="00000000" w:rsidP="00000000" w:rsidRDefault="00000000" w:rsidRPr="00000000" w14:paraId="000000A6">
            <w:pPr>
              <w:jc w:val="both"/>
              <w:rPr>
                <w:b w:val="1"/>
                <w:bCs w:val="1"/>
                <w:sz w:val="18"/>
                <w:szCs w:val="18"/>
              </w:rPr>
            </w:pPr>
            <w:r w:rsidDel="00000000" w:rsidR="00000000" w:rsidRPr="00000000">
              <w:rPr>
                <w:b w:val="1"/>
                <w:bCs w:val="1"/>
                <w:sz w:val="18"/>
                <w:szCs w:val="18"/>
                <w:rtl w:val="0"/>
              </w:rPr>
              <w:t xml:space="preserve">Construir el modelo arquitectónico (Nivel 3) </w:t>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Diseño de la arquitectura de destino en GCP </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Definición formal de la arquitectura Medallion (Bronze → Silver → Gold) sobre BigQuery: diseño del esquema de tablas por capa, estrategia de aislamiento multi-tenant por </w:t>
            </w:r>
            <w:r w:rsidDel="00000000" w:rsidR="00000000" w:rsidRPr="00000000">
              <w:rPr>
                <w:b w:val="1"/>
                <w:bCs w:val="1"/>
                <w:sz w:val="18"/>
                <w:szCs w:val="18"/>
                <w:rtl w:val="0"/>
              </w:rPr>
              <w:t xml:space="preserve">tenant_id</w:t>
            </w:r>
            <w:r w:rsidDel="00000000" w:rsidR="00000000" w:rsidRPr="00000000">
              <w:rPr>
                <w:b w:val="1"/>
                <w:bCs w:val="1"/>
                <w:sz w:val="18"/>
                <w:szCs w:val="18"/>
                <w:rtl w:val="0"/>
              </w:rPr>
              <w:t xml:space="preserve">, selección del stack tecnológico y elaboración del diagrama de componentes </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Lucidchart, documentación GCP, dbt Cloud</w:t>
            </w:r>
          </w:p>
        </w:tc>
        <w:tc>
          <w:tcPr>
            <w:tcBorders>
              <w:right w:color="ffffff" w:space="0" w:sz="4" w:val="single"/>
            </w:tcBorders>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Semanas 2–4 </w:t>
            </w:r>
          </w:p>
        </w:tc>
        <w:tc>
          <w:tcPr>
            <w:tcBorders>
              <w:left w:color="ffffff" w:space="0" w:sz="4" w:val="single"/>
            </w:tcBorders>
            <w:shd w:fill="d9d9d9" w:val="cle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Rodrigo Urbina </w:t>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Dificultad: evaluar alternativas arquitectónicas (schemas separados vs tenant_id, Data Vault vs Medallion) antes de decidir </w:t>
            </w:r>
          </w:p>
        </w:tc>
      </w:tr>
      <w:tr>
        <w:trPr>
          <w:cantSplit w:val="0"/>
          <w:trHeight w:val="1330.60791015625" w:hRule="atLeast"/>
          <w:tblHeader w:val="0"/>
        </w:trPr>
        <w:tc>
          <w:tcPr/>
          <w:p w:rsidR="00000000" w:rsidDel="00000000" w:rsidP="00000000" w:rsidRDefault="00000000" w:rsidRPr="00000000" w14:paraId="000000AD">
            <w:pPr>
              <w:jc w:val="both"/>
              <w:rPr>
                <w:b w:val="1"/>
                <w:bCs w:val="1"/>
                <w:sz w:val="18"/>
                <w:szCs w:val="18"/>
              </w:rPr>
            </w:pPr>
            <w:r w:rsidDel="00000000" w:rsidR="00000000" w:rsidRPr="00000000">
              <w:rPr>
                <w:b w:val="1"/>
                <w:bCs w:val="1"/>
                <w:sz w:val="18"/>
                <w:szCs w:val="18"/>
                <w:rtl w:val="0"/>
              </w:rPr>
              <w:t xml:space="preserve">Implementar soluciones sistémicas integrales (Nivel 4) </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Desarrollo del pipeline ELT — tenant PF </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Desarrollo del pipeline Python que extrae datos desde Magento REST API con delta loading y escribe JSON crudo a BigQuery Bronze. Containerización en Docker y despliegue en Cloud Run. Configuración de Cloud Scheduler y Pub/Sub para orquestación automática </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Python, Docker, GCP Cloud Run, BigQuery, Cloud Scheduler, Pub/Sub </w:t>
            </w:r>
          </w:p>
        </w:tc>
        <w:tc>
          <w:tcPr>
            <w:tcBorders>
              <w:right w:color="ffffff" w:space="0" w:sz="4" w:val="single"/>
            </w:tcBorders>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Semanas 3–6 </w:t>
            </w:r>
          </w:p>
        </w:tc>
        <w:tc>
          <w:tcPr>
            <w:tcBorders>
              <w:left w:color="ffffff" w:space="0" w:sz="4" w:val="single"/>
            </w:tcBorders>
            <w:shd w:fill="d9d9d9" w:val="clea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Rodrigo Urbina </w:t>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Dificultad: manejo de timeouts en extracción paralela y configuración de credenciales en Secret Manager sin exponer el archivo .env en la imagen Docker </w:t>
            </w:r>
          </w:p>
        </w:tc>
      </w:tr>
      <w:tr>
        <w:trPr>
          <w:cantSplit w:val="0"/>
          <w:tblHeader w:val="0"/>
        </w:trPr>
        <w:tc>
          <w:tcPr/>
          <w:p w:rsidR="00000000" w:rsidDel="00000000" w:rsidP="00000000" w:rsidRDefault="00000000" w:rsidRPr="00000000" w14:paraId="000000B4">
            <w:pPr>
              <w:jc w:val="both"/>
              <w:rPr>
                <w:b w:val="1"/>
                <w:bCs w:val="1"/>
                <w:sz w:val="18"/>
                <w:szCs w:val="18"/>
              </w:rPr>
            </w:pPr>
            <w:r w:rsidDel="00000000" w:rsidR="00000000" w:rsidRPr="00000000">
              <w:rPr>
                <w:b w:val="1"/>
                <w:bCs w:val="1"/>
                <w:sz w:val="18"/>
                <w:szCs w:val="18"/>
                <w:rtl w:val="0"/>
              </w:rPr>
              <w:t xml:space="preserve">Implementar soluciones sistémicas integrales (Nivel 4) </w:t>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Desarrollo del pipeline ELT — tenants AATN y MC </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Extensión del pipeline ELT para Ariztía y Carozzi, adaptando la extracción a las particularidades de cada instancia Magento. Configuración de Pub/Sub y Cloud Scheduler por tenant </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Python, Docker, GCP Cloud Run, VPS </w:t>
            </w:r>
          </w:p>
        </w:tc>
        <w:tc>
          <w:tcPr>
            <w:tcBorders>
              <w:right w:color="ffffff" w:space="0" w:sz="4" w:val="single"/>
            </w:tcBorders>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Semanas 5–8 </w:t>
            </w:r>
          </w:p>
        </w:tc>
        <w:tc>
          <w:tcPr>
            <w:tcBorders>
              <w:left w:color="ffffff" w:space="0" w:sz="4" w:val="single"/>
            </w:tcBorders>
            <w:shd w:fill="d9d9d9" w:val="cle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Jaime Vergara </w:t>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Dificultad: restricciones de red en el cliente (Cloudflare bloqueando IPs de GCP) pueden requerir soluciones alternativas de conectividad </w:t>
            </w:r>
          </w:p>
        </w:tc>
      </w:tr>
      <w:tr>
        <w:trPr>
          <w:cantSplit w:val="0"/>
          <w:tblHeader w:val="0"/>
        </w:trPr>
        <w:tc>
          <w:tcPr/>
          <w:p w:rsidR="00000000" w:rsidDel="00000000" w:rsidP="00000000" w:rsidRDefault="00000000" w:rsidRPr="00000000" w14:paraId="000000BB">
            <w:pPr>
              <w:jc w:val="both"/>
              <w:rPr>
                <w:b w:val="1"/>
                <w:bCs w:val="1"/>
                <w:sz w:val="18"/>
                <w:szCs w:val="18"/>
              </w:rPr>
            </w:pPr>
            <w:r w:rsidDel="00000000" w:rsidR="00000000" w:rsidRPr="00000000">
              <w:rPr>
                <w:b w:val="1"/>
                <w:bCs w:val="1"/>
                <w:sz w:val="18"/>
                <w:szCs w:val="18"/>
                <w:rtl w:val="0"/>
              </w:rPr>
              <w:t xml:space="preserve">Implementar soluciones sistémicas integrales (Nivel 4) </w:t>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Desarrollo del pipeline de email marketing </w:t>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Desarrollo de pipelines para Mailup (PF) y Fidelizador (AATN, MC, DUOC) con lógica diferenciada por plataforma, unificados en silver.fact_email. Configuración de Cloud Run, Secret Manager y orquestación via Pub/Sub</w:t>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Python, Cloud Run, BigQuery, Secret Manager, Fidelizador API, Mailup API </w:t>
            </w:r>
          </w:p>
        </w:tc>
        <w:tc>
          <w:tcPr>
            <w:tcBorders>
              <w:right w:color="ffffff" w:space="0" w:sz="4" w:val="single"/>
            </w:tcBorders>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Semanas 6–9 </w:t>
            </w:r>
          </w:p>
        </w:tc>
        <w:tc>
          <w:tcPr>
            <w:tcBorders>
              <w:left w:color="ffffff" w:space="0" w:sz="4" w:val="single"/>
            </w:tcBorders>
            <w:shd w:fill="d9d9d9" w:val="cle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Jaime Vergara </w:t>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Dificultad: Mailup requiere múltiples llamadas API por mensaje y presenta limitaciones en el retorno de fechas de envío </w:t>
            </w:r>
          </w:p>
        </w:tc>
      </w:tr>
      <w:tr>
        <w:trPr>
          <w:cantSplit w:val="0"/>
          <w:tblHeader w:val="0"/>
        </w:trPr>
        <w:tc>
          <w:tcPr/>
          <w:p w:rsidR="00000000" w:rsidDel="00000000" w:rsidP="00000000" w:rsidRDefault="00000000" w:rsidRPr="00000000" w14:paraId="000000C2">
            <w:pPr>
              <w:jc w:val="both"/>
              <w:rPr>
                <w:b w:val="1"/>
                <w:bCs w:val="1"/>
                <w:sz w:val="18"/>
                <w:szCs w:val="18"/>
              </w:rPr>
            </w:pPr>
            <w:r w:rsidDel="00000000" w:rsidR="00000000" w:rsidRPr="00000000">
              <w:rPr>
                <w:b w:val="1"/>
                <w:bCs w:val="1"/>
                <w:sz w:val="18"/>
                <w:szCs w:val="18"/>
                <w:rtl w:val="0"/>
              </w:rPr>
              <w:t xml:space="preserve">Desarrollar la transformación de grandes volúmenes de datos (Nivel 4) </w:t>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Construcción de capa Silver en dbt Cloud </w:t>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Diseño e implementación de modelos staging por tenant y modelos Silver unificados: fact_orders, fact_order_items, dim_client, dim_product, dim_company, fact_email. Aplicación de reglas de negocio: normalización de RUT, conversión de zona horaria, deduplicación por PK compuesta</w:t>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dbt Cloud, BigQuery, SQL </w:t>
            </w:r>
          </w:p>
        </w:tc>
        <w:tc>
          <w:tcPr>
            <w:tcBorders>
              <w:right w:color="ffffff" w:space="0" w:sz="4" w:val="single"/>
            </w:tcBorders>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Semanas 7–11 </w:t>
            </w:r>
          </w:p>
        </w:tc>
        <w:tc>
          <w:tcPr>
            <w:tcBorders>
              <w:left w:color="ffffff" w:space="0" w:sz="4" w:val="single"/>
            </w:tcBorders>
            <w:shd w:fill="d9d9d9" w:val="clea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Rodrigo Urbina </w:t>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Dificultad: cada tenant tiene particularidades en su instancia Magento que requieren lógica de staging diferenciada </w:t>
            </w:r>
          </w:p>
        </w:tc>
      </w:tr>
      <w:tr>
        <w:trPr>
          <w:cantSplit w:val="0"/>
          <w:tblHeader w:val="0"/>
        </w:trPr>
        <w:tc>
          <w:tcPr/>
          <w:p w:rsidR="00000000" w:rsidDel="00000000" w:rsidP="00000000" w:rsidRDefault="00000000" w:rsidRPr="00000000" w14:paraId="000000C9">
            <w:pPr>
              <w:jc w:val="both"/>
              <w:rPr>
                <w:b w:val="1"/>
                <w:bCs w:val="1"/>
                <w:sz w:val="18"/>
                <w:szCs w:val="18"/>
              </w:rPr>
            </w:pPr>
            <w:r w:rsidDel="00000000" w:rsidR="00000000" w:rsidRPr="00000000">
              <w:rPr>
                <w:b w:val="1"/>
                <w:bCs w:val="1"/>
                <w:sz w:val="18"/>
                <w:szCs w:val="18"/>
                <w:rtl w:val="0"/>
              </w:rPr>
              <w:t xml:space="preserve">Desarrollar la transformación de grandes volúmenes de datos (Nivel 4) </w:t>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Construcción de capa Gold en dbt Cloud </w:t>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Implementación de modelos analíticos: customer_360 con segmentación RFM via NTILE(5), kpi_orders_daily, campaign_performance, email_ga4_performance con integración de GA4 BigQuery Export</w:t>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dbt Cloud, BigQuery, GA4 BigQuery Export </w:t>
            </w:r>
          </w:p>
        </w:tc>
        <w:tc>
          <w:tcPr>
            <w:tcBorders>
              <w:right w:color="ffffff" w:space="0" w:sz="4" w:val="single"/>
            </w:tcBorders>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Semanas 10–13 </w:t>
            </w:r>
          </w:p>
        </w:tc>
        <w:tc>
          <w:tcPr>
            <w:tcBorders>
              <w:left w:color="ffffff" w:space="0" w:sz="4" w:val="single"/>
            </w:tcBorders>
            <w:shd w:fill="d9d9d9" w:val="clea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Jean Pontigo </w:t>
            </w:r>
          </w:p>
        </w:tc>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Dificultad: integración con GA4 requiere configuración previa de GTM en el cliente para disponer del user_id</w:t>
            </w:r>
          </w:p>
        </w:tc>
      </w:tr>
      <w:tr>
        <w:trPr>
          <w:cantSplit w:val="0"/>
          <w:tblHeader w:val="0"/>
        </w:trPr>
        <w:tc>
          <w:tcPr/>
          <w:p w:rsidR="00000000" w:rsidDel="00000000" w:rsidP="00000000" w:rsidRDefault="00000000" w:rsidRPr="00000000" w14:paraId="000000D0">
            <w:pPr>
              <w:jc w:val="both"/>
              <w:rPr>
                <w:b w:val="1"/>
                <w:bCs w:val="1"/>
                <w:sz w:val="18"/>
                <w:szCs w:val="18"/>
              </w:rPr>
            </w:pPr>
            <w:r w:rsidDel="00000000" w:rsidR="00000000" w:rsidRPr="00000000">
              <w:rPr>
                <w:b w:val="1"/>
                <w:bCs w:val="1"/>
                <w:sz w:val="18"/>
                <w:szCs w:val="18"/>
                <w:rtl w:val="0"/>
              </w:rPr>
              <w:t xml:space="preserve">Implementar soluciones sistémicas integrales (Nivel 4) </w:t>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Implementación de compliance Ley 21.719 </w:t>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Configuración de Column-Level Security con Dynamic Data Masking en BigQuery para campos sensibles (RUT, email), definición de policy tags bajo taxonomía atlas-data-sensitivity y configuración de Row Level Security por tenant</w:t>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BigQuery, Data Catalog, GCP IAM </w:t>
            </w:r>
          </w:p>
        </w:tc>
        <w:tc>
          <w:tcPr>
            <w:tcBorders>
              <w:right w:color="ffffff" w:space="0" w:sz="4" w:val="single"/>
            </w:tcBorders>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Semanas 12–14 </w:t>
            </w:r>
          </w:p>
        </w:tc>
        <w:tc>
          <w:tcPr>
            <w:tcBorders>
              <w:left w:color="ffffff" w:space="0" w:sz="4" w:val="single"/>
            </w:tcBorders>
            <w:shd w:fill="d9d9d9" w:val="clea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Jean Pontigo </w:t>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Dificultad: requiere coordinación con los clientes para validar qué campos se consideran datos personales bajo la ley </w:t>
            </w:r>
          </w:p>
        </w:tc>
      </w:tr>
      <w:tr>
        <w:trPr>
          <w:cantSplit w:val="0"/>
          <w:tblHeader w:val="0"/>
        </w:trPr>
        <w:tc>
          <w:tcPr/>
          <w:p w:rsidR="00000000" w:rsidDel="00000000" w:rsidP="00000000" w:rsidRDefault="00000000" w:rsidRPr="00000000" w14:paraId="000000D7">
            <w:pPr>
              <w:jc w:val="both"/>
              <w:rPr>
                <w:b w:val="1"/>
                <w:bCs w:val="1"/>
                <w:sz w:val="18"/>
                <w:szCs w:val="18"/>
              </w:rPr>
            </w:pPr>
            <w:r w:rsidDel="00000000" w:rsidR="00000000" w:rsidRPr="00000000">
              <w:rPr>
                <w:b w:val="1"/>
                <w:bCs w:val="1"/>
                <w:sz w:val="18"/>
                <w:szCs w:val="18"/>
                <w:rtl w:val="0"/>
              </w:rPr>
              <w:t xml:space="preserve">Desarrollar la transformación de grandes volúmenes de datos (Nivel 4) </w:t>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Validación y ajuste de dashboards Looker Studio </w:t>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Validación cruzada entre Bronze, Silver y Gold para los tres tenants mediante dbt tests. Construcción y ajuste de dashboards en Looker Studio con vistas de customer_360, KPIs de órdenes y rendimiento de campañas</w:t>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Looker Studio, BigQuery, dbt tests </w:t>
            </w:r>
          </w:p>
        </w:tc>
        <w:tc>
          <w:tcPr>
            <w:tcBorders>
              <w:right w:color="ffffff" w:space="0" w:sz="4" w:val="single"/>
            </w:tcBorders>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Semanas 13–15 </w:t>
            </w:r>
          </w:p>
        </w:tc>
        <w:tc>
          <w:tcPr>
            <w:tcBorders>
              <w:left w:color="ffffff" w:space="0" w:sz="4" w:val="single"/>
            </w:tcBorders>
            <w:shd w:fill="d9d9d9" w:val="clea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Jaime Vergara </w:t>
            </w:r>
          </w:p>
        </w:tc>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Dificultad: los dashboards deben adaptarse a las necesidades específicas de cada cliente sin exponer datos entre tenants </w:t>
            </w:r>
          </w:p>
        </w:tc>
      </w:tr>
      <w:tr>
        <w:trPr>
          <w:cantSplit w:val="0"/>
          <w:tblHeader w:val="0"/>
        </w:trPr>
        <w:tc>
          <w:tcPr/>
          <w:p w:rsidR="00000000" w:rsidDel="00000000" w:rsidP="00000000" w:rsidRDefault="00000000" w:rsidRPr="00000000" w14:paraId="000000DE">
            <w:pPr>
              <w:jc w:val="both"/>
              <w:rPr>
                <w:b w:val="1"/>
                <w:bCs w:val="1"/>
                <w:sz w:val="18"/>
                <w:szCs w:val="18"/>
              </w:rPr>
            </w:pPr>
            <w:r w:rsidDel="00000000" w:rsidR="00000000" w:rsidRPr="00000000">
              <w:rPr>
                <w:b w:val="1"/>
                <w:bCs w:val="1"/>
                <w:sz w:val="18"/>
                <w:szCs w:val="18"/>
                <w:rtl w:val="0"/>
              </w:rPr>
              <w:t xml:space="preserve">Todas las competencias </w:t>
            </w:r>
          </w:p>
        </w:tc>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Redacción del informe técnico final </w:t>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Documento que integra diagnóstico de la infraestructura anterior, justificación de la migración, descripción de la arquitectura implementada por etapas, resultados obtenidos y proyección de escalabilidad a nuevos tenants</w:t>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Todo el material técnico producido </w:t>
            </w:r>
          </w:p>
        </w:tc>
        <w:tc>
          <w:tcPr>
            <w:tcBorders>
              <w:right w:color="ffffff" w:space="0" w:sz="4" w:val="single"/>
            </w:tcBorders>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Semanas 15–18 </w:t>
            </w:r>
          </w:p>
        </w:tc>
        <w:tc>
          <w:tcPr>
            <w:tcBorders>
              <w:left w:color="ffffff" w:space="0" w:sz="4" w:val="single"/>
            </w:tcBorders>
            <w:shd w:fill="d9d9d9" w:val="clea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Rodrigo Urbina, Jaime Vergara, Jean Pontigo </w:t>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Dificultad: coordinar disponibilidad de los tres integrantes en paralelo con responsabilidades laborales </w:t>
            </w:r>
          </w:p>
        </w:tc>
      </w:tr>
    </w:tbl>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b w:val="1"/>
                <w:bCs w:val="1"/>
                <w:sz w:val="16"/>
                <w:szCs w:val="16"/>
                <w:rtl w:val="0"/>
              </w:rPr>
              <w:t xml:space="preserve">Diagnóstico de infraestructura actual</w:t>
            </w: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Diseño de arquitectura de destino en GCP </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b w:val="1"/>
                <w:bCs w:val="1"/>
                <w:sz w:val="16"/>
                <w:szCs w:val="16"/>
                <w:rtl w:val="0"/>
              </w:rPr>
              <w:t xml:space="preserve">Desarrollo pipeline ELT — tenant PF </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b w:val="1"/>
                <w:bCs w:val="1"/>
                <w:sz w:val="16"/>
                <w:szCs w:val="16"/>
                <w:rtl w:val="0"/>
              </w:rPr>
              <w:t xml:space="preserve">Desarrollo pipeline ELT — tenants AATN y MC </w:t>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b w:val="1"/>
                <w:bCs w:val="1"/>
                <w:sz w:val="16"/>
                <w:szCs w:val="16"/>
                <w:rtl w:val="0"/>
              </w:rPr>
              <w:t xml:space="preserve">Desarrollo pipeline email marketing </w:t>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b w:val="1"/>
                <w:bCs w:val="1"/>
                <w:sz w:val="16"/>
                <w:szCs w:val="16"/>
                <w:rtl w:val="0"/>
              </w:rPr>
              <w:t xml:space="preserve">Construcción capa Silver en dbt Cloud </w:t>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b w:val="1"/>
                <w:bCs w:val="1"/>
                <w:sz w:val="16"/>
                <w:szCs w:val="16"/>
                <w:rtl w:val="0"/>
              </w:rPr>
              <w:t xml:space="preserve">Construcción capa Gold en dbt Cloud </w:t>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b w:val="1"/>
                <w:bCs w:val="1"/>
                <w:sz w:val="16"/>
                <w:szCs w:val="16"/>
                <w:rtl w:val="0"/>
              </w:rPr>
              <w:t xml:space="preserve">Implementación compliance Ley 21.719 </w:t>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b w:val="1"/>
                <w:bCs w:val="1"/>
                <w:sz w:val="16"/>
                <w:szCs w:val="16"/>
                <w:rtl w:val="0"/>
              </w:rPr>
              <w:t xml:space="preserve">Validación y dashboards Looker Studio </w:t>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b w:val="1"/>
                <w:bCs w:val="1"/>
                <w:sz w:val="16"/>
                <w:szCs w:val="16"/>
                <w:rtl w:val="0"/>
              </w:rPr>
              <w:t xml:space="preserve">▓ </w:t>
            </w:r>
          </w:p>
        </w:tc>
        <w:tc>
          <w:tcPr>
            <w:gridSpan w:val="2"/>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b w:val="1"/>
                <w:bCs w:val="1"/>
                <w:sz w:val="16"/>
                <w:szCs w:val="16"/>
                <w:rtl w:val="0"/>
              </w:rPr>
              <w:t xml:space="preserve">Redacción informe técnico final </w:t>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b w:val="1"/>
                <w:bCs w:val="1"/>
                <w:sz w:val="16"/>
                <w:szCs w:val="16"/>
                <w:rtl w:val="0"/>
              </w:rPr>
              <w:t xml:space="preserve">▓ </w:t>
            </w:r>
          </w:p>
        </w:tc>
        <w:tc>
          <w:tcPr>
            <w:gridSpan w:val="2"/>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b w:val="1"/>
                <w:bCs w:val="1"/>
                <w:sz w:val="16"/>
                <w:szCs w:val="16"/>
                <w:rtl w:val="0"/>
              </w:rPr>
              <w:t xml:space="preserve">▓ </w:t>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b w:val="1"/>
                <w:bCs w:val="1"/>
                <w:sz w:val="16"/>
                <w:szCs w:val="16"/>
                <w:rtl w:val="0"/>
              </w:rPr>
              <w:t xml:space="preserve">▓ </w:t>
            </w:r>
          </w:p>
        </w:tc>
      </w:tr>
    </w:tbl>
    <w:p w:rsidR="00000000" w:rsidDel="00000000" w:rsidP="00000000" w:rsidRDefault="00000000" w:rsidRPr="00000000" w14:paraId="000001D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D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5YIaBAWdddlS5o/lnpqcflHxqA==">CgMxLjA4AHIhMU44UGItX0s1dFFxZDBrTmNCeHN4UGhyZ0N3RC1mMDJv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