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gx8w0i974c5"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330.0" w:type="dxa"/>
        <w:jc w:val="left"/>
        <w:tblInd w:w="-25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90"/>
        <w:gridCol w:w="7140"/>
        <w:tblGridChange w:id="0">
          <w:tblGrid>
            <w:gridCol w:w="2190"/>
            <w:gridCol w:w="714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Al cierre de la semana 13 el proyecto completó cuatro de los cinco sprints planificados, con 812 de las 882 horas-hombre estimadas ejecutadas. La plataforma se encuentra operativa en producción para los tres tenants, con el pipeline corriendo de forma autónoma a diario.</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Durante el </w:t>
            </w:r>
            <w:r w:rsidDel="00000000" w:rsidR="00000000" w:rsidRPr="00000000">
              <w:rPr>
                <w:b w:val="1"/>
                <w:bCs w:val="1"/>
                <w:sz w:val="20"/>
                <w:szCs w:val="20"/>
                <w:rtl w:val="0"/>
              </w:rPr>
              <w:t xml:space="preserve">Sprint 0</w:t>
            </w:r>
            <w:r w:rsidDel="00000000" w:rsidR="00000000" w:rsidRPr="00000000">
              <w:rPr>
                <w:sz w:val="20"/>
                <w:szCs w:val="20"/>
                <w:rtl w:val="0"/>
              </w:rPr>
              <w:t xml:space="preserve"> se levantaron las fuentes de datos y endpoints de cada tenant, se diagnosticaron las limitaciones de la infraestructura MySQL anterior y se diseñó la arquitectura de destino: patrón Medallion sobre BigQuery, estrategia de aislamiento multi-tenant por columna identificadora y definición del stack tecnológico. Con esto se cumplió el primer objetivo específico.</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Sprint 1</w:t>
            </w:r>
            <w:r w:rsidDel="00000000" w:rsidR="00000000" w:rsidRPr="00000000">
              <w:rPr>
                <w:sz w:val="20"/>
                <w:szCs w:val="20"/>
                <w:rtl w:val="0"/>
              </w:rPr>
              <w:t xml:space="preserve"> implementó los controles de gobernanza, cuentas de servicio bajo mínimo privilegio, seguridad a nivel de fila y enmascaramiento dinámico sobre campos sensibles,  y desarrolló el pipeline de extracción incremental desde Magento hacia la capa Bronze, junto con la tabla de control de estado que gestiona marcas de agua e idempotencia. Se cumplieron los objetivos específicos segundo y octavo.</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Sprint 2</w:t>
            </w:r>
            <w:r w:rsidDel="00000000" w:rsidR="00000000" w:rsidRPr="00000000">
              <w:rPr>
                <w:sz w:val="20"/>
                <w:szCs w:val="20"/>
                <w:rtl w:val="0"/>
              </w:rPr>
              <w:t xml:space="preserve"> construyó la capa Silver con su lógica de limpieza, tipado y deduplicación, configuró el entorno dbt Cloud con los modelos de las tres capas, e implementó la orquestación automática mediante Cloud Scheduler y Pub/Sub, eliminando la ejecución manual. En el mismo sprint se desarrolló el pipeline de Fidelizador, se incorporaron los eventos de comportamiento web y se ejecutó la carga histórica de los tres tenants. Se cumplieron los objetivos tercero, cuarto, sexto y séptimo.</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Sprint 3</w:t>
            </w:r>
            <w:r w:rsidDel="00000000" w:rsidR="00000000" w:rsidRPr="00000000">
              <w:rPr>
                <w:sz w:val="20"/>
                <w:szCs w:val="20"/>
                <w:rtl w:val="0"/>
              </w:rPr>
              <w:t xml:space="preserve"> cerró la capa Gold con los indicadores de negocio y la vista unificada del cliente, configuró el repositorio con integración continua, desarrolló la interfaz de exposición de métricas, centralizó la trazabilidad de ejecuciones e incorporó los tenants Ariztía y Mercado Carozzi a la plataforma. Se cumplió el quinto objetivo específico y parcialmente el noveno.</w:t>
            </w:r>
          </w:p>
          <w:p w:rsidR="00000000" w:rsidDel="00000000" w:rsidP="00000000" w:rsidRDefault="00000000" w:rsidRPr="00000000" w14:paraId="00000013">
            <w:pPr>
              <w:spacing w:after="240" w:before="240" w:lineRule="auto"/>
              <w:jc w:val="both"/>
              <w:rPr>
                <w:i w:val="1"/>
                <w:iCs w:val="1"/>
                <w:color w:val="548dd4"/>
                <w:sz w:val="20"/>
                <w:szCs w:val="20"/>
              </w:rPr>
            </w:pPr>
            <w:r w:rsidDel="00000000" w:rsidR="00000000" w:rsidRPr="00000000">
              <w:rPr>
                <w:sz w:val="20"/>
                <w:szCs w:val="20"/>
                <w:rtl w:val="0"/>
              </w:rPr>
              <w:t xml:space="preserve">Quedan en curso tres tareas del Sprint 3: modelos de atribución entre campañas y comportamiento web, validación de integridad del histórico y auditoría de calidad,  que se arrastran al sprint de cierre. El sprint de cierre, que comprende la marcha blanca y la documentación final, está planificado para las semanas 14 a 16 y no se ha iniciado, conforme a lo previsto.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Durante el Sprint 0 se identificó que el alcance definido en Fase 1 omitía trabajo real que el proyecto debía cubrir. Se incorporaron cinco historias de usuario adicionales (ingesta de campañas de email, incorporación de eventos de comportamiento web, incorporación de nuevos tenants, carga histórica y auditoría de calidad de datos), lo que elevó el backlog de catorce a diecinueve ítems. En consecuencia, los objetivos específicos pasaron de siete a nueve.</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Objetivo general (sin cambios)</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Migrar la plataforma de datos de MarTech desde una infraestructura local basada en MySQL hacia Google Cloud Platform, adoptando una arquitectura Medallion sobre BigQuery con pipelines estandarizados en Cloud Run y transformaciones en dbt Cloud, que integre fuentes de datos heterogéneas y produzca una vista unificada del cliente escalable, auditable y conforme a la normativa chilena de protección de datos personales.</w:t>
            </w:r>
          </w:p>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1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Evaluar las limitaciones de la infraestructura anterior y definir los requerimientos de la arquitectura de destino.</w:t>
            </w:r>
          </w:p>
          <w:p w:rsidR="00000000" w:rsidDel="00000000" w:rsidP="00000000" w:rsidRDefault="00000000" w:rsidRPr="00000000" w14:paraId="0000001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Migrar los pipelines de extracción a Cloud Run, redirigiendo la escritura hacia la capa Bronze en BigQuery.</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Implementar la ingesta de datos de email marketing desde Mailup y Fidelizador.</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Construir los modelos de la capa Silver con normalización, deduplicación y reglas de negocio documentadas.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Construir los modelos de la capa Gold con indicadores de negocio, segmentación RFM y vista unificada del cliente.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Implementar la orquestación automatizada mediante Cloud Scheduler y Pub/Sub.</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(Nuevo) Incorporar los datos de comportamiento web al modelo analítico para habilitar el análisis de conversión y la atribución de campañas.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(Nuevo) Implementar los controles de gobernanza exigidos por la Ley 21.719 mediante seguridad a nivel de fila y enmascaramiento dinámico.</w:t>
            </w:r>
          </w:p>
          <w:p w:rsidR="00000000" w:rsidDel="00000000" w:rsidP="00000000" w:rsidRDefault="00000000" w:rsidRPr="00000000" w14:paraId="00000021">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Validar la migración en producción y documentar los estándares replicables para la incorporación de nuevos clientes.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w:t>
            </w:r>
            <w:r w:rsidDel="00000000" w:rsidR="00000000" w:rsidRPr="00000000">
              <w:rPr>
                <w:color w:val="1f3864"/>
                <w:rtl w:val="0"/>
              </w:rPr>
              <w:t xml:space="preserve">a</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Se mantuvo Scrum como marco de trabajo, pero se reestructuró su configuración temporal. La planificación original contemplaba tres sprints de dos semanas. Tras el levantamiento inicial se determinó que esa distribución subestimaba tanto el trabajo de diseño previo como el de validación posterior, y se redefinió en cinco sprints de duración variable a lo largo de diecisiete semanas: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Sprint 0: Planificación</w:t>
              <w:tab/>
              <w:t xml:space="preserve">1 a 4</w:t>
              <w:tab/>
              <w:t xml:space="preserve">4 semanas</w:t>
              <w:tab/>
              <w:t xml:space="preserve">176</w:t>
            </w:r>
          </w:p>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Sprint 1: Gobernanza e ingesta base</w:t>
              <w:tab/>
              <w:t xml:space="preserve">5 a 7</w:t>
              <w:tab/>
              <w:t xml:space="preserve">3 semanas</w:t>
              <w:tab/>
              <w:t xml:space="preserve">220</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Sprint 2: Transformación, orquestación y BI</w:t>
              <w:tab/>
              <w:t xml:space="preserve">8 a 10</w:t>
              <w:tab/>
              <w:t xml:space="preserve">3 semanas</w:t>
              <w:tab/>
              <w:t xml:space="preserve">294</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Sprint 3: API, observabilidad y escalamiento</w:t>
              <w:tab/>
              <w:t xml:space="preserve">11 a 13</w:t>
              <w:tab/>
              <w:t xml:space="preserve">3 semanas</w:t>
              <w:tab/>
              <w:t xml:space="preserve">282</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Cierre: Marcha blanca y entrega</w:t>
              <w:tab/>
              <w:t xml:space="preserve">14 a 16</w:t>
              <w:tab/>
              <w:t xml:space="preserve">3 semanas</w:t>
              <w:tab/>
              <w:t xml:space="preserve">132</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Los dos cambios sustantivos fueron la incorporación de un </w:t>
            </w:r>
            <w:r w:rsidDel="00000000" w:rsidR="00000000" w:rsidRPr="00000000">
              <w:rPr>
                <w:b w:val="1"/>
                <w:bCs w:val="1"/>
                <w:sz w:val="20"/>
                <w:szCs w:val="20"/>
                <w:rtl w:val="0"/>
              </w:rPr>
              <w:t xml:space="preserve">Sprint 0 de planificación</w:t>
            </w:r>
            <w:r w:rsidDel="00000000" w:rsidR="00000000" w:rsidRPr="00000000">
              <w:rPr>
                <w:sz w:val="20"/>
                <w:szCs w:val="20"/>
                <w:rtl w:val="0"/>
              </w:rPr>
              <w:t xml:space="preserve"> de cuatro semanas, que permitió cerrar el diseño arquitectónico antes de escribir código y evitó rediseños posteriores; y la incorporación de un </w:t>
            </w:r>
            <w:r w:rsidDel="00000000" w:rsidR="00000000" w:rsidRPr="00000000">
              <w:rPr>
                <w:b w:val="1"/>
                <w:bCs w:val="1"/>
                <w:sz w:val="20"/>
                <w:szCs w:val="20"/>
                <w:rtl w:val="0"/>
              </w:rPr>
              <w:t xml:space="preserve">sprint de cierre</w:t>
            </w:r>
            <w:r w:rsidDel="00000000" w:rsidR="00000000" w:rsidRPr="00000000">
              <w:rPr>
                <w:sz w:val="20"/>
                <w:szCs w:val="20"/>
                <w:rtl w:val="0"/>
              </w:rPr>
              <w:t xml:space="preserve"> de tres semanas destinado a marcha blanca, corrección de incidencias y documentación, reconociendo que un sistema en producción requiere operación supervisada antes de considerarse entregado.</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Una vez estabilizada la plataforma, la gestión de correcciones menores se condujo bajo un enfoque </w:t>
            </w:r>
            <w:r w:rsidDel="00000000" w:rsidR="00000000" w:rsidRPr="00000000">
              <w:rPr>
                <w:b w:val="1"/>
                <w:bCs w:val="1"/>
                <w:sz w:val="20"/>
                <w:szCs w:val="20"/>
                <w:rtl w:val="0"/>
              </w:rPr>
              <w:t xml:space="preserve">Kanban</w:t>
            </w:r>
            <w:r w:rsidDel="00000000" w:rsidR="00000000" w:rsidRPr="00000000">
              <w:rPr>
                <w:sz w:val="20"/>
                <w:szCs w:val="20"/>
                <w:rtl w:val="0"/>
              </w:rPr>
              <w:t xml:space="preserve">, lo que permitió atender incidencias sin interrumpir el ciclo de sprints.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P</w:t>
            </w:r>
            <w:r w:rsidDel="00000000" w:rsidR="00000000" w:rsidRPr="00000000">
              <w:rPr>
                <w:sz w:val="20"/>
                <w:szCs w:val="20"/>
                <w:rtl w:val="0"/>
              </w:rPr>
              <w:t xml:space="preserve">roduct Backlog y Sprint Backlog - Dan cuenta del alcance comprometido, su desglose en tareas técnicas con estimación y responsable, y el estado real de cada una al corte del avance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Diagramas de arquitectura según modelo 4+1 - Documentan las decisiones de diseño tomadas en el Sprint 0 y su materialización: vista lógica, de desarrollo, de proceso, física y de escenarios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Diagramas de procesos de negocio (BPMN) - Evidencian la comprensión de la operación completa de la plataforma, incluyendo los procesos de incorporación de tenants, gestión de incidentes y auditoría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Código fuente de los pipelines - Demuestra la implementación de los objetivos segundo y tercero: extracción incremental, control de estado e ingesta diferenciada por plataforma de email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Modelos dbt de las capas Silver y Gold - Demuestran la implementación de los objetivos cuarto y quinto, con el linaje de dependencias entre modelos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Tableros en Looker Studio - Evidencian el producto analítico consumible por el cliente, con los controles de gobernanza aplicados sobre los campos sensibles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Resguardo de la calidad. La calidad se resguardó mediante tres prácticas propias de la disciplina. Primero, la persistencia del dato crudo en la capa Bronze, que garantiza que cualquier error de modelado pueda corregirse reprocesando desde el origen sin volver a consultar las fuentes. Segundo, el contraste sistemático de volúmenes entre lo cargado en BigQuery y lo reportado por cada endpoint, agrupado por tenant y fecha, que permitió detectar discrepancias y determinar si respondían a causas explicables o a pérdidas en el procesamiento. Tercero, el control de versiones de los modelos en repositorio con validación automática en cada integración, que impide que un modelo con error de compilación llegue a producción. </w:t>
            </w:r>
          </w:p>
        </w:tc>
      </w:tr>
    </w:tbl>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tbl>
      <w:tblPr>
        <w:tblStyle w:val="Table3"/>
        <w:tblW w:w="955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55"/>
        <w:tblGridChange w:id="0">
          <w:tblGrid>
            <w:gridCol w:w="9555"/>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7">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tbl>
      <w:tblPr>
        <w:tblStyle w:val="Table4"/>
        <w:tblW w:w="97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155"/>
        <w:gridCol w:w="1125"/>
        <w:tblGridChange w:id="0">
          <w:tblGrid>
            <w:gridCol w:w="1335"/>
            <w:gridCol w:w="1080"/>
            <w:gridCol w:w="1275"/>
            <w:gridCol w:w="1275"/>
            <w:gridCol w:w="1275"/>
            <w:gridCol w:w="1275"/>
            <w:gridCol w:w="1155"/>
            <w:gridCol w:w="1125"/>
          </w:tblGrid>
        </w:tblGridChange>
      </w:tblGrid>
      <w:tr>
        <w:trPr>
          <w:cantSplit w:val="0"/>
          <w:trHeight w:val="415" w:hRule="atLeast"/>
          <w:tblHeader w:val="0"/>
        </w:trPr>
        <w:tc>
          <w:tcPr>
            <w:gridSpan w:val="8"/>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4">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6">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7">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8">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9">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A">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C3 </w:t>
            </w:r>
            <w:r w:rsidDel="00000000" w:rsidR="00000000" w:rsidRPr="00000000">
              <w:rPr>
                <w:rtl w:val="0"/>
              </w:rPr>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Diagnóstico de infraestructura y levantamiento de fuentes </w:t>
            </w:r>
          </w:p>
        </w:tc>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Acceso a MySQL, documentación de APIs </w:t>
            </w:r>
            <w:r w:rsidDel="00000000" w:rsidR="00000000" w:rsidRPr="00000000">
              <w:rPr>
                <w:rtl w:val="0"/>
              </w:rPr>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Sem. 1 a 2 </w:t>
            </w:r>
          </w:p>
        </w:tc>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Rodrigo Urbina </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Facilitador: acceso directo a los sistemas en producción </w:t>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Completado </w:t>
            </w:r>
            <w:r w:rsidDel="00000000" w:rsidR="00000000" w:rsidRPr="00000000">
              <w:rPr>
                <w:rtl w:val="0"/>
              </w:rPr>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Sin ajustes </w:t>
            </w:r>
          </w:p>
        </w:tc>
      </w:tr>
      <w:tr>
        <w:trPr>
          <w:cantSplit w:val="0"/>
          <w:trHeight w:val="2410" w:hRule="atLeast"/>
          <w:tblHeader w:val="0"/>
        </w:trPr>
        <w:tc>
          <w:tcPr/>
          <w:p w:rsidR="00000000" w:rsidDel="00000000" w:rsidP="00000000" w:rsidRDefault="00000000" w:rsidRPr="00000000" w14:paraId="00000053">
            <w:pPr>
              <w:jc w:val="both"/>
              <w:rPr>
                <w:b w:val="1"/>
                <w:bCs w:val="1"/>
                <w:sz w:val="18"/>
                <w:szCs w:val="18"/>
              </w:rPr>
            </w:pPr>
            <w:r w:rsidDel="00000000" w:rsidR="00000000" w:rsidRPr="00000000">
              <w:rPr>
                <w:b w:val="1"/>
                <w:bCs w:val="1"/>
                <w:sz w:val="18"/>
                <w:szCs w:val="18"/>
                <w:rtl w:val="0"/>
              </w:rPr>
              <w:t xml:space="preserve">C3 </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Diseño de arquitectura, modelo de datos y planificación </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draw.io, documentación GCP </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2 a 4 </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Rodrigo Urbina </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Facilitador: definición temprana del patrón evitó rediseños </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Ajustada </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 amplió el backlog de 14 a 19 ítems al detectar trabajo no contemplado </w:t>
            </w:r>
          </w:p>
        </w:tc>
      </w:tr>
      <w:tr>
        <w:trPr>
          <w:cantSplit w:val="0"/>
          <w:trHeight w:val="2410" w:hRule="atLeast"/>
          <w:tblHeader w:val="0"/>
        </w:trPr>
        <w:tc>
          <w:tcPr/>
          <w:p w:rsidR="00000000" w:rsidDel="00000000" w:rsidP="00000000" w:rsidRDefault="00000000" w:rsidRPr="00000000" w14:paraId="0000005B">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Gobernanza: cuentas de servicio, RLS y enmascaramiento </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GCP IAM, BigQuery, Data Catalog </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5 a 7 </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Jean Pontigo </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roles de nivel de proyecto sobrepasaban el enmascaramiento </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Completado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ajustes </w:t>
            </w:r>
          </w:p>
        </w:tc>
      </w:tr>
      <w:tr>
        <w:trPr>
          <w:cantSplit w:val="0"/>
          <w:trHeight w:val="2410" w:hRule="atLeast"/>
          <w:tblHeader w:val="0"/>
        </w:trPr>
        <w:tc>
          <w:tcPr/>
          <w:p w:rsidR="00000000" w:rsidDel="00000000" w:rsidP="00000000" w:rsidRDefault="00000000" w:rsidRPr="00000000" w14:paraId="00000063">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Pipeline de extracción e-commerce y control de estado </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Python, Docker, Cloud Run, Secret Manager </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5 a 7 </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Rodrigo Urbina </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credenciales incluidas en la imagen del contenedor </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Completado </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ajustes </w:t>
            </w:r>
          </w:p>
        </w:tc>
      </w:tr>
      <w:tr>
        <w:trPr>
          <w:cantSplit w:val="0"/>
          <w:trHeight w:val="2410" w:hRule="atLeast"/>
          <w:tblHeader w:val="0"/>
        </w:trPr>
        <w:tc>
          <w:tcPr/>
          <w:p w:rsidR="00000000" w:rsidDel="00000000" w:rsidP="00000000" w:rsidRDefault="00000000" w:rsidRPr="00000000" w14:paraId="0000006B">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Pipeline de email marketing (Mailup) </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Python, Cloud Run, API Mailup </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5 a 7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Jaime Vergara </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cinco llamadas por mensaje y ausencia de fecha de envío </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Ajustada </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Extracción en dos fases con escritura intermedia a Bronze </w:t>
            </w:r>
          </w:p>
        </w:tc>
      </w:tr>
      <w:tr>
        <w:trPr>
          <w:cantSplit w:val="0"/>
          <w:trHeight w:val="2410" w:hRule="atLeast"/>
          <w:tblHeader w:val="0"/>
        </w:trPr>
        <w:tc>
          <w:tcPr/>
          <w:p w:rsidR="00000000" w:rsidDel="00000000" w:rsidP="00000000" w:rsidRDefault="00000000" w:rsidRPr="00000000" w14:paraId="00000073">
            <w:pPr>
              <w:jc w:val="both"/>
              <w:rPr>
                <w:b w:val="1"/>
                <w:bCs w:val="1"/>
                <w:sz w:val="18"/>
                <w:szCs w:val="18"/>
              </w:rPr>
            </w:pPr>
            <w:r w:rsidDel="00000000" w:rsidR="00000000" w:rsidRPr="00000000">
              <w:rPr>
                <w:b w:val="1"/>
                <w:bCs w:val="1"/>
                <w:sz w:val="18"/>
                <w:szCs w:val="18"/>
                <w:rtl w:val="0"/>
              </w:rPr>
              <w:t xml:space="preserve">C2</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Capa Silver: preparación, limpieza y modelos </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dbt Cloud, BigQuery, SQL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8 a 10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Jean Pontigo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Facilitador: el linaje de dbt permitió evaluar el impacto de cada cambio </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Ajustada </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 introdujo capa de preparación por tenant en lugar de modelos independientes </w:t>
            </w:r>
          </w:p>
        </w:tc>
      </w:tr>
      <w:tr>
        <w:trPr>
          <w:cantSplit w:val="0"/>
          <w:trHeight w:val="2410" w:hRule="atLeast"/>
          <w:tblHeader w:val="0"/>
        </w:trPr>
        <w:tc>
          <w:tcPr/>
          <w:p w:rsidR="00000000" w:rsidDel="00000000" w:rsidP="00000000" w:rsidRDefault="00000000" w:rsidRPr="00000000" w14:paraId="0000007B">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Orquestación automática y ejecución manual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Cloud Scheduler, Pub/Sub, Cloud Functions </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8 a 10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Rodrigo Urbina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el contenedor terminaba antes de confirmarse el mensaje </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Ajustada </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Reestructuración en trabajos separados por tenant para reducir ejecuciones </w:t>
            </w:r>
          </w:p>
        </w:tc>
      </w:tr>
      <w:tr>
        <w:trPr>
          <w:cantSplit w:val="0"/>
          <w:trHeight w:val="2410" w:hRule="atLeast"/>
          <w:tblHeader w:val="0"/>
        </w:trPr>
        <w:tc>
          <w:tcPr/>
          <w:p w:rsidR="00000000" w:rsidDel="00000000" w:rsidP="00000000" w:rsidRDefault="00000000" w:rsidRPr="00000000" w14:paraId="00000083">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Pipeline Fidelizador e ingesta de eventos web </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Python, Cloud Run, exportación nativa </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8 a 10 </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Jaime Vergara </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la API filtra por fecha de creación, no de envío </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Ajustada </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Ventana de consulta retroactiva ampliada de 5 a 35 días </w:t>
            </w:r>
          </w:p>
        </w:tc>
      </w:tr>
      <w:tr>
        <w:trPr>
          <w:cantSplit w:val="0"/>
          <w:trHeight w:val="2410" w:hRule="atLeast"/>
          <w:tblHeader w:val="0"/>
        </w:trPr>
        <w:tc>
          <w:tcPr/>
          <w:p w:rsidR="00000000" w:rsidDel="00000000" w:rsidP="00000000" w:rsidRDefault="00000000" w:rsidRPr="00000000" w14:paraId="0000008B">
            <w:pPr>
              <w:jc w:val="both"/>
              <w:rPr>
                <w:b w:val="1"/>
                <w:bCs w:val="1"/>
                <w:sz w:val="18"/>
                <w:szCs w:val="18"/>
              </w:rPr>
            </w:pPr>
            <w:r w:rsidDel="00000000" w:rsidR="00000000" w:rsidRPr="00000000">
              <w:rPr>
                <w:b w:val="1"/>
                <w:bCs w:val="1"/>
                <w:sz w:val="18"/>
                <w:szCs w:val="18"/>
                <w:rtl w:val="0"/>
              </w:rPr>
              <w:t xml:space="preserve">C2</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Tableros en Looker Studio y carga histórica </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Looker Studio, BigQuery </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8 a 10 </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Jaime Vergara </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Facilitador: datos reales disponibles para validar con el cliente </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Completado </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ajustes </w:t>
            </w:r>
          </w:p>
        </w:tc>
      </w:tr>
      <w:tr>
        <w:trPr>
          <w:cantSplit w:val="0"/>
          <w:trHeight w:val="2410" w:hRule="atLeast"/>
          <w:tblHeader w:val="0"/>
        </w:trPr>
        <w:tc>
          <w:tcPr/>
          <w:p w:rsidR="00000000" w:rsidDel="00000000" w:rsidP="00000000" w:rsidRDefault="00000000" w:rsidRPr="00000000" w14:paraId="00000093">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Integración continua y API de exposición de métricas </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GitHub, Cloud Run </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11 a 13 </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Rodrigo Urbina </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Facilitador: validación automática antes del despliegue </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Completado </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ajustes </w:t>
            </w:r>
          </w:p>
        </w:tc>
      </w:tr>
      <w:tr>
        <w:trPr>
          <w:cantSplit w:val="0"/>
          <w:trHeight w:val="2410" w:hRule="atLeast"/>
          <w:tblHeader w:val="0"/>
        </w:trPr>
        <w:tc>
          <w:tcPr/>
          <w:p w:rsidR="00000000" w:rsidDel="00000000" w:rsidP="00000000" w:rsidRDefault="00000000" w:rsidRPr="00000000" w14:paraId="0000009B">
            <w:pPr>
              <w:jc w:val="both"/>
              <w:rPr>
                <w:b w:val="1"/>
                <w:bCs w:val="1"/>
                <w:sz w:val="18"/>
                <w:szCs w:val="18"/>
              </w:rPr>
            </w:pPr>
            <w:r w:rsidDel="00000000" w:rsidR="00000000" w:rsidRPr="00000000">
              <w:rPr>
                <w:b w:val="1"/>
                <w:bCs w:val="1"/>
                <w:sz w:val="18"/>
                <w:szCs w:val="18"/>
                <w:rtl w:val="0"/>
              </w:rPr>
              <w:t xml:space="preserve">C1</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Observabilidad y trazabilidad de ejecuciones </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Cloud Logging, BigQuery </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11 a 13 </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Jean Pontigo </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Facilitador: el linaje de dbt documenta el recorrido del dato </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Completado </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ajustes </w:t>
            </w:r>
          </w:p>
        </w:tc>
      </w:tr>
      <w:tr>
        <w:trPr>
          <w:cantSplit w:val="0"/>
          <w:trHeight w:val="2410" w:hRule="atLeast"/>
          <w:tblHeader w:val="0"/>
        </w:trPr>
        <w:tc>
          <w:tcPr/>
          <w:p w:rsidR="00000000" w:rsidDel="00000000" w:rsidP="00000000" w:rsidRDefault="00000000" w:rsidRPr="00000000" w14:paraId="000000A3">
            <w:pPr>
              <w:jc w:val="both"/>
              <w:rPr>
                <w:b w:val="1"/>
                <w:bCs w:val="1"/>
                <w:sz w:val="18"/>
                <w:szCs w:val="18"/>
              </w:rPr>
            </w:pPr>
            <w:r w:rsidDel="00000000" w:rsidR="00000000" w:rsidRPr="00000000">
              <w:rPr>
                <w:b w:val="1"/>
                <w:bCs w:val="1"/>
                <w:sz w:val="18"/>
                <w:szCs w:val="18"/>
                <w:rtl w:val="0"/>
              </w:rPr>
              <w:t xml:space="preserve">C3</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Incorporación de tenants Ariztía y Mercado Carozzi </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Cloud Run, dbt Cloud, BigQuery </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11 a 13 </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Jean Pontigo </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el cortafuegos del cliente bloqueaba las IPs de la nube </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Ajustada </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Ejecución transitoria desde servidor propio mientras se gestiona la autorización </w:t>
            </w:r>
          </w:p>
        </w:tc>
      </w:tr>
      <w:tr>
        <w:trPr>
          <w:cantSplit w:val="0"/>
          <w:trHeight w:val="2410" w:hRule="atLeast"/>
          <w:tblHeader w:val="0"/>
        </w:trPr>
        <w:tc>
          <w:tcPr/>
          <w:p w:rsidR="00000000" w:rsidDel="00000000" w:rsidP="00000000" w:rsidRDefault="00000000" w:rsidRPr="00000000" w14:paraId="000000AB">
            <w:pPr>
              <w:jc w:val="both"/>
              <w:rPr>
                <w:b w:val="1"/>
                <w:bCs w:val="1"/>
                <w:sz w:val="18"/>
                <w:szCs w:val="18"/>
              </w:rPr>
            </w:pPr>
            <w:r w:rsidDel="00000000" w:rsidR="00000000" w:rsidRPr="00000000">
              <w:rPr>
                <w:b w:val="1"/>
                <w:bCs w:val="1"/>
                <w:sz w:val="18"/>
                <w:szCs w:val="18"/>
                <w:rtl w:val="0"/>
              </w:rPr>
              <w:t xml:space="preserve">C2</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Personalización de tableros, atribución y auditoría </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Looker Studio, dbt Cloud, BigQuery </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11 a 13 </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Jaime Vergara </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dependencia externa para la identificación del visitante </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En curso </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 eliminó la exportación de informes; el resto se traslada al sprint de cierre </w:t>
            </w:r>
          </w:p>
        </w:tc>
      </w:tr>
      <w:tr>
        <w:trPr>
          <w:cantSplit w:val="0"/>
          <w:trHeight w:val="2410" w:hRule="atLeast"/>
          <w:tblHeader w:val="0"/>
        </w:trPr>
        <w:tc>
          <w:tcPr/>
          <w:p w:rsidR="00000000" w:rsidDel="00000000" w:rsidP="00000000" w:rsidRDefault="00000000" w:rsidRPr="00000000" w14:paraId="000000B3">
            <w:pPr>
              <w:jc w:val="both"/>
              <w:rPr>
                <w:b w:val="1"/>
                <w:bCs w:val="1"/>
                <w:sz w:val="18"/>
                <w:szCs w:val="18"/>
              </w:rPr>
            </w:pPr>
            <w:r w:rsidDel="00000000" w:rsidR="00000000" w:rsidRPr="00000000">
              <w:rPr>
                <w:b w:val="1"/>
                <w:bCs w:val="1"/>
                <w:sz w:val="18"/>
                <w:szCs w:val="18"/>
                <w:rtl w:val="0"/>
              </w:rPr>
              <w:t xml:space="preserve">C1 C2 C3</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Marcha blanca, documentación y cierre </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Todo el material producido </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Sem. 14 a 16 </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Equipo </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Dificultad prevista: coordinación con responsabilidades laborales </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No iniciado </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ajustes </w:t>
            </w:r>
          </w:p>
        </w:tc>
      </w:tr>
    </w:tbl>
    <w:p w:rsidR="00000000" w:rsidDel="00000000" w:rsidP="00000000" w:rsidRDefault="00000000" w:rsidRPr="00000000" w14:paraId="000000BB">
      <w:pPr>
        <w:rPr>
          <w:color w:val="595959"/>
          <w:sz w:val="24"/>
          <w:szCs w:val="24"/>
        </w:rPr>
      </w:pPr>
      <w:r w:rsidDel="00000000" w:rsidR="00000000" w:rsidRPr="00000000">
        <w:rPr>
          <w:rtl w:val="0"/>
        </w:rPr>
      </w:r>
    </w:p>
    <w:p w:rsidR="00000000" w:rsidDel="00000000" w:rsidP="00000000" w:rsidRDefault="00000000" w:rsidRPr="00000000" w14:paraId="000000B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D">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1">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Facilitadores.</w:t>
            </w:r>
            <w:r w:rsidDel="00000000" w:rsidR="00000000" w:rsidRPr="00000000">
              <w:rPr>
                <w:sz w:val="20"/>
                <w:szCs w:val="20"/>
                <w:rtl w:val="0"/>
              </w:rPr>
              <w:t xml:space="preserve"> El factor más determinante fue desarrollar el proyecto en un contexto laboral real, con acceso directo a los sistemas y datos de producción. Esto permitió validar cada decisión contra el comportamiento efectivo de las fuentes en lugar de contra supuestos, y detectar tempranamente limitaciones que una simulación no habría revelado. El respaldo del equipo de Customer Intelligence aportó el conocimiento de negocio para definir qué métricas resultaban relevantes. La definición del patrón arquitectónico y las convenciones de nomenclatura durante el Sprint 0 evitó discusiones de diseño en etapas avanzadas. Finalmente, el linaje automático que genera la herramienta de transformación permitió evaluar con rapidez el impacto de cada modificación.</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Dificultades y acciones tomadas.</w:t>
            </w:r>
            <w:r w:rsidDel="00000000" w:rsidR="00000000" w:rsidRPr="00000000">
              <w:rPr>
                <w:sz w:val="20"/>
                <w:szCs w:val="20"/>
                <w:rtl w:val="0"/>
              </w:rPr>
              <w:t xml:space="preserve"> Las principales dificultades y su resolución fueron:</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Restricciones de red impuestas por el cliente.</w:t>
            </w:r>
            <w:r w:rsidDel="00000000" w:rsidR="00000000" w:rsidRPr="00000000">
              <w:rPr>
                <w:sz w:val="20"/>
                <w:szCs w:val="20"/>
                <w:rtl w:val="0"/>
              </w:rPr>
              <w:t xml:space="preserve"> El cortafuegos que protege el dominio de uno de los tenants bloqueaba las direcciones de la nube. Se implementó una solución transitoria ejecutando ese pipeline desde el servidor propio de la empresa, y se escaló al área de tecnología del cliente la autorización de los rangos correspondientes. La incorporación del tenant no se detuvo.</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Limitaciones de las interfaces de origen.</w:t>
            </w:r>
            <w:r w:rsidDel="00000000" w:rsidR="00000000" w:rsidRPr="00000000">
              <w:rPr>
                <w:sz w:val="20"/>
                <w:szCs w:val="20"/>
                <w:rtl w:val="0"/>
              </w:rPr>
              <w:t xml:space="preserve"> Las plataformas de email marketing presentaron restricciones no documentadas: una requiere múltiples llamadas por registro y no expone la fecha de envío; la otra filtra por fecha de creación. Se rediseñó la extracción de la primera en dos fases con persistencia intermedia, y se amplió la ventana de consulta de la segunda tras medir el desfase máximo observado.</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Controles de seguridad sobrepasados por roles superiores.</w:t>
            </w:r>
            <w:r w:rsidDel="00000000" w:rsidR="00000000" w:rsidRPr="00000000">
              <w:rPr>
                <w:sz w:val="20"/>
                <w:szCs w:val="20"/>
                <w:rtl w:val="0"/>
              </w:rPr>
              <w:t xml:space="preserve"> El enmascaramiento de datos sensibles resultaba inefectivo porque las cuentas de prueba tenían roles de nivel de proyecto que lo sobrepasan. Se retiraron esos roles y se definió un grupo de acceso con permisos mínimos, verificando el comportamiento esperado.</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Volumen de ejecuciones de transformación.</w:t>
            </w:r>
            <w:r w:rsidDel="00000000" w:rsidR="00000000" w:rsidRPr="00000000">
              <w:rPr>
                <w:sz w:val="20"/>
                <w:szCs w:val="20"/>
                <w:rtl w:val="0"/>
              </w:rPr>
              <w:t xml:space="preserve"> La configuración inicial disparaba todos los modelos ante cada mensaje, generando un costo desproporcionado. Se reestructuró la orquestación separando los trabajos de preparación por tenant de los de consolidación, reduciendo las ejecuciones a aproximadamente un tercio.</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Dependencias externas sobre el comportamiento web.</w:t>
            </w:r>
            <w:r w:rsidDel="00000000" w:rsidR="00000000" w:rsidRPr="00000000">
              <w:rPr>
                <w:sz w:val="20"/>
                <w:szCs w:val="20"/>
                <w:rtl w:val="0"/>
              </w:rPr>
              <w:t xml:space="preserve"> La identificación del visitante requiere una configuración en el sitio del cliente que no depende del equipo. Se avanzó con las métricas agregadas disponibles y se dejó trazada la limitación.</w:t>
            </w:r>
            <w:r w:rsidDel="00000000" w:rsidR="00000000" w:rsidRPr="00000000">
              <w:rPr>
                <w:rtl w:val="0"/>
              </w:rPr>
            </w:r>
          </w:p>
        </w:tc>
      </w:tr>
    </w:tbl>
    <w:p w:rsidR="00000000" w:rsidDel="00000000" w:rsidP="00000000" w:rsidRDefault="00000000" w:rsidRPr="00000000" w14:paraId="000000C9">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A">
            <w:pPr>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CB">
            <w:pPr>
              <w:spacing w:after="240" w:before="240" w:lineRule="auto"/>
              <w:jc w:val="both"/>
              <w:rPr>
                <w:color w:val="1f3864"/>
              </w:rPr>
            </w:pPr>
            <w:r w:rsidDel="00000000" w:rsidR="00000000" w:rsidRPr="00000000">
              <w:rPr>
                <w:color w:val="1f3864"/>
                <w:rtl w:val="0"/>
              </w:rPr>
              <w:t xml:space="preserve">Se eliminó una actividad del plan y se ajustaron seis. La actividad eliminada fue la </w:t>
            </w:r>
            <w:r w:rsidDel="00000000" w:rsidR="00000000" w:rsidRPr="00000000">
              <w:rPr>
                <w:b w:val="1"/>
                <w:bCs w:val="1"/>
                <w:color w:val="1f3864"/>
                <w:rtl w:val="0"/>
              </w:rPr>
              <w:t xml:space="preserve">exportación de informes a formatos externos</w:t>
            </w:r>
            <w:r w:rsidDel="00000000" w:rsidR="00000000" w:rsidRPr="00000000">
              <w:rPr>
                <w:color w:val="1f3864"/>
                <w:rtl w:val="0"/>
              </w:rPr>
              <w:t xml:space="preserve"> (PDF y CSV) desde el tablero. Durante el Sprint 3 se constató que no tenía uso real: Looker Studio ya ofrece esa funcionalidad de forma nativa, y los usuarios de negocio consultan los tableros en línea en lugar de descargarlos. Implementar un mecanismo propio habría duplicado una capacidad existente sin aportar valor. Las seis actividades ajustadas lo fueron en todos los casos ampliando o redefiniendo el enfoque, nunca reduciendo el alcance. </w:t>
            </w:r>
          </w:p>
          <w:p w:rsidR="00000000" w:rsidDel="00000000" w:rsidP="00000000" w:rsidRDefault="00000000" w:rsidRPr="00000000" w14:paraId="000000CC">
            <w:pPr>
              <w:spacing w:after="240" w:before="240" w:lineRule="auto"/>
              <w:jc w:val="both"/>
              <w:rPr>
                <w:color w:val="1f3864"/>
              </w:rPr>
            </w:pPr>
            <w:r w:rsidDel="00000000" w:rsidR="00000000" w:rsidRPr="00000000">
              <w:rPr>
                <w:color w:val="1f3864"/>
                <w:rtl w:val="0"/>
              </w:rPr>
              <w:t xml:space="preserve">La </w:t>
            </w:r>
            <w:r w:rsidDel="00000000" w:rsidR="00000000" w:rsidRPr="00000000">
              <w:rPr>
                <w:b w:val="1"/>
                <w:bCs w:val="1"/>
                <w:color w:val="1f3864"/>
                <w:rtl w:val="0"/>
              </w:rPr>
              <w:t xml:space="preserve">planificación</w:t>
            </w:r>
            <w:r w:rsidDel="00000000" w:rsidR="00000000" w:rsidRPr="00000000">
              <w:rPr>
                <w:color w:val="1f3864"/>
                <w:rtl w:val="0"/>
              </w:rPr>
              <w:t xml:space="preserve"> se ajustó al ampliar el backlog de catorce a diecinueve ítems, tras constatar durante el Sprint 0 que el alcance original omitía la ingesta de email marketing, los eventos web, la incorporación de nuevos tenants, la carga histórica y la auditoría de calidad. Reconocer esto temprano evitó que apareciera como trabajo no planificado en sprints posteriores.</w:t>
            </w:r>
          </w:p>
          <w:p w:rsidR="00000000" w:rsidDel="00000000" w:rsidP="00000000" w:rsidRDefault="00000000" w:rsidRPr="00000000" w14:paraId="000000CD">
            <w:pPr>
              <w:spacing w:after="240" w:before="240" w:lineRule="auto"/>
              <w:jc w:val="both"/>
              <w:rPr>
                <w:color w:val="1f3864"/>
              </w:rPr>
            </w:pPr>
            <w:r w:rsidDel="00000000" w:rsidR="00000000" w:rsidRPr="00000000">
              <w:rPr>
                <w:color w:val="1f3864"/>
                <w:rtl w:val="0"/>
              </w:rPr>
              <w:t xml:space="preserve">La </w:t>
            </w:r>
            <w:r w:rsidDel="00000000" w:rsidR="00000000" w:rsidRPr="00000000">
              <w:rPr>
                <w:b w:val="1"/>
                <w:bCs w:val="1"/>
                <w:color w:val="1f3864"/>
                <w:rtl w:val="0"/>
              </w:rPr>
              <w:t xml:space="preserve">capa Silver</w:t>
            </w:r>
            <w:r w:rsidDel="00000000" w:rsidR="00000000" w:rsidRPr="00000000">
              <w:rPr>
                <w:color w:val="1f3864"/>
                <w:rtl w:val="0"/>
              </w:rPr>
              <w:t xml:space="preserve"> se ajustó introduciendo una capa de preparación por tenant, en lugar de modelos independientes para cada cliente. El diseño original habría exigido duplicar la lógica de transformación por cada incorporación; el ajustado permite agregar un tenant creando solo sus vistas de preparación.</w:t>
            </w:r>
          </w:p>
          <w:p w:rsidR="00000000" w:rsidDel="00000000" w:rsidP="00000000" w:rsidRDefault="00000000" w:rsidRPr="00000000" w14:paraId="000000CE">
            <w:pPr>
              <w:spacing w:after="240" w:before="240" w:lineRule="auto"/>
              <w:jc w:val="both"/>
              <w:rPr>
                <w:color w:val="1f3864"/>
              </w:rPr>
            </w:pPr>
            <w:r w:rsidDel="00000000" w:rsidR="00000000" w:rsidRPr="00000000">
              <w:rPr>
                <w:color w:val="1f3864"/>
                <w:rtl w:val="0"/>
              </w:rPr>
              <w:t xml:space="preserve">La </w:t>
            </w:r>
            <w:r w:rsidDel="00000000" w:rsidR="00000000" w:rsidRPr="00000000">
              <w:rPr>
                <w:b w:val="1"/>
                <w:bCs w:val="1"/>
                <w:color w:val="1f3864"/>
                <w:rtl w:val="0"/>
              </w:rPr>
              <w:t xml:space="preserve">orquestación</w:t>
            </w:r>
            <w:r w:rsidDel="00000000" w:rsidR="00000000" w:rsidRPr="00000000">
              <w:rPr>
                <w:color w:val="1f3864"/>
                <w:rtl w:val="0"/>
              </w:rPr>
              <w:t xml:space="preserve"> se ajustó separando los trabajos de transformación por tenant, por la razón de costo ya descrita.</w:t>
            </w:r>
          </w:p>
          <w:p w:rsidR="00000000" w:rsidDel="00000000" w:rsidP="00000000" w:rsidRDefault="00000000" w:rsidRPr="00000000" w14:paraId="000000CF">
            <w:pPr>
              <w:spacing w:after="240" w:before="240" w:lineRule="auto"/>
              <w:jc w:val="both"/>
              <w:rPr>
                <w:color w:val="1f3864"/>
              </w:rPr>
            </w:pPr>
            <w:r w:rsidDel="00000000" w:rsidR="00000000" w:rsidRPr="00000000">
              <w:rPr>
                <w:color w:val="1f3864"/>
                <w:rtl w:val="0"/>
              </w:rPr>
              <w:t xml:space="preserve">Los </w:t>
            </w:r>
            <w:r w:rsidDel="00000000" w:rsidR="00000000" w:rsidRPr="00000000">
              <w:rPr>
                <w:b w:val="1"/>
                <w:bCs w:val="1"/>
                <w:color w:val="1f3864"/>
                <w:rtl w:val="0"/>
              </w:rPr>
              <w:t xml:space="preserve">pipelines de email marketing</w:t>
            </w:r>
            <w:r w:rsidDel="00000000" w:rsidR="00000000" w:rsidRPr="00000000">
              <w:rPr>
                <w:color w:val="1f3864"/>
                <w:rtl w:val="0"/>
              </w:rPr>
              <w:t xml:space="preserve"> se ajustaron en su estrategia de extracción por las limitaciones de las interfaces de origen.</w:t>
            </w:r>
          </w:p>
          <w:p w:rsidR="00000000" w:rsidDel="00000000" w:rsidP="00000000" w:rsidRDefault="00000000" w:rsidRPr="00000000" w14:paraId="000000D0">
            <w:pPr>
              <w:spacing w:after="240" w:before="240" w:lineRule="auto"/>
              <w:jc w:val="both"/>
              <w:rPr>
                <w:color w:val="1f3864"/>
              </w:rPr>
            </w:pPr>
            <w:r w:rsidDel="00000000" w:rsidR="00000000" w:rsidRPr="00000000">
              <w:rPr>
                <w:color w:val="1f3864"/>
                <w:rtl w:val="0"/>
              </w:rPr>
              <w:t xml:space="preserve">La </w:t>
            </w:r>
            <w:r w:rsidDel="00000000" w:rsidR="00000000" w:rsidRPr="00000000">
              <w:rPr>
                <w:b w:val="1"/>
                <w:bCs w:val="1"/>
                <w:color w:val="1f3864"/>
                <w:rtl w:val="0"/>
              </w:rPr>
              <w:t xml:space="preserve">incorporación de tenants</w:t>
            </w:r>
            <w:r w:rsidDel="00000000" w:rsidR="00000000" w:rsidRPr="00000000">
              <w:rPr>
                <w:color w:val="1f3864"/>
                <w:rtl w:val="0"/>
              </w:rPr>
              <w:t xml:space="preserve"> se ajustó con una ruta de ejecución alternativa para el cliente afectado por la restricción de red.</w:t>
            </w:r>
          </w:p>
          <w:p w:rsidR="00000000" w:rsidDel="00000000" w:rsidP="00000000" w:rsidRDefault="00000000" w:rsidRPr="00000000" w14:paraId="000000D1">
            <w:pPr>
              <w:spacing w:after="240" w:before="240" w:lineRule="auto"/>
              <w:jc w:val="both"/>
              <w:rPr>
                <w:color w:val="1f3864"/>
              </w:rPr>
            </w:pPr>
            <w:r w:rsidDel="00000000" w:rsidR="00000000" w:rsidRPr="00000000">
              <w:rPr>
                <w:color w:val="1f3864"/>
                <w:rtl w:val="0"/>
              </w:rPr>
              <w:t xml:space="preserve">Adicionalmente, durante el desarrollo se incorporaron dos cambios al modelo de datos no contemplados inicialmente: el reemplazo de claves primarias generadas por función de resumen criptográfico por claves compuestas legibles, que facilitan el diagnóstico; y la creación de una tabla puente para la relación de muchos a muchos entre productos y categorías.</w:t>
            </w:r>
          </w:p>
          <w:p w:rsidR="00000000" w:rsidDel="00000000" w:rsidP="00000000" w:rsidRDefault="00000000" w:rsidRPr="00000000" w14:paraId="000000D2">
            <w:pPr>
              <w:spacing w:after="240" w:before="240" w:lineRule="auto"/>
              <w:jc w:val="both"/>
              <w:rPr>
                <w:color w:val="1f3864"/>
              </w:rPr>
            </w:pPr>
            <w:r w:rsidDel="00000000" w:rsidR="00000000" w:rsidRPr="00000000">
              <w:rPr>
                <w:rtl w:val="0"/>
              </w:rPr>
            </w:r>
          </w:p>
          <w:p w:rsidR="00000000" w:rsidDel="00000000" w:rsidP="00000000" w:rsidRDefault="00000000" w:rsidRPr="00000000" w14:paraId="000000D3">
            <w:pPr>
              <w:jc w:val="both"/>
              <w:rPr>
                <w:color w:val="1f3864"/>
              </w:rPr>
            </w:pPr>
            <w:r w:rsidDel="00000000" w:rsidR="00000000" w:rsidRPr="00000000">
              <w:rPr>
                <w:rtl w:val="0"/>
              </w:rPr>
            </w:r>
          </w:p>
        </w:tc>
      </w:tr>
    </w:tbl>
    <w:p w:rsidR="00000000" w:rsidDel="00000000" w:rsidP="00000000" w:rsidRDefault="00000000" w:rsidRPr="00000000" w14:paraId="000000D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6">
            <w:pPr>
              <w:jc w:val="both"/>
              <w:rPr>
                <w:color w:val="1f3864"/>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color w:val="1f3864"/>
                <w:rtl w:val="0"/>
              </w:rPr>
              <w:t xml:space="preserve">:</w:t>
            </w:r>
          </w:p>
          <w:p w:rsidR="00000000" w:rsidDel="00000000" w:rsidP="00000000" w:rsidRDefault="00000000" w:rsidRPr="00000000" w14:paraId="000000D7">
            <w:pPr>
              <w:spacing w:after="240" w:before="240" w:lineRule="auto"/>
              <w:jc w:val="both"/>
              <w:rPr>
                <w:color w:val="1f3864"/>
              </w:rPr>
            </w:pPr>
            <w:r w:rsidDel="00000000" w:rsidR="00000000" w:rsidRPr="00000000">
              <w:rPr>
                <w:color w:val="1f3864"/>
                <w:rtl w:val="0"/>
              </w:rPr>
              <w:t xml:space="preserve">El </w:t>
            </w:r>
            <w:r w:rsidDel="00000000" w:rsidR="00000000" w:rsidRPr="00000000">
              <w:rPr>
                <w:b w:val="1"/>
                <w:bCs w:val="1"/>
                <w:color w:val="1f3864"/>
                <w:rtl w:val="0"/>
              </w:rPr>
              <w:t xml:space="preserve">sprint de cierre</w:t>
            </w:r>
            <w:r w:rsidDel="00000000" w:rsidR="00000000" w:rsidRPr="00000000">
              <w:rPr>
                <w:color w:val="1f3864"/>
                <w:rtl w:val="0"/>
              </w:rPr>
              <w:t xml:space="preserve"> (marcha blanca, corrección de incidencias, validación final, documentación técnica y traspaso a operación) no se ha iniciado. Esto corresponde a la planificación y no constituye un retraso: está programado para las semanas 14 a 16.</w:t>
            </w:r>
          </w:p>
          <w:p w:rsidR="00000000" w:rsidDel="00000000" w:rsidP="00000000" w:rsidRDefault="00000000" w:rsidRPr="00000000" w14:paraId="000000D8">
            <w:pPr>
              <w:spacing w:after="240" w:before="240" w:lineRule="auto"/>
              <w:jc w:val="both"/>
              <w:rPr>
                <w:color w:val="1f3864"/>
              </w:rPr>
            </w:pPr>
            <w:r w:rsidDel="00000000" w:rsidR="00000000" w:rsidRPr="00000000">
              <w:rPr>
                <w:color w:val="1f3864"/>
                <w:rtl w:val="0"/>
              </w:rPr>
              <w:t xml:space="preserve">Tres tareas del Sprint 3 quedaron </w:t>
            </w:r>
            <w:r w:rsidDel="00000000" w:rsidR="00000000" w:rsidRPr="00000000">
              <w:rPr>
                <w:b w:val="1"/>
                <w:bCs w:val="1"/>
                <w:color w:val="1f3864"/>
                <w:rtl w:val="0"/>
              </w:rPr>
              <w:t xml:space="preserve">en curso</w:t>
            </w:r>
            <w:r w:rsidDel="00000000" w:rsidR="00000000" w:rsidRPr="00000000">
              <w:rPr>
                <w:color w:val="1f3864"/>
                <w:rtl w:val="0"/>
              </w:rPr>
              <w:t xml:space="preserve"> al cierre de la semana 13: los modelos de atribución entre campañas y comportamiento web, la validación de integridad referencial del histórico consolidado y la auditoría de calidad por tenant.</w:t>
            </w:r>
          </w:p>
          <w:p w:rsidR="00000000" w:rsidDel="00000000" w:rsidP="00000000" w:rsidRDefault="00000000" w:rsidRPr="00000000" w14:paraId="000000D9">
            <w:pPr>
              <w:spacing w:after="240" w:before="240" w:lineRule="auto"/>
              <w:jc w:val="both"/>
              <w:rPr>
                <w:color w:val="1f3864"/>
              </w:rPr>
            </w:pPr>
            <w:r w:rsidDel="00000000" w:rsidR="00000000" w:rsidRPr="00000000">
              <w:rPr>
                <w:color w:val="1f3864"/>
                <w:rtl w:val="0"/>
              </w:rPr>
              <w:t xml:space="preserve">De ellas, solo los modelos de atribución tienen una causa externa: dependen de una configuración en el sitio del cliente que habilita la identificación individual del visitante, gestión que se encuentra en curso. Las otras dos se arrastran por priorización, ya que durante el Sprint 3 se privilegió cerrar la incorporación de los tenants Ariztía y Mercado Carozzi, que condicionaba el resto del trabajo, y no por impedimento técnico.</w:t>
            </w:r>
          </w:p>
          <w:p w:rsidR="00000000" w:rsidDel="00000000" w:rsidP="00000000" w:rsidRDefault="00000000" w:rsidRPr="00000000" w14:paraId="000000DA">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La estrategia para no afectar el proyecto consiste en incorporarlas como primeras tareas del sprint de cierre, donde conviven naturalmente con la marcha blanca: la auditoría de calidad y la validación del histórico son precisamente las actividades que esa etapa contempla. En el caso de los modelos de atribución, se avanzará con las métricas agregadas disponibles y la limitación quedará documentada como dependencia externa en el informe final.</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7H938KICIKwS1uRruR6juX3Gjg==">CgMxLjAyDmguMmd4OHcwaTk3NGM1OAByITFHYmVpRXBkeC0tWU1mdmstT29OZUVoYXo1Q3R6aEUwQw==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