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rtl w:val="0"/>
              </w:rPr>
              <w:t xml:space="preserve">Migración de plataforma analítica de datos desde infraestructura local a Google Cloud Platform para la integración de fuentes heterogéneas y generación de una vista unificada del cliente (Customer 360)</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sz w:val="24"/>
                <w:szCs w:val="24"/>
                <w:rtl w:val="0"/>
              </w:rPr>
              <w:t xml:space="preserve">Gestión de Proyectos BI.</w:t>
              <w:br w:type="textWrapping"/>
              <w:t xml:space="preserve">Análisis y Evaluación de Soluciones Informáticas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numPr>
                <w:ilvl w:val="0"/>
                <w:numId w:val="2"/>
              </w:numPr>
              <w:spacing w:after="0" w:afterAutospacing="0"/>
              <w:ind w:left="720" w:hanging="360"/>
              <w:rPr>
                <w:sz w:val="24"/>
                <w:szCs w:val="24"/>
              </w:rPr>
            </w:pPr>
            <w:r w:rsidDel="00000000" w:rsidR="00000000" w:rsidRPr="00000000">
              <w:rPr>
                <w:sz w:val="24"/>
                <w:szCs w:val="24"/>
                <w:rtl w:val="0"/>
              </w:rPr>
              <w:t xml:space="preserve">Implementar soluciones sistemáticas integrales para automatizar y optimizar procesos de negocio de acuerdo a las necesidades de la organización.</w:t>
            </w:r>
          </w:p>
          <w:p w:rsidR="00000000" w:rsidDel="00000000" w:rsidP="00000000" w:rsidRDefault="00000000" w:rsidRPr="00000000" w14:paraId="00000015">
            <w:pPr>
              <w:numPr>
                <w:ilvl w:val="0"/>
                <w:numId w:val="2"/>
              </w:numPr>
              <w:spacing w:after="0" w:afterAutospacing="0"/>
              <w:ind w:left="720" w:hanging="360"/>
              <w:rPr>
                <w:sz w:val="24"/>
                <w:szCs w:val="24"/>
              </w:rPr>
            </w:pPr>
            <w:r w:rsidDel="00000000" w:rsidR="00000000" w:rsidRPr="00000000">
              <w:rPr>
                <w:sz w:val="24"/>
                <w:szCs w:val="24"/>
                <w:rtl w:val="0"/>
              </w:rPr>
              <w:t xml:space="preserve">Desarrollar la transformación de grandes volúmenes de datos para la obtención de información y conocimiento de la organización con el fin de apoyar a la toma de decisiones y la mejora de los procesos de negocios</w:t>
            </w:r>
          </w:p>
          <w:p w:rsidR="00000000" w:rsidDel="00000000" w:rsidP="00000000" w:rsidRDefault="00000000" w:rsidRPr="00000000" w14:paraId="00000016">
            <w:pPr>
              <w:numPr>
                <w:ilvl w:val="0"/>
                <w:numId w:val="2"/>
              </w:numPr>
              <w:ind w:left="720" w:hanging="360"/>
              <w:rPr>
                <w:sz w:val="24"/>
                <w:szCs w:val="24"/>
              </w:rPr>
            </w:pPr>
            <w:r w:rsidDel="00000000" w:rsidR="00000000" w:rsidRPr="00000000">
              <w:rPr>
                <w:sz w:val="24"/>
                <w:szCs w:val="24"/>
                <w:rtl w:val="0"/>
              </w:rPr>
              <w:t xml:space="preserve">Construir un modelo arquitectónico de una solución sistémica que soporte los procesos de negocio de acuerdo a los requerimientos de la organización y estándares de la industria</w:t>
            </w:r>
            <w:r w:rsidDel="00000000" w:rsidR="00000000" w:rsidRPr="00000000">
              <w:rPr>
                <w:rtl w:val="0"/>
              </w:rPr>
            </w:r>
          </w:p>
        </w:tc>
      </w:tr>
    </w:tbl>
    <w:p w:rsidR="00000000" w:rsidDel="00000000" w:rsidP="00000000" w:rsidRDefault="00000000" w:rsidRPr="00000000" w14:paraId="00000017">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8">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B">
            <w:pPr>
              <w:jc w:val="both"/>
              <w:rPr>
                <w:sz w:val="20"/>
                <w:szCs w:val="20"/>
              </w:rPr>
            </w:pPr>
            <w:r w:rsidDel="00000000" w:rsidR="00000000" w:rsidRPr="00000000">
              <w:rPr>
                <w:sz w:val="20"/>
                <w:szCs w:val="20"/>
                <w:rtl w:val="0"/>
              </w:rPr>
              <w:t xml:space="preserve">Martech es una empresa chilena de marketing automation y analítica de datos B2B que presta servicios a clientes del sector de alimentos y consumo masivo, entre ellos PF, Carozzi y Ariztía. Previo a este proyecto, la operación de datos de Martech dependía de una infraestructura local basada en MySQL, con el pipelines ETL desarrollados de forma ad-hoc por cliente, sin trazabilidad de datos crudos, sin capacidad de integrar múltiples fuentes (e-commerce, email marketing, web analytics) en una vista unificada, y sin escalabilidad para incorporar nuevos clientes sin rediseñar desde cero.</w:t>
            </w:r>
          </w:p>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Esta arquitectura generaba problemas concretos: duplicación de esfuerzo de ingeniería por cada nuevo tenant, imposibilidad de cruzar fuentes de datos en análisis unificados, ausencia de un historial auditable de los datos originales, y procesamiento manual de reportes que debían actualizarse diariamente. Adicionalmente, la entrada en vigencia de la Ley 21.719 de protección de datos personales en Chile (efectiva el 1 de diciembre de 2026) impuso una urgencia regulatoria: los datos de clientes deben gestionarse con controles de acceso auditables y bajo una arquitectura que distinga claramente el rol del encargado (Martech) del responsable (cliente final), algo que la infraestructura MySQL local no podía garantizar.</w:t>
            </w:r>
          </w:p>
          <w:p w:rsidR="00000000" w:rsidDel="00000000" w:rsidP="00000000" w:rsidRDefault="00000000" w:rsidRPr="00000000" w14:paraId="0000001D">
            <w:pPr>
              <w:jc w:val="both"/>
              <w:rPr>
                <w:i w:val="1"/>
                <w:iCs w:val="1"/>
                <w:color w:val="0070c0"/>
                <w:sz w:val="18"/>
                <w:szCs w:val="18"/>
              </w:rPr>
            </w:pPr>
            <w:r w:rsidDel="00000000" w:rsidR="00000000" w:rsidRPr="00000000">
              <w:rPr>
                <w:sz w:val="20"/>
                <w:szCs w:val="20"/>
                <w:rtl w:val="0"/>
              </w:rPr>
              <w:t xml:space="preserve">El proyecto se ubica en Santiago, Chile e impacta directamente a los equipos comerciales y de marketing de empresas del sector alimentos con operación de venta B2B online, donde la segmentación de clientes, el seguimientos del ciclo de compra y la atribución de campañas son procesos críticos que hasta hora se realizaban con datos fragmentados.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0">
            <w:pPr>
              <w:spacing w:after="240" w:before="240" w:lineRule="auto"/>
              <w:jc w:val="both"/>
              <w:rPr>
                <w:sz w:val="20"/>
                <w:szCs w:val="20"/>
              </w:rPr>
            </w:pPr>
            <w:r w:rsidDel="00000000" w:rsidR="00000000" w:rsidRPr="00000000">
              <w:rPr>
                <w:sz w:val="20"/>
                <w:szCs w:val="20"/>
                <w:rtl w:val="0"/>
              </w:rPr>
              <w:t xml:space="preserve">Migrar la plataforma de datos de MarTech desde una infraestructura local basada en MySQL hacia Google Cloud Platform, adoptando una arquitectura Medallion sobre BigQuery con pipelines estandarizados en Cloud Run y transformaciones en dbt Cloud, que integre fuentes de datos heterogéneas y produzca una vista unificada del cliente escalable, auditable y conforme a la normativa chilena de protección de datos personales.</w:t>
            </w:r>
          </w:p>
          <w:p w:rsidR="00000000" w:rsidDel="00000000" w:rsidP="00000000" w:rsidRDefault="00000000" w:rsidRPr="00000000" w14:paraId="00000021">
            <w:pPr>
              <w:spacing w:after="240" w:before="240" w:lineRule="auto"/>
              <w:jc w:val="both"/>
              <w:rPr>
                <w:sz w:val="20"/>
                <w:szCs w:val="20"/>
              </w:rPr>
            </w:pPr>
            <w:r w:rsidDel="00000000" w:rsidR="00000000" w:rsidRPr="00000000">
              <w:rPr>
                <w:sz w:val="20"/>
                <w:szCs w:val="20"/>
                <w:rtl w:val="0"/>
              </w:rPr>
              <w:t xml:space="preserve">Objetivos específicos</w:t>
            </w:r>
          </w:p>
          <w:p w:rsidR="00000000" w:rsidDel="00000000" w:rsidP="00000000" w:rsidRDefault="00000000" w:rsidRPr="00000000" w14:paraId="00000022">
            <w:pPr>
              <w:numPr>
                <w:ilvl w:val="0"/>
                <w:numId w:val="3"/>
              </w:numPr>
              <w:spacing w:after="0" w:afterAutospacing="0" w:before="240" w:lineRule="auto"/>
              <w:ind w:left="720" w:hanging="360"/>
              <w:rPr>
                <w:sz w:val="20"/>
                <w:szCs w:val="20"/>
                <w:u w:val="none"/>
              </w:rPr>
            </w:pPr>
            <w:r w:rsidDel="00000000" w:rsidR="00000000" w:rsidRPr="00000000">
              <w:rPr>
                <w:sz w:val="20"/>
                <w:szCs w:val="20"/>
                <w:rtl w:val="0"/>
              </w:rPr>
              <w:t xml:space="preserve">Evaluar las limitaciones de la infraestructura anterior y definir los requerimientos de la arquitectura de destino en Google Cloud Platform.</w:t>
            </w:r>
          </w:p>
          <w:p w:rsidR="00000000" w:rsidDel="00000000" w:rsidP="00000000" w:rsidRDefault="00000000" w:rsidRPr="00000000" w14:paraId="00000023">
            <w:pPr>
              <w:numPr>
                <w:ilvl w:val="0"/>
                <w:numId w:val="3"/>
              </w:numPr>
              <w:spacing w:after="0" w:afterAutospacing="0" w:before="0" w:beforeAutospacing="0" w:lineRule="auto"/>
              <w:ind w:left="720" w:hanging="360"/>
              <w:rPr>
                <w:i w:val="1"/>
                <w:iCs w:val="1"/>
                <w:sz w:val="18"/>
                <w:szCs w:val="18"/>
              </w:rPr>
            </w:pPr>
            <w:r w:rsidDel="00000000" w:rsidR="00000000" w:rsidRPr="00000000">
              <w:rPr>
                <w:sz w:val="20"/>
                <w:szCs w:val="20"/>
                <w:rtl w:val="0"/>
              </w:rPr>
              <w:t xml:space="preserve">Migrar los pipelines de extracción a Cloud Run, redirigiendo la escritura desde MySQL hacia la capa Bronze en BigQuery con persistencia del JSON crudo de cada fuente.</w:t>
            </w:r>
          </w:p>
          <w:p w:rsidR="00000000" w:rsidDel="00000000" w:rsidP="00000000" w:rsidRDefault="00000000" w:rsidRPr="00000000" w14:paraId="00000024">
            <w:pPr>
              <w:numPr>
                <w:ilvl w:val="0"/>
                <w:numId w:val="3"/>
              </w:numPr>
              <w:spacing w:after="0" w:afterAutospacing="0" w:before="0" w:beforeAutospacing="0" w:lineRule="auto"/>
              <w:ind w:left="720" w:hanging="360"/>
              <w:rPr>
                <w:i w:val="1"/>
                <w:iCs w:val="1"/>
                <w:sz w:val="18"/>
                <w:szCs w:val="18"/>
              </w:rPr>
            </w:pPr>
            <w:r w:rsidDel="00000000" w:rsidR="00000000" w:rsidRPr="00000000">
              <w:rPr>
                <w:sz w:val="20"/>
                <w:szCs w:val="20"/>
                <w:rtl w:val="0"/>
              </w:rPr>
              <w:t xml:space="preserve">Implementar la ingesta de datos de email marketing desde Mailup y Fidelizador, con manejo diferenciado según las características de cada plataforma.</w:t>
            </w:r>
          </w:p>
          <w:p w:rsidR="00000000" w:rsidDel="00000000" w:rsidP="00000000" w:rsidRDefault="00000000" w:rsidRPr="00000000" w14:paraId="00000025">
            <w:pPr>
              <w:numPr>
                <w:ilvl w:val="0"/>
                <w:numId w:val="3"/>
              </w:numPr>
              <w:spacing w:after="0" w:afterAutospacing="0" w:before="0" w:beforeAutospacing="0" w:lineRule="auto"/>
              <w:ind w:left="720" w:hanging="360"/>
              <w:rPr>
                <w:i w:val="1"/>
                <w:iCs w:val="1"/>
                <w:sz w:val="18"/>
                <w:szCs w:val="18"/>
              </w:rPr>
            </w:pPr>
            <w:r w:rsidDel="00000000" w:rsidR="00000000" w:rsidRPr="00000000">
              <w:rPr>
                <w:sz w:val="20"/>
                <w:szCs w:val="20"/>
                <w:rtl w:val="0"/>
              </w:rPr>
              <w:t xml:space="preserve">Construir los modelos de la capa Silver que normalicen, dedupliquen e integren las fuentes mediante reglas de negocio documentadas.</w:t>
            </w:r>
          </w:p>
          <w:p w:rsidR="00000000" w:rsidDel="00000000" w:rsidP="00000000" w:rsidRDefault="00000000" w:rsidRPr="00000000" w14:paraId="00000026">
            <w:pPr>
              <w:numPr>
                <w:ilvl w:val="0"/>
                <w:numId w:val="3"/>
              </w:numPr>
              <w:spacing w:after="0" w:afterAutospacing="0" w:before="0" w:beforeAutospacing="0" w:lineRule="auto"/>
              <w:ind w:left="720" w:hanging="360"/>
              <w:rPr>
                <w:i w:val="1"/>
                <w:iCs w:val="1"/>
                <w:sz w:val="18"/>
                <w:szCs w:val="18"/>
              </w:rPr>
            </w:pPr>
            <w:r w:rsidDel="00000000" w:rsidR="00000000" w:rsidRPr="00000000">
              <w:rPr>
                <w:sz w:val="20"/>
                <w:szCs w:val="20"/>
                <w:rtl w:val="0"/>
              </w:rPr>
              <w:t xml:space="preserve">Construir los modelos de la capa Gold que generen indicadores de negocio, segmentación RFM y la tabla de vista unificada del cliente.</w:t>
            </w:r>
          </w:p>
          <w:p w:rsidR="00000000" w:rsidDel="00000000" w:rsidP="00000000" w:rsidRDefault="00000000" w:rsidRPr="00000000" w14:paraId="00000027">
            <w:pPr>
              <w:numPr>
                <w:ilvl w:val="0"/>
                <w:numId w:val="3"/>
              </w:numPr>
              <w:spacing w:after="0" w:afterAutospacing="0" w:before="0" w:beforeAutospacing="0" w:lineRule="auto"/>
              <w:ind w:left="720" w:hanging="360"/>
              <w:rPr>
                <w:i w:val="1"/>
                <w:iCs w:val="1"/>
                <w:sz w:val="18"/>
                <w:szCs w:val="18"/>
              </w:rPr>
            </w:pPr>
            <w:r w:rsidDel="00000000" w:rsidR="00000000" w:rsidRPr="00000000">
              <w:rPr>
                <w:sz w:val="20"/>
                <w:szCs w:val="20"/>
                <w:rtl w:val="0"/>
              </w:rPr>
              <w:t xml:space="preserve">Implementar la orquestación automatizada del pipeline mediante Cloud Scheduler y Pub/Sub, reemplazando la ejecución manual.</w:t>
            </w:r>
          </w:p>
          <w:p w:rsidR="00000000" w:rsidDel="00000000" w:rsidP="00000000" w:rsidRDefault="00000000" w:rsidRPr="00000000" w14:paraId="00000028">
            <w:pPr>
              <w:numPr>
                <w:ilvl w:val="0"/>
                <w:numId w:val="3"/>
              </w:numPr>
              <w:spacing w:after="0" w:afterAutospacing="0" w:before="0" w:beforeAutospacing="0" w:lineRule="auto"/>
              <w:ind w:left="720" w:hanging="360"/>
              <w:rPr>
                <w:i w:val="1"/>
                <w:iCs w:val="1"/>
                <w:sz w:val="18"/>
                <w:szCs w:val="18"/>
              </w:rPr>
            </w:pPr>
            <w:r w:rsidDel="00000000" w:rsidR="00000000" w:rsidRPr="00000000">
              <w:rPr>
                <w:sz w:val="20"/>
                <w:szCs w:val="20"/>
                <w:rtl w:val="0"/>
              </w:rPr>
              <w:t xml:space="preserve">Incorporar los datos de comportamiento web al modelo analítico para habilitar el análisis de conversión y la atribución de campañas.</w:t>
            </w:r>
          </w:p>
          <w:p w:rsidR="00000000" w:rsidDel="00000000" w:rsidP="00000000" w:rsidRDefault="00000000" w:rsidRPr="00000000" w14:paraId="00000029">
            <w:pPr>
              <w:numPr>
                <w:ilvl w:val="0"/>
                <w:numId w:val="3"/>
              </w:numPr>
              <w:spacing w:after="0" w:afterAutospacing="0" w:before="0" w:beforeAutospacing="0" w:lineRule="auto"/>
              <w:ind w:left="720" w:hanging="360"/>
              <w:rPr>
                <w:i w:val="1"/>
                <w:iCs w:val="1"/>
                <w:sz w:val="18"/>
                <w:szCs w:val="18"/>
              </w:rPr>
            </w:pPr>
            <w:r w:rsidDel="00000000" w:rsidR="00000000" w:rsidRPr="00000000">
              <w:rPr>
                <w:sz w:val="20"/>
                <w:szCs w:val="20"/>
                <w:rtl w:val="0"/>
              </w:rPr>
              <w:t xml:space="preserve">Implementar los controles de gobernanza exigidos por la Ley 21.719 mediante seguridad a nivel de fila y enmascaramiento dinámico de datos sensibles.</w:t>
            </w:r>
          </w:p>
          <w:p w:rsidR="00000000" w:rsidDel="00000000" w:rsidP="00000000" w:rsidRDefault="00000000" w:rsidRPr="00000000" w14:paraId="0000002A">
            <w:pPr>
              <w:numPr>
                <w:ilvl w:val="0"/>
                <w:numId w:val="3"/>
              </w:numPr>
              <w:spacing w:after="240" w:before="0" w:beforeAutospacing="0" w:lineRule="auto"/>
              <w:ind w:left="720" w:hanging="360"/>
              <w:rPr>
                <w:i w:val="1"/>
                <w:iCs w:val="1"/>
                <w:sz w:val="18"/>
                <w:szCs w:val="18"/>
              </w:rPr>
            </w:pPr>
            <w:r w:rsidDel="00000000" w:rsidR="00000000" w:rsidRPr="00000000">
              <w:rPr>
                <w:sz w:val="20"/>
                <w:szCs w:val="20"/>
                <w:rtl w:val="0"/>
              </w:rPr>
              <w:t xml:space="preserve">Validar la migración en producción y documentar los estándares replicables para la incorporación de nuevos clientes.</w:t>
            </w:r>
            <w:r w:rsidDel="00000000" w:rsidR="00000000" w:rsidRPr="00000000">
              <w:rPr>
                <w:rtl w:val="0"/>
              </w:rPr>
            </w:r>
          </w:p>
          <w:p w:rsidR="00000000" w:rsidDel="00000000" w:rsidP="00000000" w:rsidRDefault="00000000" w:rsidRPr="00000000" w14:paraId="0000002B">
            <w:pPr>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El proyecto se desarrolló aplicando </w:t>
            </w:r>
            <w:r w:rsidDel="00000000" w:rsidR="00000000" w:rsidRPr="00000000">
              <w:rPr>
                <w:sz w:val="20"/>
                <w:szCs w:val="20"/>
                <w:rtl w:val="0"/>
              </w:rPr>
              <w:t xml:space="preserve">Scrum</w:t>
            </w:r>
            <w:r w:rsidDel="00000000" w:rsidR="00000000" w:rsidRPr="00000000">
              <w:rPr>
                <w:sz w:val="20"/>
                <w:szCs w:val="20"/>
                <w:rtl w:val="0"/>
              </w:rPr>
              <w:t xml:space="preserve">, adaptado al contexto de un equipo de tres integrantes que trabajó sobre un entorno productivo real. La elección respondió a una característica del proyecto: una migración de infraestructura enfrenta incertidumbre técnica que no se resuelve en la planificación, sino a medida que se descubren las restricciones concretas de cada interfaz de programación, las limitaciones de los proveedores y las necesidades no declaradas de los clientes. Un enfoque secuencial habría exigido congelar decisiones de diseño antes de contar con la información para tomarlas.</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El trabajo se organizó en cinco sprints distribuidos en diecisiete semanas, con una velocidad total de 882 horas-hombre.</w:t>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0"/>
                <w:szCs w:val="20"/>
                <w:u w:val="none"/>
              </w:rPr>
            </w:pPr>
            <w:r w:rsidDel="00000000" w:rsidR="00000000" w:rsidRPr="00000000">
              <w:rPr>
                <w:b w:val="1"/>
                <w:bCs w:val="1"/>
                <w:sz w:val="20"/>
                <w:szCs w:val="20"/>
                <w:rtl w:val="0"/>
              </w:rPr>
              <w:t xml:space="preserve">Sprint 0</w:t>
            </w:r>
            <w:r w:rsidDel="00000000" w:rsidR="00000000" w:rsidRPr="00000000">
              <w:rPr>
                <w:sz w:val="20"/>
                <w:szCs w:val="20"/>
                <w:rtl w:val="0"/>
              </w:rPr>
              <w:t xml:space="preserve"> — Planificación (semanas 1 a 4, 176 HH).</w:t>
            </w:r>
            <w:r w:rsidDel="00000000" w:rsidR="00000000" w:rsidRPr="00000000">
              <w:rPr>
                <w:sz w:val="20"/>
                <w:szCs w:val="20"/>
                <w:rtl w:val="0"/>
              </w:rPr>
              <w:t xml:space="preserve"> Levantamiento de las fuentes de datos y endpoints de cada tenant, definición del backlog de producto y las historias de usuario, diseño de la arquitectura Medallion y del modelo de datos por capa, definición de estándares y de la estrategia multi-tenant, provisionamiento inicial del ambiente y modelado de los procesos.</w:t>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0"/>
                <w:szCs w:val="20"/>
                <w:u w:val="none"/>
              </w:rPr>
            </w:pPr>
            <w:r w:rsidDel="00000000" w:rsidR="00000000" w:rsidRPr="00000000">
              <w:rPr>
                <w:b w:val="1"/>
                <w:bCs w:val="1"/>
                <w:sz w:val="20"/>
                <w:szCs w:val="20"/>
                <w:rtl w:val="0"/>
              </w:rPr>
              <w:t xml:space="preserve">Sprint 1 </w:t>
            </w:r>
            <w:r w:rsidDel="00000000" w:rsidR="00000000" w:rsidRPr="00000000">
              <w:rPr>
                <w:sz w:val="20"/>
                <w:szCs w:val="20"/>
                <w:rtl w:val="0"/>
              </w:rPr>
              <w:t xml:space="preserve">— Gobernanza e ingesta base (semanas 5 a 7, 220 HH).</w:t>
            </w:r>
            <w:r w:rsidDel="00000000" w:rsidR="00000000" w:rsidRPr="00000000">
              <w:rPr>
                <w:sz w:val="20"/>
                <w:szCs w:val="20"/>
                <w:rtl w:val="0"/>
              </w:rPr>
              <w:t xml:space="preserve"> Configuración de cuentas de servicio bajo mínimo privilegio, implementación de seguridad a nivel de fila y enmascaramiento dinámico, desarrollo del pipeline de extracción incremental desde Magento y del pipeline de Mailup.</w:t>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0"/>
                <w:szCs w:val="20"/>
                <w:u w:val="none"/>
              </w:rPr>
            </w:pPr>
            <w:r w:rsidDel="00000000" w:rsidR="00000000" w:rsidRPr="00000000">
              <w:rPr>
                <w:b w:val="1"/>
                <w:bCs w:val="1"/>
                <w:sz w:val="20"/>
                <w:szCs w:val="20"/>
                <w:rtl w:val="0"/>
              </w:rPr>
              <w:t xml:space="preserve">Sprint 2 </w:t>
            </w:r>
            <w:r w:rsidDel="00000000" w:rsidR="00000000" w:rsidRPr="00000000">
              <w:rPr>
                <w:sz w:val="20"/>
                <w:szCs w:val="20"/>
                <w:rtl w:val="0"/>
              </w:rPr>
              <w:t xml:space="preserve">— Transformación, orquestación y visualización (semanas 8 a 10, 294 HH).</w:t>
            </w:r>
            <w:r w:rsidDel="00000000" w:rsidR="00000000" w:rsidRPr="00000000">
              <w:rPr>
                <w:sz w:val="20"/>
                <w:szCs w:val="20"/>
                <w:rtl w:val="0"/>
              </w:rPr>
              <w:t xml:space="preserve"> Construcción de la capa Silver con su lógica de limpieza y deduplicación, configuración del entorno dbt Cloud y desarrollo de los modelos, orquestación automática del pipeline, desarrollo del pipeline de Fidelizador, incorporación de los eventos web y ejecución de la carga histórica.</w:t>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0"/>
                <w:szCs w:val="20"/>
                <w:u w:val="none"/>
              </w:rPr>
            </w:pPr>
            <w:r w:rsidDel="00000000" w:rsidR="00000000" w:rsidRPr="00000000">
              <w:rPr>
                <w:b w:val="1"/>
                <w:bCs w:val="1"/>
                <w:sz w:val="20"/>
                <w:szCs w:val="20"/>
                <w:rtl w:val="0"/>
              </w:rPr>
              <w:t xml:space="preserve">Sprint 3 </w:t>
            </w:r>
            <w:r w:rsidDel="00000000" w:rsidR="00000000" w:rsidRPr="00000000">
              <w:rPr>
                <w:sz w:val="20"/>
                <w:szCs w:val="20"/>
                <w:rtl w:val="0"/>
              </w:rPr>
              <w:t xml:space="preserve">— API, observabilidad y escalamiento (semanas 11 a 13, 282 HH).</w:t>
            </w:r>
            <w:r w:rsidDel="00000000" w:rsidR="00000000" w:rsidRPr="00000000">
              <w:rPr>
                <w:sz w:val="20"/>
                <w:szCs w:val="20"/>
                <w:rtl w:val="0"/>
              </w:rPr>
              <w:t xml:space="preserve"> Configuración del repositorio e integración continua, desarrollo de la interfaz de exposición de métricas, centralización de la trazabilidad de ejecuciones, construcción de los modelos de atribución, incorporación de los tenants restantes y auditoría de calidad de los datos.</w:t>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0"/>
                <w:szCs w:val="20"/>
                <w:u w:val="none"/>
              </w:rPr>
            </w:pPr>
            <w:r w:rsidDel="00000000" w:rsidR="00000000" w:rsidRPr="00000000">
              <w:rPr>
                <w:b w:val="1"/>
                <w:bCs w:val="1"/>
                <w:sz w:val="20"/>
                <w:szCs w:val="20"/>
                <w:rtl w:val="0"/>
              </w:rPr>
              <w:t xml:space="preserve">Cierre</w:t>
            </w:r>
            <w:r w:rsidDel="00000000" w:rsidR="00000000" w:rsidRPr="00000000">
              <w:rPr>
                <w:sz w:val="20"/>
                <w:szCs w:val="20"/>
                <w:rtl w:val="0"/>
              </w:rPr>
              <w:t xml:space="preserve"> — Marcha blanca y entrega (semanas 14 a 16, 132 HH).</w:t>
            </w:r>
            <w:r w:rsidDel="00000000" w:rsidR="00000000" w:rsidRPr="00000000">
              <w:rPr>
                <w:sz w:val="20"/>
                <w:szCs w:val="20"/>
                <w:rtl w:val="0"/>
              </w:rPr>
              <w:t xml:space="preserve"> Operación supervisada con los tres tenants, corrección de incidencias, validación final contra las fuentes de origen, documentación técnica y traspaso a operación.</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Cada sprint cerró con un incremento verificable en producción. Una vez estabilizado el sistema, la gestión de correcciones y mejoras menores se condujo bajo un enfoque </w:t>
            </w:r>
            <w:r w:rsidDel="00000000" w:rsidR="00000000" w:rsidRPr="00000000">
              <w:rPr>
                <w:sz w:val="20"/>
                <w:szCs w:val="20"/>
                <w:rtl w:val="0"/>
              </w:rPr>
              <w:t xml:space="preserve">Kanban</w:t>
            </w:r>
            <w:r w:rsidDel="00000000" w:rsidR="00000000" w:rsidRPr="00000000">
              <w:rPr>
                <w:sz w:val="20"/>
                <w:szCs w:val="20"/>
                <w:rtl w:val="0"/>
              </w:rPr>
              <w:t xml:space="preserve">, con estados de pendiente, en progreso, en revisión y en producción, lo que permitió atender incidencias sin interrumpir el ciclo formal de sprints.</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sz w:val="20"/>
                <w:szCs w:val="20"/>
                <w:rtl w:val="0"/>
              </w:rPr>
              <w:t xml:space="preserve">La validación de cada incremento se realizó contrastando los volúmenes cargados en BigQuery contra los que reportaban las fuentes de origen, comparando conteos entre capas para detectar pérdidas en las transformaciones, y revisando los resultados con el equipo de Customer Intelligence antes de considerar cada componente como terminado.</w:t>
            </w:r>
            <w:r w:rsidDel="00000000" w:rsidR="00000000" w:rsidRPr="00000000">
              <w:rPr>
                <w:rtl w:val="0"/>
              </w:rPr>
            </w:r>
          </w:p>
          <w:p w:rsidR="00000000" w:rsidDel="00000000" w:rsidP="00000000" w:rsidRDefault="00000000" w:rsidRPr="00000000" w14:paraId="00000036">
            <w:pPr>
              <w:jc w:val="both"/>
              <w:rPr>
                <w:sz w:val="20"/>
                <w:szCs w:val="20"/>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8">
            <w:pPr>
              <w:pStyle w:val="Heading4"/>
              <w:keepNext w:val="0"/>
              <w:keepLines w:val="0"/>
              <w:ind w:left="720" w:firstLine="0"/>
              <w:rPr/>
            </w:pPr>
            <w:bookmarkStart w:colFirst="0" w:colLast="0" w:name="_heading=h.uomln7zb2bak" w:id="0"/>
            <w:bookmarkEnd w:id="0"/>
            <w:r w:rsidDel="00000000" w:rsidR="00000000" w:rsidRPr="00000000">
              <w:rPr>
                <w:rtl w:val="0"/>
              </w:rPr>
              <w:t xml:space="preserve">Etapas y actividades</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El desarrollo siguió el orden de dependencias técnicas del sistema. La primera etapa consistió en separar el proceso ELT hacia la nube del proceso ETL original que alimentaba MySQL, de modo que ambos operaran de forma independiente y la migración no comprometiera la operación vigente. Sobre esa base se construyó la capa Bronze, que almacena el JSON crudo de cada fuente sin transformación alguna, garantizando que cualquier error posterior de modelado pueda corregirse reprocesando desde el dato original.</w:t>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La segunda etapa fue la construcción de la capa Silver. Aquí se adoptó una decisión arquitectónica determinante: en lugar de escribir modelos independientes por cliente, se introdujo una capa de preparación en la que cada tenant tiene sus propias vistas que resuelven las particularidades de su instancia de origen, y los modelos Silver consolidan las tres mediante unión, sin contener lógica de parseo. Esto permite incorporar un nuevo cliente creando únicamente sus vistas de preparación, sin modificar los modelos existentes.</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La tercera etapa incorporó las fuentes de email marketing y comportamiento web, y la cuarta construyó la capa Gold con los indicadores de negocio, la segmentación por recencia, frecuencia y monto, y la tabla de vista unificada del cliente. En paralelo se implementaron los controles de gobernanza y se ejecutó la carga histórica de cada tenant, dividida en bloques mensuales para respetar los límites de respuesta de las fuentes.</w:t>
            </w:r>
          </w:p>
          <w:p w:rsidR="00000000" w:rsidDel="00000000" w:rsidP="00000000" w:rsidRDefault="00000000" w:rsidRPr="00000000" w14:paraId="0000003C">
            <w:pPr>
              <w:pStyle w:val="Heading4"/>
              <w:keepNext w:val="0"/>
              <w:keepLines w:val="0"/>
              <w:ind w:left="720" w:firstLine="0"/>
              <w:rPr/>
            </w:pPr>
            <w:bookmarkStart w:colFirst="0" w:colLast="0" w:name="_heading=h.admskpndxhmv" w:id="1"/>
            <w:bookmarkEnd w:id="1"/>
            <w:r w:rsidDel="00000000" w:rsidR="00000000" w:rsidRPr="00000000">
              <w:rPr>
                <w:rtl w:val="0"/>
              </w:rPr>
              <w:t xml:space="preserve">Facilitadores</w:t>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El factor que más contribuyó al avance fue que el proyecto se desarrolló en un contexto laboral real, con acceso directo a los sistemas de producción y a los datos de los clientes. Esto permitió validar cada decisión contra el comportamiento efectivo de las fuentes en lugar de contra supuestos.</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El respaldo del equipo de Customer Intelligence de MarTech aportó el conocimiento del negocio necesario para definir qué métricas resultaban relevantes y cómo debían calcularse. La definición temprana del patrón Medallion y de las convenciones de nomenclatura evitó discusiones de diseño en etapas avanzadas. Finalmente, el linaje automático que genera dbt a partir de las referencias entre modelos permitió identificar con rapidez el impacto de cada cambio sobre los modelos dependientes.</w:t>
            </w:r>
          </w:p>
          <w:p w:rsidR="00000000" w:rsidDel="00000000" w:rsidP="00000000" w:rsidRDefault="00000000" w:rsidRPr="00000000" w14:paraId="0000003F">
            <w:pPr>
              <w:pStyle w:val="Heading4"/>
              <w:keepNext w:val="0"/>
              <w:keepLines w:val="0"/>
              <w:ind w:left="720" w:firstLine="0"/>
              <w:rPr/>
            </w:pPr>
            <w:bookmarkStart w:colFirst="0" w:colLast="0" w:name="_heading=h.izhiwlhdpvyn" w:id="2"/>
            <w:bookmarkEnd w:id="2"/>
            <w:r w:rsidDel="00000000" w:rsidR="00000000" w:rsidRPr="00000000">
              <w:rPr>
                <w:rtl w:val="0"/>
              </w:rPr>
              <w:t xml:space="preserve">Dificultades</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Restricciones de red en el cliente.</w:t>
            </w:r>
            <w:r w:rsidDel="00000000" w:rsidR="00000000" w:rsidRPr="00000000">
              <w:rPr>
                <w:sz w:val="20"/>
                <w:szCs w:val="20"/>
                <w:rtl w:val="0"/>
              </w:rPr>
              <w:t xml:space="preserve"> El pipeline de Mercado Carozzi fallaba sistemáticamente con error 403 al ejecutarse desde la nube. El diagnóstico determinó que el cortafuegos de aplicación web que protege el dominio del cliente bloqueaba los rangos de direcciones de Google Cloud. La causa estaba fuera del control del equipo y requirió gestión con el área de tecnología del cliente.</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Limitaciones de las interfaces de origen.</w:t>
            </w:r>
            <w:r w:rsidDel="00000000" w:rsidR="00000000" w:rsidRPr="00000000">
              <w:rPr>
                <w:sz w:val="20"/>
                <w:szCs w:val="20"/>
                <w:rtl w:val="0"/>
              </w:rPr>
              <w:t xml:space="preserve"> La plataforma Mailup requiere cinco llamadas sucesivas para componer el registro completo de un envío, no expone la fecha de despacho en su historial, y los mensajes automatizados no aparecen en el listado estándar. La plataforma Fidelizador, por su parte, filtra las campañas por fecha de creación y no por fecha de envío, lo que provocaba la pérdida de campañas creadas con anterioridad al período consultado.</w:t>
            </w:r>
          </w:p>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Configuración de credenciales en el contenedor.</w:t>
            </w:r>
            <w:r w:rsidDel="00000000" w:rsidR="00000000" w:rsidRPr="00000000">
              <w:rPr>
                <w:sz w:val="20"/>
                <w:szCs w:val="20"/>
                <w:rtl w:val="0"/>
              </w:rPr>
              <w:t xml:space="preserve"> El archivo de variables de entorno se incluía en la imagen del contenedor, lo que impedía que el servicio en la nube leyera las credenciales desde el gestor de secretos. El pipeline funcionaba localmente y fallaba al desplegarse, lo que dificultó el diagnóstico.</w:t>
            </w:r>
          </w:p>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Confirmación de mensajes antes del término del contenedor.</w:t>
            </w:r>
            <w:r w:rsidDel="00000000" w:rsidR="00000000" w:rsidRPr="00000000">
              <w:rPr>
                <w:sz w:val="20"/>
                <w:szCs w:val="20"/>
                <w:rtl w:val="0"/>
              </w:rPr>
              <w:t xml:space="preserve"> La publicación de mensajes para disparar las transformaciones es asíncrona. El contenedor terminaba su ejecución antes de que el mensaje se confirmara, por lo que la función de orquestación no se activaba y las transformaciones no corrían, pese a que la ingesta había sido exitosa.</w:t>
            </w:r>
          </w:p>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Conversión de zona horaria.</w:t>
            </w:r>
            <w:r w:rsidDel="00000000" w:rsidR="00000000" w:rsidRPr="00000000">
              <w:rPr>
                <w:sz w:val="20"/>
                <w:szCs w:val="20"/>
                <w:rtl w:val="0"/>
              </w:rPr>
              <w:t xml:space="preserve"> Se detectó que para uno de los tenants los campos de fecha en hora universal y en hora local contenían el mismo valor, porque la marca de tiempo del origen se utilizaba directamente sin aplicar la conversión correspondiente. El error no generaba fallas visibles pero distorsionaba todos los análisis con corte diario.</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Definición duplicada de función.</w:t>
            </w:r>
            <w:r w:rsidDel="00000000" w:rsidR="00000000" w:rsidRPr="00000000">
              <w:rPr>
                <w:sz w:val="20"/>
                <w:szCs w:val="20"/>
                <w:rtl w:val="0"/>
              </w:rPr>
              <w:t xml:space="preserve"> Una versión anterior de la función de extracción quedó declarada después de la versión corregida en el mismo archivo, por lo que el intérprete utilizaba la antigua. El pipeline de ese tenant operó con datos incompletos durante varios días antes de que se detectara.</w:t>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Controles de seguridad sobrepasados por roles superiores.</w:t>
            </w:r>
            <w:r w:rsidDel="00000000" w:rsidR="00000000" w:rsidRPr="00000000">
              <w:rPr>
                <w:sz w:val="20"/>
                <w:szCs w:val="20"/>
                <w:rtl w:val="0"/>
              </w:rPr>
              <w:t xml:space="preserve"> Al validar el enmascaramiento de datos sensibles, los valores seguían visibles en texto claro. La causa era que las cuentas de prueba tenían asignados roles de nivel de proyecto que sobrepasan las políticas de enmascaramiento. El control estaba correctamente configurado, pero resultaba inefectivo frente a esos permisos.</w:t>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Volumen de ejecuciones de transformación.</w:t>
            </w:r>
            <w:r w:rsidDel="00000000" w:rsidR="00000000" w:rsidRPr="00000000">
              <w:rPr>
                <w:sz w:val="20"/>
                <w:szCs w:val="20"/>
                <w:rtl w:val="0"/>
              </w:rPr>
              <w:t xml:space="preserve"> La configuración inicial disparaba la totalidad de los modelos ante cada mensaje de cualquier tenant, lo que generaba del orden de nueve mil ejecuciones mensuales y un costo desproporcionado.</w:t>
            </w:r>
          </w:p>
          <w:p w:rsidR="00000000" w:rsidDel="00000000" w:rsidP="00000000" w:rsidRDefault="00000000" w:rsidRPr="00000000" w14:paraId="00000048">
            <w:pPr>
              <w:pStyle w:val="Heading4"/>
              <w:keepNext w:val="0"/>
              <w:keepLines w:val="0"/>
              <w:ind w:left="720" w:firstLine="0"/>
              <w:rPr/>
            </w:pPr>
            <w:bookmarkStart w:colFirst="0" w:colLast="0" w:name="_heading=h.fzxj9u9esz87" w:id="3"/>
            <w:bookmarkEnd w:id="3"/>
            <w:r w:rsidDel="00000000" w:rsidR="00000000" w:rsidRPr="00000000">
              <w:rPr>
                <w:rtl w:val="0"/>
              </w:rPr>
              <w:t xml:space="preserve">Ajustes realizados</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Frente al bloqueo de red del cliente se implementó una solución transitoria, ejecutando ese pipeline desde el servidor propio de la empresa mientras se gestionaba con el área de tecnología del cliente la autorización de los rangos de direcciones correspondientes. Esto permitió no detener la incorporación de ese tenant.</w:t>
            </w:r>
          </w:p>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Para las limitaciones de Mailup se diseñó una extracción en dos fases, con escritura intermedia a la capa Bronze y derivación de la fecha de envío desde los campos complementarios disponibles. Para Fidelizador se amplió la ventana de consulta retroactiva de cinco a treinta y cinco días, valor determinado tras verificar el desfase máximo observado entre creación y envío.</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El problema de credenciales se resolvió excluyendo el archivo de variables de entorno de la imagen del contenedor, y el de confirmación de mensajes bloqueando la ejecución hasta recibir el acuse de recepción antes de terminar el proceso. La conversión de zona horaria se corrigió aplicando la transformación explícita en el modelo correspondiente, y la definición duplicada reordenando las declaraciones del archivo.</w:t>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Respecto de la gobernanza, se retiraron los roles de nivel de proyecto de las cuentas sujetas a enmascaramiento y se definió un grupo de acceso con los permisos mínimos necesarios, verificando que el enmascaramiento operara efectivamente sobre él.</w:t>
            </w:r>
          </w:p>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El volumen de ejecuciones se redujo a aproximadamente un tercio reestructurando la orquestación: se separaron los trabajos de preparación por tenant de los trabajos de consolidación, de modo que el mensaje de cada cliente dispare únicamente sus propias vistas y la consolidación se ejecute una sola vez.</w:t>
            </w:r>
          </w:p>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Adicionalmente, durante el desarrollo se incorporaron dos cambios al modelo de datos que no estaban contemplados inicialmente: el reemplazo de las claves primarias generadas por función de resumen criptográfico por claves compuestas legibles, que facilitan el diagnóstico y la trazabilidad; y la creación de una tabla puente para representar la relación de muchos a muchos entre productos y categorías, que el modelo original no permitía expresar.</w:t>
            </w:r>
          </w:p>
          <w:p w:rsidR="00000000" w:rsidDel="00000000" w:rsidP="00000000" w:rsidRDefault="00000000" w:rsidRPr="00000000" w14:paraId="0000004F">
            <w:pPr>
              <w:ind w:left="72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1">
            <w:pPr>
              <w:ind w:left="0" w:firstLine="0"/>
              <w:rPr>
                <w:sz w:val="20"/>
                <w:szCs w:val="20"/>
              </w:rPr>
            </w:pPr>
            <w:r w:rsidDel="00000000" w:rsidR="00000000" w:rsidRPr="00000000">
              <w:rPr>
                <w:sz w:val="20"/>
                <w:szCs w:val="20"/>
                <w:rtl w:val="0"/>
              </w:rPr>
              <w:t xml:space="preserve">Documento de arquitectura técnica - Especificación del diseño Medallion sobre Google Cloud Platform, stack tecnológico, decisiones de diseño y justificación frente a alternativas evaluadas.</w:t>
            </w:r>
          </w:p>
          <w:p w:rsidR="00000000" w:rsidDel="00000000" w:rsidP="00000000" w:rsidRDefault="00000000" w:rsidRPr="00000000" w14:paraId="00000052">
            <w:pPr>
              <w:ind w:left="0" w:firstLine="0"/>
              <w:rPr>
                <w:sz w:val="20"/>
                <w:szCs w:val="20"/>
              </w:rPr>
            </w:pPr>
            <w:r w:rsidDel="00000000" w:rsidR="00000000" w:rsidRPr="00000000">
              <w:rPr>
                <w:sz w:val="20"/>
                <w:szCs w:val="20"/>
                <w:rtl w:val="0"/>
              </w:rPr>
              <w:t xml:space="preserve">Modelo de datos - Esquemas de las capas Bronze, Silver y Gold con sus campos, claves y relaciones </w:t>
            </w:r>
          </w:p>
          <w:p w:rsidR="00000000" w:rsidDel="00000000" w:rsidP="00000000" w:rsidRDefault="00000000" w:rsidRPr="00000000" w14:paraId="00000053">
            <w:pPr>
              <w:ind w:left="0" w:firstLine="0"/>
              <w:rPr>
                <w:sz w:val="20"/>
                <w:szCs w:val="20"/>
              </w:rPr>
            </w:pPr>
            <w:r w:rsidDel="00000000" w:rsidR="00000000" w:rsidRPr="00000000">
              <w:rPr>
                <w:sz w:val="20"/>
                <w:szCs w:val="20"/>
                <w:rtl w:val="0"/>
              </w:rPr>
              <w:t xml:space="preserve">Código fuente de los pipelines - Módulos de extracción, transformación y carga de los tres tenants de e-commerce y de las dos plataformas de email marketing, documentados </w:t>
            </w:r>
          </w:p>
          <w:p w:rsidR="00000000" w:rsidDel="00000000" w:rsidP="00000000" w:rsidRDefault="00000000" w:rsidRPr="00000000" w14:paraId="00000054">
            <w:pPr>
              <w:ind w:left="0" w:firstLine="0"/>
              <w:rPr>
                <w:sz w:val="20"/>
                <w:szCs w:val="20"/>
              </w:rPr>
            </w:pPr>
            <w:r w:rsidDel="00000000" w:rsidR="00000000" w:rsidRPr="00000000">
              <w:rPr>
                <w:sz w:val="20"/>
                <w:szCs w:val="20"/>
                <w:rtl w:val="0"/>
              </w:rPr>
              <w:t xml:space="preserve">Modelos dbt - Código de las capas de preparación, Silver y Gold, con el linaje de dependencias entre modelos </w:t>
            </w:r>
          </w:p>
          <w:p w:rsidR="00000000" w:rsidDel="00000000" w:rsidP="00000000" w:rsidRDefault="00000000" w:rsidRPr="00000000" w14:paraId="00000055">
            <w:pPr>
              <w:ind w:left="0" w:firstLine="0"/>
              <w:rPr>
                <w:sz w:val="20"/>
                <w:szCs w:val="20"/>
              </w:rPr>
            </w:pPr>
            <w:r w:rsidDel="00000000" w:rsidR="00000000" w:rsidRPr="00000000">
              <w:rPr>
                <w:sz w:val="20"/>
                <w:szCs w:val="20"/>
                <w:rtl w:val="0"/>
              </w:rPr>
              <w:t xml:space="preserve">Tableros en Looker Studio - Vista unificada del cliente, indicadores de órdenes, rendimiento de campañas y atribución entre email y comportamiento web </w:t>
            </w:r>
          </w:p>
          <w:p w:rsidR="00000000" w:rsidDel="00000000" w:rsidP="00000000" w:rsidRDefault="00000000" w:rsidRPr="00000000" w14:paraId="00000056">
            <w:pPr>
              <w:ind w:left="0" w:firstLine="0"/>
              <w:rPr>
                <w:sz w:val="20"/>
                <w:szCs w:val="20"/>
              </w:rPr>
            </w:pPr>
            <w:r w:rsidDel="00000000" w:rsidR="00000000" w:rsidRPr="00000000">
              <w:rPr>
                <w:sz w:val="20"/>
                <w:szCs w:val="20"/>
                <w:rtl w:val="0"/>
              </w:rPr>
              <w:t xml:space="preserve">Product Backlog y Sprint Backlog - Historias de usuario con criterios de aceptación, desglose en tareas técnicas, estimaciones y distribución por sprint </w:t>
            </w:r>
          </w:p>
          <w:p w:rsidR="00000000" w:rsidDel="00000000" w:rsidP="00000000" w:rsidRDefault="00000000" w:rsidRPr="00000000" w14:paraId="00000057">
            <w:pPr>
              <w:ind w:left="0" w:firstLine="0"/>
              <w:rPr>
                <w:sz w:val="20"/>
                <w:szCs w:val="20"/>
              </w:rPr>
            </w:pPr>
            <w:r w:rsidDel="00000000" w:rsidR="00000000" w:rsidRPr="00000000">
              <w:rPr>
                <w:sz w:val="20"/>
                <w:szCs w:val="20"/>
                <w:rtl w:val="0"/>
              </w:rPr>
              <w:t xml:space="preserve">Repositorio GitHub - Control de versiones del código de los pipelines y de los modelos de transformación </w:t>
            </w:r>
          </w:p>
          <w:p w:rsidR="00000000" w:rsidDel="00000000" w:rsidP="00000000" w:rsidRDefault="00000000" w:rsidRPr="00000000" w14:paraId="00000058">
            <w:pPr>
              <w:ind w:left="0" w:firstLine="0"/>
              <w:rPr>
                <w:sz w:val="20"/>
                <w:szCs w:val="20"/>
              </w:rPr>
            </w:pPr>
            <w:r w:rsidDel="00000000" w:rsidR="00000000" w:rsidRPr="00000000">
              <w:rPr>
                <w:sz w:val="20"/>
                <w:szCs w:val="20"/>
                <w:rtl w:val="0"/>
              </w:rPr>
              <w:t xml:space="preserve">Diagramas de arquitectura según modelo 4+1 - Cinco vistas complementarias de la arquitectura: lógica (modelo de datos de las capas Bronze, Silver y Gold), desarrollo (paquetes y dependencias del código), proceso (actividad del pipeline diario y estados del ciclo de vida del dato), física (despliegue de nodos, artefactos y protocolos) y escenarios (casos de uso) </w:t>
            </w:r>
          </w:p>
          <w:p w:rsidR="00000000" w:rsidDel="00000000" w:rsidP="00000000" w:rsidRDefault="00000000" w:rsidRPr="00000000" w14:paraId="00000059">
            <w:pPr>
              <w:ind w:left="0" w:firstLine="0"/>
              <w:rPr>
                <w:sz w:val="20"/>
                <w:szCs w:val="20"/>
              </w:rPr>
            </w:pPr>
            <w:r w:rsidDel="00000000" w:rsidR="00000000" w:rsidRPr="00000000">
              <w:rPr>
                <w:sz w:val="20"/>
                <w:szCs w:val="20"/>
                <w:rtl w:val="0"/>
              </w:rPr>
              <w:t xml:space="preserve">Diagramas de procesos de negocio (BPMN) - Siete procesos de la operación: ejecución diaria, incorporación de tenant, gestión de incidentes, ingesta de email, eventos web, carga histórica y gobernanza, más el subproceso de auditoría de calidad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Al iniciar la asignatura planteamos como interés profesional común el área de ingeniería de datos y analítica aplicada a contextos empresariales reales. Al cerrar el proyecto, ese interés no solo se mantiene, sino que se precisó: pasamos de una noción general sobre el trabajo con datos a una comprensión concreta de lo que distingue a esta especialidad de otras ramas de la informática.</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El proyecto nos mostró que la ingeniería de datos no consiste principalmente en escribir consultas o transformaciones, sino en diseñar sistemas que operan de forma autónoma sobre fuentes que no se controlan. Buena parte del esfuerzo se destinó a problemas que no son de programación: interfaces que no devuelven la información como se espera, restricciones de red impuestas por terceros, roles de permisos que sobrepasan controles correctamente configurados, o costos de ejecución que escalan de forma no evidente. Aprender a diagnosticar y resolver ese tipo de situaciones fue tan formativo como la construcción de los modelos.</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También identificamos la dimensión regulatoria como un componente ineludible del trabajo con datos personales. La aplicación de la Ley 21.719 al diseño de la plataforma nos obligó a entender que las decisiones de arquitectura tienen consecuencias legales, y que los controles técnicos de acceso y enmascaramiento son la forma en que una obligación normativa se materializa en un sistema.</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0070c0"/>
                <w:sz w:val="18"/>
                <w:szCs w:val="18"/>
              </w:rPr>
            </w:pPr>
            <w:r w:rsidDel="00000000" w:rsidR="00000000" w:rsidRPr="00000000">
              <w:rPr>
                <w:sz w:val="20"/>
                <w:szCs w:val="20"/>
                <w:rtl w:val="0"/>
              </w:rPr>
              <w:t xml:space="preserve">Como proyecciones, nos interesa profundizar en la orquestación de flujos de datos a mayor escala, en las prácticas de calidad y pruebas automatizadas sobre modelos analíticos, y en el diseño de arquitecturas que soporten volúmenes y frecuencias superiores a los de este proyecto. Laboralmente nos proyectamos en roles de ingeniería de datos o analytics engineering dentro de organizaciones que operen plataformas de datos en la nube, habiendo adquirido experiencia verificable en el stack que define hoy ese perfil en el mercado: Google Cloud Platform, BigQuery, dbt, orquestación mediante servicios gestionados y modelado dimensional sobre arquitecturas por capas.</w:t>
            </w:r>
            <w:r w:rsidDel="00000000" w:rsidR="00000000" w:rsidRPr="00000000">
              <w:rPr>
                <w:rtl w:val="0"/>
              </w:rPr>
            </w:r>
          </w:p>
        </w:tc>
      </w:tr>
    </w:tbl>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WSg0kKhL/EbDVoz4xMBKvXasw==">CgMxLjAyDmgudW9tbG43emIyYmFrMg5oLmFkbXNrcG5keGhtdjIOaC5pemhpd2xoZHB2eW4yDmguZnp4ajl1OWVzejg3OAByITFSWmVJQWt2NDd2QTk2WlNraGdmMXNyQ19naG9WNDVWYg==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