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eastAsia" w:ascii="微软雅黑" w:hAnsi="微软雅黑" w:eastAsia="微软雅黑" w:cs="微软雅黑"/>
          <w:i w:val="0"/>
          <w:iCs w:val="0"/>
          <w:caps w:val="0"/>
          <w:color w:val="000000"/>
          <w:spacing w:val="0"/>
          <w:sz w:val="10"/>
          <w:szCs w:val="10"/>
          <w:shd w:val="clear" w:fill="AFD8FF"/>
        </w:rPr>
      </w:pPr>
      <w:r>
        <w:rPr>
          <w:rFonts w:ascii="微软雅黑" w:hAnsi="微软雅黑" w:eastAsia="微软雅黑" w:cs="微软雅黑"/>
          <w:i w:val="0"/>
          <w:iCs w:val="0"/>
          <w:caps w:val="0"/>
          <w:color w:val="000000"/>
          <w:spacing w:val="0"/>
          <w:sz w:val="10"/>
          <w:szCs w:val="10"/>
          <w:shd w:val="clear" w:fill="AFD8FF"/>
        </w:rPr>
        <w:t>财务数据质量</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申请人为上市公司，所有数据均已公告，已核查申请人近4年财务报告，申请人审计报告由致同会计师事务所出具，均为标准无保留意见，财务数据真实。</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2.资产负债表分析</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（1）结构分析</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1）资产结构：集团的流动资产占比保持在60%以上，维持着较高水平，固定资产占比方面，2022-2025年分别为14.81%、16.09%、14.31%和15.02%，与一般制造业重固定资产的结构不是非常吻合。一方面，当前宁德时代本部这种资产结构与其财务管理偏好和资金管理模式密切相关，本部长期维持充裕的现金或类现金资产，保障资金流动性。另一方面，本部的产能扩建规模有限，集团的产能扩建主要由子公司贴近下游客户进行布局，固定资产的增长主要集中在本部以外的子公司，进而导致本部固定资产占比相对偏低。</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2）负债结构：流动资产/流动负债（流动比率）维持在1倍以上，短期偿债能力指标较好，短期债务偿付压力可控。流动负债占总负债比例在60%上下，主要原因是集团的长期负债主要由项目公司承担举债责任，而本部作为集团的销售和采购核心中心，日常运营需要补充大量流动资金，导致短期负债阶段性增加；同时，刚性负债合计占总资产的比例呈现逐年优化下降趋势，从2022年的37.63%逐步回落至2025年的22.58%，财务偿债压力持续缓解。</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3）资产和负债增长率整体呈现波动走高态势，但2024年随着营业收入规模的下降及分红事宜的推进，总资产及负债的增长率均有所放缓。2022-2025年，申请人资产增长率分别为95.33%、19.34%、9.69%和23.92%，负债增长率分别为97.19%、17.27%、3.20%和17.65%，可见2024年两者增速均降至阶段性低位。从资产总额规模来看，2022-2024年末，申请人资产总额分别为6009亿元、7171亿元和7867亿元；2025年12月末，申请人的资产总额持续增长至9748亿元，整体资产规模呈稳步扩张态势。</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（2）资产类科目</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1）货币资金2022-2024年末，公司的货币资金余额分别为1910亿元、2643亿元和3035亿元，占当期流动资产的比例分别为49.26%、56.70%和59.49%，其中申请人货币资金主要为库存现金、银行存款和其他货币资金。2025年12月末，公司货币资金达3335.13亿元，占当期流动资产比例为52.24%，较上年同期增长9.88%。</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2022年-2025年，公司的货币资金构成情况如下：</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项目 2025/12/31 2024/12/31 2023/12/31 2022/12/31</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现金 43.5 37.3 127.67 71.76</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银行存款 30,599,266.70 27,481,676.90 23,845,831.70 15,838,292.98</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其他货币资金 2,751,982.40 2,584,692.10 2,584,692.10 3,265,976.21</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合计 33,351,292.7 30,351,199.30 26,430,651.47 19,104,340.95</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截至2025年12月末，宁德时代货币资金中包含各类信贷业务保证金184.29亿元，为银行借款的质押存单、定期存款及保证金合计4.62亿元。除上述资金外，不存在质押或冻结或存放在境外且资金汇回受到限制的款项。另外，宁德时代存在境外的货币资金为1780.91亿元</w:t>
      </w:r>
    </w:p>
    <w:p>
      <w:pPr>
        <w:numPr>
          <w:numId w:val="0"/>
        </w:numPr>
        <w:rPr>
          <w:rFonts w:hint="eastAsia" w:ascii="微软雅黑" w:hAnsi="微软雅黑" w:eastAsia="微软雅黑" w:cs="微软雅黑"/>
          <w:i w:val="0"/>
          <w:iCs w:val="0"/>
          <w:caps w:val="0"/>
          <w:color w:val="000000"/>
          <w:spacing w:val="0"/>
          <w:sz w:val="10"/>
          <w:szCs w:val="10"/>
          <w:shd w:val="clear" w:fill="AFD8FF"/>
        </w:rPr>
      </w:pPr>
      <w:r>
        <w:rPr>
          <w:rFonts w:ascii="微软雅黑" w:hAnsi="微软雅黑" w:eastAsia="微软雅黑" w:cs="微软雅黑"/>
          <w:i w:val="0"/>
          <w:iCs w:val="0"/>
          <w:caps w:val="0"/>
          <w:color w:val="000000"/>
          <w:spacing w:val="0"/>
          <w:sz w:val="10"/>
          <w:szCs w:val="10"/>
          <w:shd w:val="clear" w:fill="AFD8FF"/>
        </w:rPr>
        <w:t>3）应收账款：2022-2024年末，公司应收账款账面价值分别为579.67亿元、640.21亿元、641.36亿元；2025年末应收账款账面净额达754.03亿元。近年来，在公司营业收入快速增长的背景下，应收账款整体呈增长态势，其中2024年与2023年应收账款规模基本持平。值得关注的是，公司应收账款坏账计提比例逐年波动上升，2022-2025年末计提比例分别为3.06%、3.10%、3.95%、3.55%，坏账准备金额同步增加，反映出应收账款信用风险有所上升。2022-2025年应收账款坏账计提情况如下：</w:t>
      </w:r>
    </w:p>
    <w:p>
      <w:pPr>
        <w:numPr>
          <w:numId w:val="0"/>
        </w:numPr>
        <w:rPr>
          <w:rFonts w:ascii="微软雅黑" w:hAnsi="微软雅黑" w:eastAsia="微软雅黑" w:cs="微软雅黑"/>
          <w:i w:val="0"/>
          <w:iCs w:val="0"/>
          <w:caps w:val="0"/>
          <w:color w:val="000000"/>
          <w:spacing w:val="0"/>
          <w:sz w:val="10"/>
          <w:szCs w:val="10"/>
          <w:shd w:val="clear" w:fill="AFD8FF"/>
        </w:rPr>
      </w:pPr>
      <w:r>
        <w:rPr>
          <w:rFonts w:ascii="微软雅黑" w:hAnsi="微软雅黑" w:eastAsia="微软雅黑" w:cs="微软雅黑"/>
          <w:i w:val="0"/>
          <w:iCs w:val="0"/>
          <w:caps w:val="0"/>
          <w:color w:val="000000"/>
          <w:spacing w:val="0"/>
          <w:sz w:val="10"/>
          <w:szCs w:val="10"/>
          <w:shd w:val="clear" w:fill="AFD8FF"/>
        </w:rPr>
        <w:t>6）存货：2022-2024年末，公司的存货账面价值分别为766.69亿元、454.34亿元、598.36亿元，2025年末存货账面价值为945.26亿元。整体来看，公司存货规模呈波动上升态势，主要系业务规模持续扩张、动力电池及储能产品产能与销量稳步增长，带动库存商品、发出商品、自制半成品等核心存货项目增长；同时，受2025年碳酸锂等电池主要原材料价格反弹预期影响，公司主动提前储备原材料以对冲成本上涨压力，2025年原材料库存较上年有所增加，2025年末存货具体变动和构成情况如下：</w:t>
      </w:r>
    </w:p>
    <w:p>
      <w:pPr>
        <w:numPr>
          <w:numId w:val="0"/>
        </w:numPr>
        <w:rPr>
          <w:rFonts w:hint="eastAsia" w:ascii="微软雅黑" w:hAnsi="微软雅黑" w:eastAsia="微软雅黑" w:cs="微软雅黑"/>
          <w:i w:val="0"/>
          <w:iCs w:val="0"/>
          <w:caps w:val="0"/>
          <w:color w:val="000000"/>
          <w:spacing w:val="0"/>
          <w:sz w:val="10"/>
          <w:szCs w:val="10"/>
          <w:shd w:val="clear" w:fill="AFD8FF"/>
        </w:rPr>
      </w:pPr>
      <w:r>
        <w:rPr>
          <w:rFonts w:ascii="微软雅黑" w:hAnsi="微软雅黑" w:eastAsia="微软雅黑" w:cs="微软雅黑"/>
          <w:i w:val="0"/>
          <w:iCs w:val="0"/>
          <w:caps w:val="0"/>
          <w:color w:val="000000"/>
          <w:spacing w:val="0"/>
          <w:sz w:val="10"/>
          <w:szCs w:val="10"/>
          <w:shd w:val="clear" w:fill="AFD8FF"/>
        </w:rPr>
        <w:t>1）营业收入：2022-2025年，公司主营业务收入主要为动力电池系统、储能电池系统、电池材料及回收、电池矿产资源等产品的销售收入。</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项目 2025年度 2024年度 2023年度 2022年度</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 金额</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（亿元） 占比 金额</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（亿元） 占比 金额</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（亿元） 占比 金额</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（亿元） 占比</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动力电池系统 3165.06 74.70% 2530.41 69.90% 2852.53 71% 2365.93 72%</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储能系统 624.40 14.74% 572.90 15.83% 599.01 15% 449.8 14%</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电池材料及回收 218.61 5.16% 297.00 7.93% 336.02 8% 260.32 8%</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电池矿产资源 59.78 1.41% 54.93 1.52% 77.34 2% 45.09 1%</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其他 169.17 3.99% 174.88 4.83% 144.27 4% 164.8 5%</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合计 4237.02 100.00% 3620.12 100% 4009.17 100% 3285.94 100%</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2025年末，公司全年营业总收入为4237.02亿元，较去年同期上涨17.04%，主要得益于核心业务放量、全球布局深化及业务结构优化，具体来看：一是动力电池业务作为核心支柱持续发力，全年锂电池出货量达661GWh，同比增长39%，其中动力电池出货量541GWh、同比增长42%，驱动动力电池系统营收同比增长25%，稳居营收主导地位；二是储能业务稳步放量，作为第二增长曲线持续贡献增量，全年储能出货量121GWh、同比增长30%，储能电池系统实现营收624.4亿元，储能系统集成业务出货规模同比增长超160%，进一步拓宽收入来源；三是海外市场渗透持续加深，全年境外收入达1296.4亿元，占比提升至30.6%，凭借VW、BMW等海外客户定点合作，海外市场营收增速快于境内，成为营收增长的重要支撑；四是全产业链布局持续完善，电池材料及回收业务毛利率大幅提升，虽营收有所下滑，但整体业务协同效应凸显，助力营收稳步增长</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（2）期间费用</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2022-2025年，公司期间费用的构成及占营业收入比例情况如下：2022-2024年末，申请人期间费用合计分别为307.88亿元、398.45亿元和188.05亿元，期间费用率分别为9.37%、9.94%和11.27%。2025年末，申请人期间费用为296.09亿元。申请人期间费用率呈逐年稳定呈下降趋势，成本费用控制良好。</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（2.1）销售费用</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2022-2024年末，申请人销售费用分别为110.99亿元、179.54亿元和35.63亿元，占营业收入的比例分别为3.38%、4.47%和0.9%，销售费用主要包括售后综合服务费、销售佣金、运输费和职工薪酬等。2025年末，申请人销售费用为37.35亿元，占营业收入的比例为0.88%。</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（2.2）管理费用</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2022-2024年末，申请人管理费用分别为69.79亿元、84.62亿元和96.90亿元，占营业收入的比例分别为2.12%、2.1%和2.68%，管理费用主要包括职工薪酬、后勤及办公费和折旧和摊销费等，2025年末，申请人管理费用为116.67亿元，占营业收入的比例为2.75%。 近4年公司管理费用占营业收入的比例保持稳定，成本费用控制良好，体现出公司良好的管理水平。</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（2.3）研发费用</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2022-2024年末，申请人研发费用分别为155.10亿元、183.56亿元和186.07亿元，占营业收入的比例分别为4.72%、4.57%和5.14%。2025年末，申请人研发费用为221.47亿元，占营业收入的比例为5.23%。 研发费用主要包括职工薪酬、折旧及摊销和材料费等。申请人研发费用规模逐年增长，申请人以自主研发为主，建立了面向市场需求和多部门、内外协同的研发模式，构建了标准、高效、持续的研发体系，整体研发团队规模和实力在行业内处于领先。</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（2.4）财务费用</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2022-2024年，申请人财务费用分别为-27.99亿元、-49.28亿元和-41.32亿元，2025年末，申请人财务费用为-79.40亿元，占营业收入的比例为-1.87%。财务费用持续降低，主要是公司资金管理情况较好，利息收入增长较多。</w:t>
      </w:r>
    </w:p>
    <w:p>
      <w:pPr>
        <w:numPr>
          <w:numId w:val="0"/>
        </w:numPr>
        <w:rPr>
          <w:rFonts w:hint="eastAsia" w:ascii="微软雅黑" w:hAnsi="微软雅黑" w:eastAsia="微软雅黑" w:cs="微软雅黑"/>
          <w:i w:val="0"/>
          <w:iCs w:val="0"/>
          <w:caps w:val="0"/>
          <w:color w:val="000000"/>
          <w:spacing w:val="0"/>
          <w:sz w:val="10"/>
          <w:szCs w:val="10"/>
          <w:shd w:val="clear" w:fill="AFD8FF"/>
        </w:rPr>
      </w:pPr>
      <w:r>
        <w:rPr>
          <w:rFonts w:ascii="微软雅黑" w:hAnsi="微软雅黑" w:eastAsia="微软雅黑" w:cs="微软雅黑"/>
          <w:i w:val="0"/>
          <w:iCs w:val="0"/>
          <w:caps w:val="0"/>
          <w:color w:val="000000"/>
          <w:spacing w:val="0"/>
          <w:sz w:val="10"/>
          <w:szCs w:val="10"/>
          <w:shd w:val="clear" w:fill="AFD8FF"/>
        </w:rPr>
        <w:t>现金流方面</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（1）经营活动产生的现金流量分析</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2022-2024年，宁德时代经营活动现金流量净额分别为612.09亿、928.26亿和969.90亿，2025年末，宁德时代经营活动现金流量净额为1332.20亿元，申请人对上下游把控力仍然维持在较高水平，随着公司产能逐渐释放，销售收入持续增长，销售回款持续增加，使得公司经营活动现金流量呈增加趋势。</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（2）投资活动产生的现金流量分析</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2022-2024年，宁德时代投资活动产生的现金流量净额分别为-641.39亿元、-291.88亿元和-488.75亿元，2025年末，宁德时代投资活动产生的现金流量净额为-944.76亿元，主要系主要是购买理财产品额增加，导致投资支出增加。</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（3）筹资活动产生的现金流量分析</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2022-2024年，申请人筹资活动产生的现金流量净额分别为822.66亿元、502.87亿元和-145.24亿元，2025年末，宁德时代筹资活动产生的现金流量净额为63.10亿元，主要为主要是H股IPO收到募集资金。</w:t>
      </w:r>
      <w:r>
        <w:rPr>
          <w:rFonts w:hint="eastAsia" w:ascii="微软雅黑" w:hAnsi="微软雅黑" w:eastAsia="微软雅黑" w:cs="微软雅黑"/>
          <w:i w:val="0"/>
          <w:iCs w:val="0"/>
          <w:caps w:val="0"/>
          <w:color w:val="000000"/>
          <w:spacing w:val="0"/>
          <w:sz w:val="10"/>
          <w:szCs w:val="10"/>
        </w:rPr>
        <w:br w:type="textWrapping"/>
      </w:r>
      <w:r>
        <w:rPr>
          <w:rFonts w:hint="eastAsia" w:ascii="微软雅黑" w:hAnsi="微软雅黑" w:eastAsia="微软雅黑" w:cs="微软雅黑"/>
          <w:i w:val="0"/>
          <w:iCs w:val="0"/>
          <w:caps w:val="0"/>
          <w:color w:val="000000"/>
          <w:spacing w:val="0"/>
          <w:sz w:val="10"/>
          <w:szCs w:val="10"/>
          <w:shd w:val="clear" w:fill="AFD8FF"/>
        </w:rPr>
        <w:t>关于申请人的银行融资状况，截止2025年12月，申请人所属集团及本部信用情况良好，暂不存在逾期情况，具体明细如下</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B93056"/>
    <w:multiLevelType w:val="singleLevel"/>
    <w:tmpl w:val="3EB93056"/>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D02B11"/>
    <w:rsid w:val="49D02B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2026-09-09T09:20:00Z</dcterms:created>
  <dc:creator>cmbl</dc:creator>
  <cp:lastModifiedBy>cmbl</cp:lastModifiedBy>
  <dcterms:modified xsi:type="dcterms:W3CDTF">2026-09-09T09:21:54Z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1787C9D374224341B40E1B87C8EDBABF</vt:lpwstr>
  </property>
</Properties>
</file>