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集团详情</w:t>
      </w:r>
    </w:p>
    <w:p>
      <w:pPr>
        <w:numPr>
          <w:ilvl w:val="0"/>
          <w:numId w:val="2"/>
        </w:numPr>
        <w:rPr>
          <w:rFonts w:hint="eastAsia"/>
          <w:lang w:val="en-US" w:eastAsia="zh-CN"/>
        </w:rPr>
      </w:pPr>
      <w:r>
        <w:rPr>
          <w:rFonts w:hint="eastAsia"/>
          <w:lang w:val="en-US" w:eastAsia="zh-CN"/>
        </w:rPr>
        <w:t>公司治理情况</w:t>
      </w:r>
    </w:p>
    <w:p>
      <w:pPr>
        <w:numPr>
          <w:ilvl w:val="0"/>
          <w:numId w:val="3"/>
        </w:numPr>
        <w:rPr>
          <w:rFonts w:hint="eastAsia"/>
          <w:lang w:val="en-US" w:eastAsia="zh-CN"/>
        </w:rPr>
      </w:pPr>
      <w:r>
        <w:rPr>
          <w:rFonts w:hint="eastAsia"/>
          <w:lang w:val="en-US" w:eastAsia="zh-CN"/>
        </w:rPr>
        <w:t>股东背景</w:t>
      </w:r>
    </w:p>
    <w:p>
      <w:pPr>
        <w:numPr>
          <w:numId w:val="0"/>
        </w:numPr>
        <w:rPr>
          <w:rFonts w:hint="eastAsia"/>
          <w:lang w:val="en-US" w:eastAsia="zh-CN"/>
        </w:rPr>
      </w:pPr>
      <w:r>
        <w:rPr>
          <w:rFonts w:hint="eastAsia"/>
          <w:lang w:val="en-US" w:eastAsia="zh-CN"/>
        </w:rPr>
        <w:t>宁德时代是全球动力电池领域龙头企业，致力于为全球新能源应用提供一流解决方案和服务。创始团队于1999年创办ATL，后打造为消费锂电池领域全球龙头企业。公司原为ATL动力电池部门，2011年，团队进行二次创业，创立CATL。2012年，与德国宝马集团进行战略合作，成为其动力电池核心供应商。2015年，收购邦普，布局回收领域。2018年，于深交所成功上市。公司连续9年蝉联全球动力电池装机量一位。 </w:t>
      </w:r>
    </w:p>
    <w:p>
      <w:pPr>
        <w:numPr>
          <w:numId w:val="0"/>
        </w:numPr>
        <w:rPr>
          <w:rFonts w:hint="eastAsia"/>
          <w:lang w:val="en-US" w:eastAsia="zh-CN"/>
        </w:rPr>
      </w:pPr>
      <w:r>
        <w:rPr>
          <w:rFonts w:hint="eastAsia"/>
          <w:lang w:val="en-US" w:eastAsia="zh-CN"/>
        </w:rPr>
        <w:t>截止2025年12月，宁德时代实际控制人为董事长曾毓群，合计持有公司22.45%股权，具体持股情况如下：【具体前十大股东列表）】</w:t>
      </w:r>
    </w:p>
    <w:p>
      <w:pPr>
        <w:numPr>
          <w:ilvl w:val="0"/>
          <w:numId w:val="3"/>
        </w:numPr>
        <w:rPr>
          <w:rFonts w:hint="default"/>
          <w:lang w:val="en-US" w:eastAsia="zh-CN"/>
        </w:rPr>
      </w:pPr>
      <w:r>
        <w:rPr>
          <w:rFonts w:hint="eastAsia"/>
          <w:lang w:val="en-US" w:eastAsia="zh-CN"/>
        </w:rPr>
        <w:t>股权架构图</w:t>
      </w:r>
    </w:p>
    <w:p>
      <w:pPr>
        <w:numPr>
          <w:ilvl w:val="0"/>
          <w:numId w:val="3"/>
        </w:numPr>
        <w:rPr>
          <w:rFonts w:hint="default"/>
          <w:lang w:val="en-US" w:eastAsia="zh-CN"/>
        </w:rPr>
      </w:pPr>
      <w:r>
        <w:rPr>
          <w:rFonts w:hint="eastAsia"/>
          <w:lang w:val="en-US" w:eastAsia="zh-CN"/>
        </w:rPr>
        <w:t>管理层介绍</w:t>
      </w:r>
    </w:p>
    <w:p>
      <w:pPr>
        <w:numPr>
          <w:numId w:val="0"/>
        </w:numPr>
        <w:rPr>
          <w:rFonts w:hint="default"/>
          <w:lang w:val="en-US" w:eastAsia="zh-CN"/>
        </w:rPr>
      </w:pPr>
      <w:r>
        <w:rPr>
          <w:rFonts w:hint="default"/>
          <w:lang w:val="en-US" w:eastAsia="zh-CN"/>
        </w:rPr>
        <w:t>1）曾毓群，董事长及总经理，1968 年出生，中国香港永久性居民，中科院物理研究所博士。曾任新能源科技有限公司总裁兼CEO、董事，宁德新能源科技有限公司董事长，东莞新能源电子科技有限公司董事长和经理，东莞新能源科技有限公司董事长和经理，东莞新能德科技有限公司执行董事，北京普莱德新能源电池科技有限公司董事，TDK 株式会社副总裁、高级副总裁。现任本公司董事长、宁波梅山保税港区瑞庭投资有限公司执行董事兼总经理。</w:t>
      </w:r>
    </w:p>
    <w:p>
      <w:pPr>
        <w:numPr>
          <w:numId w:val="0"/>
        </w:numPr>
        <w:rPr>
          <w:rFonts w:hint="default"/>
          <w:lang w:val="en-US" w:eastAsia="zh-CN"/>
        </w:rPr>
      </w:pPr>
      <w:r>
        <w:rPr>
          <w:rFonts w:hint="default"/>
          <w:lang w:val="en-US" w:eastAsia="zh-CN"/>
        </w:rPr>
        <w:t>  公司实际控制人为曾毓群先生（原一致行动人-李平已于2024年2月8日签署了《&lt;一致行动人协议&gt;之终止协议》，解除原因主要为适应海外政策变化，推进公司海外业务持续发展），CATL董事长(实际控制人)。1968年3月生，福建宁德人。曾任新科实业有限公司工程师、经理、总监，曾任 ATL新能源科技有限公司总裁兼CEO，是申请人的实际控制人。</w:t>
      </w:r>
    </w:p>
    <w:p>
      <w:pPr>
        <w:numPr>
          <w:numId w:val="0"/>
        </w:numPr>
        <w:rPr>
          <w:rFonts w:hint="default"/>
          <w:lang w:val="en-US" w:eastAsia="zh-CN"/>
        </w:rPr>
      </w:pPr>
      <w:r>
        <w:rPr>
          <w:rFonts w:hint="default"/>
          <w:lang w:val="en-US" w:eastAsia="zh-CN"/>
        </w:rPr>
        <w:t>  主要简历：</w:t>
      </w:r>
    </w:p>
    <w:p>
      <w:pPr>
        <w:numPr>
          <w:numId w:val="0"/>
        </w:numPr>
        <w:rPr>
          <w:rFonts w:hint="default"/>
          <w:lang w:val="en-US" w:eastAsia="zh-CN"/>
        </w:rPr>
      </w:pPr>
      <w:r>
        <w:rPr>
          <w:rFonts w:hint="default"/>
          <w:lang w:val="en-US" w:eastAsia="zh-CN"/>
        </w:rPr>
        <w:t>  1.1985年9月至1989年7月毕业于上海交通大学船舶工程系，获学士学位；</w:t>
      </w:r>
    </w:p>
    <w:p>
      <w:pPr>
        <w:numPr>
          <w:numId w:val="0"/>
        </w:numPr>
        <w:rPr>
          <w:rFonts w:hint="default"/>
          <w:lang w:val="en-US" w:eastAsia="zh-CN"/>
        </w:rPr>
      </w:pPr>
      <w:r>
        <w:rPr>
          <w:rFonts w:hint="default"/>
          <w:lang w:val="en-US" w:eastAsia="zh-CN"/>
        </w:rPr>
        <w:t>  2.1997年9月至2001年7月毕业于华南理工大学电子与信息工程系硕士；</w:t>
      </w:r>
    </w:p>
    <w:p>
      <w:pPr>
        <w:numPr>
          <w:numId w:val="0"/>
        </w:numPr>
        <w:rPr>
          <w:rFonts w:hint="default"/>
          <w:lang w:val="en-US" w:eastAsia="zh-CN"/>
        </w:rPr>
      </w:pPr>
      <w:r>
        <w:rPr>
          <w:rFonts w:hint="default"/>
          <w:lang w:val="en-US" w:eastAsia="zh-CN"/>
        </w:rPr>
        <w:t>  3.2002年9月至2006年7月中科院物理研究所凝聚态物理专业获得博士学位。</w:t>
      </w:r>
    </w:p>
    <w:p>
      <w:pPr>
        <w:numPr>
          <w:numId w:val="0"/>
        </w:numPr>
        <w:rPr>
          <w:rFonts w:hint="default"/>
          <w:lang w:val="en-US" w:eastAsia="zh-CN"/>
        </w:rPr>
      </w:pPr>
      <w:r>
        <w:rPr>
          <w:rFonts w:hint="default"/>
          <w:lang w:val="en-US" w:eastAsia="zh-CN"/>
        </w:rPr>
        <w:t>  4.2005年作为科技专才被香港引进。获得中国锂电杰出贡献奖,福建省引进高层次创业创新人才，东莞经济十大人物，东莞市市长奖(技术领军人物类)，建国六十年东莞市六十位人物等等奖项和荣誉。申请国内专利19项，申请国外专利4项，获得授权专利14项。</w:t>
      </w:r>
    </w:p>
    <w:p>
      <w:pPr>
        <w:numPr>
          <w:numId w:val="0"/>
        </w:numPr>
        <w:rPr>
          <w:rFonts w:hint="default"/>
          <w:lang w:val="en-US" w:eastAsia="zh-CN"/>
        </w:rPr>
      </w:pPr>
      <w:r>
        <w:rPr>
          <w:rFonts w:hint="default"/>
          <w:lang w:val="en-US" w:eastAsia="zh-CN"/>
        </w:rPr>
        <w:t>  现任物理化学电源杂志编委，亚洲固态离子协会理事，中科院物理所清洁能源中心学术委员，华南锂电论坛专家委员，广东科技杂志顾问，东莞城市经济研究员。</w:t>
      </w:r>
    </w:p>
    <w:p>
      <w:pPr>
        <w:numPr>
          <w:numId w:val="0"/>
        </w:numPr>
        <w:rPr>
          <w:rFonts w:hint="default"/>
          <w:lang w:val="en-US" w:eastAsia="zh-CN"/>
        </w:rPr>
      </w:pPr>
      <w:r>
        <w:rPr>
          <w:rFonts w:hint="default"/>
          <w:lang w:val="en-US" w:eastAsia="zh-CN"/>
        </w:rPr>
        <w:t>  主要研究领域为高效安全成本低廉的聚合物锂离子电池的开发，锂离子电池能量密度的提升，汽车用动力性锂离子电池系统的开发和产业化，以及高能量密度、高安全性锂离子电池及其关键材料制造技术。2005年作为科技专才被香港引进。为中国锂电重大贡献者（与王传福、杨裕生院士一同获得），建国六十年东莞六十位人物，2009年东莞十大经济人物。曾获得2008年度TDK特殊贡献奖金奖，国家科学技术进步二等奖，广东省科技进步二等奖，以及2007年度教育部技术发明二等奖等荣誉。亲自撰写或指导撰写的论文涉及磁头、燃料电池、超级电容器、锂离子电池等多个领域，大多发表在国内外高水平杂志上，对相关技术难题具有较高参考价值。所在的新能源公司获授权专利19项。</w:t>
      </w:r>
    </w:p>
    <w:p>
      <w:pPr>
        <w:numPr>
          <w:numId w:val="0"/>
        </w:numPr>
        <w:rPr>
          <w:rFonts w:hint="default"/>
          <w:lang w:val="en-US" w:eastAsia="zh-CN"/>
        </w:rPr>
      </w:pPr>
      <w:r>
        <w:rPr>
          <w:rFonts w:hint="default"/>
          <w:lang w:val="en-US" w:eastAsia="zh-CN"/>
        </w:rPr>
        <w:t>  曾毓群博士既是申请人的创始人，也是锂电池行业专家，典型的技术背景出身。1989年，他从上海交通大学船舶工程系毕业，却进入电子厂工作，从一名技术员成长为高科技外资企业唯一大陆籍高级核心技术与管理人员。2000年起，他打开了事业的另一扇门，加盟ATL（新能源科技有限公司），并推动了ATL迈向新的发展。他是中科院物理研究所毕业的博士，亲自参与和主持专利发明有十二项之多，他主持的粤港关键领域重点突破项目电动汽车电池获东莞市长奖并已商业化。他用事业发展之行动，践行着“以领先科技挑战未来，以人为本铸就辉煌”的箴言。</w:t>
      </w:r>
    </w:p>
    <w:p>
      <w:pPr>
        <w:numPr>
          <w:numId w:val="0"/>
        </w:numPr>
        <w:rPr>
          <w:rFonts w:hint="default"/>
          <w:lang w:val="en-US" w:eastAsia="zh-CN"/>
        </w:rPr>
      </w:pPr>
      <w:r>
        <w:rPr>
          <w:rFonts w:hint="default"/>
          <w:lang w:val="en-US" w:eastAsia="zh-CN"/>
        </w:rPr>
        <w:t>（2）李平，副董事长，1968 年出生，中国国籍，持有香港居民身份证，复旦大学学士、中欧国际工商学院EMBA。曾任宁德时代新能源科技有限公司和本公司董事长，上海芝友机电工程有限公司执行董事，上海适达企业发展有限公司执行董事。现任本公司副董事长，宁德永佳投资有限公司执行董事兼总经理，上海适达投资管理有限公司执行董事。</w:t>
      </w:r>
    </w:p>
    <w:p>
      <w:pPr>
        <w:numPr>
          <w:numId w:val="0"/>
        </w:numPr>
        <w:rPr>
          <w:rFonts w:hint="default"/>
          <w:lang w:val="en-US" w:eastAsia="zh-CN"/>
        </w:rPr>
      </w:pPr>
      <w:r>
        <w:rPr>
          <w:rFonts w:hint="default"/>
          <w:lang w:val="en-US" w:eastAsia="zh-CN"/>
        </w:rPr>
        <w:t>（3）潘健，副董事长，1976 年出生，中国香港永久性居民，芝加哥大学硕士。曾任宁德时代新能源科技有限公司董事，科尔尼咨询咨询顾问，贝恩咨询咨询顾问，MBK Partners 投资基金副总裁，CDHInvestmentsManagement（Hong Kong） Limited 董事总经理，新能源科技有限公司董事，绿叶制药集团有限公司非执行董事，上海晨光文具股份有限公司董事，Ceva Sante Animale Group.董事。现任本公司副董事长，宁波梅山保税港区闻道投资有限责任公司执行董事兼经理。</w:t>
      </w:r>
    </w:p>
    <w:p>
      <w:pPr>
        <w:numPr>
          <w:numId w:val="0"/>
        </w:numPr>
        <w:rPr>
          <w:rFonts w:hint="default"/>
          <w:lang w:val="en-US" w:eastAsia="zh-CN"/>
        </w:rPr>
      </w:pPr>
      <w:r>
        <w:rPr>
          <w:rFonts w:hint="default"/>
          <w:lang w:val="en-US" w:eastAsia="zh-CN"/>
        </w:rPr>
        <w:t>（4）周佳，副董事长，1978 年出生，美国国籍，芝加哥大学硕士。曾任本公司常务副总经理、财务总监，贝恩咨询战略咨询顾问，美国资本集团投资经理，鼎晖投资执行董事，宁德新能源科技有限公司财务总监、资深人力资源总监、总裁办主任；现任本公司副董事长，兼任江苏时代新能源科技有限公司董事长，时代上汽动力电池有限公司董事，上汽时代动力电池系统有限公司董事。</w:t>
      </w:r>
    </w:p>
    <w:p>
      <w:pPr>
        <w:numPr>
          <w:numId w:val="0"/>
        </w:numPr>
        <w:rPr>
          <w:rFonts w:hint="eastAsia"/>
          <w:lang w:val="en-US" w:eastAsia="zh-CN"/>
        </w:rPr>
      </w:pPr>
      <w:r>
        <w:rPr>
          <w:rFonts w:hint="eastAsia"/>
          <w:lang w:val="en-US" w:eastAsia="zh-CN"/>
        </w:rPr>
        <w:t>此处省略林小雄，谭立斌、欧阳楚英、忻榕、蒋理、郑舒简历</w:t>
      </w:r>
    </w:p>
    <w:p>
      <w:pPr>
        <w:numPr>
          <w:ilvl w:val="0"/>
          <w:numId w:val="3"/>
        </w:numPr>
        <w:ind w:left="0" w:leftChars="0" w:firstLine="0" w:firstLineChars="0"/>
        <w:rPr>
          <w:rFonts w:hint="eastAsia"/>
          <w:lang w:val="en-US" w:eastAsia="zh-CN"/>
        </w:rPr>
      </w:pPr>
      <w:r>
        <w:rPr>
          <w:rFonts w:hint="eastAsia"/>
          <w:lang w:val="en-US" w:eastAsia="zh-CN"/>
        </w:rPr>
        <w:t>发展历史</w:t>
      </w:r>
    </w:p>
    <w:p>
      <w:pPr>
        <w:numPr>
          <w:numId w:val="0"/>
        </w:numPr>
        <w:ind w:leftChars="0"/>
        <w:rPr>
          <w:rFonts w:hint="default"/>
          <w:lang w:val="en-US" w:eastAsia="zh-CN"/>
        </w:rPr>
      </w:pPr>
      <w:r>
        <w:rPr>
          <w:rFonts w:hint="default"/>
          <w:lang w:val="en-US" w:eastAsia="zh-CN"/>
        </w:rPr>
        <w:t>（1）2011年-2012年：初始成立，并引入新增股东，成为新能源科技（ATL）集团下属中外合资企业</w:t>
      </w:r>
    </w:p>
    <w:p>
      <w:pPr>
        <w:numPr>
          <w:numId w:val="0"/>
        </w:numPr>
        <w:ind w:leftChars="0"/>
        <w:rPr>
          <w:rFonts w:hint="default"/>
          <w:lang w:val="en-US" w:eastAsia="zh-CN"/>
        </w:rPr>
      </w:pPr>
    </w:p>
    <w:p>
      <w:pPr>
        <w:numPr>
          <w:numId w:val="0"/>
        </w:numPr>
        <w:ind w:leftChars="0"/>
        <w:rPr>
          <w:rFonts w:hint="default"/>
          <w:lang w:val="en-US" w:eastAsia="zh-CN"/>
        </w:rPr>
      </w:pPr>
      <w:r>
        <w:rPr>
          <w:rFonts w:hint="default"/>
          <w:lang w:val="en-US" w:eastAsia="zh-CN"/>
        </w:rPr>
        <w:t>2011年12月16日，宁德时代投资有限公司出资100万元，成立宁德时代新能源科技有限公司。</w:t>
      </w:r>
    </w:p>
    <w:p>
      <w:pPr>
        <w:numPr>
          <w:numId w:val="0"/>
        </w:numPr>
        <w:ind w:leftChars="0"/>
        <w:rPr>
          <w:rFonts w:hint="default"/>
          <w:lang w:val="en-US" w:eastAsia="zh-CN"/>
        </w:rPr>
      </w:pPr>
      <w:r>
        <w:rPr>
          <w:rFonts w:hint="default"/>
          <w:lang w:val="en-US" w:eastAsia="zh-CN"/>
        </w:rPr>
        <w:t>2012年10月，注册资本增加19900万元，新增股东宁德新能源科技有限公司、宁德瑞丰投资有限公司、宁德聚友投资有限公司、宁德永佳投资有限公司，同时原股东宁德时代投资有限公司将其持有股权全部转让给宁德聚友投资有限公司。</w:t>
      </w:r>
    </w:p>
    <w:p>
      <w:pPr>
        <w:numPr>
          <w:numId w:val="0"/>
        </w:numPr>
        <w:ind w:leftChars="0"/>
        <w:rPr>
          <w:rFonts w:hint="default"/>
          <w:lang w:val="en-US" w:eastAsia="zh-CN"/>
        </w:rPr>
      </w:pPr>
      <w:r>
        <w:rPr>
          <w:rFonts w:hint="default"/>
          <w:lang w:val="en-US" w:eastAsia="zh-CN"/>
        </w:rPr>
        <w:t>（2）2015年10月：与ATL集团脱离股权关系，变更为内资企业</w:t>
      </w:r>
    </w:p>
    <w:p>
      <w:pPr>
        <w:numPr>
          <w:numId w:val="0"/>
        </w:numPr>
        <w:ind w:leftChars="0"/>
        <w:rPr>
          <w:rFonts w:hint="default"/>
          <w:lang w:val="en-US" w:eastAsia="zh-CN"/>
        </w:rPr>
      </w:pPr>
      <w:r>
        <w:rPr>
          <w:rFonts w:hint="default"/>
          <w:lang w:val="en-US" w:eastAsia="zh-CN"/>
        </w:rPr>
        <w:t>2015年10月，股东宁德新能源科技有限公司将其全部股份转让给宁波联合创新能源投资管理合伙企业（有限合伙），宁德永佳投资有限公司将其25%股权转让给宁德瑞丰投资有限公司、将其10%股权转让给李平，宁德聚友投资有限公司将其全部股权转让给黄世霖。</w:t>
      </w:r>
    </w:p>
    <w:p>
      <w:pPr>
        <w:numPr>
          <w:numId w:val="0"/>
        </w:numPr>
        <w:ind w:leftChars="0"/>
        <w:rPr>
          <w:rFonts w:hint="default"/>
          <w:lang w:val="en-US" w:eastAsia="zh-CN"/>
        </w:rPr>
      </w:pPr>
      <w:r>
        <w:rPr>
          <w:rFonts w:hint="default"/>
          <w:lang w:val="en-US" w:eastAsia="zh-CN"/>
        </w:rPr>
        <w:t>（3）2015年11月：增资并完成股份制改革</w:t>
      </w:r>
    </w:p>
    <w:p>
      <w:pPr>
        <w:numPr>
          <w:numId w:val="0"/>
        </w:numPr>
        <w:ind w:leftChars="0"/>
        <w:rPr>
          <w:rFonts w:hint="default"/>
          <w:lang w:val="en-US" w:eastAsia="zh-CN"/>
        </w:rPr>
      </w:pPr>
      <w:r>
        <w:rPr>
          <w:rFonts w:hint="default"/>
          <w:lang w:val="en-US" w:eastAsia="zh-CN"/>
        </w:rPr>
        <w:t>2015年11月，公司决议以2015年10月31日为基准日，通过股份制改组，整体变更设立宁德时代新能源科技股份有限公司，申请注册资金增加到40000万元，每股面值1元，由当时时点净资产68937.17万元折股投入，净资产超过注册资本部分计入资本公积。</w:t>
      </w:r>
    </w:p>
    <w:p>
      <w:pPr>
        <w:numPr>
          <w:numId w:val="0"/>
        </w:numPr>
        <w:ind w:leftChars="0"/>
        <w:rPr>
          <w:rFonts w:hint="default"/>
          <w:lang w:val="en-US" w:eastAsia="zh-CN"/>
        </w:rPr>
      </w:pPr>
      <w:r>
        <w:rPr>
          <w:rFonts w:hint="default"/>
          <w:lang w:val="en-US" w:eastAsia="zh-CN"/>
        </w:rPr>
        <w:t>2015年12月，申请人增加注册资本7059万元，变更后注册资本为47059万元，由宁波梅山保税港区润泰宏裕投资合伙企业（有限合伙）等六家合伙企业以货币15000.375万元认缴。</w:t>
      </w:r>
    </w:p>
    <w:p>
      <w:pPr>
        <w:numPr>
          <w:numId w:val="0"/>
        </w:numPr>
        <w:ind w:leftChars="0"/>
        <w:rPr>
          <w:rFonts w:hint="default"/>
          <w:lang w:val="en-US" w:eastAsia="zh-CN"/>
        </w:rPr>
      </w:pPr>
      <w:r>
        <w:rPr>
          <w:rFonts w:hint="default"/>
          <w:lang w:val="en-US" w:eastAsia="zh-CN"/>
        </w:rPr>
        <w:t>（4）2016年1-9月，完成A轮融资，募集资金30亿元</w:t>
      </w:r>
    </w:p>
    <w:p>
      <w:pPr>
        <w:numPr>
          <w:numId w:val="0"/>
        </w:numPr>
        <w:ind w:leftChars="0"/>
        <w:rPr>
          <w:rFonts w:hint="default"/>
          <w:lang w:val="en-US" w:eastAsia="zh-CN"/>
        </w:rPr>
      </w:pPr>
      <w:r>
        <w:rPr>
          <w:rFonts w:hint="default"/>
          <w:lang w:val="en-US" w:eastAsia="zh-CN"/>
        </w:rPr>
        <w:t>2016年1月，申请人向共计15名新股东投资者发行股份约13.03%，募集资金30亿元。根据投资方案设计，募集资金并非一次性在所有者权益体现。2016年1月先办理其中716.6357万股的转让手续，合计占比约1.501%，注册资本变更为47775.6357万元,股权认购款2250万元，折合每股3.14元。其余资金先以股东借款形式体现，并于2016年7月办理完成债转股手续，作为股本溢价计入资本公积。该轮融资按20倍PE估值，投前估值200亿元，投后估值230亿元。其中，招银国际以深圳市招银叁号股权投资合伙企业(有限合伙)、招银国际资本管理（深圳）有限公司名义合计投资9.7亿元，获得3.89%股权（最新稀释后）。</w:t>
      </w:r>
    </w:p>
    <w:p>
      <w:pPr>
        <w:numPr>
          <w:numId w:val="0"/>
        </w:numPr>
        <w:ind w:leftChars="0"/>
        <w:rPr>
          <w:rFonts w:hint="default"/>
          <w:lang w:val="en-US" w:eastAsia="zh-CN"/>
        </w:rPr>
      </w:pPr>
      <w:r>
        <w:rPr>
          <w:rFonts w:hint="default"/>
          <w:lang w:val="en-US" w:eastAsia="zh-CN"/>
        </w:rPr>
        <w:t>2016年7月，申请人申请增加注册资本7126.5313万元，由以上15名新股东以该等股东对公司持有的债权一次性缴足。变更后注册资本变更为54902.1670万元。</w:t>
      </w:r>
    </w:p>
    <w:p>
      <w:pPr>
        <w:numPr>
          <w:numId w:val="0"/>
        </w:numPr>
        <w:ind w:leftChars="0"/>
        <w:rPr>
          <w:rFonts w:hint="default"/>
          <w:lang w:val="en-US" w:eastAsia="zh-CN"/>
        </w:rPr>
      </w:pPr>
      <w:r>
        <w:rPr>
          <w:rFonts w:hint="default"/>
          <w:lang w:val="en-US" w:eastAsia="zh-CN"/>
        </w:rPr>
        <w:t>2016年9月，申请人申请增加注册资本296.7891万元，由林锦应等4名新股东投入，变更后的注册资本为55198.9561万元。本次增资4名新股东合计新增出资金额12400万元。</w:t>
      </w:r>
    </w:p>
    <w:p>
      <w:pPr>
        <w:numPr>
          <w:numId w:val="0"/>
        </w:numPr>
        <w:ind w:leftChars="0"/>
        <w:rPr>
          <w:rFonts w:hint="default"/>
          <w:lang w:val="en-US" w:eastAsia="zh-CN"/>
        </w:rPr>
      </w:pPr>
      <w:r>
        <w:rPr>
          <w:rFonts w:hint="default"/>
          <w:lang w:val="en-US" w:eastAsia="zh-CN"/>
        </w:rPr>
        <w:t>（5）2016年12月，完成B轮融资，募集资金80亿元</w:t>
      </w:r>
    </w:p>
    <w:p>
      <w:pPr>
        <w:numPr>
          <w:numId w:val="0"/>
        </w:numPr>
        <w:ind w:leftChars="0"/>
        <w:rPr>
          <w:rFonts w:hint="default"/>
          <w:lang w:val="en-US" w:eastAsia="zh-CN"/>
        </w:rPr>
      </w:pPr>
      <w:r>
        <w:rPr>
          <w:rFonts w:hint="default"/>
          <w:lang w:val="en-US" w:eastAsia="zh-CN"/>
        </w:rPr>
        <w:t>2016年12月底，申请人完成B轮融资，合计募集资金80亿元，注册资本由55198.9561万元增加至61332.18万元。该轮融资投前估值720亿元，投后估值800亿元。其中，招银国际通过深圳市招银叁号股权投资合伙企业(有限合伙)投资人民币29.12亿元，获得3.43%股权（最新稀释后）。</w:t>
      </w:r>
    </w:p>
    <w:p>
      <w:pPr>
        <w:numPr>
          <w:numId w:val="0"/>
        </w:numPr>
        <w:ind w:leftChars="0"/>
        <w:rPr>
          <w:rFonts w:hint="default"/>
          <w:lang w:val="en-US" w:eastAsia="zh-CN"/>
        </w:rPr>
      </w:pPr>
      <w:r>
        <w:rPr>
          <w:rFonts w:hint="default"/>
          <w:lang w:val="en-US" w:eastAsia="zh-CN"/>
        </w:rPr>
        <w:t>（6）2017年5月3日，法定代表人由黄世霖变更为周佳。</w:t>
      </w:r>
    </w:p>
    <w:p>
      <w:pPr>
        <w:numPr>
          <w:numId w:val="0"/>
        </w:numPr>
        <w:ind w:leftChars="0"/>
        <w:rPr>
          <w:rFonts w:hint="default"/>
          <w:lang w:val="en-US" w:eastAsia="zh-CN"/>
        </w:rPr>
      </w:pPr>
      <w:r>
        <w:rPr>
          <w:rFonts w:hint="default"/>
          <w:lang w:val="en-US" w:eastAsia="zh-CN"/>
        </w:rPr>
        <w:t>（7）2017年6月末，完成B+轮融资，募集资金50亿元</w:t>
      </w:r>
    </w:p>
    <w:p>
      <w:pPr>
        <w:numPr>
          <w:numId w:val="0"/>
        </w:numPr>
        <w:ind w:leftChars="0"/>
        <w:rPr>
          <w:rFonts w:hint="default"/>
          <w:lang w:val="en-US" w:eastAsia="zh-CN"/>
        </w:rPr>
      </w:pPr>
      <w:r>
        <w:rPr>
          <w:rFonts w:hint="default"/>
          <w:lang w:val="en-US" w:eastAsia="zh-CN"/>
        </w:rPr>
        <w:t>该轮融资对应投后估值为850亿元。主要参与者为上汽、北汽、宇通、长安汽车。</w:t>
      </w:r>
    </w:p>
    <w:p>
      <w:pPr>
        <w:numPr>
          <w:numId w:val="0"/>
        </w:numPr>
        <w:ind w:leftChars="0"/>
        <w:rPr>
          <w:rFonts w:hint="default"/>
          <w:lang w:val="en-US" w:eastAsia="zh-CN"/>
        </w:rPr>
      </w:pPr>
      <w:r>
        <w:rPr>
          <w:rFonts w:hint="default"/>
          <w:lang w:val="en-US" w:eastAsia="zh-CN"/>
        </w:rPr>
        <w:t>2017年6月28日，CATL注册资本由原先64406.4564万元增至195519.3267万元。</w:t>
      </w:r>
    </w:p>
    <w:p>
      <w:pPr>
        <w:numPr>
          <w:numId w:val="0"/>
        </w:numPr>
        <w:ind w:leftChars="0"/>
        <w:rPr>
          <w:rFonts w:hint="default"/>
          <w:lang w:val="en-US" w:eastAsia="zh-CN"/>
        </w:rPr>
      </w:pPr>
      <w:r>
        <w:rPr>
          <w:rFonts w:hint="default"/>
          <w:lang w:val="en-US" w:eastAsia="zh-CN"/>
        </w:rPr>
        <w:t>（8）2018年6月，成功上市</w:t>
      </w:r>
    </w:p>
    <w:p>
      <w:pPr>
        <w:numPr>
          <w:numId w:val="0"/>
        </w:numPr>
        <w:ind w:leftChars="0"/>
        <w:rPr>
          <w:rFonts w:hint="default"/>
          <w:lang w:val="en-US" w:eastAsia="zh-CN"/>
        </w:rPr>
      </w:pPr>
      <w:r>
        <w:rPr>
          <w:rFonts w:hint="default"/>
          <w:lang w:val="en-US" w:eastAsia="zh-CN"/>
        </w:rPr>
        <w:t>宁德时代新能源科技股份有限公司（以下简称：CATL）于4月4日，顺利通过证监会2018年第57次发审会审查，获通过并于2018年6月11日上市首发。</w:t>
      </w:r>
    </w:p>
    <w:p>
      <w:pPr>
        <w:numPr>
          <w:numId w:val="0"/>
        </w:numPr>
        <w:ind w:leftChars="0"/>
        <w:rPr>
          <w:rFonts w:hint="default"/>
          <w:lang w:val="en-US" w:eastAsia="zh-CN"/>
        </w:rPr>
      </w:pPr>
      <w:r>
        <w:rPr>
          <w:rFonts w:hint="default"/>
          <w:lang w:val="en-US" w:eastAsia="zh-CN"/>
        </w:rPr>
        <w:t>（9）2023年，宁德时代新能源科技股份有限公司以其488亿美元的销售收入首次进入《财富》世界500强排行榜，排名达292位。</w:t>
      </w:r>
    </w:p>
    <w:p>
      <w:pPr>
        <w:numPr>
          <w:numId w:val="0"/>
        </w:numPr>
        <w:ind w:leftChars="0"/>
        <w:rPr>
          <w:rFonts w:hint="default"/>
          <w:lang w:val="en-US" w:eastAsia="zh-CN"/>
        </w:rPr>
      </w:pPr>
      <w:r>
        <w:rPr>
          <w:rFonts w:hint="default"/>
          <w:lang w:val="en-US" w:eastAsia="zh-CN"/>
        </w:rPr>
        <w:t>（10）2024年12月10日，宁德时代召开第三届董事会第三十二次会议，审议通过关于变更公司注册资本及修订公司章程的议案；2025年2月11日向港交所递交正式申请，保荐机构包括美银、高盛等国际投行，拟募资至少50亿美元，2025年3月25日，获中国证监会《境外发行上市备案通知书》，备案耗时仅25天，创同类审批最快纪录12。备案后需完成香港联交所最终批准，H股发行规模上限为2.2亿股，按A股市值估算募资或达数百亿元。2025年5月12日，宁德时代刊发H股招股说明书，预计于2025年5月20日登陆港股。2025年，5月20日宁德时代正式登陆港股，募资超350亿港元，创2025年全球最大募资记录。</w:t>
      </w:r>
    </w:p>
    <w:p>
      <w:pPr>
        <w:numPr>
          <w:ilvl w:val="0"/>
          <w:numId w:val="3"/>
        </w:numPr>
        <w:ind w:left="0" w:leftChars="0" w:firstLine="0" w:firstLineChars="0"/>
        <w:rPr>
          <w:rFonts w:hint="eastAsia"/>
          <w:lang w:val="en-US" w:eastAsia="zh-CN"/>
        </w:rPr>
      </w:pPr>
      <w:r>
        <w:rPr>
          <w:rFonts w:hint="eastAsia"/>
          <w:lang w:val="en-US" w:eastAsia="zh-CN"/>
        </w:rPr>
        <w:t>财务管理情况</w:t>
      </w:r>
    </w:p>
    <w:p>
      <w:pPr>
        <w:numPr>
          <w:numId w:val="0"/>
        </w:numPr>
        <w:ind w:leftChars="0"/>
        <w:rPr>
          <w:rFonts w:hint="eastAsia"/>
          <w:lang w:val="en-US" w:eastAsia="zh-CN"/>
        </w:rPr>
      </w:pPr>
      <w:r>
        <w:rPr>
          <w:rFonts w:hint="eastAsia"/>
          <w:lang w:val="en-US" w:eastAsia="zh-CN"/>
        </w:rPr>
        <w:t>主要说财务管理监督情况和子公司投资权限问题，这个要有具体章程不详述。</w:t>
      </w:r>
    </w:p>
    <w:p>
      <w:pPr>
        <w:numPr>
          <w:numId w:val="0"/>
        </w:numPr>
        <w:ind w:leftChars="0"/>
        <w:rPr>
          <w:rFonts w:hint="eastAsia"/>
          <w:lang w:val="en-US" w:eastAsia="zh-CN"/>
        </w:rPr>
      </w:pPr>
    </w:p>
    <w:p>
      <w:pPr>
        <w:numPr>
          <w:ilvl w:val="0"/>
          <w:numId w:val="2"/>
        </w:numPr>
        <w:ind w:left="0" w:leftChars="0" w:firstLine="0" w:firstLineChars="0"/>
        <w:rPr>
          <w:rFonts w:hint="eastAsia"/>
          <w:lang w:val="en-US" w:eastAsia="zh-CN"/>
        </w:rPr>
      </w:pPr>
      <w:r>
        <w:rPr>
          <w:rFonts w:hint="eastAsia"/>
          <w:lang w:val="en-US" w:eastAsia="zh-CN"/>
        </w:rPr>
        <w:t>集团分版块经营情况</w:t>
      </w:r>
    </w:p>
    <w:p>
      <w:pPr>
        <w:numPr>
          <w:ilvl w:val="0"/>
          <w:numId w:val="4"/>
        </w:numPr>
        <w:ind w:leftChars="0"/>
        <w:rPr>
          <w:rFonts w:hint="eastAsia"/>
          <w:lang w:val="en-US" w:eastAsia="zh-CN"/>
        </w:rPr>
      </w:pPr>
      <w:r>
        <w:rPr>
          <w:rFonts w:hint="eastAsia"/>
          <w:lang w:val="en-US" w:eastAsia="zh-CN"/>
        </w:rPr>
        <w:t>主营业务</w:t>
      </w:r>
    </w:p>
    <w:p>
      <w:pPr>
        <w:numPr>
          <w:numId w:val="0"/>
        </w:numPr>
        <w:rPr>
          <w:rFonts w:hint="default"/>
          <w:lang w:val="en-US" w:eastAsia="zh-CN"/>
        </w:rPr>
      </w:pPr>
      <w:r>
        <w:rPr>
          <w:rFonts w:hint="default"/>
          <w:lang w:val="en-US" w:eastAsia="zh-CN"/>
        </w:rPr>
        <w:t>宁德时代层面，集团于2025年5月20日在香港联交所主板成功挂牌上市，全球发售股份总数为155,915,300股（行使超额配售权之后），发行价格为 263.00港元/股，募集资金总额为 410亿港元，并将上述募集资金用于匈牙利项目建设及营运资金、一般企业用途。公司通过本次 H 股上市搭建了海外资本运作平台，有助于进一步融入全球资本市场，加快推进全球化战略布局，提升综合竞争力。2025年，集团实现营收4237.02亿元，同比增长17.04%，归属于上市公司股东的净利润 767.86亿元，同比增长 42.18%。主要经营情况如下：</w:t>
      </w:r>
    </w:p>
    <w:p>
      <w:pPr>
        <w:numPr>
          <w:numId w:val="0"/>
        </w:numPr>
        <w:rPr>
          <w:rFonts w:hint="default"/>
          <w:lang w:val="en-US" w:eastAsia="zh-CN"/>
        </w:rPr>
      </w:pPr>
      <w:r>
        <w:rPr>
          <w:rFonts w:hint="default"/>
          <w:lang w:val="en-US" w:eastAsia="zh-CN"/>
        </w:rPr>
        <w:t>（1）持续推出创新产品</w:t>
      </w:r>
    </w:p>
    <w:p>
      <w:pPr>
        <w:numPr>
          <w:numId w:val="0"/>
        </w:numPr>
        <w:rPr>
          <w:rFonts w:hint="default"/>
          <w:lang w:val="en-US" w:eastAsia="zh-CN"/>
        </w:rPr>
      </w:pPr>
      <w:r>
        <w:rPr>
          <w:rFonts w:hint="default"/>
          <w:lang w:val="en-US" w:eastAsia="zh-CN"/>
        </w:rPr>
        <w:t>乘用车领域，公司发布了二代神行超充电池、骁遥双核电池、钠新乘用车动力电池。其中，二代神行超充电池是全球首款兼具 800公里续航和峰值 12C超充速度的磷酸铁锂电池；骁遥双核是双核架构、自生成负极技术深度融合的重磅产品，开创了跨化学体系的全新设计，可全面满足用户的定制化需求；钠新乘用车动力电池拥有优异的低温能量保持率与安全表现，凭借钠的丰富储量可有效降低对锂资源的依赖。商用车领域，公司在去年天行系列的基础上进一步发布了适用于重卡领域的钠新启驻一体蓄电池及面向高效物流场景的坤势底盘商用车生态解决方案。此外，公司始终注重产品性能、质量和安全，报告期内，工业和信息化部组织制定的 GB 38031-2025《电动汽车用动力蓄电池安全要求》强制性国家标准经国家市场监督管理总局、国家标准化管理委员会批准发布，将于2026年7月1日正式实施。在此背景下，公司成为全国首家乘用车与商用车领域全系量产品牌均通过新国标检测的企业，表明了检测机构对公司在动力电池领域技术领先能力及高安全标准的认可。</w:t>
      </w:r>
    </w:p>
    <w:p>
      <w:pPr>
        <w:numPr>
          <w:numId w:val="0"/>
        </w:numPr>
        <w:rPr>
          <w:rFonts w:hint="default"/>
          <w:lang w:val="en-US" w:eastAsia="zh-CN"/>
        </w:rPr>
      </w:pPr>
      <w:r>
        <w:rPr>
          <w:rFonts w:hint="default"/>
          <w:lang w:val="en-US" w:eastAsia="zh-CN"/>
        </w:rPr>
        <w:t>储能领域，公司宣布量产交付 587Ah 大容量储能专用电芯，该电芯在安全可靠性、能量密度、寿命衰减及系统效率等核心性能指标均实现全面升级；发布全球首款可量产的 9MWh 超大容量储能系统解决方案TENER Stack，与传统的 20 尺集装箱系统相比，可大幅提升体积利用率及能量密度，助力用户储能项目收益率提升。</w:t>
      </w:r>
    </w:p>
    <w:p>
      <w:pPr>
        <w:numPr>
          <w:numId w:val="0"/>
        </w:numPr>
        <w:rPr>
          <w:rFonts w:hint="default"/>
          <w:lang w:val="en-US" w:eastAsia="zh-CN"/>
        </w:rPr>
      </w:pPr>
      <w:r>
        <w:rPr>
          <w:rFonts w:hint="default"/>
          <w:lang w:val="en-US" w:eastAsia="zh-CN"/>
        </w:rPr>
        <w:t>（2）加快构建换电生态</w:t>
      </w:r>
    </w:p>
    <w:p>
      <w:pPr>
        <w:numPr>
          <w:numId w:val="0"/>
        </w:numPr>
        <w:rPr>
          <w:rFonts w:hint="default"/>
          <w:lang w:val="en-US" w:eastAsia="zh-CN"/>
        </w:rPr>
      </w:pPr>
      <w:r>
        <w:rPr>
          <w:rFonts w:hint="default"/>
          <w:lang w:val="en-US" w:eastAsia="zh-CN"/>
        </w:rPr>
        <w:t>公司新一代巧克力换电解决方案适配车型广、灵活性强，已在多款车型落地推广，与车企、运营商、金融机构、服务商等合作共同构建换电生态，通过快速换电大幅提升乘用车终端用户的补能效率和体验。报告期内，公司与蔚来达成战略合作以深化乘用车换电网络共享。公司骐骥换电解决方案能够为重卡运输行业带来更环保、更经济、更高效的补能解决方案。公司与中石化全面深化长期战略合作关系，双方将基于公司推出的巧克力换电、骐骥换电等解决方案协同打造更加高效、便捷、经济的补能网络。</w:t>
      </w:r>
    </w:p>
    <w:p>
      <w:pPr>
        <w:numPr>
          <w:numId w:val="0"/>
        </w:numPr>
        <w:rPr>
          <w:rFonts w:hint="default"/>
          <w:lang w:val="en-US" w:eastAsia="zh-CN"/>
        </w:rPr>
      </w:pPr>
      <w:r>
        <w:rPr>
          <w:rFonts w:hint="default"/>
          <w:lang w:val="en-US" w:eastAsia="zh-CN"/>
        </w:rPr>
        <w:t>（3）推进零碳科技产品与解决方案</w:t>
      </w:r>
    </w:p>
    <w:p>
      <w:pPr>
        <w:numPr>
          <w:numId w:val="0"/>
        </w:numPr>
        <w:rPr>
          <w:rFonts w:hint="default"/>
          <w:lang w:val="en-US" w:eastAsia="zh-CN"/>
        </w:rPr>
      </w:pPr>
      <w:r>
        <w:rPr>
          <w:rFonts w:hint="default"/>
          <w:lang w:val="en-US" w:eastAsia="zh-CN"/>
        </w:rPr>
        <w:t>基于公司在清洁能源领域的产品与技术优势，结合自身减碳经验，积极开发零碳科技产品与解决方案。公司与山东东营市、甘肃兰州市等城市或地区签署战略合作协议，同时在海南、东营、盐城、鄂尔多斯、宁德等地开展零碳试点示范，推动公司绿电直供、源网荷储微电网以及构网型储能等相关创新和示范项目落地。公司通过与多方合作打造零碳岛、共建零碳产业园、打造全域零碳示范城市，以零碳科技推动全球零碳新经济。</w:t>
      </w:r>
    </w:p>
    <w:p>
      <w:pPr>
        <w:numPr>
          <w:numId w:val="0"/>
        </w:numPr>
        <w:rPr>
          <w:rFonts w:hint="default"/>
          <w:lang w:val="en-US" w:eastAsia="zh-CN"/>
        </w:rPr>
      </w:pPr>
      <w:r>
        <w:rPr>
          <w:rFonts w:hint="default"/>
          <w:lang w:val="en-US" w:eastAsia="zh-CN"/>
        </w:rPr>
        <w:t>（4）稳步推进全球产能建设</w:t>
      </w:r>
    </w:p>
    <w:p>
      <w:pPr>
        <w:numPr>
          <w:numId w:val="0"/>
        </w:numPr>
        <w:rPr>
          <w:rFonts w:hint="default"/>
          <w:lang w:val="en-US" w:eastAsia="zh-CN"/>
        </w:rPr>
      </w:pPr>
      <w:r>
        <w:rPr>
          <w:rFonts w:hint="default"/>
          <w:lang w:val="en-US" w:eastAsia="zh-CN"/>
        </w:rPr>
        <w:t>公司稳步推进电池产能建设以满足全球客户订单交付需求。国内方面，公司顺利推进中州基地、济宁基地、福鼎基地、溧阳基地等建设；海外方面，公司稳步推进匈牙利工厂、与 Stellantis 合资的西班牙工厂及印尼电池产业链项目的建设。</w:t>
      </w:r>
    </w:p>
    <w:p>
      <w:pPr>
        <w:numPr>
          <w:ilvl w:val="0"/>
          <w:numId w:val="4"/>
        </w:numPr>
        <w:ind w:left="0" w:leftChars="0" w:firstLine="0" w:firstLineChars="0"/>
        <w:rPr>
          <w:rFonts w:hint="eastAsia"/>
          <w:lang w:val="en-US" w:eastAsia="zh-CN"/>
        </w:rPr>
      </w:pPr>
      <w:r>
        <w:rPr>
          <w:rFonts w:hint="eastAsia"/>
          <w:lang w:val="en-US" w:eastAsia="zh-CN"/>
        </w:rPr>
        <w:t>收入，成本和利润结构</w:t>
      </w:r>
    </w:p>
    <w:p>
      <w:pPr>
        <w:numPr>
          <w:numId w:val="0"/>
        </w:numPr>
        <w:ind w:leftChars="0"/>
        <w:rPr>
          <w:rFonts w:hint="eastAsia"/>
          <w:lang w:val="en-US" w:eastAsia="zh-CN"/>
        </w:rPr>
      </w:pPr>
      <w:r>
        <w:rPr>
          <w:rFonts w:hint="eastAsia"/>
          <w:lang w:val="en-US" w:eastAsia="zh-CN"/>
        </w:rPr>
        <w:t>就是复制粘贴财报上的图</w:t>
      </w:r>
    </w:p>
    <w:p>
      <w:pPr>
        <w:numPr>
          <w:numId w:val="0"/>
        </w:numPr>
        <w:ind w:leftChars="0"/>
        <w:rPr>
          <w:rFonts w:hint="eastAsia"/>
          <w:lang w:val="en-US" w:eastAsia="zh-CN"/>
        </w:rPr>
      </w:pPr>
      <w:r>
        <w:rPr>
          <w:rFonts w:hint="eastAsia"/>
          <w:lang w:val="en-US" w:eastAsia="zh-CN"/>
        </w:rPr>
        <w:t>收入：</w:t>
      </w:r>
    </w:p>
    <w:tbl>
      <w:tblPr>
        <w:tblStyle w:val="5"/>
        <w:tblW w:w="5000"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2626"/>
        <w:gridCol w:w="1424"/>
        <w:gridCol w:w="1424"/>
        <w:gridCol w:w="1424"/>
        <w:gridCol w:w="1424"/>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315" w:hRule="atLeast"/>
        </w:trPr>
        <w:tc>
          <w:tcPr>
            <w:tcW w:w="0" w:type="auto"/>
            <w:tcBorders>
              <w:bottom w:val="single" w:color="000000" w:sz="6" w:space="0"/>
              <w:right w:val="single" w:color="000000" w:sz="6" w:space="0"/>
            </w:tcBorders>
            <w:noWrap w:val="0"/>
            <w:tcMar>
              <w:top w:w="8" w:type="dxa"/>
              <w:left w:w="8"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业务板块</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2025年</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2024年</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2023年</w:t>
            </w:r>
          </w:p>
        </w:tc>
        <w:tc>
          <w:tcPr>
            <w:tcW w:w="0" w:type="auto"/>
            <w:tcBorders>
              <w:bottom w:val="single" w:color="000000" w:sz="6" w:space="0"/>
            </w:tcBorders>
            <w:noWrap w:val="0"/>
            <w:tcMar>
              <w:top w:w="8"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2022年</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63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动力电池系统</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3165.06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2530.41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2852.53</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2365.93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315"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储能系统</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624.4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572.9</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599.01</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449.8</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63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电池材料及回收</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218.61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287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336.02</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260.32</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63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电池矿产资源</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59.78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54.93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77.34</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45.09</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63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锂电池材料</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315"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其他业务</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169.17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174.88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144.27</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164.8</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315" w:hRule="atLeast"/>
        </w:trPr>
        <w:tc>
          <w:tcPr>
            <w:tcW w:w="0" w:type="auto"/>
            <w:tcBorders>
              <w:right w:val="single" w:color="000000" w:sz="6" w:space="0"/>
            </w:tcBorders>
            <w:noWrap w:val="0"/>
            <w:tcMar>
              <w:top w:w="5" w:type="dxa"/>
              <w:left w:w="8"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合计</w:t>
            </w:r>
          </w:p>
        </w:tc>
        <w:tc>
          <w:tcPr>
            <w:tcW w:w="0" w:type="auto"/>
            <w:tcBorders>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4237.02</w:t>
            </w:r>
          </w:p>
        </w:tc>
        <w:tc>
          <w:tcPr>
            <w:tcW w:w="0" w:type="auto"/>
            <w:tcBorders>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3620.12</w:t>
            </w:r>
          </w:p>
        </w:tc>
        <w:tc>
          <w:tcPr>
            <w:tcW w:w="0" w:type="auto"/>
            <w:tcBorders>
              <w:right w:val="single" w:color="000000" w:sz="6" w:space="0"/>
            </w:tcBorders>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4009.17</w:t>
            </w:r>
          </w:p>
        </w:tc>
        <w:tc>
          <w:tcPr>
            <w:tcW w:w="0" w:type="auto"/>
            <w:noWrap w:val="0"/>
            <w:tcMar>
              <w:top w:w="5" w:type="dxa"/>
              <w:left w:w="5" w:type="dxa"/>
              <w:bottom w:w="8" w:type="dxa"/>
              <w:right w:w="8" w:type="dxa"/>
            </w:tcMar>
            <w:vAlign w:val="center"/>
          </w:tcPr>
          <w:p>
            <w:pPr>
              <w:spacing w:line="360" w:lineRule="atLeast"/>
              <w:jc w:val="center"/>
              <w:rPr>
                <w:rFonts w:ascii="微软雅黑" w:hAnsi="微软雅黑" w:eastAsia="微软雅黑" w:cs="微软雅黑"/>
                <w:color w:val="000000"/>
                <w:sz w:val="24"/>
                <w:szCs w:val="24"/>
                <w:lang w:val="en-US" w:eastAsia="en-US" w:bidi="ar-SA"/>
              </w:rPr>
            </w:pPr>
            <w:r>
              <w:rPr>
                <w:rFonts w:ascii="微软雅黑" w:hAnsi="微软雅黑" w:eastAsia="微软雅黑" w:cs="微软雅黑"/>
                <w:color w:val="000000"/>
                <w:sz w:val="21"/>
                <w:szCs w:val="21"/>
                <w:lang w:val="en-US" w:eastAsia="en-US" w:bidi="ar-SA"/>
              </w:rPr>
              <w:t>3285.94</w:t>
            </w:r>
          </w:p>
        </w:tc>
      </w:tr>
    </w:tbl>
    <w:p>
      <w:pPr>
        <w:numPr>
          <w:numId w:val="0"/>
        </w:numPr>
        <w:ind w:leftChars="0"/>
        <w:rPr>
          <w:rFonts w:hint="eastAsia"/>
          <w:lang w:val="en-US" w:eastAsia="zh-CN"/>
        </w:rPr>
      </w:pPr>
      <w:r>
        <w:rPr>
          <w:rFonts w:hint="eastAsia"/>
          <w:lang w:val="en-US" w:eastAsia="zh-CN"/>
        </w:rPr>
        <w:t>毛利率</w:t>
      </w:r>
    </w:p>
    <w:tbl>
      <w:tblPr>
        <w:tblStyle w:val="5"/>
        <w:tblW w:w="5000"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15" w:type="dxa"/>
          <w:left w:w="15" w:type="dxa"/>
          <w:bottom w:w="15" w:type="dxa"/>
          <w:right w:w="15" w:type="dxa"/>
        </w:tblCellMar>
      </w:tblPr>
      <w:tblGrid>
        <w:gridCol w:w="2390"/>
        <w:gridCol w:w="1502"/>
        <w:gridCol w:w="1502"/>
        <w:gridCol w:w="1502"/>
        <w:gridCol w:w="1502"/>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808080" w:sz="6" w:space="0"/>
              <w:left w:val="single" w:color="808080" w:sz="6" w:space="0"/>
              <w:bottom w:val="single" w:color="808080" w:sz="2" w:space="0"/>
              <w:right w:val="single" w:color="808080" w:sz="2" w:space="0"/>
            </w:tcBorders>
            <w:noWrap w:val="0"/>
            <w:tcMar>
              <w:top w:w="46" w:type="dxa"/>
              <w:left w:w="46" w:type="dxa"/>
              <w:bottom w:w="30" w:type="dxa"/>
              <w:right w:w="30"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业务板块</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2025年</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2024年</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2023年</w:t>
            </w:r>
          </w:p>
        </w:tc>
        <w:tc>
          <w:tcPr>
            <w:tcW w:w="0" w:type="auto"/>
            <w:tcBorders>
              <w:top w:val="single" w:color="808080" w:sz="6" w:space="0"/>
              <w:bottom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2022年</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808080" w:sz="2" w:space="0"/>
              <w:left w:val="single" w:color="808080" w:sz="6" w:space="0"/>
              <w:bottom w:val="single" w:color="808080" w:sz="2" w:space="0"/>
              <w:right w:val="single" w:color="808080" w:sz="2" w:space="0"/>
            </w:tcBorders>
            <w:noWrap w:val="0"/>
            <w:tcMar>
              <w:top w:w="30" w:type="dxa"/>
              <w:left w:w="46" w:type="dxa"/>
              <w:bottom w:w="30" w:type="dxa"/>
              <w:right w:w="30"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动力电池</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hint="eastAsia" w:ascii="微软雅黑" w:hAnsi="微软雅黑" w:eastAsia="微软雅黑" w:cs="微软雅黑"/>
                <w:color w:val="1A1A1A"/>
                <w:sz w:val="21"/>
                <w:szCs w:val="21"/>
                <w:lang w:val="en-US" w:eastAsia="zh-CN" w:bidi="ar-SA"/>
              </w:rPr>
            </w:pPr>
            <w:r>
              <w:rPr>
                <w:rFonts w:ascii="微软雅黑" w:hAnsi="微软雅黑" w:eastAsia="微软雅黑" w:cs="微软雅黑"/>
                <w:color w:val="000000"/>
                <w:sz w:val="21"/>
                <w:szCs w:val="21"/>
                <w:lang w:val="en-US" w:eastAsia="en-US" w:bidi="ar-SA"/>
              </w:rPr>
              <w:t>23.84</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23.94</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22.27</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17.17</w:t>
            </w:r>
            <w:r>
              <w:rPr>
                <w:rFonts w:hint="eastAsia" w:ascii="微软雅黑" w:hAnsi="微软雅黑" w:eastAsia="微软雅黑" w:cs="微软雅黑"/>
                <w:color w:val="000000"/>
                <w:sz w:val="21"/>
                <w:szCs w:val="21"/>
                <w:lang w:val="en-US" w:eastAsia="zh-CN" w:bidi="ar-SA"/>
              </w:rPr>
              <w:t>%</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808080" w:sz="2" w:space="0"/>
              <w:left w:val="single" w:color="808080" w:sz="6" w:space="0"/>
              <w:bottom w:val="single" w:color="808080" w:sz="2" w:space="0"/>
              <w:right w:val="single" w:color="808080" w:sz="2" w:space="0"/>
            </w:tcBorders>
            <w:noWrap w:val="0"/>
            <w:tcMar>
              <w:top w:w="30" w:type="dxa"/>
              <w:left w:w="46" w:type="dxa"/>
              <w:bottom w:w="30" w:type="dxa"/>
              <w:right w:w="30"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储能系统</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26.71</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26.84</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23.79</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17.01</w:t>
            </w:r>
            <w:r>
              <w:rPr>
                <w:rFonts w:hint="eastAsia" w:ascii="微软雅黑" w:hAnsi="微软雅黑" w:eastAsia="微软雅黑" w:cs="微软雅黑"/>
                <w:color w:val="000000"/>
                <w:sz w:val="21"/>
                <w:szCs w:val="21"/>
                <w:lang w:val="en-US" w:eastAsia="zh-CN" w:bidi="ar-SA"/>
              </w:rPr>
              <w:t>%</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808080" w:sz="2" w:space="0"/>
              <w:left w:val="single" w:color="808080" w:sz="6" w:space="0"/>
              <w:bottom w:val="single" w:color="808080" w:sz="2" w:space="0"/>
              <w:right w:val="single" w:color="808080" w:sz="2" w:space="0"/>
            </w:tcBorders>
            <w:noWrap w:val="0"/>
            <w:tcMar>
              <w:top w:w="30" w:type="dxa"/>
              <w:left w:w="46" w:type="dxa"/>
              <w:bottom w:w="30" w:type="dxa"/>
              <w:right w:w="30"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电池材料回收</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27.27</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10.51</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11.38</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21.23</w:t>
            </w:r>
            <w:r>
              <w:rPr>
                <w:rFonts w:hint="eastAsia" w:ascii="微软雅黑" w:hAnsi="微软雅黑" w:eastAsia="微软雅黑" w:cs="微软雅黑"/>
                <w:color w:val="000000"/>
                <w:sz w:val="21"/>
                <w:szCs w:val="21"/>
                <w:lang w:val="en-US" w:eastAsia="zh-CN" w:bidi="ar-SA"/>
              </w:rPr>
              <w:t>%</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808080" w:sz="2" w:space="0"/>
              <w:left w:val="single" w:color="808080" w:sz="6" w:space="0"/>
              <w:bottom w:val="single" w:color="808080" w:sz="2" w:space="0"/>
              <w:right w:val="single" w:color="808080" w:sz="2" w:space="0"/>
            </w:tcBorders>
            <w:noWrap w:val="0"/>
            <w:tcMar>
              <w:top w:w="30" w:type="dxa"/>
              <w:left w:w="46" w:type="dxa"/>
              <w:bottom w:w="30" w:type="dxa"/>
              <w:right w:w="30"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电池矿产资源</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11.25%</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8.53</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19.86</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12.24</w:t>
            </w:r>
            <w:r>
              <w:rPr>
                <w:rFonts w:hint="eastAsia" w:ascii="微软雅黑" w:hAnsi="微软雅黑" w:eastAsia="微软雅黑" w:cs="微软雅黑"/>
                <w:color w:val="000000"/>
                <w:sz w:val="21"/>
                <w:szCs w:val="21"/>
                <w:lang w:val="en-US" w:eastAsia="zh-CN" w:bidi="ar-SA"/>
              </w:rPr>
              <w:t>%</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808080" w:sz="2" w:space="0"/>
              <w:left w:val="single" w:color="808080" w:sz="6" w:space="0"/>
              <w:bottom w:val="single" w:color="808080" w:sz="2" w:space="0"/>
              <w:right w:val="single" w:color="808080" w:sz="2" w:space="0"/>
            </w:tcBorders>
            <w:noWrap w:val="0"/>
            <w:tcMar>
              <w:top w:w="30" w:type="dxa"/>
              <w:left w:w="46" w:type="dxa"/>
              <w:bottom w:w="30" w:type="dxa"/>
              <w:right w:w="30"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锂电池材料</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w:t>
            </w:r>
          </w:p>
        </w:tc>
        <w:tc>
          <w:tcPr>
            <w:tcW w:w="0" w:type="auto"/>
            <w:tcBorders>
              <w:top w:val="single" w:color="808080" w:sz="6" w:space="0"/>
              <w:bottom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808080" w:sz="2" w:space="0"/>
              <w:left w:val="single" w:color="808080" w:sz="6" w:space="0"/>
              <w:bottom w:val="single" w:color="808080" w:sz="6" w:space="0"/>
              <w:right w:val="single" w:color="808080" w:sz="2" w:space="0"/>
            </w:tcBorders>
            <w:noWrap w:val="0"/>
            <w:tcMar>
              <w:top w:w="30" w:type="dxa"/>
              <w:left w:w="46" w:type="dxa"/>
              <w:bottom w:w="46" w:type="dxa"/>
              <w:right w:w="30"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其他业务</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1A1A1A"/>
                <w:sz w:val="21"/>
                <w:szCs w:val="21"/>
                <w:lang w:val="en-US" w:eastAsia="en-US" w:bidi="ar-SA"/>
              </w:rPr>
              <w:br w:type="textWrapping"/>
            </w:r>
            <w:r>
              <w:rPr>
                <w:rFonts w:ascii="微软雅黑" w:hAnsi="微软雅黑" w:eastAsia="微软雅黑" w:cs="微软雅黑"/>
                <w:color w:val="000000"/>
                <w:sz w:val="21"/>
                <w:szCs w:val="21"/>
                <w:lang w:val="en-US" w:eastAsia="en-US" w:bidi="ar-SA"/>
              </w:rPr>
              <w:t>50.94</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right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60.27</w:t>
            </w:r>
            <w:r>
              <w:rPr>
                <w:rFonts w:hint="eastAsia" w:ascii="微软雅黑" w:hAnsi="微软雅黑" w:eastAsia="微软雅黑" w:cs="微软雅黑"/>
                <w:color w:val="000000"/>
                <w:sz w:val="21"/>
                <w:szCs w:val="21"/>
                <w:lang w:val="en-US" w:eastAsia="zh-CN" w:bidi="ar-SA"/>
              </w:rPr>
              <w:t>%</w:t>
            </w:r>
          </w:p>
        </w:tc>
        <w:tc>
          <w:tcPr>
            <w:tcW w:w="0" w:type="auto"/>
            <w:tcBorders>
              <w:top w:val="single" w:color="808080" w:sz="6" w:space="0"/>
              <w:bottom w:val="single" w:color="808080" w:sz="6" w:space="0"/>
            </w:tcBorders>
            <w:noWrap w:val="0"/>
            <w:tcMar>
              <w:top w:w="46" w:type="dxa"/>
              <w:left w:w="37" w:type="dxa"/>
              <w:bottom w:w="46" w:type="dxa"/>
              <w:right w:w="46" w:type="dxa"/>
            </w:tcMar>
            <w:vAlign w:val="center"/>
          </w:tcPr>
          <w:p>
            <w:pPr>
              <w:spacing w:line="315" w:lineRule="atLeast"/>
              <w:jc w:val="center"/>
              <w:rPr>
                <w:rFonts w:ascii="微软雅黑" w:hAnsi="微软雅黑" w:eastAsia="微软雅黑" w:cs="微软雅黑"/>
                <w:color w:val="1A1A1A"/>
                <w:sz w:val="21"/>
                <w:szCs w:val="21"/>
                <w:lang w:val="en-US" w:eastAsia="en-US" w:bidi="ar-SA"/>
              </w:rPr>
            </w:pPr>
            <w:r>
              <w:rPr>
                <w:rFonts w:ascii="微软雅黑" w:hAnsi="微软雅黑" w:eastAsia="微软雅黑" w:cs="微软雅黑"/>
                <w:color w:val="000000"/>
                <w:sz w:val="21"/>
                <w:szCs w:val="21"/>
                <w:lang w:val="en-US" w:eastAsia="en-US" w:bidi="ar-SA"/>
              </w:rPr>
              <w:t>73.94</w:t>
            </w:r>
            <w:r>
              <w:rPr>
                <w:rFonts w:hint="eastAsia" w:ascii="微软雅黑" w:hAnsi="微软雅黑" w:eastAsia="微软雅黑" w:cs="微软雅黑"/>
                <w:color w:val="000000"/>
                <w:sz w:val="21"/>
                <w:szCs w:val="21"/>
                <w:lang w:val="en-US" w:eastAsia="zh-CN" w:bidi="ar-SA"/>
              </w:rPr>
              <w:t>%</w:t>
            </w:r>
          </w:p>
        </w:tc>
      </w:tr>
    </w:tbl>
    <w:p>
      <w:pPr>
        <w:numPr>
          <w:ilvl w:val="0"/>
          <w:numId w:val="5"/>
        </w:numPr>
        <w:ind w:leftChars="0"/>
        <w:rPr>
          <w:rFonts w:ascii="微软雅黑" w:hAnsi="微软雅黑" w:eastAsia="微软雅黑" w:cs="微软雅黑"/>
          <w:b/>
          <w:bCs/>
          <w:color w:val="000000"/>
          <w:sz w:val="21"/>
          <w:szCs w:val="21"/>
          <w:lang w:val="en-US" w:eastAsia="en-US" w:bidi="ar-SA"/>
        </w:rPr>
      </w:pPr>
      <w:r>
        <w:rPr>
          <w:rFonts w:ascii="微软雅黑" w:hAnsi="微软雅黑" w:eastAsia="微软雅黑" w:cs="微软雅黑"/>
          <w:b/>
          <w:bCs/>
          <w:color w:val="000000"/>
          <w:sz w:val="21"/>
          <w:szCs w:val="21"/>
          <w:lang w:val="en-US" w:eastAsia="en-US" w:bidi="ar-SA"/>
        </w:rPr>
        <w:t>简述集团各板块核心经营主体、核心产品、经营模式、主要设施、产供销情况、盈利情况、竞争优劣势等</w:t>
      </w:r>
    </w:p>
    <w:p>
      <w:pPr>
        <w:spacing w:line="360" w:lineRule="atLeast"/>
        <w:ind w:firstLine="480"/>
        <w:rPr>
          <w:rFonts w:ascii="微软雅黑" w:hAnsi="微软雅黑" w:eastAsia="微软雅黑" w:cs="微软雅黑"/>
          <w:color w:val="1A1A1A"/>
          <w:sz w:val="24"/>
          <w:szCs w:val="24"/>
          <w:lang w:val="en-US" w:eastAsia="en-US" w:bidi="ar-SA"/>
        </w:rPr>
      </w:pPr>
      <w:r>
        <w:rPr>
          <w:rFonts w:ascii="微软雅黑" w:hAnsi="微软雅黑" w:eastAsia="微软雅黑" w:cs="微软雅黑"/>
          <w:color w:val="1A1A1A"/>
          <w:sz w:val="21"/>
          <w:szCs w:val="21"/>
          <w:lang w:val="en-US" w:eastAsia="en-US" w:bidi="ar-SA"/>
        </w:rPr>
        <w:t>（1）采购端</w:t>
      </w:r>
    </w:p>
    <w:p>
      <w:pPr>
        <w:spacing w:line="360" w:lineRule="atLeast"/>
        <w:ind w:firstLine="480"/>
        <w:jc w:val="both"/>
        <w:rPr>
          <w:rFonts w:ascii="微软雅黑" w:hAnsi="微软雅黑" w:eastAsia="微软雅黑" w:cs="微软雅黑"/>
          <w:color w:val="1A1A1A"/>
          <w:sz w:val="24"/>
          <w:szCs w:val="24"/>
          <w:lang w:val="en-US" w:eastAsia="en-US" w:bidi="ar-SA"/>
        </w:rPr>
      </w:pPr>
      <w:r>
        <w:rPr>
          <w:rFonts w:ascii="微软雅黑" w:hAnsi="微软雅黑" w:eastAsia="微软雅黑" w:cs="微软雅黑"/>
          <w:color w:val="1A1A1A"/>
          <w:sz w:val="21"/>
          <w:szCs w:val="21"/>
          <w:lang w:val="en-US" w:eastAsia="en-US" w:bidi="ar-SA"/>
        </w:rPr>
        <w:t>宁德时代采购包括原材料采购和设备采购，采购流程主要有合格供应商选择、框架合约签署、供应商产品验证和采购价格谈判四个环节。原材料主要包括正极、负极、电解液、隔离膜、结构件以及电子料，其中原材料超过95%为国内采购，结算方式为月结60-90天（银承6个月、商承/保理/债权凭证6个月至9个月），小部分材料进口，开证或T/T，账期30天内。</w:t>
      </w:r>
    </w:p>
    <w:p>
      <w:pPr>
        <w:spacing w:line="360" w:lineRule="atLeast"/>
        <w:ind w:firstLine="480"/>
        <w:rPr>
          <w:rFonts w:ascii="微软雅黑" w:hAnsi="微软雅黑" w:eastAsia="微软雅黑" w:cs="微软雅黑"/>
          <w:color w:val="1A1A1A"/>
          <w:sz w:val="24"/>
          <w:szCs w:val="24"/>
          <w:lang w:val="en-US" w:eastAsia="en-US" w:bidi="ar-SA"/>
        </w:rPr>
      </w:pPr>
      <w:r>
        <w:rPr>
          <w:rFonts w:ascii="微软雅黑" w:hAnsi="微软雅黑" w:eastAsia="微软雅黑" w:cs="微软雅黑"/>
          <w:color w:val="1A1A1A"/>
          <w:sz w:val="21"/>
          <w:szCs w:val="21"/>
          <w:lang w:val="en-US" w:eastAsia="en-US" w:bidi="ar-SA"/>
        </w:rPr>
        <w:t>宁德时代集团主要以产定采/JIT的模式进行采购计划的编制，一般于年初或上年末通过招标和多方询价的机制，选定相关材料的主要供应商。一般保留满足7至15天满负荷生产的安全库存。生产经营所需主要原材料包括正极材料、负极材料、隔膜和电解液等，上述原材料受锂、镍、钴等大宗商品或化工原料价格影响较大。受相关材料价格变动及市场供需情况的影响，宁德时代原材料的采购价格及规模也会出现一定波动。去年以来，碳酸锂价格波动较大，对公司生产运营、成本管控带来较大挑战。宁德时代已采取自制、投资合作、回收利用、签署长协订单等措施保障供应链安全及稳定，及时追踪重要原材料市场供求和价格变动，通过提前采购等措施保障原材料供应及控制采购成本，并根据市场情况灵活调整库存水平。</w:t>
      </w:r>
    </w:p>
    <w:p>
      <w:pPr>
        <w:spacing w:line="360" w:lineRule="atLeast"/>
        <w:ind w:firstLine="480"/>
        <w:rPr>
          <w:rFonts w:ascii="微软雅黑" w:hAnsi="微软雅黑" w:eastAsia="微软雅黑" w:cs="微软雅黑"/>
          <w:color w:val="1A1A1A"/>
          <w:sz w:val="24"/>
          <w:szCs w:val="24"/>
          <w:lang w:val="en-US" w:eastAsia="en-US" w:bidi="ar-SA"/>
        </w:rPr>
      </w:pPr>
      <w:r>
        <w:rPr>
          <w:rFonts w:ascii="微软雅黑" w:hAnsi="微软雅黑" w:eastAsia="微软雅黑" w:cs="微软雅黑"/>
          <w:color w:val="1A1A1A"/>
          <w:sz w:val="21"/>
          <w:szCs w:val="21"/>
          <w:lang w:val="en-US" w:eastAsia="en-US" w:bidi="ar-SA"/>
        </w:rPr>
        <w:t>（2）销售端</w:t>
      </w:r>
    </w:p>
    <w:p>
      <w:pPr>
        <w:spacing w:line="360" w:lineRule="atLeast"/>
        <w:ind w:firstLine="480"/>
        <w:jc w:val="both"/>
        <w:rPr>
          <w:rFonts w:ascii="微软雅黑" w:hAnsi="微软雅黑" w:eastAsia="微软雅黑" w:cs="微软雅黑"/>
          <w:color w:val="1A1A1A"/>
          <w:sz w:val="24"/>
          <w:szCs w:val="24"/>
          <w:lang w:val="en-US" w:eastAsia="en-US" w:bidi="ar-SA"/>
        </w:rPr>
      </w:pPr>
      <w:r>
        <w:rPr>
          <w:rFonts w:ascii="微软雅黑" w:hAnsi="微软雅黑" w:eastAsia="微软雅黑" w:cs="微软雅黑"/>
          <w:color w:val="1A1A1A"/>
          <w:sz w:val="21"/>
          <w:szCs w:val="21"/>
          <w:lang w:val="en-US" w:eastAsia="en-US" w:bidi="ar-SA"/>
        </w:rPr>
        <w:t>宁德时代主要产品为车用动力锂电池模组和电池包，并伴有少量的电芯产品和组件。</w:t>
      </w:r>
    </w:p>
    <w:p>
      <w:pPr>
        <w:spacing w:line="360" w:lineRule="atLeast"/>
        <w:ind w:firstLine="480"/>
        <w:rPr>
          <w:rFonts w:ascii="微软雅黑" w:hAnsi="微软雅黑" w:eastAsia="微软雅黑" w:cs="微软雅黑"/>
          <w:color w:val="1A1A1A"/>
          <w:sz w:val="24"/>
          <w:szCs w:val="24"/>
          <w:lang w:val="en-US" w:eastAsia="en-US" w:bidi="ar-SA"/>
        </w:rPr>
      </w:pPr>
      <w:r>
        <w:rPr>
          <w:rFonts w:ascii="微软雅黑" w:hAnsi="微软雅黑" w:eastAsia="微软雅黑" w:cs="微软雅黑"/>
          <w:color w:val="1A1A1A"/>
          <w:sz w:val="21"/>
          <w:szCs w:val="21"/>
          <w:lang w:val="en-US" w:eastAsia="en-US" w:bidi="ar-SA"/>
        </w:rPr>
        <w:t>宁德时代会根据整车企业的需求，与其进行技术交流和方案对接，经过充分测试验证后，方可建立定点供应关系，并相应确定供货商品的品种、型号、价格等事项，一旦定点供应关系建立后，双方将在一定周期内保持稳定的合作关系。宁德时代已与多家国内外知名整车企业建立定点供应关系，销售部门根据定点客户的具体订单需求，按照业务流程签订供货合同，并向客户提供相应产品及售后服务。</w:t>
      </w:r>
    </w:p>
    <w:p>
      <w:pPr>
        <w:spacing w:line="315" w:lineRule="atLeast"/>
        <w:ind w:firstLine="420"/>
        <w:rPr>
          <w:rFonts w:ascii="微软雅黑" w:hAnsi="微软雅黑" w:eastAsia="微软雅黑" w:cs="微软雅黑"/>
          <w:color w:val="1A1A1A"/>
          <w:sz w:val="24"/>
          <w:szCs w:val="24"/>
          <w:lang w:val="en-US" w:eastAsia="en-US" w:bidi="ar-SA"/>
        </w:rPr>
      </w:pPr>
      <w:r>
        <w:rPr>
          <w:rFonts w:ascii="微软雅黑" w:hAnsi="微软雅黑" w:eastAsia="微软雅黑" w:cs="微软雅黑"/>
          <w:color w:val="000000"/>
          <w:sz w:val="21"/>
          <w:szCs w:val="21"/>
          <w:lang w:val="en-US" w:eastAsia="en-US" w:bidi="ar-SA"/>
        </w:rPr>
        <w:t>从销售情况看，根据SNE Research 数据，2025年全球新能源车销量2,147.0 万辆，同比增长21.5%，全球动力电池使用量达1,187GWh，同比增长31.7%。储能电池方面，在各国清洁能源转型目标推动下，随着风电光伏装机比例提升、电力系统灵活性要求提高、储能技术进步及系统成本下降、数据中心等新兴领域需求拉动，储能电池市场需求持续快速增长。根据SNE Research 统计，2025 年全球储能电池出货量550GWh，同比增长79%。 </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（3）主要设施</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申请人现在全球共15个生产基地，其中国内13个生产基地，国外2个生产基地。国内13个基地分布在中国福建、江苏、四川、青海、广东、上海、江西、贵州、山东、河南共计10个省/直辖市。其中，福建宁德福鼎、四川宜宾、广东肇庆、福建厦门、江西宜春、贵州贵阳、山东济宁、河南洛阳共计8个生产基地生产动力电池，青海西宁基地生产储能电池，福建宁德漳湾区（包括东侨/湖东/湖西）、福建宁德车里湾、江苏溧阳、上海临港4个基地生产动力和储能电池。13个基地的产品面向全球电动汽车和储能市场，工厂模式结合地缘特点不一，具体如下。</w:t>
      </w:r>
    </w:p>
    <w:tbl>
      <w:tblPr>
        <w:tblStyle w:val="5"/>
        <w:tblW w:w="5000"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926"/>
        <w:gridCol w:w="924"/>
        <w:gridCol w:w="1735"/>
        <w:gridCol w:w="580"/>
        <w:gridCol w:w="4157"/>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PrEx>
        <w:trPr>
          <w:trHeight w:val="285" w:hRule="atLeast"/>
        </w:trPr>
        <w:tc>
          <w:tcPr>
            <w:tcW w:w="0" w:type="auto"/>
            <w:tcBorders>
              <w:bottom w:val="single" w:color="000000" w:sz="6" w:space="0"/>
              <w:right w:val="single" w:color="000000" w:sz="6" w:space="0"/>
            </w:tcBorders>
            <w:noWrap w:val="0"/>
            <w:tcMar>
              <w:top w:w="8" w:type="dxa"/>
              <w:left w:w="8" w:type="dxa"/>
              <w:bottom w:w="8" w:type="dxa"/>
              <w:right w:w="8" w:type="dxa"/>
            </w:tcMar>
            <w:vAlign w:val="center"/>
          </w:tcPr>
          <w:p>
            <w:pPr>
              <w:spacing w:line="315" w:lineRule="atLeast"/>
              <w:jc w:val="center"/>
              <w:rPr>
                <w:rFonts w:ascii="仿宋" w:hAnsi="仿宋" w:eastAsia="仿宋" w:cs="仿宋"/>
                <w:b/>
                <w:bCs/>
                <w:color w:val="1A1A1A"/>
                <w:sz w:val="21"/>
                <w:szCs w:val="21"/>
                <w:lang w:val="en-US" w:eastAsia="en-US" w:bidi="ar-SA"/>
              </w:rPr>
            </w:pPr>
            <w:r>
              <w:rPr>
                <w:rFonts w:ascii="仿宋" w:hAnsi="仿宋" w:eastAsia="仿宋" w:cs="仿宋"/>
                <w:b/>
                <w:bCs/>
                <w:color w:val="1A1A1A"/>
                <w:sz w:val="21"/>
                <w:szCs w:val="21"/>
                <w:lang w:val="en-US" w:eastAsia="en-US" w:bidi="ar-SA"/>
              </w:rPr>
              <w:t>基地名称</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color w:val="1A1A1A"/>
                <w:sz w:val="21"/>
                <w:szCs w:val="21"/>
                <w:lang w:val="en-US" w:eastAsia="en-US" w:bidi="ar-SA"/>
              </w:rPr>
            </w:pPr>
            <w:r>
              <w:rPr>
                <w:rFonts w:ascii="仿宋" w:hAnsi="仿宋" w:eastAsia="仿宋" w:cs="仿宋"/>
                <w:b/>
                <w:bCs/>
                <w:color w:val="1A1A1A"/>
                <w:sz w:val="21"/>
                <w:szCs w:val="21"/>
                <w:lang w:val="en-US" w:eastAsia="en-US" w:bidi="ar-SA"/>
              </w:rPr>
              <w:t>已投产产能</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color w:val="1A1A1A"/>
                <w:sz w:val="21"/>
                <w:szCs w:val="21"/>
                <w:lang w:val="en-US" w:eastAsia="en-US" w:bidi="ar-SA"/>
              </w:rPr>
            </w:pPr>
            <w:r>
              <w:rPr>
                <w:rFonts w:ascii="仿宋" w:hAnsi="仿宋" w:eastAsia="仿宋" w:cs="仿宋"/>
                <w:b/>
                <w:bCs/>
                <w:color w:val="1A1A1A"/>
                <w:sz w:val="21"/>
                <w:szCs w:val="21"/>
                <w:lang w:val="en-US" w:eastAsia="en-US" w:bidi="ar-SA"/>
              </w:rPr>
              <w:t>投产时间</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color w:val="1A1A1A"/>
                <w:sz w:val="21"/>
                <w:szCs w:val="21"/>
                <w:lang w:val="en-US" w:eastAsia="en-US" w:bidi="ar-SA"/>
              </w:rPr>
            </w:pPr>
            <w:r>
              <w:rPr>
                <w:rFonts w:ascii="仿宋" w:hAnsi="仿宋" w:eastAsia="仿宋" w:cs="仿宋"/>
                <w:b/>
                <w:bCs/>
                <w:color w:val="1A1A1A"/>
                <w:sz w:val="21"/>
                <w:szCs w:val="21"/>
                <w:lang w:val="en-US" w:eastAsia="en-US" w:bidi="ar-SA"/>
              </w:rPr>
              <w:t>产品类型</w:t>
            </w:r>
          </w:p>
        </w:tc>
        <w:tc>
          <w:tcPr>
            <w:tcW w:w="0" w:type="auto"/>
            <w:tcBorders>
              <w:bottom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color w:val="1A1A1A"/>
                <w:sz w:val="21"/>
                <w:szCs w:val="21"/>
                <w:lang w:val="en-US" w:eastAsia="en-US" w:bidi="ar-SA"/>
              </w:rPr>
            </w:pPr>
            <w:r>
              <w:rPr>
                <w:rFonts w:ascii="仿宋" w:hAnsi="仿宋" w:eastAsia="仿宋" w:cs="仿宋"/>
                <w:b/>
                <w:bCs/>
                <w:color w:val="1A1A1A"/>
                <w:sz w:val="21"/>
                <w:szCs w:val="21"/>
                <w:lang w:val="en-US" w:eastAsia="en-US" w:bidi="ar-SA"/>
              </w:rPr>
              <w:t>备注</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43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四川宜宾基地</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约210GWh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分期投产（2022-2025）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动力+储能电池</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全球最大动力电池基地之一，宜宾基地由7 个已投运工厂组成，包含四川时代核心产线与合资配套项目，产品以动力电池为主，少量储能电池。</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35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福建宁德基地（总部）</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约212GWh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分期投产（2018-2025）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动力 + 储能电池</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包含漳湾区 74GWh、车里湾 32GWh、福鼎 55GWh、时代一汽 10GWh 等子基地</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08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河南洛阳基地</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约60GWh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一期 2024.11，二期 2025.10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动力电池</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一二期各 30GWh，三期四期 60GWh 预计 2026Q2 投产</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1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江苏溧阳基地</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约90.6GWh+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分期投产（2019-2025）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动力 + 储能电池</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江苏时代已投产90.6GWh，扩建项目预计26年投产</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1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山东济宁基地</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约60GWh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2025.5</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动力 + 储能电池</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北方首个基地，储能产能 2026 年重点释放</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1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广东瑞庆基地（肇庆）</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约25GWh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2022</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储能电池</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第一阶段已投产，第二阶段部分工序建成</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PrEx>
        <w:trPr>
          <w:trHeight w:val="285"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贵州基地</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约30GWh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动力 + 储能电池</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二期扩建中</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4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宜春基地</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约50GWh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2023</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动力 + 储能电池</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一期已于2023年投产</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4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厦门基地</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约40GWh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2024</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动力 + 储能电池</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一期已于2024年投产</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1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青海西宁基地</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约15GWh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2020 年</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动力 + 储能电池</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西北核心基地，依托当地锂资源优势</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080" w:hRule="atLeast"/>
        </w:trPr>
        <w:tc>
          <w:tcPr>
            <w:tcW w:w="0" w:type="auto"/>
            <w:tcBorders>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德国图林根基地（柏林）</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14GWh</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2024 年</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动力电池</w:t>
            </w:r>
          </w:p>
        </w:tc>
        <w:tc>
          <w:tcPr>
            <w:tcW w:w="0" w:type="auto"/>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首个海外工厂，2025 年实现盈利，获大众模组 / 电芯双认证</w:t>
            </w:r>
          </w:p>
        </w:tc>
      </w:tr>
    </w:tbl>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292C3D"/>
          <w:sz w:val="21"/>
          <w:szCs w:val="21"/>
          <w:lang w:val="en-US" w:eastAsia="en-US" w:bidi="ar-SA"/>
        </w:rPr>
        <w:t xml:space="preserve">  </w:t>
      </w:r>
    </w:p>
    <w:tbl>
      <w:tblPr>
        <w:tblStyle w:val="5"/>
        <w:tblW w:w="5000"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1484"/>
        <w:gridCol w:w="1571"/>
        <w:gridCol w:w="1649"/>
        <w:gridCol w:w="3618"/>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40" w:hRule="atLeast"/>
        </w:trPr>
        <w:tc>
          <w:tcPr>
            <w:tcW w:w="0" w:type="auto"/>
            <w:tcBorders>
              <w:bottom w:val="single" w:color="000000" w:sz="6" w:space="0"/>
              <w:right w:val="single" w:color="000000" w:sz="6" w:space="0"/>
            </w:tcBorders>
            <w:noWrap w:val="0"/>
            <w:tcMar>
              <w:top w:w="8" w:type="dxa"/>
              <w:left w:w="8" w:type="dxa"/>
              <w:bottom w:w="8" w:type="dxa"/>
              <w:right w:w="8" w:type="dxa"/>
            </w:tcMar>
            <w:vAlign w:val="center"/>
          </w:tcPr>
          <w:p>
            <w:pPr>
              <w:spacing w:line="315" w:lineRule="atLeast"/>
              <w:jc w:val="center"/>
              <w:rPr>
                <w:rFonts w:ascii="仿宋" w:hAnsi="仿宋" w:eastAsia="仿宋" w:cs="仿宋"/>
                <w:b/>
                <w:bCs/>
                <w:color w:val="1A1A1A"/>
                <w:sz w:val="21"/>
                <w:szCs w:val="21"/>
                <w:lang w:val="en-US" w:eastAsia="en-US" w:bidi="ar-SA"/>
              </w:rPr>
            </w:pPr>
            <w:r>
              <w:rPr>
                <w:rFonts w:ascii="仿宋" w:hAnsi="仿宋" w:eastAsia="仿宋" w:cs="仿宋"/>
                <w:b/>
                <w:bCs/>
                <w:color w:val="1A1A1A"/>
                <w:sz w:val="21"/>
                <w:szCs w:val="21"/>
                <w:lang w:val="en-US" w:eastAsia="en-US" w:bidi="ar-SA"/>
              </w:rPr>
              <w:t>基地名称</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color w:val="1A1A1A"/>
                <w:sz w:val="21"/>
                <w:szCs w:val="21"/>
                <w:lang w:val="en-US" w:eastAsia="en-US" w:bidi="ar-SA"/>
              </w:rPr>
            </w:pPr>
            <w:r>
              <w:rPr>
                <w:rFonts w:ascii="仿宋" w:hAnsi="仿宋" w:eastAsia="仿宋" w:cs="仿宋"/>
                <w:b/>
                <w:bCs/>
                <w:color w:val="1A1A1A"/>
                <w:sz w:val="21"/>
                <w:szCs w:val="21"/>
                <w:lang w:val="en-US" w:eastAsia="en-US" w:bidi="ar-SA"/>
              </w:rPr>
              <w:t>规划新增产能</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color w:val="1A1A1A"/>
                <w:sz w:val="21"/>
                <w:szCs w:val="21"/>
                <w:lang w:val="en-US" w:eastAsia="en-US" w:bidi="ar-SA"/>
              </w:rPr>
            </w:pPr>
            <w:r>
              <w:rPr>
                <w:rFonts w:ascii="仿宋" w:hAnsi="仿宋" w:eastAsia="仿宋" w:cs="仿宋"/>
                <w:b/>
                <w:bCs/>
                <w:color w:val="1A1A1A"/>
                <w:sz w:val="21"/>
                <w:szCs w:val="21"/>
                <w:lang w:val="en-US" w:eastAsia="en-US" w:bidi="ar-SA"/>
              </w:rPr>
              <w:t>规划投资</w:t>
            </w:r>
          </w:p>
        </w:tc>
        <w:tc>
          <w:tcPr>
            <w:tcW w:w="0" w:type="auto"/>
            <w:tcBorders>
              <w:bottom w:val="single" w:color="000000" w:sz="6" w:space="0"/>
            </w:tcBorders>
            <w:noWrap w:val="0"/>
            <w:tcMar>
              <w:top w:w="8" w:type="dxa"/>
              <w:left w:w="5" w:type="dxa"/>
              <w:bottom w:w="8" w:type="dxa"/>
              <w:right w:w="8" w:type="dxa"/>
            </w:tcMar>
            <w:vAlign w:val="center"/>
          </w:tcPr>
          <w:p>
            <w:pPr>
              <w:spacing w:line="315" w:lineRule="atLeast"/>
              <w:jc w:val="center"/>
              <w:rPr>
                <w:rFonts w:ascii="仿宋" w:hAnsi="仿宋" w:eastAsia="仿宋" w:cs="仿宋"/>
                <w:b/>
                <w:bCs/>
                <w:color w:val="1A1A1A"/>
                <w:sz w:val="21"/>
                <w:szCs w:val="21"/>
                <w:lang w:val="en-US" w:eastAsia="en-US" w:bidi="ar-SA"/>
              </w:rPr>
            </w:pPr>
            <w:r>
              <w:rPr>
                <w:rFonts w:ascii="仿宋" w:hAnsi="仿宋" w:eastAsia="仿宋" w:cs="仿宋"/>
                <w:b/>
                <w:bCs/>
                <w:color w:val="1A1A1A"/>
                <w:sz w:val="21"/>
                <w:szCs w:val="21"/>
                <w:lang w:val="en-US" w:eastAsia="en-US" w:bidi="ar-SA"/>
              </w:rPr>
              <w:t>预计建设时间</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08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四川宜宾（零碳 + 灯塔工厂）</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90GWh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136亿元</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2026-2028年</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1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河南洛阳（分四期）</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60GWh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95亿元</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2026-2027年</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1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江苏溧阳（灯塔工厂）</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80GWh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约100亿元</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2026-2027年</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08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福建宁德超级基地（母工厂）</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超 600 亿元</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2026.2 签约，打造全球标杆，带动千亿产业链</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81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福建宁德金垂一期</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40GWh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65亿元</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2026.4 月底用地交付，启动厂房建设</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08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福建厦门电池产业基地</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80GWh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不超 80.61 亿元（48 亿募资）</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建设期 21 个月，2026.3 宣布，动力电池系统生产</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08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山东济宁</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100GWh </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160GWh合计总投132.11亿元</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预计2026年投产</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62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匈牙利德布勒森（欧洲核心）</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100GWh（三期）</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73.4 亿欧元（约 610 亿元）</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一期 34GWh 设备安装到位，2026 年满产，供应大众 / 宝马 / Stellantis</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08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西班牙萨拉戈萨（合资）</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50GWh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41 亿欧元（约 328 亿元）</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2025.11 开工，宁德时代持股 50%，供应 Stellantis</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08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印尼 “龙项目”（全产业链）</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一期 6.9GWh（远期 15GWh）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59 亿美元（约 420 亿元）</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首条 CELL 产线调试中，覆盖镍矿 - 材料 - 电池全链条</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4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印度古吉拉特邦</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40GWh</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未披露</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长期规划，瞄准印度市场</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080" w:hRule="atLeast"/>
        </w:trPr>
        <w:tc>
          <w:tcPr>
            <w:tcW w:w="0" w:type="auto"/>
            <w:tcBorders>
              <w:right w:val="single" w:color="000000" w:sz="6" w:space="0"/>
            </w:tcBorders>
            <w:noWrap w:val="0"/>
            <w:tcMar>
              <w:top w:w="5" w:type="dxa"/>
              <w:left w:w="8"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美国密歇根（技术授权）</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未披露</w:t>
            </w:r>
          </w:p>
        </w:tc>
        <w:tc>
          <w:tcPr>
            <w:tcW w:w="0" w:type="auto"/>
            <w:tcBorders>
              <w:right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未披露</w:t>
            </w:r>
          </w:p>
        </w:tc>
        <w:tc>
          <w:tcPr>
            <w:tcW w:w="0" w:type="auto"/>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福特工厂 LFP 电池技术授权，宁德时代不直接持股</w:t>
            </w:r>
          </w:p>
        </w:tc>
      </w:tr>
    </w:tbl>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292C3D"/>
          <w:sz w:val="21"/>
          <w:szCs w:val="21"/>
          <w:lang w:val="en-US" w:eastAsia="en-US" w:bidi="ar-SA"/>
        </w:rPr>
        <w:t xml:space="preserve">  </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（4）上下游情况    </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1）上游情况</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申请人采购包括原材料采购和设备采购，采购流程主要有合格供应商选择、框架合约签署、供应商产品验证和采购价格谈判四个环节。</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申请人原材料主要包括正极、负极、电解液、隔离膜、结构件以及电子料，其中原材料超过95%为国内采购，结算方式为月结60-90天（银承6个月、商承/保理/债权凭证6个月至9个月），小部分材料进口，开证或T/T，账期30天内。</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申请人主要以产定采/JIT的模式进行采购计划的编制，一般于年初或上年末通过招标和多方询价的机制，选定相关材料的主要供应商。一般保留满足7至15天满负荷生产的安全库存。申请人生产经营所需主要原材料包括正极材料、负极材料、隔膜和电解液等，上述原材料受锂、镍、钴等大宗商品或化工原料价格影响较大。受相关材料价格变动及市场供需情况的影响，申请人采购的原材料存放在供应商或者第三方的仓库中，根据每周生产所需，供应商安排送货。</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292C3D"/>
          <w:sz w:val="21"/>
          <w:szCs w:val="21"/>
          <w:lang w:val="en-US" w:eastAsia="en-US" w:bidi="ar-SA"/>
        </w:rPr>
        <w:t xml:space="preserve">  </w:t>
      </w:r>
    </w:p>
    <w:tbl>
      <w:tblPr>
        <w:tblStyle w:val="5"/>
        <w:tblW w:w="5000"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1674"/>
        <w:gridCol w:w="2048"/>
        <w:gridCol w:w="2048"/>
        <w:gridCol w:w="2552"/>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630" w:hRule="atLeast"/>
        </w:trPr>
        <w:tc>
          <w:tcPr>
            <w:tcW w:w="0" w:type="auto"/>
            <w:gridSpan w:val="4"/>
            <w:tcBorders>
              <w:bottom w:val="single" w:color="000000" w:sz="6" w:space="0"/>
            </w:tcBorders>
            <w:noWrap w:val="0"/>
            <w:tcMar>
              <w:top w:w="8" w:type="dxa"/>
              <w:left w:w="8" w:type="dxa"/>
              <w:bottom w:w="8" w:type="dxa"/>
              <w:right w:w="8" w:type="dxa"/>
            </w:tcMar>
            <w:vAlign w:val="center"/>
          </w:tcPr>
          <w:p>
            <w:pPr>
              <w:spacing w:line="360" w:lineRule="atLeast"/>
              <w:jc w:val="center"/>
              <w:rPr>
                <w:rFonts w:ascii="仿宋" w:hAnsi="仿宋" w:eastAsia="仿宋" w:cs="仿宋"/>
                <w:b/>
                <w:bCs/>
                <w:color w:val="000000"/>
                <w:sz w:val="24"/>
                <w:szCs w:val="24"/>
                <w:lang w:val="en-US" w:eastAsia="en-US" w:bidi="ar-SA"/>
              </w:rPr>
            </w:pPr>
            <w:r>
              <w:rPr>
                <w:rFonts w:ascii="仿宋" w:hAnsi="仿宋" w:eastAsia="仿宋" w:cs="仿宋"/>
                <w:b/>
                <w:bCs/>
                <w:color w:val="000000"/>
                <w:sz w:val="21"/>
                <w:szCs w:val="21"/>
                <w:lang w:val="en-US" w:eastAsia="en-US" w:bidi="ar-SA"/>
              </w:rPr>
              <w:t>近年来公司前五大供应商情况（单位：亿元，%）</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7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年份</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采购金额</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采购额占比</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c>
          <w:tcPr>
            <w:tcW w:w="0" w:type="auto"/>
            <w:vMerge w:val="restart"/>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2022年</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供应商一</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189.39</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5.39%</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供应商二</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162.13</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4.62%</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供应商三</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155.91</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4.44%</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供应商四</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127.27</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3.62%</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供应商五</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111.99</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3.19%</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合计</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746.69</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21.26%</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c>
          <w:tcPr>
            <w:tcW w:w="0" w:type="auto"/>
            <w:vMerge w:val="restart"/>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2023年</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供应商一</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158.45</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5.28%</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供应商二</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141.75</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4.72%</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供应商三</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110.44</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3.68%</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供应商四</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109.52</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3.65%</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供应商五</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88.06</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2.93%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合计</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608.22</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20.26%</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c>
          <w:tcPr>
            <w:tcW w:w="0" w:type="auto"/>
            <w:vMerge w:val="restart"/>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2024年</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供应商一</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162.64</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5.99%</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供应商二</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90.59</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3.34%</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供应商三</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82.19</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3.03%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供应商四</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57.81</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2.13%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供应商五</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50.19</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1.85%</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合计</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443.42</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16.33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c>
          <w:tcPr>
            <w:tcW w:w="0" w:type="auto"/>
            <w:vMerge w:val="restart"/>
            <w:tcBorders>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2025年</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供应商一</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233.18</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4.04%</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right w:val="single" w:color="000000" w:sz="6" w:space="0"/>
            </w:tcBorders>
            <w:noWrap w:val="0"/>
            <w:vAlign w:val="center"/>
          </w:tcPr>
          <w:p>
            <w:pPr>
              <w:spacing w:line="242" w:lineRule="atLeast"/>
              <w:rPr>
                <w:rFonts w:ascii="仿宋" w:hAnsi="仿宋" w:eastAsia="仿宋" w:cs="仿宋"/>
                <w:color w:val="1A1A1A"/>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供应商二</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116.01</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2.01%</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right w:val="single" w:color="000000" w:sz="6" w:space="0"/>
            </w:tcBorders>
            <w:noWrap w:val="0"/>
            <w:vAlign w:val="center"/>
          </w:tcPr>
          <w:p>
            <w:pPr>
              <w:spacing w:line="242" w:lineRule="atLeast"/>
              <w:rPr>
                <w:rFonts w:ascii="仿宋" w:hAnsi="仿宋" w:eastAsia="仿宋" w:cs="仿宋"/>
                <w:color w:val="1A1A1A"/>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供应商三</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92.41</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1.60%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right w:val="single" w:color="000000" w:sz="6" w:space="0"/>
            </w:tcBorders>
            <w:noWrap w:val="0"/>
            <w:vAlign w:val="center"/>
          </w:tcPr>
          <w:p>
            <w:pPr>
              <w:spacing w:line="242" w:lineRule="atLeast"/>
              <w:rPr>
                <w:rFonts w:ascii="仿宋" w:hAnsi="仿宋" w:eastAsia="仿宋" w:cs="仿宋"/>
                <w:color w:val="1A1A1A"/>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供应商四</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82.59</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1.43%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right w:val="single" w:color="000000" w:sz="6" w:space="0"/>
            </w:tcBorders>
            <w:noWrap w:val="0"/>
            <w:vAlign w:val="center"/>
          </w:tcPr>
          <w:p>
            <w:pPr>
              <w:spacing w:line="242" w:lineRule="atLeast"/>
              <w:rPr>
                <w:rFonts w:ascii="仿宋" w:hAnsi="仿宋" w:eastAsia="仿宋" w:cs="仿宋"/>
                <w:color w:val="1A1A1A"/>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供应商五</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75.18</w:t>
            </w:r>
          </w:p>
        </w:tc>
        <w:tc>
          <w:tcPr>
            <w:tcW w:w="0" w:type="auto"/>
            <w:tcBorders>
              <w:bottom w:val="single" w:color="000000" w:sz="6" w:space="0"/>
            </w:tcBorders>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1.30%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right w:val="single" w:color="000000" w:sz="6" w:space="0"/>
            </w:tcBorders>
            <w:noWrap w:val="0"/>
            <w:vAlign w:val="center"/>
          </w:tcPr>
          <w:p>
            <w:pPr>
              <w:spacing w:line="242" w:lineRule="atLeast"/>
              <w:rPr>
                <w:rFonts w:ascii="仿宋" w:hAnsi="仿宋" w:eastAsia="仿宋" w:cs="仿宋"/>
                <w:color w:val="1A1A1A"/>
                <w:sz w:val="21"/>
                <w:szCs w:val="21"/>
                <w:lang w:val="en-US" w:eastAsia="en-US" w:bidi="ar-SA"/>
              </w:rPr>
            </w:pPr>
          </w:p>
        </w:tc>
        <w:tc>
          <w:tcPr>
            <w:tcW w:w="0" w:type="auto"/>
            <w:tcBorders>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合计</w:t>
            </w:r>
          </w:p>
        </w:tc>
        <w:tc>
          <w:tcPr>
            <w:tcW w:w="0" w:type="auto"/>
            <w:tcBorders>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599.38</w:t>
            </w:r>
          </w:p>
        </w:tc>
        <w:tc>
          <w:tcPr>
            <w:tcW w:w="0" w:type="auto"/>
            <w:noWrap w:val="0"/>
            <w:tcMar>
              <w:top w:w="5" w:type="dxa"/>
              <w:left w:w="5" w:type="dxa"/>
              <w:bottom w:w="8" w:type="dxa"/>
              <w:right w:w="8" w:type="dxa"/>
            </w:tcMar>
            <w:vAlign w:val="center"/>
          </w:tcPr>
          <w:p>
            <w:pPr>
              <w:spacing w:line="315" w:lineRule="atLeast"/>
              <w:jc w:val="center"/>
              <w:rPr>
                <w:rFonts w:ascii="仿宋" w:hAnsi="仿宋" w:eastAsia="仿宋" w:cs="仿宋"/>
                <w:color w:val="1A1A1A"/>
                <w:sz w:val="21"/>
                <w:szCs w:val="21"/>
                <w:lang w:val="en-US" w:eastAsia="en-US" w:bidi="ar-SA"/>
              </w:rPr>
            </w:pPr>
            <w:r>
              <w:rPr>
                <w:rFonts w:ascii="仿宋" w:hAnsi="仿宋" w:eastAsia="仿宋" w:cs="仿宋"/>
                <w:color w:val="1A1A1A"/>
                <w:sz w:val="21"/>
                <w:szCs w:val="21"/>
                <w:lang w:val="en-US" w:eastAsia="en-US" w:bidi="ar-SA"/>
              </w:rPr>
              <w:t>10.38%</w:t>
            </w:r>
          </w:p>
        </w:tc>
      </w:tr>
    </w:tbl>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2）下游情况</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申请人主要产品为车用动力锂电池模组和电池包，并伴有少量的电芯产品和组件。</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申请人根据整车企业的需求，与其进行技术交流和方案对接，经过充分测试验证后，方可建立定点供应关系，并相应确定供货商品的品种、型号、价格等事项，一旦定点供应关系建立后，双方将在一定周期内保持稳定的合作关系。申请人已与多家国内外知名整车企业建立定点供应关系，销售部门根据定点客户的具体订单需求，按照申请人业务流程签订供货合同，并向客户提供相应产品及售后服务。在具体销售环节，申请人依据客户按月提交的采购计划予以生产和交付，在货款回收方面，申请人需采用传统汽车零部件行业的一般回款流程，给予下游汽车主机生产企业一定的回款账期，待回款期满后可采用承兑汇票进行结算。申请人下游客户结算方式以票据和T/T为主，票据结算占销售额的80%。</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292C3D"/>
          <w:sz w:val="21"/>
          <w:szCs w:val="21"/>
          <w:lang w:val="en-US" w:eastAsia="en-US" w:bidi="ar-SA"/>
        </w:rPr>
        <w:t xml:space="preserve">  </w:t>
      </w:r>
    </w:p>
    <w:tbl>
      <w:tblPr>
        <w:tblStyle w:val="5"/>
        <w:tblW w:w="5000"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1779"/>
        <w:gridCol w:w="1646"/>
        <w:gridCol w:w="2181"/>
        <w:gridCol w:w="2716"/>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630" w:hRule="atLeast"/>
        </w:trPr>
        <w:tc>
          <w:tcPr>
            <w:tcW w:w="0" w:type="auto"/>
            <w:gridSpan w:val="4"/>
            <w:tcBorders>
              <w:bottom w:val="single" w:color="000000" w:sz="6" w:space="0"/>
            </w:tcBorders>
            <w:noWrap w:val="0"/>
            <w:tcMar>
              <w:top w:w="8" w:type="dxa"/>
              <w:left w:w="8" w:type="dxa"/>
              <w:bottom w:w="8" w:type="dxa"/>
              <w:right w:w="8" w:type="dxa"/>
            </w:tcMar>
            <w:vAlign w:val="center"/>
          </w:tcPr>
          <w:p>
            <w:pPr>
              <w:spacing w:line="360" w:lineRule="atLeast"/>
              <w:jc w:val="center"/>
              <w:rPr>
                <w:rFonts w:ascii="仿宋" w:hAnsi="仿宋" w:eastAsia="仿宋" w:cs="仿宋"/>
                <w:b/>
                <w:bCs/>
                <w:color w:val="000000"/>
                <w:sz w:val="24"/>
                <w:szCs w:val="24"/>
                <w:lang w:val="en-US" w:eastAsia="en-US" w:bidi="ar-SA"/>
              </w:rPr>
            </w:pPr>
            <w:r>
              <w:rPr>
                <w:rFonts w:ascii="仿宋" w:hAnsi="仿宋" w:eastAsia="仿宋" w:cs="仿宋"/>
                <w:b/>
                <w:bCs/>
                <w:color w:val="000000"/>
                <w:sz w:val="21"/>
                <w:szCs w:val="21"/>
                <w:lang w:val="en-US" w:eastAsia="en-US" w:bidi="ar-SA"/>
              </w:rPr>
              <w:t>近年来公司前五大客户情况（单位：亿元，%）</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年份</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供应商</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销售金额</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销售额占比</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c>
          <w:tcPr>
            <w:tcW w:w="0" w:type="auto"/>
            <w:vMerge w:val="restart"/>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2022年</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客户一</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380.69</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11.59%</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客户二</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265.12</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8.07%</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客户三</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255.26</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7.77%</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客户四</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138.82</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4.22%</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客户五</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120.87</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3.68%</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合计</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1160.77</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35.33%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c>
          <w:tcPr>
            <w:tcW w:w="0" w:type="auto"/>
            <w:vMerge w:val="restart"/>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2023年</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客户一</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501.17</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12.50%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客户二</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323.51</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8.07%</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客户三</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261.91</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6.53%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客户四</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246.57</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6.15%</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客户五</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141.43</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3.53%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合计</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1474.59</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36.78%</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c>
          <w:tcPr>
            <w:tcW w:w="0" w:type="auto"/>
            <w:vMerge w:val="restart"/>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2024年</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客户一</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541.73</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14.96%</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客户二</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278.68</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7.70%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客户三</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224.41</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6.20%</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客户四</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174.47</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4.82%</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客户五</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121.33</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3.35%</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bottom w:val="single" w:color="000000" w:sz="6" w:space="0"/>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合计</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1340.64</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37.03%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c>
          <w:tcPr>
            <w:tcW w:w="0" w:type="auto"/>
            <w:vMerge w:val="restart"/>
            <w:tcBorders>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2025年</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客户一</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581.59</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13.73%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客户二</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471.28</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11.12%</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客户三</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302.02</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7.13%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客户四</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154.19</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3.64%</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客户五</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141.54</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3.34%</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vMerge w:val="continue"/>
            <w:tcBorders>
              <w:right w:val="single" w:color="000000" w:sz="6" w:space="0"/>
            </w:tcBorders>
            <w:noWrap w:val="0"/>
            <w:vAlign w:val="center"/>
          </w:tcPr>
          <w:p>
            <w:pPr>
              <w:spacing w:line="242" w:lineRule="atLeast"/>
              <w:rPr>
                <w:rFonts w:ascii="仿宋" w:hAnsi="仿宋" w:eastAsia="仿宋" w:cs="仿宋"/>
                <w:color w:val="000000"/>
                <w:sz w:val="21"/>
                <w:szCs w:val="21"/>
                <w:lang w:val="en-US" w:eastAsia="en-US" w:bidi="ar-SA"/>
              </w:rPr>
            </w:pPr>
          </w:p>
        </w:tc>
        <w:tc>
          <w:tcPr>
            <w:tcW w:w="0" w:type="auto"/>
            <w:tcBorders>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合计</w:t>
            </w:r>
          </w:p>
        </w:tc>
        <w:tc>
          <w:tcPr>
            <w:tcW w:w="0" w:type="auto"/>
            <w:tcBorders>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1650.61</w:t>
            </w:r>
          </w:p>
        </w:tc>
        <w:tc>
          <w:tcPr>
            <w:tcW w:w="0" w:type="auto"/>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38.96%</w:t>
            </w:r>
          </w:p>
        </w:tc>
      </w:tr>
    </w:tbl>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从销售端看，申请人拥有最广泛的客户群体覆盖，与特斯拉、现代、福特、戴姆勒、长城汽车、理想、蔚来等全球客户深度合作。储能电池方面，公司与国家电网、南方电网，包括华能集团、大唐集团、国投电力在内的国内“五大四小”发电企业，以及晶科能源、东方日升等的风光新能源企业以及Fluence等国际知名客户形成或深化战略合作伙伴关系。中型电池方面，公司已与ATL成立合资公司，双方优势互补，全面推进电动二轮、家储、无人机等应用场景电动化。此外，公司在多个市场应用场景推动集成创新，覆盖智慧矿山、换电服务、光储充检、智慧港口、电动船舶等领域。</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    海外销售端：近年来，宁德时代海外市场占比逐年提升，出口以储能部分为主，2024年受到碳酸锂等原材料价格下降的影响，全球市场整体处于价格下行趋势，储能电芯价格和动力电池价格均有较大跌幅，这使得宁德时代的海外销售收入有所回落，其近4年海外销售情况如下：</w:t>
      </w:r>
    </w:p>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单位：亿元</w:t>
      </w:r>
    </w:p>
    <w:tbl>
      <w:tblPr>
        <w:tblStyle w:val="5"/>
        <w:tblW w:w="5000" w:type="pct"/>
        <w:tblInd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2258"/>
        <w:gridCol w:w="1516"/>
        <w:gridCol w:w="1516"/>
        <w:gridCol w:w="1516"/>
        <w:gridCol w:w="1516"/>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tcBorders>
              <w:bottom w:val="single" w:color="000000" w:sz="6" w:space="0"/>
              <w:right w:val="single" w:color="000000" w:sz="6" w:space="0"/>
            </w:tcBorders>
            <w:noWrap w:val="0"/>
            <w:tcMar>
              <w:top w:w="8"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时间</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2025年</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2024年</w:t>
            </w:r>
          </w:p>
        </w:tc>
        <w:tc>
          <w:tcPr>
            <w:tcW w:w="0" w:type="auto"/>
            <w:tcBorders>
              <w:bottom w:val="single" w:color="000000" w:sz="6" w:space="0"/>
              <w:right w:val="single" w:color="000000" w:sz="6" w:space="0"/>
            </w:tcBorders>
            <w:noWrap w:val="0"/>
            <w:tcMar>
              <w:top w:w="8"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2023年</w:t>
            </w:r>
          </w:p>
        </w:tc>
        <w:tc>
          <w:tcPr>
            <w:tcW w:w="0" w:type="auto"/>
            <w:tcBorders>
              <w:bottom w:val="single" w:color="000000" w:sz="6" w:space="0"/>
            </w:tcBorders>
            <w:noWrap w:val="0"/>
            <w:tcMar>
              <w:top w:w="8"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2022年</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内陆地区</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2,940.61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2,516.77</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2,699.25</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2,363.83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国外</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1,296.41</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1,103.36</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1309.92</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757.3</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其他地区</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164.8</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570" w:hRule="atLeast"/>
        </w:trPr>
        <w:tc>
          <w:tcPr>
            <w:tcW w:w="0" w:type="auto"/>
            <w:tcBorders>
              <w:bottom w:val="single" w:color="000000" w:sz="6" w:space="0"/>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海外地区占比</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30.60%</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30.48%</w:t>
            </w:r>
          </w:p>
        </w:tc>
        <w:tc>
          <w:tcPr>
            <w:tcW w:w="0" w:type="auto"/>
            <w:tcBorders>
              <w:bottom w:val="single" w:color="000000" w:sz="6" w:space="0"/>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32.67%</w:t>
            </w:r>
          </w:p>
        </w:tc>
        <w:tc>
          <w:tcPr>
            <w:tcW w:w="0" w:type="auto"/>
            <w:tcBorders>
              <w:bottom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28.06%</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0" w:type="auto"/>
            <w:tcBorders>
              <w:right w:val="single" w:color="000000" w:sz="6" w:space="0"/>
            </w:tcBorders>
            <w:noWrap w:val="0"/>
            <w:tcMar>
              <w:top w:w="5" w:type="dxa"/>
              <w:left w:w="8"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合计</w:t>
            </w:r>
          </w:p>
        </w:tc>
        <w:tc>
          <w:tcPr>
            <w:tcW w:w="0" w:type="auto"/>
            <w:tcBorders>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4,237.02</w:t>
            </w:r>
          </w:p>
        </w:tc>
        <w:tc>
          <w:tcPr>
            <w:tcW w:w="0" w:type="auto"/>
            <w:tcBorders>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3,620.13</w:t>
            </w:r>
          </w:p>
        </w:tc>
        <w:tc>
          <w:tcPr>
            <w:tcW w:w="0" w:type="auto"/>
            <w:tcBorders>
              <w:right w:val="single" w:color="000000" w:sz="6" w:space="0"/>
            </w:tcBorders>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4,009.17</w:t>
            </w:r>
          </w:p>
        </w:tc>
        <w:tc>
          <w:tcPr>
            <w:tcW w:w="0" w:type="auto"/>
            <w:noWrap w:val="0"/>
            <w:tcMar>
              <w:top w:w="5" w:type="dxa"/>
              <w:left w:w="5" w:type="dxa"/>
              <w:bottom w:w="8" w:type="dxa"/>
              <w:right w:w="8" w:type="dxa"/>
            </w:tcMar>
            <w:vAlign w:val="center"/>
          </w:tcPr>
          <w:p>
            <w:pPr>
              <w:spacing w:line="360" w:lineRule="atLeast"/>
              <w:jc w:val="center"/>
              <w:rPr>
                <w:rFonts w:ascii="仿宋" w:hAnsi="仿宋" w:eastAsia="仿宋" w:cs="仿宋"/>
                <w:color w:val="000000"/>
                <w:sz w:val="24"/>
                <w:szCs w:val="24"/>
                <w:lang w:val="en-US" w:eastAsia="en-US" w:bidi="ar-SA"/>
              </w:rPr>
            </w:pPr>
            <w:r>
              <w:rPr>
                <w:rFonts w:ascii="仿宋" w:hAnsi="仿宋" w:eastAsia="仿宋" w:cs="仿宋"/>
                <w:color w:val="000000"/>
                <w:sz w:val="21"/>
                <w:szCs w:val="21"/>
                <w:lang w:val="en-US" w:eastAsia="en-US" w:bidi="ar-SA"/>
              </w:rPr>
              <w:t>3,285.94</w:t>
            </w:r>
          </w:p>
        </w:tc>
      </w:tr>
    </w:tbl>
    <w:p>
      <w:pPr>
        <w:spacing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3）产品售价和成本结构。</w:t>
      </w:r>
    </w:p>
    <w:p>
      <w:pPr>
        <w:spacing w:before="15" w:after="15" w:line="315" w:lineRule="atLeast"/>
        <w:ind w:firstLine="420"/>
        <w:rPr>
          <w:rFonts w:ascii="微软雅黑" w:hAnsi="微软雅黑" w:eastAsia="微软雅黑" w:cs="微软雅黑"/>
          <w:color w:val="292C3D"/>
          <w:sz w:val="21"/>
          <w:szCs w:val="21"/>
          <w:lang w:val="en-US" w:eastAsia="en-US" w:bidi="ar-SA"/>
        </w:rPr>
      </w:pPr>
      <w:r>
        <w:rPr>
          <w:rFonts w:ascii="微软雅黑" w:hAnsi="微软雅黑" w:eastAsia="微软雅黑" w:cs="微软雅黑"/>
          <w:color w:val="000000"/>
          <w:sz w:val="21"/>
          <w:szCs w:val="21"/>
          <w:lang w:val="en-US" w:eastAsia="en-US" w:bidi="ar-SA"/>
        </w:rPr>
        <w:t>公司主要产品为各类车用动力锂电池，产品形式包括电池模组和电池包（Pack），产品核心部分为电芯。电芯的产能及产量情况直接影响公司各类动力电池的生产规模。公司电芯的生产过程主要包括电极材料的搅拌、涂布、负压化成、辊压、分切、卷绕、电解液注入、负压化成、检测等技术环节。自新能源汽车发展以来，决定购置成本的核心环节—动力电池的成本不断下降，而申请人通过参股和扶持核心供应商的方式深度参与上游核心材料，形成了强大的供应链管理能力，同时在良品率，生产效率方面优于同行，综合成本竞争力优势显著。</w:t>
      </w:r>
    </w:p>
    <w:p>
      <w:pPr>
        <w:spacing w:line="315" w:lineRule="atLeast"/>
        <w:ind w:firstLine="420"/>
        <w:rPr>
          <w:rFonts w:ascii="微软雅黑" w:hAnsi="微软雅黑" w:eastAsia="微软雅黑" w:cs="微软雅黑"/>
          <w:sz w:val="24"/>
          <w:szCs w:val="24"/>
          <w:lang w:val="en-US" w:eastAsia="en-US" w:bidi="ar-SA"/>
        </w:rPr>
      </w:pPr>
      <w:r>
        <w:rPr>
          <w:rFonts w:ascii="微软雅黑" w:hAnsi="微软雅黑" w:eastAsia="微软雅黑" w:cs="微软雅黑"/>
          <w:b/>
          <w:bCs/>
          <w:color w:val="000000"/>
          <w:sz w:val="21"/>
          <w:szCs w:val="21"/>
          <w:lang w:val="en-US" w:eastAsia="en-US" w:bidi="ar-SA"/>
        </w:rPr>
        <w:t>未来投资计划。</w:t>
      </w:r>
    </w:p>
    <w:p>
      <w:pPr>
        <w:spacing w:line="315" w:lineRule="atLeast"/>
        <w:ind w:firstLine="420"/>
        <w:rPr>
          <w:rFonts w:ascii="微软雅黑" w:hAnsi="微软雅黑" w:eastAsia="微软雅黑" w:cs="微软雅黑"/>
          <w:sz w:val="24"/>
          <w:szCs w:val="24"/>
          <w:lang w:val="en-US" w:eastAsia="en-US" w:bidi="ar-SA"/>
        </w:rPr>
      </w:pPr>
      <w:r>
        <w:rPr>
          <w:rFonts w:ascii="微软雅黑" w:hAnsi="微软雅黑" w:eastAsia="微软雅黑" w:cs="微软雅黑"/>
          <w:color w:val="000000"/>
          <w:sz w:val="21"/>
          <w:szCs w:val="21"/>
          <w:lang w:val="en-US" w:eastAsia="en-US" w:bidi="ar-SA"/>
        </w:rPr>
        <w:t>截至2025年，宁德时代已在全球布局15个生产基地，公告已投产产能772Gwh，在建产能321GWh,并将继续布局上下游产业链，之前相关产能布局和投资布局已列举，故本处不再赘述。</w:t>
      </w:r>
    </w:p>
    <w:p>
      <w:pPr>
        <w:numPr>
          <w:numId w:val="0"/>
        </w:numPr>
        <w:rPr>
          <w:rFonts w:hint="eastAsia" w:ascii="微软雅黑" w:hAnsi="微软雅黑" w:eastAsia="微软雅黑" w:cs="微软雅黑"/>
          <w:b/>
          <w:bCs/>
          <w:color w:val="000000"/>
          <w:sz w:val="21"/>
          <w:szCs w:val="21"/>
          <w:lang w:val="en-US" w:eastAsia="zh-CN" w:bidi="ar-SA"/>
        </w:rPr>
      </w:pPr>
      <w:r>
        <w:rPr>
          <w:rFonts w:hint="eastAsia" w:ascii="微软雅黑" w:hAnsi="微软雅黑" w:eastAsia="微软雅黑" w:cs="微软雅黑"/>
          <w:b/>
          <w:bCs/>
          <w:color w:val="000000"/>
          <w:sz w:val="21"/>
          <w:szCs w:val="21"/>
          <w:lang w:val="en-US" w:eastAsia="zh-CN" w:bidi="ar-SA"/>
        </w:rPr>
        <w:t>未来发展计划</w:t>
      </w:r>
    </w:p>
    <w:p>
      <w:pPr>
        <w:numPr>
          <w:numId w:val="0"/>
        </w:numPr>
        <w:rPr>
          <w:rFonts w:hint="default" w:ascii="微软雅黑" w:hAnsi="微软雅黑" w:eastAsia="微软雅黑" w:cs="微软雅黑"/>
          <w:b/>
          <w:bCs/>
          <w:color w:val="000000"/>
          <w:sz w:val="21"/>
          <w:szCs w:val="21"/>
          <w:lang w:val="en-US" w:eastAsia="zh-CN" w:bidi="ar-SA"/>
        </w:rPr>
      </w:pPr>
      <w:r>
        <w:rPr>
          <w:rFonts w:hint="eastAsia" w:ascii="微软雅黑" w:hAnsi="微软雅黑" w:eastAsia="微软雅黑" w:cs="微软雅黑"/>
          <w:b/>
          <w:bCs/>
          <w:color w:val="000000"/>
          <w:sz w:val="21"/>
          <w:szCs w:val="21"/>
          <w:lang w:val="en-US" w:eastAsia="zh-CN" w:bidi="ar-SA"/>
        </w:rPr>
        <w:t>重大在建工程</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AB08F"/>
    <w:multiLevelType w:val="singleLevel"/>
    <w:tmpl w:val="925AB08F"/>
    <w:lvl w:ilvl="0" w:tentative="0">
      <w:start w:val="3"/>
      <w:numFmt w:val="decimal"/>
      <w:suff w:val="nothing"/>
      <w:lvlText w:val="%1、"/>
      <w:lvlJc w:val="left"/>
    </w:lvl>
  </w:abstractNum>
  <w:abstractNum w:abstractNumId="1">
    <w:nsid w:val="944053EA"/>
    <w:multiLevelType w:val="singleLevel"/>
    <w:tmpl w:val="944053EA"/>
    <w:lvl w:ilvl="0" w:tentative="0">
      <w:start w:val="1"/>
      <w:numFmt w:val="chineseCounting"/>
      <w:suff w:val="nothing"/>
      <w:lvlText w:val="（%1）"/>
      <w:lvlJc w:val="left"/>
      <w:rPr>
        <w:rFonts w:hint="eastAsia"/>
      </w:rPr>
    </w:lvl>
  </w:abstractNum>
  <w:abstractNum w:abstractNumId="2">
    <w:nsid w:val="02CD15A6"/>
    <w:multiLevelType w:val="singleLevel"/>
    <w:tmpl w:val="02CD15A6"/>
    <w:lvl w:ilvl="0" w:tentative="0">
      <w:start w:val="1"/>
      <w:numFmt w:val="decimal"/>
      <w:lvlText w:val="%1."/>
      <w:lvlJc w:val="left"/>
      <w:pPr>
        <w:tabs>
          <w:tab w:val="left" w:pos="312"/>
        </w:tabs>
      </w:pPr>
    </w:lvl>
  </w:abstractNum>
  <w:abstractNum w:abstractNumId="3">
    <w:nsid w:val="16B024BE"/>
    <w:multiLevelType w:val="singleLevel"/>
    <w:tmpl w:val="16B024BE"/>
    <w:lvl w:ilvl="0" w:tentative="0">
      <w:start w:val="1"/>
      <w:numFmt w:val="decimal"/>
      <w:lvlText w:val="%1."/>
      <w:lvlJc w:val="left"/>
      <w:pPr>
        <w:tabs>
          <w:tab w:val="left" w:pos="312"/>
        </w:tabs>
      </w:pPr>
    </w:lvl>
  </w:abstractNum>
  <w:abstractNum w:abstractNumId="4">
    <w:nsid w:val="1BDEEB58"/>
    <w:multiLevelType w:val="singleLevel"/>
    <w:tmpl w:val="1BDEEB58"/>
    <w:lvl w:ilvl="0" w:tentative="0">
      <w:start w:val="1"/>
      <w:numFmt w:val="chineseCounting"/>
      <w:suff w:val="nothing"/>
      <w:lvlText w:val="%1、"/>
      <w:lvlJc w:val="left"/>
      <w:rPr>
        <w:rFonts w:hint="eastAsia"/>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860AB0"/>
    <w:rsid w:val="0F860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_4"/>
    <w:basedOn w:val="2"/>
    <w:uiPriority w:val="0"/>
    <w:tblPr/>
  </w:style>
  <w:style w:type="table" w:customStyle="1" w:styleId="5">
    <w:name w:val="table_5"/>
    <w:basedOn w:val="2"/>
    <w:uiPriority w:val="0"/>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7</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2026-09-09T08:39:00Z</dcterms:created>
  <dc:creator>80370117</dc:creator>
  <cp:lastModifiedBy>80370117</cp:lastModifiedBy>
  <dcterms:modified xsi:type="dcterms:W3CDTF">2026-09-09T09:16:01Z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334860F677B04797AF65F1221A93A893</vt:lpwstr>
  </property>
</Properties>
</file>