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Chapitre 5 : Simulation et analyse des performances</w:t>
      </w:r>
    </w:p>
    <w:p>
      <w:pPr>
        <w:pStyle w:val="Heading2"/>
      </w:pPr>
      <w:r>
        <w:t xml:space="preserve">5.1. Introduction</w:t>
      </w:r>
    </w:p>
    <w:p>
      <w:r>
        <w:t xml:space="preserve">Les chapitres précédents ont posé le modèle du convertisseur Buck, le régulateur PID de Ziegler-Nichols qui sert de point de départ, puis la conception de l'ELM-PID. Il reste à mesurer ce que l'adaptation des gains change à la régulation, et à situer ce changement par rapport à d'autres façons de régler un PID.</w:t>
      </w:r>
    </w:p>
    <w:p>
      <w:r>
        <w:t xml:space="preserve">Dans ce chapitre, nous comparons en simulation l'ELM-PID d'abord au PID de Ziegler-Nichols dont il part, puis à trois méthodes avancées : le PSO-PID, le Fuzzy-PID et le PINN-PID. Les cinq régulateurs sont soumis aux mêmes cinq scénarios et jugés sur les mêmes grandeurs, fixées avant le calcul. Toute la comparaison se fait en simulation ; aucun essai sur montage réel n'a été réalisé.</w:t>
      </w:r>
    </w:p>
    <w:p>
      <w:r>
        <w:t xml:space="preserve">La section 5.2 décrit les conditions de simulation, les scénarios et les critères d'évaluation. La section 5.3 confronte l'ELM-PID au PID de Ziegler-Nichols, et la section 5.4 le confronte aux trois méthodes avancées. La section 5.5 fait le bilan multicritère et la discussion des résultats, et la section 5.6 conclut le chapitre.</w:t>
      </w:r>
    </w:p>
    <w:p>
      <w:pPr>
        <w:pStyle w:val="Heading2"/>
      </w:pPr>
      <w:r>
        <w:t xml:space="preserve">5.2. Conditions de simulation et critères d'évaluation</w:t>
      </w:r>
    </w:p>
    <w:p>
      <w:pPr>
        <w:pStyle w:val="Heading3"/>
      </w:pPr>
      <w:r>
        <w:t xml:space="preserve">5.2.1. Convertisseur et base commune</w:t>
      </w:r>
    </w:p>
    <w:p>
      <w:r>
        <w:t xml:space="preserve">Les cinq méthodes sont simulées sur le même convertisseur, dimensionné à la section 3.2. Le tableau 5.1 en rappelle les paramètres.</w:t>
      </w:r>
    </w:p>
    <w:p>
      <w:pPr>
        <w:pStyle w:val="LegendeTableau"/>
      </w:pPr>
      <w:r>
        <w:t xml:space="preserve">Tableau 5.1 : Paramètres du convertisseur et de la simulation.</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753"/>
        <w:gridCol w:w="1537"/>
        <w:gridCol w:w="3497"/>
      </w:tblGrid>
      <w:tr>
        <w:trPr>
          <w:cantSplit/>
          <w:tblHeader/>
        </w:trPr>
        <w:tc>
          <w:tcPr>
            <w:tcW w:type="dxa" w:w="3753"/>
            <w:tcMar>
              <w:top w:type="dxa" w:w="40"/>
              <w:left w:type="dxa" w:w="80"/>
              <w:bottom w:type="dxa" w:w="40"/>
              <w:right w:type="dxa" w:w="80"/>
            </w:tcMar>
            <w:vAlign w:val="center"/>
          </w:tcPr>
          <w:p>
            <w:pPr>
              <w:pStyle w:val="TexteTableau"/>
              <w:jc w:val="left"/>
            </w:pPr>
            <w:r>
              <w:rPr>
                <w:b/>
                <w:bCs/>
              </w:rPr>
              <w:t xml:space="preserve">Grandeur</w:t>
            </w:r>
          </w:p>
        </w:tc>
        <w:tc>
          <w:tcPr>
            <w:tcW w:type="dxa" w:w="1537"/>
            <w:tcMar>
              <w:top w:type="dxa" w:w="40"/>
              <w:left w:type="dxa" w:w="80"/>
              <w:bottom w:type="dxa" w:w="40"/>
              <w:right w:type="dxa" w:w="80"/>
            </w:tcMar>
            <w:vAlign w:val="center"/>
          </w:tcPr>
          <w:p>
            <w:pPr>
              <w:pStyle w:val="TexteTableau"/>
              <w:jc w:val="center"/>
            </w:pPr>
            <w:r>
              <w:rPr>
                <w:b/>
                <w:bCs/>
              </w:rPr>
              <w:t xml:space="preserve">Symbole</w:t>
            </w:r>
          </w:p>
        </w:tc>
        <w:tc>
          <w:tcPr>
            <w:tcW w:type="dxa" w:w="3497"/>
            <w:tcMar>
              <w:top w:type="dxa" w:w="40"/>
              <w:left w:type="dxa" w:w="80"/>
              <w:bottom w:type="dxa" w:w="40"/>
              <w:right w:type="dxa" w:w="80"/>
            </w:tcMar>
            <w:vAlign w:val="center"/>
          </w:tcPr>
          <w:p>
            <w:pPr>
              <w:pStyle w:val="TexteTableau"/>
              <w:jc w:val="center"/>
            </w:pPr>
            <w:r>
              <w:rPr>
                <w:b/>
                <w:bCs/>
              </w:rPr>
              <w:t xml:space="preserve">Valeur</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Inductance</w:t>
            </w:r>
          </w:p>
        </w:tc>
        <w:tc>
          <w:tcPr>
            <w:tcW w:type="dxa" w:w="1537"/>
            <w:tcMar>
              <w:top w:type="dxa" w:w="40"/>
              <w:left w:type="dxa" w:w="80"/>
              <w:bottom w:type="dxa" w:w="40"/>
              <w:right w:type="dxa" w:w="80"/>
            </w:tcMar>
            <w:vAlign w:val="center"/>
          </w:tcPr>
          <w:p>
            <w:pPr>
              <w:pStyle w:val="TexteTableau"/>
              <w:jc w:val="center"/>
            </w:pPr>
            <w:r>
              <w:rPr>
                <w:i/>
                <w:iCs/>
              </w:rPr>
              <w:t xml:space="preserve">L</w:t>
            </w:r>
          </w:p>
        </w:tc>
        <w:tc>
          <w:tcPr>
            <w:tcW w:type="dxa" w:w="3497"/>
            <w:tcMar>
              <w:top w:type="dxa" w:w="40"/>
              <w:left w:type="dxa" w:w="80"/>
              <w:bottom w:type="dxa" w:w="40"/>
              <w:right w:type="dxa" w:w="80"/>
            </w:tcMar>
            <w:vAlign w:val="center"/>
          </w:tcPr>
          <w:p>
            <w:pPr>
              <w:pStyle w:val="TexteTableau"/>
              <w:jc w:val="center"/>
            </w:pPr>
            <w:r>
              <w:t xml:space="preserve">10 mH</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Capacité</w:t>
            </w:r>
          </w:p>
        </w:tc>
        <w:tc>
          <w:tcPr>
            <w:tcW w:type="dxa" w:w="1537"/>
            <w:tcMar>
              <w:top w:type="dxa" w:w="40"/>
              <w:left w:type="dxa" w:w="80"/>
              <w:bottom w:type="dxa" w:w="40"/>
              <w:right w:type="dxa" w:w="80"/>
            </w:tcMar>
            <w:vAlign w:val="center"/>
          </w:tcPr>
          <w:p>
            <w:pPr>
              <w:pStyle w:val="TexteTableau"/>
              <w:jc w:val="center"/>
            </w:pPr>
            <w:r>
              <w:rPr>
                <w:i/>
                <w:iCs/>
              </w:rPr>
              <w:t xml:space="preserve">C</w:t>
            </w:r>
          </w:p>
        </w:tc>
        <w:tc>
          <w:tcPr>
            <w:tcW w:type="dxa" w:w="3497"/>
            <w:tcMar>
              <w:top w:type="dxa" w:w="40"/>
              <w:left w:type="dxa" w:w="80"/>
              <w:bottom w:type="dxa" w:w="40"/>
              <w:right w:type="dxa" w:w="80"/>
            </w:tcMar>
            <w:vAlign w:val="center"/>
          </w:tcPr>
          <w:p>
            <w:pPr>
              <w:pStyle w:val="TexteTableau"/>
              <w:jc w:val="center"/>
            </w:pPr>
            <w:r>
              <w:t xml:space="preserve">47 µF</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Charge nominale</w:t>
            </w:r>
          </w:p>
        </w:tc>
        <w:tc>
          <w:tcPr>
            <w:tcW w:type="dxa" w:w="1537"/>
            <w:tcMar>
              <w:top w:type="dxa" w:w="40"/>
              <w:left w:type="dxa" w:w="80"/>
              <w:bottom w:type="dxa" w:w="40"/>
              <w:right w:type="dxa" w:w="80"/>
            </w:tcMar>
            <w:vAlign w:val="center"/>
          </w:tcPr>
          <w:p>
            <w:pPr>
              <w:pStyle w:val="TexteTableau"/>
              <w:jc w:val="center"/>
            </w:pPr>
            <w:r>
              <w:rPr>
                <w:i/>
                <w:iCs/>
              </w:rPr>
              <w:t xml:space="preserve">R</w:t>
            </w:r>
          </w:p>
        </w:tc>
        <w:tc>
          <w:tcPr>
            <w:tcW w:type="dxa" w:w="3497"/>
            <w:tcMar>
              <w:top w:type="dxa" w:w="40"/>
              <w:left w:type="dxa" w:w="80"/>
              <w:bottom w:type="dxa" w:w="40"/>
              <w:right w:type="dxa" w:w="80"/>
            </w:tcMar>
            <w:vAlign w:val="center"/>
          </w:tcPr>
          <w:p>
            <w:pPr>
              <w:pStyle w:val="TexteTableau"/>
              <w:jc w:val="center"/>
            </w:pPr>
            <w:r>
              <w:t xml:space="preserve">5 Ω</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Tension d'entrée nominale</w:t>
            </w:r>
          </w:p>
        </w:tc>
        <w:tc>
          <w:tcPr>
            <w:tcW w:type="dxa" w:w="1537"/>
            <w:tcMar>
              <w:top w:type="dxa" w:w="40"/>
              <w:left w:type="dxa" w:w="80"/>
              <w:bottom w:type="dxa" w:w="40"/>
              <w:right w:type="dxa" w:w="80"/>
            </w:tcMar>
            <w:vAlign w:val="center"/>
          </w:tcPr>
          <w:p>
            <w:pPr>
              <w:pStyle w:val="TexteTableau"/>
              <w:jc w:val="center"/>
            </w:pPr>
            <w:r>
              <w:rPr>
                <w:i/>
                <w:iCs/>
              </w:rPr>
              <w:t xml:space="preserve">V</w:t>
            </w:r>
            <w:r>
              <w:t xml:space="preserve">in</w:t>
            </w:r>
          </w:p>
        </w:tc>
        <w:tc>
          <w:tcPr>
            <w:tcW w:type="dxa" w:w="3497"/>
            <w:tcMar>
              <w:top w:type="dxa" w:w="40"/>
              <w:left w:type="dxa" w:w="80"/>
              <w:bottom w:type="dxa" w:w="40"/>
              <w:right w:type="dxa" w:w="80"/>
            </w:tcMar>
            <w:vAlign w:val="center"/>
          </w:tcPr>
          <w:p>
            <w:pPr>
              <w:pStyle w:val="TexteTableau"/>
              <w:jc w:val="center"/>
            </w:pPr>
            <w:r>
              <w:t xml:space="preserve">200 V</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Consigne de tension de sortie</w:t>
            </w:r>
          </w:p>
        </w:tc>
        <w:tc>
          <w:tcPr>
            <w:tcW w:type="dxa" w:w="1537"/>
            <w:tcMar>
              <w:top w:type="dxa" w:w="40"/>
              <w:left w:type="dxa" w:w="80"/>
              <w:bottom w:type="dxa" w:w="40"/>
              <w:right w:type="dxa" w:w="80"/>
            </w:tcMar>
            <w:vAlign w:val="center"/>
          </w:tcPr>
          <w:p>
            <w:pPr>
              <w:pStyle w:val="TexteTableau"/>
              <w:jc w:val="center"/>
            </w:pPr>
            <w:r>
              <w:rPr>
                <w:i/>
                <w:iCs/>
              </w:rPr>
              <w:t xml:space="preserve">v</w:t>
            </w:r>
            <w:r>
              <w:t xml:space="preserve">ref</w:t>
            </w:r>
          </w:p>
        </w:tc>
        <w:tc>
          <w:tcPr>
            <w:tcW w:type="dxa" w:w="3497"/>
            <w:tcMar>
              <w:top w:type="dxa" w:w="40"/>
              <w:left w:type="dxa" w:w="80"/>
              <w:bottom w:type="dxa" w:w="40"/>
              <w:right w:type="dxa" w:w="80"/>
            </w:tcMar>
            <w:vAlign w:val="center"/>
          </w:tcPr>
          <w:p>
            <w:pPr>
              <w:pStyle w:val="TexteTableau"/>
              <w:jc w:val="center"/>
            </w:pPr>
            <w:r>
              <w:t xml:space="preserve">100 V</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Fréquence de découpage</w:t>
            </w:r>
          </w:p>
        </w:tc>
        <w:tc>
          <w:tcPr>
            <w:tcW w:type="dxa" w:w="1537"/>
            <w:tcMar>
              <w:top w:type="dxa" w:w="40"/>
              <w:left w:type="dxa" w:w="80"/>
              <w:bottom w:type="dxa" w:w="40"/>
              <w:right w:type="dxa" w:w="80"/>
            </w:tcMar>
            <w:vAlign w:val="center"/>
          </w:tcPr>
          <w:p>
            <w:pPr>
              <w:pStyle w:val="TexteTableau"/>
              <w:jc w:val="center"/>
            </w:pPr>
            <w:r>
              <w:rPr>
                <w:i/>
                <w:iCs/>
              </w:rPr>
              <w:t xml:space="preserve">f</w:t>
            </w:r>
            <w:r>
              <w:t xml:space="preserve">s</w:t>
            </w:r>
          </w:p>
        </w:tc>
        <w:tc>
          <w:tcPr>
            <w:tcW w:type="dxa" w:w="3497"/>
            <w:tcMar>
              <w:top w:type="dxa" w:w="40"/>
              <w:left w:type="dxa" w:w="80"/>
              <w:bottom w:type="dxa" w:w="40"/>
              <w:right w:type="dxa" w:w="80"/>
            </w:tcMar>
            <w:vAlign w:val="center"/>
          </w:tcPr>
          <w:p>
            <w:pPr>
              <w:pStyle w:val="TexteTableau"/>
              <w:jc w:val="center"/>
            </w:pPr>
            <w:r>
              <w:t xml:space="preserve">22 kHz</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Période du régulateur</w:t>
            </w:r>
          </w:p>
        </w:tc>
        <w:tc>
          <w:tcPr>
            <w:tcW w:type="dxa" w:w="1537"/>
            <w:tcMar>
              <w:top w:type="dxa" w:w="40"/>
              <w:left w:type="dxa" w:w="80"/>
              <w:bottom w:type="dxa" w:w="40"/>
              <w:right w:type="dxa" w:w="80"/>
            </w:tcMar>
            <w:vAlign w:val="center"/>
          </w:tcPr>
          <w:p>
            <w:pPr>
              <w:pStyle w:val="TexteTableau"/>
              <w:jc w:val="center"/>
            </w:pPr>
            <w:r>
              <w:rPr>
                <w:i/>
                <w:iCs/>
              </w:rPr>
              <w:t xml:space="preserve">T</w:t>
            </w:r>
            <w:r>
              <w:t xml:space="preserve">c</w:t>
            </w:r>
          </w:p>
        </w:tc>
        <w:tc>
          <w:tcPr>
            <w:tcW w:type="dxa" w:w="3497"/>
            <w:tcMar>
              <w:top w:type="dxa" w:w="40"/>
              <w:left w:type="dxa" w:w="80"/>
              <w:bottom w:type="dxa" w:w="40"/>
              <w:right w:type="dxa" w:w="80"/>
            </w:tcMar>
            <w:vAlign w:val="center"/>
          </w:tcPr>
          <w:p>
            <w:pPr>
              <w:pStyle w:val="TexteTableau"/>
              <w:jc w:val="center"/>
            </w:pPr>
            <w:r>
              <w:t xml:space="preserve">1/220 000 s (4,545 µs)</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Bornes du rapport cyclique</w:t>
            </w:r>
          </w:p>
        </w:tc>
        <w:tc>
          <w:tcPr>
            <w:tcW w:type="dxa" w:w="1537"/>
            <w:tcMar>
              <w:top w:type="dxa" w:w="40"/>
              <w:left w:type="dxa" w:w="80"/>
              <w:bottom w:type="dxa" w:w="40"/>
              <w:right w:type="dxa" w:w="80"/>
            </w:tcMar>
            <w:vAlign w:val="center"/>
          </w:tcPr>
          <w:p>
            <w:pPr>
              <w:pStyle w:val="TexteTableau"/>
              <w:jc w:val="center"/>
            </w:pPr>
            <w:r>
              <w:rPr>
                <w:i/>
                <w:iCs/>
              </w:rPr>
              <w:t xml:space="preserve">d</w:t>
            </w:r>
          </w:p>
        </w:tc>
        <w:tc>
          <w:tcPr>
            <w:tcW w:type="dxa" w:w="3497"/>
            <w:tcMar>
              <w:top w:type="dxa" w:w="40"/>
              <w:left w:type="dxa" w:w="80"/>
              <w:bottom w:type="dxa" w:w="40"/>
              <w:right w:type="dxa" w:w="80"/>
            </w:tcMar>
            <w:vAlign w:val="center"/>
          </w:tcPr>
          <w:p>
            <w:pPr>
              <w:pStyle w:val="TexteTableau"/>
              <w:jc w:val="center"/>
            </w:pPr>
            <w:r>
              <w:t xml:space="preserve">0,01 à 0,99</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Pertes de l'interrupteur</w:t>
            </w:r>
          </w:p>
        </w:tc>
        <w:tc>
          <w:tcPr>
            <w:tcW w:type="dxa" w:w="1537"/>
            <w:tcMar>
              <w:top w:type="dxa" w:w="40"/>
              <w:left w:type="dxa" w:w="80"/>
              <w:bottom w:type="dxa" w:w="40"/>
              <w:right w:type="dxa" w:w="80"/>
            </w:tcMar>
            <w:vAlign w:val="center"/>
          </w:tcPr>
          <w:p>
            <w:pPr>
              <w:pStyle w:val="TexteTableau"/>
              <w:jc w:val="center"/>
            </w:pPr>
            <w:r>
              <w:rPr>
                <w:i/>
                <w:iCs/>
              </w:rPr>
              <w:t xml:space="preserve">R</w:t>
            </w:r>
            <w:r>
              <w:t xml:space="preserve">on, </w:t>
            </w:r>
            <w:r>
              <w:rPr>
                <w:i/>
                <w:iCs/>
              </w:rPr>
              <w:t xml:space="preserve">V</w:t>
            </w:r>
            <w:r>
              <w:t xml:space="preserve">f</w:t>
            </w:r>
          </w:p>
        </w:tc>
        <w:tc>
          <w:tcPr>
            <w:tcW w:type="dxa" w:w="3497"/>
            <w:tcMar>
              <w:top w:type="dxa" w:w="40"/>
              <w:left w:type="dxa" w:w="80"/>
              <w:bottom w:type="dxa" w:w="40"/>
              <w:right w:type="dxa" w:w="80"/>
            </w:tcMar>
            <w:vAlign w:val="center"/>
          </w:tcPr>
          <w:p>
            <w:pPr>
              <w:pStyle w:val="TexteTableau"/>
              <w:jc w:val="center"/>
            </w:pPr>
            <w:r>
              <w:t xml:space="preserve">0,1 Ω (MOSFET), 0,8 V (diode)</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Pas de calcul du circuit</w:t>
            </w:r>
          </w:p>
        </w:tc>
        <w:tc>
          <w:tcPr>
            <w:tcW w:type="dxa" w:w="1537"/>
            <w:tcMar>
              <w:top w:type="dxa" w:w="40"/>
              <w:left w:type="dxa" w:w="80"/>
              <w:bottom w:type="dxa" w:w="40"/>
              <w:right w:type="dxa" w:w="80"/>
            </w:tcMar>
            <w:vAlign w:val="center"/>
          </w:tcPr>
          <w:p>
            <w:pPr>
              <w:pStyle w:val="TexteTableau"/>
              <w:jc w:val="center"/>
            </w:pPr>
            <w:r>
              <w:rPr>
                <w:i/>
                <w:iCs/>
              </w:rPr>
              <w:t xml:space="preserve">h</w:t>
            </w:r>
          </w:p>
        </w:tc>
        <w:tc>
          <w:tcPr>
            <w:tcW w:type="dxa" w:w="3497"/>
            <w:tcMar>
              <w:top w:type="dxa" w:w="40"/>
              <w:left w:type="dxa" w:w="80"/>
              <w:bottom w:type="dxa" w:w="40"/>
              <w:right w:type="dxa" w:w="80"/>
            </w:tcMar>
            <w:vAlign w:val="center"/>
          </w:tcPr>
          <w:p>
            <w:pPr>
              <w:pStyle w:val="TexteTableau"/>
              <w:jc w:val="center"/>
            </w:pPr>
            <w:r>
              <w:t xml:space="preserve">1/(22 000 × 1 200) s (37,88 ns)</w:t>
            </w:r>
          </w:p>
        </w:tc>
      </w:tr>
      <w:tr>
        <w:trPr>
          <w:cantSplit/>
          <w:tblHeader w:val="false"/>
        </w:trPr>
        <w:tc>
          <w:tcPr>
            <w:tcW w:type="dxa" w:w="3753"/>
            <w:tcMar>
              <w:top w:type="dxa" w:w="40"/>
              <w:left w:type="dxa" w:w="80"/>
              <w:bottom w:type="dxa" w:w="40"/>
              <w:right w:type="dxa" w:w="80"/>
            </w:tcMar>
            <w:vAlign w:val="center"/>
          </w:tcPr>
          <w:p>
            <w:pPr>
              <w:pStyle w:val="TexteTableau"/>
              <w:jc w:val="left"/>
            </w:pPr>
            <w:r>
              <w:t xml:space="preserve">Durée d'un essai</w:t>
            </w:r>
          </w:p>
        </w:tc>
        <w:tc>
          <w:tcPr>
            <w:tcW w:type="dxa" w:w="1537"/>
            <w:tcMar>
              <w:top w:type="dxa" w:w="40"/>
              <w:left w:type="dxa" w:w="80"/>
              <w:bottom w:type="dxa" w:w="40"/>
              <w:right w:type="dxa" w:w="80"/>
            </w:tcMar>
            <w:vAlign w:val="center"/>
          </w:tcPr>
          <w:p>
            <w:pPr>
              <w:pStyle w:val="TexteTableau"/>
              <w:jc w:val="center"/>
            </w:pPr>
          </w:p>
        </w:tc>
        <w:tc>
          <w:tcPr>
            <w:tcW w:type="dxa" w:w="3497"/>
            <w:tcMar>
              <w:top w:type="dxa" w:w="40"/>
              <w:left w:type="dxa" w:w="80"/>
              <w:bottom w:type="dxa" w:w="40"/>
              <w:right w:type="dxa" w:w="80"/>
            </w:tcMar>
            <w:vAlign w:val="center"/>
          </w:tcPr>
          <w:p>
            <w:pPr>
              <w:pStyle w:val="TexteTableau"/>
              <w:jc w:val="center"/>
            </w:pPr>
            <w:r>
              <w:t xml:space="preserve">0,2 s</w:t>
            </w:r>
          </w:p>
        </w:tc>
      </w:tr>
    </w:tbl>
    <w:p>
      <w:pPr>
        <w:spacing w:before="240"/>
      </w:pPr>
      <w:r>
        <w:t xml:space="preserve">Le régulateur est échantillonné dix fois par période de découpage ; le rapport cyclique calculé à l'instant </w:t>
      </w:r>
      <w:r>
        <w:rPr>
          <w:i/>
          <w:iCs/>
        </w:rPr>
        <w:t xml:space="preserve">k</w:t>
      </w:r>
      <w:r>
        <w:t xml:space="preserve">·</w:t>
      </w:r>
      <w:r>
        <w:rPr>
          <w:i/>
          <w:iCs/>
        </w:rPr>
        <w:t xml:space="preserve">T</w:t>
      </w:r>
      <w:r>
        <w:t xml:space="preserve">c est maintenu pendant la période </w:t>
      </w:r>
      <w:r>
        <w:rPr>
          <w:i/>
          <w:iCs/>
        </w:rPr>
        <w:t xml:space="preserve">T</w:t>
      </w:r>
      <w:r>
        <w:t xml:space="preserve">c suivante (section 3.5.1). Le circuit est simulé commuté, et non par son modèle moyen.</w:t>
      </w:r>
    </w:p>
    <w:p>
      <w:r>
        <w:t xml:space="preserve">Les cinq méthodes utilisent le bloc PID discret commun défini par l'équation (3.4) : forme parallèle, terme dérivé filtré (</w:t>
      </w:r>
      <w:r>
        <w:rPr>
          <w:i/>
          <w:iCs/>
        </w:rPr>
        <w:t xml:space="preserve">N</w:t>
      </w:r>
      <w:r>
        <w:t xml:space="preserve"> = 64 122,9 rad/s), sortie bornée à [0,01 ; 0,99] et anti-emballement par intégration conditionnelle (section 3.4.1).</w:t>
      </w:r>
    </w:p>
    <w:p>
      <w:r>
        <w:t xml:space="preserve">Les gains initiaux sont ceux de Ziegler-Nichols : </w:t>
      </w:r>
      <w:r>
        <w:rPr>
          <w:i/>
          <w:iCs/>
        </w:rPr>
        <w:t xml:space="preserve">P</w:t>
      </w:r>
      <w:r>
        <w:t xml:space="preserve"> = 0,093910, </w:t>
      </w:r>
      <w:r>
        <w:rPr>
          <w:i/>
          <w:iCs/>
        </w:rPr>
        <w:t xml:space="preserve">I</w:t>
      </w:r>
      <w:r>
        <w:t xml:space="preserve"> = 301,089 et </w:t>
      </w:r>
      <w:r>
        <w:rPr>
          <w:i/>
          <w:iCs/>
        </w:rPr>
        <w:t xml:space="preserve">D</w:t>
      </w:r>
      <w:r>
        <w:t xml:space="preserve"> = 7,3227·10⁻⁶. Ils ont été calculés à la section 3.4.2 par la méthode de la réponse indicielle [Ziegler et Nichols, 1942], dans la présentation qu'en donne [Mudry, 2006]. Ce réglage sert ici de référence commune et de point de départ, pas de réglage optimal. Les règles de Ziegler-Nichols ne visent que des processus non oscillants [Mudry, 2006, p. 1]. Au point nominal, le convertisseur en fait partie (amortissement de 1,46 à 5 Ω), mais plus à charge légère : l'amortissement tombe à 0,29 à 25 Ω (section 3.3). La même note signale en outre que ces gains sont en général trop élevés et donnent un dépassement supérieur à 20 % [Mudry, 2006, p. 10].</w:t>
      </w:r>
    </w:p>
    <w:p>
      <w:r>
        <w:t xml:space="preserve">Seule la manière de fixer les gains </w:t>
      </w:r>
      <w:r>
        <w:rPr>
          <w:i/>
          <w:iCs/>
        </w:rPr>
        <w:t xml:space="preserve">P</w:t>
      </w:r>
      <w:r>
        <w:t xml:space="preserve">, </w:t>
      </w:r>
      <w:r>
        <w:rPr>
          <w:i/>
          <w:iCs/>
        </w:rPr>
        <w:t xml:space="preserve">I</w:t>
      </w:r>
      <w:r>
        <w:t xml:space="preserve"> et </w:t>
      </w:r>
      <w:r>
        <w:rPr>
          <w:i/>
          <w:iCs/>
        </w:rPr>
        <w:t xml:space="preserve">D</w:t>
      </w:r>
      <w:r>
        <w:t xml:space="preserve"> du bloc (3.4) distingue les cinq méthodes. Le PID de Ziegler-Nichols garde ses gains fixes. Le PSO-PID garde aussi des gains fixes, réglés hors ligne par essaim particulaire [Gaing, 2004] sur des essais de réglage distincts des essais de développement. Le Fuzzy-PID modifie ses gains en ligne par l'ordonnancement flou de [Zhao et al., 1993]. L'ELM-PID les adapte à partir d'un réseau ELM mis à jour en ligne [Lu et al., 2021 ; Liang et al., 2006] (chapitre 4). Le PINN-PID les adapte en minimisant le coût de [Ito et Wasa, 2025]. Le modèle du convertisseur, les bornes, l'intégration conditionnelle et les conditions de simulation sont identiques pour tous.</w:t>
      </w:r>
    </w:p>
    <w:p>
      <w:r>
        <w:t xml:space="preserve">Les résultats chiffrés de ce chapitre viennent du banc de simulation Python, validé contre le modèle Simulink commun (figure 3.3) sur les onze essais de développement (section 3.5.3). Sur les cinq scénarios de ce chapitre, le script qui trace les figures compare en outre les IAE des modèles Simulink à celles du banc, avec une tolérance de 1 % (3 % sur S10 pour l'ELM-PID et le PINN-PID). L'écart le plus grand est de 0,10 % pour les quatre méthodes (ELM-PID sur S2) et de 0,36 % pour Ziegler-Nichols (S8a). Les figures sont tracées à partir des simulations Simulink.</w:t>
      </w:r>
    </w:p>
    <w:p>
      <w:pPr>
        <w:pStyle w:val="Heading3"/>
      </w:pPr>
      <w:r>
        <w:t xml:space="preserve">5.2.2. Scénarios retenus</w:t>
      </w:r>
    </w:p>
    <w:p>
      <w:r>
        <w:t xml:space="preserve">Le corps du chapitre porte sur cinq scénarios, décrits au tableau 5.2. Les quatre premiers font partie des onze essais de développement ; S10 a été défini et ajouté après ces onze essais, avec ses critères et ses prévisions écrits avant tout calcul. Les autres essais et l'ensemble de leurs résultats sont publiés en annexe, sur le dépôt GitHub du travail </w:t>
      </w:r>
      <w:r>
        <w:rPr>
          <w:highlight w:val="yellow"/>
        </w:rPr>
        <w:t xml:space="preserve">[URL DU DÉPÔT À INSÉRER]</w:t>
      </w:r>
      <w:r>
        <w:t xml:space="preserve">.</w:t>
      </w:r>
    </w:p>
    <w:p>
      <w:pPr>
        <w:pStyle w:val="LegendeTableau"/>
      </w:pPr>
      <w:r>
        <w:t xml:space="preserve">Tableau 5.2 : Scénarios de comparaison.</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20"/>
        <w:gridCol w:w="3372"/>
        <w:gridCol w:w="1443"/>
        <w:gridCol w:w="1250"/>
        <w:gridCol w:w="2102"/>
      </w:tblGrid>
      <w:tr>
        <w:trPr>
          <w:cantSplit/>
          <w:tblHeader/>
        </w:trPr>
        <w:tc>
          <w:tcPr>
            <w:tcW w:type="dxa" w:w="620"/>
            <w:tcMar>
              <w:top w:type="dxa" w:w="40"/>
              <w:left w:type="dxa" w:w="80"/>
              <w:bottom w:type="dxa" w:w="40"/>
              <w:right w:type="dxa" w:w="80"/>
            </w:tcMar>
            <w:vAlign w:val="center"/>
          </w:tcPr>
          <w:p>
            <w:pPr>
              <w:pStyle w:val="TexteTableau"/>
              <w:jc w:val="left"/>
            </w:pPr>
            <w:r>
              <w:rPr>
                <w:b/>
                <w:bCs/>
              </w:rPr>
              <w:t xml:space="preserve">Code</w:t>
            </w:r>
          </w:p>
        </w:tc>
        <w:tc>
          <w:tcPr>
            <w:tcW w:type="dxa" w:w="3372"/>
            <w:tcMar>
              <w:top w:type="dxa" w:w="40"/>
              <w:left w:type="dxa" w:w="80"/>
              <w:bottom w:type="dxa" w:w="40"/>
              <w:right w:type="dxa" w:w="80"/>
            </w:tcMar>
            <w:vAlign w:val="center"/>
          </w:tcPr>
          <w:p>
            <w:pPr>
              <w:pStyle w:val="TexteTableau"/>
              <w:jc w:val="center"/>
            </w:pPr>
            <w:r>
              <w:rPr>
                <w:b/>
                <w:bCs/>
              </w:rPr>
              <w:t xml:space="preserve">Description</w:t>
            </w:r>
          </w:p>
        </w:tc>
        <w:tc>
          <w:tcPr>
            <w:tcW w:type="dxa" w:w="1443"/>
            <w:tcMar>
              <w:top w:type="dxa" w:w="40"/>
              <w:left w:type="dxa" w:w="80"/>
              <w:bottom w:type="dxa" w:w="40"/>
              <w:right w:type="dxa" w:w="80"/>
            </w:tcMar>
            <w:vAlign w:val="center"/>
          </w:tcPr>
          <w:p>
            <w:pPr>
              <w:pStyle w:val="TexteTableau"/>
              <w:jc w:val="center"/>
            </w:pPr>
            <w:r>
              <w:rPr>
                <w:b/>
                <w:bCs/>
              </w:rPr>
              <w:t xml:space="preserve">Événements (ms)</w:t>
            </w:r>
          </w:p>
        </w:tc>
        <w:tc>
          <w:tcPr>
            <w:tcW w:type="dxa" w:w="1250"/>
            <w:tcMar>
              <w:top w:type="dxa" w:w="40"/>
              <w:left w:type="dxa" w:w="80"/>
              <w:bottom w:type="dxa" w:w="40"/>
              <w:right w:type="dxa" w:w="80"/>
            </w:tcMar>
            <w:vAlign w:val="center"/>
          </w:tcPr>
          <w:p>
            <w:pPr>
              <w:pStyle w:val="TexteTableau"/>
              <w:jc w:val="center"/>
            </w:pPr>
            <w:r>
              <w:rPr>
                <w:b/>
                <w:bCs/>
              </w:rPr>
              <w:t xml:space="preserve">Fenêtre de classement</w:t>
            </w:r>
          </w:p>
        </w:tc>
        <w:tc>
          <w:tcPr>
            <w:tcW w:type="dxa" w:w="2102"/>
            <w:tcMar>
              <w:top w:type="dxa" w:w="40"/>
              <w:left w:type="dxa" w:w="80"/>
              <w:bottom w:type="dxa" w:w="40"/>
              <w:right w:type="dxa" w:w="80"/>
            </w:tcMar>
            <w:vAlign w:val="center"/>
          </w:tcPr>
          <w:p>
            <w:pPr>
              <w:pStyle w:val="TexteTableau"/>
              <w:jc w:val="center"/>
            </w:pPr>
            <w:r>
              <w:rPr>
                <w:b/>
                <w:bCs/>
              </w:rPr>
              <w:t xml:space="preserve">Ce qui est observé</w:t>
            </w:r>
          </w:p>
        </w:tc>
      </w:tr>
      <w:tr>
        <w:trPr>
          <w:cantSplit/>
          <w:tblHeader w:val="false"/>
        </w:trPr>
        <w:tc>
          <w:tcPr>
            <w:tcW w:type="dxa" w:w="620"/>
            <w:tcMar>
              <w:top w:type="dxa" w:w="40"/>
              <w:left w:type="dxa" w:w="80"/>
              <w:bottom w:type="dxa" w:w="40"/>
              <w:right w:type="dxa" w:w="80"/>
            </w:tcMar>
            <w:vAlign w:val="center"/>
          </w:tcPr>
          <w:p>
            <w:pPr>
              <w:pStyle w:val="TexteTableau"/>
              <w:jc w:val="left"/>
            </w:pPr>
            <w:r>
              <w:t xml:space="preserve">S1</w:t>
            </w:r>
          </w:p>
        </w:tc>
        <w:tc>
          <w:tcPr>
            <w:tcW w:type="dxa" w:w="3372"/>
            <w:tcMar>
              <w:top w:type="dxa" w:w="40"/>
              <w:left w:type="dxa" w:w="80"/>
              <w:bottom w:type="dxa" w:w="40"/>
              <w:right w:type="dxa" w:w="80"/>
            </w:tcMar>
            <w:vAlign w:val="center"/>
          </w:tcPr>
          <w:p>
            <w:pPr>
              <w:pStyle w:val="TexteTableau"/>
              <w:jc w:val="left"/>
            </w:pPr>
            <w:r>
              <w:t xml:space="preserve">Point nominal : </w:t>
            </w:r>
            <w:r>
              <w:rPr>
                <w:i/>
                <w:iCs/>
              </w:rPr>
              <w:t xml:space="preserve">R</w:t>
            </w:r>
            <w:r>
              <w:t xml:space="preserve"> = 5 Ω, </w:t>
            </w:r>
            <w:r>
              <w:rPr>
                <w:i/>
                <w:iCs/>
              </w:rPr>
              <w:t xml:space="preserve">V</w:t>
            </w:r>
            <w:r>
              <w:t xml:space="preserve">in = 200 V, aucune perturbation</w:t>
            </w:r>
          </w:p>
        </w:tc>
        <w:tc>
          <w:tcPr>
            <w:tcW w:type="dxa" w:w="1443"/>
            <w:tcMar>
              <w:top w:type="dxa" w:w="40"/>
              <w:left w:type="dxa" w:w="80"/>
              <w:bottom w:type="dxa" w:w="40"/>
              <w:right w:type="dxa" w:w="80"/>
            </w:tcMar>
            <w:vAlign w:val="center"/>
          </w:tcPr>
          <w:p>
            <w:pPr>
              <w:pStyle w:val="TexteTableau"/>
              <w:jc w:val="center"/>
            </w:pPr>
            <w:r>
              <w:t xml:space="preserve">aucun</w:t>
            </w:r>
          </w:p>
        </w:tc>
        <w:tc>
          <w:tcPr>
            <w:tcW w:type="dxa" w:w="1250"/>
            <w:tcMar>
              <w:top w:type="dxa" w:w="40"/>
              <w:left w:type="dxa" w:w="80"/>
              <w:bottom w:type="dxa" w:w="40"/>
              <w:right w:type="dxa" w:w="80"/>
            </w:tcMar>
            <w:vAlign w:val="center"/>
          </w:tcPr>
          <w:p>
            <w:pPr>
              <w:pStyle w:val="TexteTableau"/>
              <w:jc w:val="center"/>
            </w:pPr>
            <w:r>
              <w:t xml:space="preserve">0 à 30 ms</w:t>
            </w:r>
          </w:p>
        </w:tc>
        <w:tc>
          <w:tcPr>
            <w:tcW w:type="dxa" w:w="2102"/>
            <w:tcMar>
              <w:top w:type="dxa" w:w="40"/>
              <w:left w:type="dxa" w:w="80"/>
              <w:bottom w:type="dxa" w:w="40"/>
              <w:right w:type="dxa" w:w="80"/>
            </w:tcMar>
            <w:vAlign w:val="center"/>
          </w:tcPr>
          <w:p>
            <w:pPr>
              <w:pStyle w:val="TexteTableau"/>
              <w:jc w:val="center"/>
            </w:pPr>
            <w:r>
              <w:t xml:space="preserve">démarrage et régime nominal</w:t>
            </w:r>
          </w:p>
        </w:tc>
      </w:tr>
      <w:tr>
        <w:trPr>
          <w:cantSplit/>
          <w:tblHeader w:val="false"/>
        </w:trPr>
        <w:tc>
          <w:tcPr>
            <w:tcW w:type="dxa" w:w="620"/>
            <w:tcMar>
              <w:top w:type="dxa" w:w="40"/>
              <w:left w:type="dxa" w:w="80"/>
              <w:bottom w:type="dxa" w:w="40"/>
              <w:right w:type="dxa" w:w="80"/>
            </w:tcMar>
            <w:vAlign w:val="center"/>
          </w:tcPr>
          <w:p>
            <w:pPr>
              <w:pStyle w:val="TexteTableau"/>
              <w:jc w:val="left"/>
            </w:pPr>
            <w:r>
              <w:t xml:space="preserve">S2</w:t>
            </w:r>
          </w:p>
        </w:tc>
        <w:tc>
          <w:tcPr>
            <w:tcW w:type="dxa" w:w="3372"/>
            <w:tcMar>
              <w:top w:type="dxa" w:w="40"/>
              <w:left w:type="dxa" w:w="80"/>
              <w:bottom w:type="dxa" w:w="40"/>
              <w:right w:type="dxa" w:w="80"/>
            </w:tcMar>
            <w:vAlign w:val="center"/>
          </w:tcPr>
          <w:p>
            <w:pPr>
              <w:pStyle w:val="TexteTableau"/>
              <w:jc w:val="left"/>
            </w:pPr>
            <w:r>
              <w:t xml:space="preserve">Consigne 100 + 2 exp(cos(10π</w:t>
            </w:r>
            <w:r>
              <w:rPr>
                <w:i/>
                <w:iCs/>
              </w:rPr>
              <w:t xml:space="preserve">t</w:t>
            </w:r>
            <w:r>
              <w:t xml:space="preserve">)) V sur [50 ; 70) ms, 100 V ailleurs</w:t>
            </w:r>
          </w:p>
        </w:tc>
        <w:tc>
          <w:tcPr>
            <w:tcW w:type="dxa" w:w="1443"/>
            <w:tcMar>
              <w:top w:type="dxa" w:w="40"/>
              <w:left w:type="dxa" w:w="80"/>
              <w:bottom w:type="dxa" w:w="40"/>
              <w:right w:type="dxa" w:w="80"/>
            </w:tcMar>
            <w:vAlign w:val="center"/>
          </w:tcPr>
          <w:p>
            <w:pPr>
              <w:pStyle w:val="TexteTableau"/>
              <w:jc w:val="center"/>
            </w:pPr>
            <w:r>
              <w:t xml:space="preserve">50, 70</w:t>
            </w:r>
          </w:p>
        </w:tc>
        <w:tc>
          <w:tcPr>
            <w:tcW w:type="dxa" w:w="1250"/>
            <w:tcMar>
              <w:top w:type="dxa" w:w="40"/>
              <w:left w:type="dxa" w:w="80"/>
              <w:bottom w:type="dxa" w:w="40"/>
              <w:right w:type="dxa" w:w="80"/>
            </w:tcMar>
            <w:vAlign w:val="center"/>
          </w:tcPr>
          <w:p>
            <w:pPr>
              <w:pStyle w:val="TexteTableau"/>
              <w:jc w:val="center"/>
            </w:pPr>
            <w:r>
              <w:t xml:space="preserve">30 ms à la fin</w:t>
            </w:r>
          </w:p>
        </w:tc>
        <w:tc>
          <w:tcPr>
            <w:tcW w:type="dxa" w:w="2102"/>
            <w:tcMar>
              <w:top w:type="dxa" w:w="40"/>
              <w:left w:type="dxa" w:w="80"/>
              <w:bottom w:type="dxa" w:w="40"/>
              <w:right w:type="dxa" w:w="80"/>
            </w:tcMar>
            <w:vAlign w:val="center"/>
          </w:tcPr>
          <w:p>
            <w:pPr>
              <w:pStyle w:val="TexteTableau"/>
              <w:jc w:val="center"/>
            </w:pPr>
            <w:r>
              <w:t xml:space="preserve">suivi d'une consigne perturbée</w:t>
            </w:r>
          </w:p>
        </w:tc>
      </w:tr>
      <w:tr>
        <w:trPr>
          <w:cantSplit/>
          <w:tblHeader w:val="false"/>
        </w:trPr>
        <w:tc>
          <w:tcPr>
            <w:tcW w:type="dxa" w:w="620"/>
            <w:tcMar>
              <w:top w:type="dxa" w:w="40"/>
              <w:left w:type="dxa" w:w="80"/>
              <w:bottom w:type="dxa" w:w="40"/>
              <w:right w:type="dxa" w:w="80"/>
            </w:tcMar>
            <w:vAlign w:val="center"/>
          </w:tcPr>
          <w:p>
            <w:pPr>
              <w:pStyle w:val="TexteTableau"/>
              <w:jc w:val="left"/>
            </w:pPr>
            <w:r>
              <w:t xml:space="preserve">S3</w:t>
            </w:r>
          </w:p>
        </w:tc>
        <w:tc>
          <w:tcPr>
            <w:tcW w:type="dxa" w:w="3372"/>
            <w:tcMar>
              <w:top w:type="dxa" w:w="40"/>
              <w:left w:type="dxa" w:w="80"/>
              <w:bottom w:type="dxa" w:w="40"/>
              <w:right w:type="dxa" w:w="80"/>
            </w:tcMar>
            <w:vAlign w:val="center"/>
          </w:tcPr>
          <w:p>
            <w:pPr>
              <w:pStyle w:val="TexteTableau"/>
              <w:jc w:val="left"/>
            </w:pPr>
            <w:r>
              <w:t xml:space="preserve">Charge de 4,333 Ω sur [50 ; 70) ms, 5 Ω ailleurs</w:t>
            </w:r>
          </w:p>
        </w:tc>
        <w:tc>
          <w:tcPr>
            <w:tcW w:type="dxa" w:w="1443"/>
            <w:tcMar>
              <w:top w:type="dxa" w:w="40"/>
              <w:left w:type="dxa" w:w="80"/>
              <w:bottom w:type="dxa" w:w="40"/>
              <w:right w:type="dxa" w:w="80"/>
            </w:tcMar>
            <w:vAlign w:val="center"/>
          </w:tcPr>
          <w:p>
            <w:pPr>
              <w:pStyle w:val="TexteTableau"/>
              <w:jc w:val="center"/>
            </w:pPr>
            <w:r>
              <w:t xml:space="preserve">50, 70</w:t>
            </w:r>
          </w:p>
        </w:tc>
        <w:tc>
          <w:tcPr>
            <w:tcW w:type="dxa" w:w="1250"/>
            <w:tcMar>
              <w:top w:type="dxa" w:w="40"/>
              <w:left w:type="dxa" w:w="80"/>
              <w:bottom w:type="dxa" w:w="40"/>
              <w:right w:type="dxa" w:w="80"/>
            </w:tcMar>
            <w:vAlign w:val="center"/>
          </w:tcPr>
          <w:p>
            <w:pPr>
              <w:pStyle w:val="TexteTableau"/>
              <w:jc w:val="center"/>
            </w:pPr>
            <w:r>
              <w:t xml:space="preserve">30 ms à la fin</w:t>
            </w:r>
          </w:p>
        </w:tc>
        <w:tc>
          <w:tcPr>
            <w:tcW w:type="dxa" w:w="2102"/>
            <w:tcMar>
              <w:top w:type="dxa" w:w="40"/>
              <w:left w:type="dxa" w:w="80"/>
              <w:bottom w:type="dxa" w:w="40"/>
              <w:right w:type="dxa" w:w="80"/>
            </w:tcMar>
            <w:vAlign w:val="center"/>
          </w:tcPr>
          <w:p>
            <w:pPr>
              <w:pStyle w:val="TexteTableau"/>
              <w:jc w:val="center"/>
            </w:pPr>
            <w:r>
              <w:t xml:space="preserve">rejet d'une perturbation de charge brève</w:t>
            </w:r>
          </w:p>
        </w:tc>
      </w:tr>
      <w:tr>
        <w:trPr>
          <w:cantSplit/>
          <w:tblHeader w:val="false"/>
        </w:trPr>
        <w:tc>
          <w:tcPr>
            <w:tcW w:type="dxa" w:w="620"/>
            <w:tcMar>
              <w:top w:type="dxa" w:w="40"/>
              <w:left w:type="dxa" w:w="80"/>
              <w:bottom w:type="dxa" w:w="40"/>
              <w:right w:type="dxa" w:w="80"/>
            </w:tcMar>
            <w:vAlign w:val="center"/>
          </w:tcPr>
          <w:p>
            <w:pPr>
              <w:pStyle w:val="TexteTableau"/>
              <w:jc w:val="left"/>
            </w:pPr>
            <w:r>
              <w:t xml:space="preserve">S8a</w:t>
            </w:r>
          </w:p>
        </w:tc>
        <w:tc>
          <w:tcPr>
            <w:tcW w:type="dxa" w:w="3372"/>
            <w:tcMar>
              <w:top w:type="dxa" w:w="40"/>
              <w:left w:type="dxa" w:w="80"/>
              <w:bottom w:type="dxa" w:w="40"/>
              <w:right w:type="dxa" w:w="80"/>
            </w:tcMar>
            <w:vAlign w:val="center"/>
          </w:tcPr>
          <w:p>
            <w:pPr>
              <w:pStyle w:val="TexteTableau"/>
              <w:jc w:val="left"/>
            </w:pPr>
            <w:r>
              <w:t xml:space="preserve">Charge de 25 Ω pendant tout l'essai ; </w:t>
            </w:r>
            <w:r>
              <w:rPr>
                <w:i/>
                <w:iCs/>
              </w:rPr>
              <w:t xml:space="preserve">V</w:t>
            </w:r>
            <w:r>
              <w:t xml:space="preserve">in = 160 V sur [50 ; 70) ms, 240 V sur [100 ; 120) ms, 200 V ailleurs</w:t>
            </w:r>
          </w:p>
        </w:tc>
        <w:tc>
          <w:tcPr>
            <w:tcW w:type="dxa" w:w="1443"/>
            <w:tcMar>
              <w:top w:type="dxa" w:w="40"/>
              <w:left w:type="dxa" w:w="80"/>
              <w:bottom w:type="dxa" w:w="40"/>
              <w:right w:type="dxa" w:w="80"/>
            </w:tcMar>
            <w:vAlign w:val="center"/>
          </w:tcPr>
          <w:p>
            <w:pPr>
              <w:pStyle w:val="TexteTableau"/>
              <w:jc w:val="center"/>
            </w:pPr>
            <w:r>
              <w:t xml:space="preserve">50, 70, 100, 120</w:t>
            </w:r>
          </w:p>
        </w:tc>
        <w:tc>
          <w:tcPr>
            <w:tcW w:type="dxa" w:w="1250"/>
            <w:tcMar>
              <w:top w:type="dxa" w:w="40"/>
              <w:left w:type="dxa" w:w="80"/>
              <w:bottom w:type="dxa" w:w="40"/>
              <w:right w:type="dxa" w:w="80"/>
            </w:tcMar>
            <w:vAlign w:val="center"/>
          </w:tcPr>
          <w:p>
            <w:pPr>
              <w:pStyle w:val="TexteTableau"/>
              <w:jc w:val="center"/>
            </w:pPr>
            <w:r>
              <w:t xml:space="preserve">30 ms à la fin</w:t>
            </w:r>
          </w:p>
        </w:tc>
        <w:tc>
          <w:tcPr>
            <w:tcW w:type="dxa" w:w="2102"/>
            <w:tcMar>
              <w:top w:type="dxa" w:w="40"/>
              <w:left w:type="dxa" w:w="80"/>
              <w:bottom w:type="dxa" w:w="40"/>
              <w:right w:type="dxa" w:w="80"/>
            </w:tcMar>
            <w:vAlign w:val="center"/>
          </w:tcPr>
          <w:p>
            <w:pPr>
              <w:pStyle w:val="TexteTableau"/>
              <w:jc w:val="center"/>
            </w:pPr>
            <w:r>
              <w:t xml:space="preserve">variations de la tension d'entrée à charge légère</w:t>
            </w:r>
          </w:p>
        </w:tc>
      </w:tr>
      <w:tr>
        <w:trPr>
          <w:cantSplit/>
          <w:tblHeader w:val="false"/>
        </w:trPr>
        <w:tc>
          <w:tcPr>
            <w:tcW w:type="dxa" w:w="620"/>
            <w:tcMar>
              <w:top w:type="dxa" w:w="40"/>
              <w:left w:type="dxa" w:w="80"/>
              <w:bottom w:type="dxa" w:w="40"/>
              <w:right w:type="dxa" w:w="80"/>
            </w:tcMar>
            <w:vAlign w:val="center"/>
          </w:tcPr>
          <w:p>
            <w:pPr>
              <w:pStyle w:val="TexteTableau"/>
              <w:jc w:val="left"/>
            </w:pPr>
            <w:r>
              <w:t xml:space="preserve">S10</w:t>
            </w:r>
          </w:p>
        </w:tc>
        <w:tc>
          <w:tcPr>
            <w:tcW w:type="dxa" w:w="3372"/>
            <w:tcMar>
              <w:top w:type="dxa" w:w="40"/>
              <w:left w:type="dxa" w:w="80"/>
              <w:bottom w:type="dxa" w:w="40"/>
              <w:right w:type="dxa" w:w="80"/>
            </w:tcMar>
            <w:vAlign w:val="center"/>
          </w:tcPr>
          <w:p>
            <w:pPr>
              <w:pStyle w:val="TexteTableau"/>
              <w:jc w:val="left"/>
            </w:pPr>
            <w:r>
              <w:t xml:space="preserve">0 à 50 ms comme S1 ; à partir de 50 ms, </w:t>
            </w:r>
            <w:r>
              <w:rPr>
                <w:i/>
                <w:iCs/>
              </w:rPr>
              <w:t xml:space="preserve">V</w:t>
            </w:r>
            <w:r>
              <w:t xml:space="preserve">in = 160 V et </w:t>
            </w:r>
            <w:r>
              <w:rPr>
                <w:i/>
                <w:iCs/>
              </w:rPr>
              <w:t xml:space="preserve">R</w:t>
            </w:r>
            <w:r>
              <w:t xml:space="preserve"> = 25 Ω ; échelons de 15 ms à 20 Ω, 30 Ω et 20 Ω à 100, 130 et 160 ms</w:t>
            </w:r>
          </w:p>
        </w:tc>
        <w:tc>
          <w:tcPr>
            <w:tcW w:type="dxa" w:w="1443"/>
            <w:tcMar>
              <w:top w:type="dxa" w:w="40"/>
              <w:left w:type="dxa" w:w="80"/>
              <w:bottom w:type="dxa" w:w="40"/>
              <w:right w:type="dxa" w:w="80"/>
            </w:tcMar>
            <w:vAlign w:val="center"/>
          </w:tcPr>
          <w:p>
            <w:pPr>
              <w:pStyle w:val="TexteTableau"/>
              <w:jc w:val="center"/>
            </w:pPr>
            <w:r>
              <w:t xml:space="preserve">50, 100, 115, 130, 145, 160, 175</w:t>
            </w:r>
          </w:p>
        </w:tc>
        <w:tc>
          <w:tcPr>
            <w:tcW w:type="dxa" w:w="1250"/>
            <w:tcMar>
              <w:top w:type="dxa" w:w="40"/>
              <w:left w:type="dxa" w:w="80"/>
              <w:bottom w:type="dxa" w:w="40"/>
              <w:right w:type="dxa" w:w="80"/>
            </w:tcMar>
            <w:vAlign w:val="center"/>
          </w:tcPr>
          <w:p>
            <w:pPr>
              <w:pStyle w:val="TexteTableau"/>
              <w:jc w:val="center"/>
            </w:pPr>
            <w:r>
              <w:t xml:space="preserve">100 ms à la fin</w:t>
            </w:r>
          </w:p>
        </w:tc>
        <w:tc>
          <w:tcPr>
            <w:tcW w:type="dxa" w:w="2102"/>
            <w:tcMar>
              <w:top w:type="dxa" w:w="40"/>
              <w:left w:type="dxa" w:w="80"/>
              <w:bottom w:type="dxa" w:w="40"/>
              <w:right w:type="dxa" w:w="80"/>
            </w:tcMar>
            <w:vAlign w:val="center"/>
          </w:tcPr>
          <w:p>
            <w:pPr>
              <w:pStyle w:val="TexteTableau"/>
              <w:jc w:val="center"/>
            </w:pPr>
            <w:r>
              <w:t xml:space="preserve">changement durable du point de fonctionnement</w:t>
            </w:r>
          </w:p>
        </w:tc>
      </w:tr>
    </w:tbl>
    <w:p>
      <w:pPr>
        <w:spacing w:before="240"/>
      </w:pPr>
      <w:r>
        <w:t xml:space="preserve">S1 donne le comportement de référence, sans perturbation. S2 reprend le signal F1 de l'article de référence [Lu et al., 2021], avec un écart : l'article applique F1 au signal de commande, alors que nous l'ajoutons ici à la consigne. S2 mesure donc le suivi d'une consigne perturbée, et non le rejet d'une perturbation sur la commande. S3 reprend la perturbation de charge F2 du même article : la charge passe de 5 à 4,333 Ω pendant 20 ms puis revient. S8a place le convertisseur à charge légère, où son amortissement est faible, et y fait varier la tension d'entrée de ±20 %.</w:t>
      </w:r>
    </w:p>
    <w:p>
      <w:r>
        <w:t xml:space="preserve">Dans les quatre premiers scénarios, le convertisseur revient au point nominal ou y reste, et une méthode adaptative n'y a rien à retenir. S10 change le point de fonctionnement pour de bon : la tension d'entrée baisse de 20 % et la charge passe à 25 Ω. Après 50 ms de réajustement, on mesure le rejet d'échelons de charge au nouveau point, cas pour lequel l'adaptation des gains est faite.</w:t>
      </w:r>
    </w:p>
    <w:p>
      <w:r>
        <w:t xml:space="preserve">S1, S2 et S3 correspondent aux trois cas prévus dans la proposition du travail, avant tout résultat : régime normal, perturbation sur la commande et perturbation sur la charge. S8a a été désigné par une règle de sélection écrite avant le calcul des classements par essai ; appliquée ensuite aux versions finales des méthodes, cette règle ne désignait plus aucun essai, et S8a a été conservé. S10 a été défini plus tard, avec ses critères et ses prévisions écrits avant le calcul. Les classements des onze essais sont tous publiés sur le dépôt GitHub.</w:t>
      </w:r>
    </w:p>
    <w:p>
      <w:pPr>
        <w:pStyle w:val="Heading3"/>
      </w:pPr>
      <w:r>
        <w:t xml:space="preserve">5.2.3. Grandeurs de performance</w:t>
      </w:r>
    </w:p>
    <w:p>
      <w:r>
        <w:t xml:space="preserve">Toutes les grandeurs sont calculées aux instants </w:t>
      </w:r>
      <w:r>
        <w:rPr>
          <w:i/>
          <w:iCs/>
        </w:rPr>
        <w:t xml:space="preserve">k</w:t>
      </w:r>
      <w:r>
        <w:t xml:space="preserve">·</w:t>
      </w:r>
      <w:r>
        <w:rPr>
          <w:i/>
          <w:iCs/>
        </w:rPr>
        <w:t xml:space="preserve">T</w:t>
      </w:r>
      <w:r>
        <w:t xml:space="preserve">c sur l'erreur </w:t>
      </w:r>
      <w:r>
        <w:rPr>
          <w:i/>
          <w:iCs/>
        </w:rPr>
        <w:t xml:space="preserve">e</w:t>
      </w:r>
      <w:r>
        <w:t xml:space="preserve">(</w:t>
      </w:r>
      <w:r>
        <w:rPr>
          <w:i/>
          <w:iCs/>
        </w:rPr>
        <w:t xml:space="preserve">k</w:t>
      </w:r>
      <w:r>
        <w:t xml:space="preserve">) = </w:t>
      </w:r>
      <w:r>
        <w:rPr>
          <w:i/>
          <w:iCs/>
        </w:rPr>
        <w:t xml:space="preserve">v</w:t>
      </w:r>
      <w:r>
        <w:t xml:space="preserve">ref(</w:t>
      </w:r>
      <w:r>
        <w:rPr>
          <w:i/>
          <w:iCs/>
        </w:rPr>
        <w:t xml:space="preserve">k</w:t>
      </w:r>
      <w:r>
        <w:t xml:space="preserve">) − </w:t>
      </w:r>
      <w:r>
        <w:rPr>
          <w:i/>
          <w:iCs/>
        </w:rPr>
        <w:t xml:space="preserve">v</w:t>
      </w:r>
      <w:r>
        <w:t xml:space="preserve">o(</w:t>
      </w:r>
      <w:r>
        <w:rPr>
          <w:i/>
          <w:iCs/>
        </w:rPr>
        <w:t xml:space="preserve">k</w:t>
      </w:r>
      <w:r>
        <w:t xml:space="preserve">), où </w:t>
      </w:r>
      <w:r>
        <w:rPr>
          <w:i/>
          <w:iCs/>
        </w:rPr>
        <w:t xml:space="preserve">v</w:t>
      </w:r>
      <w:r>
        <w:t xml:space="preserve">o est la tension de sortie vraie et non la mesure. La grandeur de classement est l'intégrale de la valeur absolue de l'erreur (IAE) [Åström et Hägglund, 1995], calculée sur la fenêtre de classement du tableau 5.2 :</w:t>
      </w:r>
    </w:p>
    <w:p>
      <w:pPr>
        <w:pStyle w:val="Equation"/>
      </w:pPr>
      <w:r>
        <w:tab/>
      </w:r>
      <m:oMath>
        <m:r>
          <m:rPr>
            <m:sty m:val="p"/>
          </m:rPr>
          <w:rPr>
            <w:rFonts w:ascii="Cambria Math" w:hAnsi="Cambria Math"/>
          </w:rPr>
          <m:t xml:space="preserve">IAE</m:t>
        </m:r>
        <m:r>
          <w:rPr>
            <w:rFonts w:ascii="Cambria Math" w:hAnsi="Cambria Math"/>
          </w:rPr>
          <m:t xml:space="preserve">=</m:t>
        </m:r>
        <m:nary>
          <m:naryPr>
            <m:chr m:val="∑"/>
            <m:limLoc m:val="undOvr"/>
            <m:subHide m:val="1"/>
            <m:supHide m:val="1"/>
          </m:naryPr>
          <m:sub/>
          <m:sup/>
          <m:e>
            <m:d>
              <m:dPr>
                <m:begChr m:val="|"/>
                <m:endChr m:val="|"/>
              </m:dPr>
              <m:e>
                <m:r>
                  <w:rPr>
                    <w:rFonts w:ascii="Cambria Math" w:hAnsi="Cambria Math"/>
                  </w:rPr>
                  <m:t xml:space="preserve">e(k)</m:t>
                </m:r>
              </m:e>
            </m:d>
            <m:sSub>
              <m:e>
                <m:r>
                  <w:rPr>
                    <w:rFonts w:ascii="Cambria Math" w:hAnsi="Cambria Math"/>
                  </w:rPr>
                  <m:t xml:space="preserve">T</m:t>
                </m:r>
              </m:e>
              <m:sub>
                <m:r>
                  <m:rPr>
                    <m:sty m:val="p"/>
                  </m:rPr>
                  <w:rPr>
                    <w:rFonts w:ascii="Cambria Math" w:hAnsi="Cambria Math"/>
                  </w:rPr>
                  <m:t xml:space="preserve">c</m:t>
                </m:r>
              </m:sub>
            </m:sSub>
          </m:e>
        </m:nary>
        <m:r>
          <m:rPr>
            <m:nor/>
          </m:rPr>
          <w:rPr>
            <w:rFonts w:ascii="Times New Roman" w:hAnsi="Times New Roman"/>
          </w:rPr>
          <m:t xml:space="preserve">, pour </m:t>
        </m:r>
        <m:sSub>
          <m:e>
            <m:r>
              <w:rPr>
                <w:rFonts w:ascii="Cambria Math" w:hAnsi="Cambria Math"/>
              </w:rPr>
              <m:t xml:space="preserve">k</m:t>
            </m:r>
          </m:e>
          <m:sub>
            <m:r>
              <m:rPr>
                <m:sty m:val="p"/>
              </m:rPr>
              <w:rPr>
                <w:rFonts w:ascii="Cambria Math" w:hAnsi="Cambria Math"/>
              </w:rPr>
              <m:t xml:space="preserve">a</m:t>
            </m:r>
          </m:sub>
        </m:sSub>
        <m:r>
          <w:rPr>
            <w:rFonts w:ascii="Cambria Math" w:hAnsi="Cambria Math"/>
          </w:rPr>
          <m:t xml:space="preserve">≤k&lt;</m:t>
        </m:r>
        <m:sSub>
          <m:e>
            <m:r>
              <w:rPr>
                <w:rFonts w:ascii="Cambria Math" w:hAnsi="Cambria Math"/>
              </w:rPr>
              <m:t xml:space="preserve">k</m:t>
            </m:r>
          </m:e>
          <m:sub>
            <m:r>
              <m:rPr>
                <m:sty m:val="p"/>
              </m:rPr>
              <w:rPr>
                <w:rFonts w:ascii="Cambria Math" w:hAnsi="Cambria Math"/>
              </w:rPr>
              <m:t xml:space="preserve">b</m:t>
            </m:r>
          </m:sub>
        </m:sSub>
        <m:r>
          <m:rPr>
            <m:nor/>
          </m:rPr>
          <w:rPr>
            <w:rFonts w:ascii="Times New Roman" w:hAnsi="Times New Roman"/>
          </w:rPr>
          <m:t xml:space="preserve">,</m:t>
        </m:r>
      </m:oMath>
      <w:r>
        <w:tab/>
        <w:t xml:space="preserve">(5.1)</w:t>
      </w:r>
    </w:p>
    <w:p>
      <w:r>
        <w:t xml:space="preserve">où </w:t>
      </w:r>
      <w:r>
        <w:rPr>
          <w:i/>
          <w:iCs/>
        </w:rPr>
        <w:t xml:space="preserve">k</w:t>
      </w:r>
      <w:r>
        <w:t xml:space="preserve">a et </w:t>
      </w:r>
      <w:r>
        <w:rPr>
          <w:i/>
          <w:iCs/>
        </w:rPr>
        <w:t xml:space="preserve">k</w:t>
      </w:r>
      <w:r>
        <w:t xml:space="preserve">b sont les instants de début et de fin de la fenêtre. Elle s'exprime en mV·s. Cette grandeur et ses fenêtres ont été fixées avant le calcul. Dans les tableaux, le rapport IAE/IAE de Ziegler-Nichols est donné à côté pour faciliter la lecture ; il n'est jamais moyenné.</w:t>
      </w:r>
    </w:p>
    <w:p>
      <w:r>
        <w:t xml:space="preserve">D'autres grandeurs sont publiées à côté, sans changer le classement. Le dépassement est l'écart maximal de la tension au-dessus de 100 V pendant le démarrage, en pourcentage de la consigne. Le temps d'établissement est le dernier instant du démarrage où |</w:t>
      </w:r>
      <w:r>
        <w:rPr>
          <w:i/>
          <w:iCs/>
        </w:rPr>
        <w:t xml:space="preserve">e</w:t>
      </w:r>
      <w:r>
        <w:t xml:space="preserve">| dépasse 1 V, soit une bande de 1 % de la consigne, plus étroite que les bandes de 2 % ou 5 % usuelles [Ogata, 2010]. Après chaque événement, nous relevons l'écart maximal |</w:t>
      </w:r>
      <w:r>
        <w:rPr>
          <w:i/>
          <w:iCs/>
        </w:rPr>
        <w:t xml:space="preserve">e</w:t>
      </w:r>
      <w:r>
        <w:t xml:space="preserve">| dans la fenêtre de l'événement et le temps de retour dans la bande de ±1 V. Une tension qui sort encore de cette bande dans les 10 dernières millisecondes de la fenêtre est déclarée « non revenue ».</w:t>
      </w:r>
    </w:p>
    <w:p>
      <w:r>
        <w:t xml:space="preserve">L'erreur en régime permanent est la valeur absolue de la moyenne de </w:t>
      </w:r>
      <w:r>
        <w:rPr>
          <w:i/>
          <w:iCs/>
        </w:rPr>
        <w:t xml:space="preserve">e</w:t>
      </w:r>
      <w:r>
        <w:t xml:space="preserve"> sur les 5 ms qui précèdent chaque événement et sur les 10 dernières millisecondes de l'essai. Elle mesure un biais statique ; l'ondulation de la tension est donnée à part. L'ITAE [Graham et Lathrop, 1953] est publiée à titre descriptif :</w:t>
      </w:r>
    </w:p>
    <w:p>
      <w:pPr>
        <w:pStyle w:val="Equation"/>
      </w:pPr>
      <w:r>
        <w:tab/>
      </w:r>
      <m:oMath>
        <m:r>
          <m:rPr>
            <m:sty m:val="p"/>
          </m:rPr>
          <w:rPr>
            <w:rFonts w:ascii="Cambria Math" w:hAnsi="Cambria Math"/>
          </w:rPr>
          <m:t xml:space="preserve">ITAE</m:t>
        </m:r>
        <m:r>
          <w:rPr>
            <w:rFonts w:ascii="Cambria Math" w:hAnsi="Cambria Math"/>
          </w:rPr>
          <m:t xml:space="preserve">=</m:t>
        </m:r>
        <m:nary>
          <m:naryPr>
            <m:chr m:val="∑"/>
            <m:limLoc m:val="undOvr"/>
            <m:subHide m:val="1"/>
            <m:supHide m:val="1"/>
          </m:naryPr>
          <m:sub/>
          <m:sup/>
          <m:e>
            <m:r>
              <w:rPr>
                <w:rFonts w:ascii="Cambria Math" w:hAnsi="Cambria Math"/>
              </w:rPr>
              <m:t xml:space="preserve">τ(k)</m:t>
            </m:r>
            <m:d>
              <m:dPr>
                <m:begChr m:val="|"/>
                <m:endChr m:val="|"/>
              </m:dPr>
              <m:e>
                <m:r>
                  <w:rPr>
                    <w:rFonts w:ascii="Cambria Math" w:hAnsi="Cambria Math"/>
                  </w:rPr>
                  <m:t xml:space="preserve">e(k)</m:t>
                </m:r>
              </m:e>
            </m:d>
            <m:sSub>
              <m:e>
                <m:r>
                  <w:rPr>
                    <w:rFonts w:ascii="Cambria Math" w:hAnsi="Cambria Math"/>
                  </w:rPr>
                  <m:t xml:space="preserve">T</m:t>
                </m:r>
              </m:e>
              <m:sub>
                <m:r>
                  <m:rPr>
                    <m:sty m:val="p"/>
                  </m:rPr>
                  <w:rPr>
                    <w:rFonts w:ascii="Cambria Math" w:hAnsi="Cambria Math"/>
                  </w:rPr>
                  <m:t xml:space="preserve">c</m:t>
                </m:r>
              </m:sub>
            </m:sSub>
          </m:e>
        </m:nary>
        <m:r>
          <m:rPr>
            <m:nor/>
          </m:rPr>
          <w:rPr>
            <w:rFonts w:ascii="Times New Roman" w:hAnsi="Times New Roman"/>
          </w:rPr>
          <m:t xml:space="preserve">, pour </m:t>
        </m:r>
        <m:sSub>
          <m:e>
            <m:r>
              <w:rPr>
                <w:rFonts w:ascii="Cambria Math" w:hAnsi="Cambria Math"/>
              </w:rPr>
              <m:t xml:space="preserve">k</m:t>
            </m:r>
          </m:e>
          <m:sub>
            <m:r>
              <m:rPr>
                <m:sty m:val="p"/>
              </m:rPr>
              <w:rPr>
                <w:rFonts w:ascii="Cambria Math" w:hAnsi="Cambria Math"/>
              </w:rPr>
              <m:t xml:space="preserve">a</m:t>
            </m:r>
          </m:sub>
        </m:sSub>
        <m:r>
          <w:rPr>
            <w:rFonts w:ascii="Cambria Math" w:hAnsi="Cambria Math"/>
          </w:rPr>
          <m:t xml:space="preserve">≤k&lt;</m:t>
        </m:r>
        <m:sSub>
          <m:e>
            <m:r>
              <w:rPr>
                <w:rFonts w:ascii="Cambria Math" w:hAnsi="Cambria Math"/>
              </w:rPr>
              <m:t xml:space="preserve">k</m:t>
            </m:r>
          </m:e>
          <m:sub>
            <m:r>
              <m:rPr>
                <m:sty m:val="p"/>
              </m:rPr>
              <w:rPr>
                <w:rFonts w:ascii="Cambria Math" w:hAnsi="Cambria Math"/>
              </w:rPr>
              <m:t xml:space="preserve">b</m:t>
            </m:r>
          </m:sub>
        </m:sSub>
        <m:r>
          <m:rPr>
            <m:nor/>
          </m:rPr>
          <w:rPr>
            <w:rFonts w:ascii="Times New Roman" w:hAnsi="Times New Roman"/>
          </w:rPr>
          <m:t xml:space="preserve">,</m:t>
        </m:r>
      </m:oMath>
      <w:r>
        <w:tab/>
        <w:t xml:space="preserve">(5.2)</w:t>
      </w:r>
    </w:p>
    <w:p>
      <w:r>
        <w:t xml:space="preserve">où </w:t>
      </w:r>
      <w:r>
        <w:rPr>
          <w:i/>
          <w:iCs/>
        </w:rPr>
        <w:t xml:space="preserve">τ</w:t>
      </w:r>
      <w:r>
        <w:t xml:space="preserve">(</w:t>
      </w:r>
      <w:r>
        <w:rPr>
          <w:i/>
          <w:iCs/>
        </w:rPr>
        <w:t xml:space="preserve">k</w:t>
      </w:r>
      <w:r>
        <w:t xml:space="preserve">) = (</w:t>
      </w:r>
      <w:r>
        <w:rPr>
          <w:i/>
          <w:iCs/>
        </w:rPr>
        <w:t xml:space="preserve">k</w:t>
      </w:r>
      <w:r>
        <w:t xml:space="preserve"> − </w:t>
      </w:r>
      <w:r>
        <w:rPr>
          <w:i/>
          <w:iCs/>
        </w:rPr>
        <w:t xml:space="preserve">k</w:t>
      </w:r>
      <w:r>
        <w:t xml:space="preserve">a) </w:t>
      </w:r>
      <w:r>
        <w:rPr>
          <w:i/>
          <w:iCs/>
        </w:rPr>
        <w:t xml:space="preserve">T</w:t>
      </w:r>
      <w:r>
        <w:t xml:space="preserve">c est le temps compté depuis le début de la fenêtre de classement. Enfin, le temps de calcul d'un appel au régulateur, mesuré sur le banc Python, ne donne qu'un ordre de grandeur relatif entre méthodes, pas un temps d'exécution sur une cible embarquée.</w:t>
      </w:r>
    </w:p>
    <w:p>
      <w:r>
        <w:t xml:space="preserve">Deux méthodes ne sont classées l'une devant l'autre sur un scénario que si leur ordre reste le même dans cinq versions du circuit : le circuit nominal, puis </w:t>
      </w:r>
      <w:r>
        <w:rPr>
          <w:i/>
          <w:iCs/>
        </w:rPr>
        <w:t xml:space="preserve">L</w:t>
      </w:r>
      <w:r>
        <w:t xml:space="preserve"> à ±0,1 % et </w:t>
      </w:r>
      <w:r>
        <w:rPr>
          <w:i/>
          <w:iCs/>
        </w:rPr>
        <w:t xml:space="preserve">C</w:t>
      </w:r>
      <w:r>
        <w:t xml:space="preserve"> à ±0,1 %, les régulateurs restant inchangés. Sinon, elles sont déclarées « non séparées ». Cette règle tient au fonctionnement des méthodes adaptatives : un très petit changement du circuit peut avancer ou retarder un pas d'adaptation, et un écart d'IAE de quelques pour cent entre deux méthodes peut alors s'inverser. La règle mesure si un écart est structurel. Elle ne constitue pas une étude de robustesse aux tolérances réelles des composants, laissée au chapitre 6.</w:t>
      </w:r>
    </w:p>
    <w:p>
      <w:r>
        <w:t xml:space="preserve">Pendant la mise au point des méthodes, nous avons suivi un indice global, moyenne de treize rapports d'IAE à Ziegler-Nichols calculés sur les onze essais. Il ne sert pas à juger dans ce chapitre : une moyenne arithmétique de rapports dépend de la référence choisie au dénominateur et donne le même poids à tous les essais </w:t>
      </w:r>
      <w:r>
        <w:rPr>
          <w:highlight w:val="yellow"/>
        </w:rPr>
        <w:t xml:space="preserve">[RÉF. À VÉRIFIER : Fleming et Wallace, 1986]</w:t>
      </w:r>
      <w:r>
        <w:t xml:space="preserve">. Sa définition et ses valeurs sont publiées sur le dépôt GitHub.</w:t>
      </w:r>
    </w:p>
    <w:p>
      <w:pPr>
        <w:pStyle w:val="Heading2"/>
      </w:pPr>
      <w:r>
        <w:t xml:space="preserve">5.3. L'ELM-PID face au PID de Ziegler-Nichols</w:t>
      </w:r>
    </w:p>
    <w:p>
      <w:r>
        <w:t xml:space="preserve">L'ELM-PID part des gains de Ziegler-Nichols et les modifie ensuite en ligne. La comparaison entre ces deux régulateurs isole donc ce qu'apporte l'adaptation, sur le même bloc PID et le même convertisseur. Nous la menons scénario par scénario, du démarrage nominal au changement durable du point de fonctionnement, puis nous en faisons la synthèse (section 5.3.4).</w:t>
      </w:r>
    </w:p>
    <w:p>
      <w:pPr>
        <w:pStyle w:val="Heading3"/>
      </w:pPr>
      <w:r>
        <w:t xml:space="preserve">5.3.1. Démarrage nominal (S1)</w:t>
      </w:r>
    </w:p>
    <w:p>
      <w:r>
        <w:t xml:space="preserve">Au démarrage, les deux régulateurs donnent la même réponse : dépassement de 13,99 % et établissement dans la bande de ±1 V en 3,40 ms. Sur la fenêtre de 0 à 30 ms, l'IAE vaut 93,72 mV·s pour l'ELM-PID et 93,77 mV·s pour Ziegler-Nichols. L'ordre des deux méthodes est le même dans les cinq versions du circuit, et la règle de la section 5.2.3 les déclare donc séparées, mais l'écart de 0,05 % n'a pas de portée pratique. La figure 5.1 montre les deux tensions de sortie, presque superposées.</w:t>
      </w:r>
    </w:p>
    <w:p>
      <w:pPr>
        <w:pStyle w:val="Repere"/>
      </w:pPr>
      <w:r>
        <w:rPr>
          <w:highlight w:val="yellow"/>
        </w:rPr>
        <w:t xml:space="preserve">[FIGURE À INSÉRER, fichier : COMPARAISON/figures_chapitre5/Fig5_S1_A_ZN_ELM.png]</w:t>
      </w:r>
    </w:p>
    <w:p>
      <w:pPr>
        <w:pStyle w:val="Caption"/>
      </w:pPr>
      <w:r>
        <w:t xml:space="preserve">Figure 5.1 : Tension de sortie dans le scénario S1 (démarrage nominal) : PID de Ziegler-Nichols et ELM-PID. (a) Essai complet ; (b) agrandissement de 0 à 10 ms.</w:t>
      </w:r>
    </w:p>
    <w:p>
      <w:r>
        <w:t xml:space="preserve">L'explication tient au rapport cyclique (figure 5.2). Pendant la montée en tension, il est en butée pendant 1,791 ms au total, la dernière fois à 2,077 ms, pour les deux régulateurs. Or la boucle d'adaptation, reprise de [Lu et al., 2021], travaille par fenêtres de 0,5 ms et passe par une porte, qui suspend l'adaptation tant que la commande est en butée dans la fenêtre courante ou dans l'une des deux précédentes (section 4.4.2) : en saturation, le rapport cyclique ne dépend plus des gains, et le gradient calculé n'aurait pas de sens. Les gains ne changent donc qu'après la fin de la saturation. Sur S1, ils changent une seule fois, à 4 ms, et passent à 1,47 fois le gain proportionnel, 1,06 fois le gain intégral et 1,15 fois le gain dérivé de Ziegler-Nichols. Ils ne bougent plus ensuite. La montée elle-même s'est faite avec les gains de Ziegler-Nichols, d'où la même réponse.</w:t>
      </w:r>
    </w:p>
    <w:p>
      <w:pPr>
        <w:pStyle w:val="Repere"/>
      </w:pPr>
      <w:r>
        <w:rPr>
          <w:highlight w:val="yellow"/>
        </w:rPr>
        <w:t xml:space="preserve">[FIGURE À INSÉRER, fichier : COMPARAISON/figures_chapitre5/Fig5_S1_A_d_ZN_ELM.png]</w:t>
      </w:r>
    </w:p>
    <w:p>
      <w:pPr>
        <w:pStyle w:val="Caption"/>
      </w:pPr>
      <w:r>
        <w:t xml:space="preserve">Figure 5.2 : Rapport cyclique dans le scénario S1 : PID de Ziegler-Nichols et ELM-PID. (a) Essai complet ; (b) agrandissement de 0 à 10 ms.</w:t>
      </w:r>
    </w:p>
    <w:p>
      <w:pPr>
        <w:pStyle w:val="Heading3"/>
      </w:pPr>
      <w:r>
        <w:t xml:space="preserve">5.3.2. Perturbations brèves (S2, S3)</w:t>
      </w:r>
    </w:p>
    <w:p>
      <w:r>
        <w:t xml:space="preserve">Sur les perturbations brèves, l'ELM-PID fait mieux que Ziegler-Nichols. Sur S2, son IAE vaut 2,41 mV·s contre 2,84 mV·s, soit 15 % de moins ; sur S3, 6,41 mV·s contre 8,67 mV·s, soit 26 % de moins. Les deux paires sont séparées : l'IAE de Ziegler-Nichols dépasse celle de l'ELM-PID de 17,8 à 18,5 % sur S2 et de 34,8 à 35,7 % sur S3 selon la version du circuit. Les figures 5.3 et 5.4 donnent les tensions de sortie.</w:t>
      </w:r>
    </w:p>
    <w:p>
      <w:pPr>
        <w:pStyle w:val="Repere"/>
      </w:pPr>
      <w:r>
        <w:rPr>
          <w:highlight w:val="yellow"/>
        </w:rPr>
        <w:t xml:space="preserve">[FIGURE À INSÉRER, fichier : COMPARAISON/figures_chapitre5/Fig5_S2_A_ZN_ELM.png]</w:t>
      </w:r>
    </w:p>
    <w:p>
      <w:pPr>
        <w:pStyle w:val="Caption"/>
      </w:pPr>
      <w:r>
        <w:t xml:space="preserve">Figure 5.3 : Tension de sortie dans le scénario S2 (perturbation F1 sur la consigne) : PID de Ziegler-Nichols et ELM-PID. (a) Essai complet ; (b) agrandissement autour de 50 ms ; (c) agrandissement autour de 70 ms.</w:t>
      </w:r>
    </w:p>
    <w:p>
      <w:pPr>
        <w:pStyle w:val="Repere"/>
      </w:pPr>
      <w:r>
        <w:rPr>
          <w:highlight w:val="yellow"/>
        </w:rPr>
        <w:t xml:space="preserve">[FIGURE À INSÉRER, fichier : COMPARAISON/figures_chapitre5/Fig5_S3_A_ZN_ELM.png]</w:t>
      </w:r>
    </w:p>
    <w:p>
      <w:pPr>
        <w:pStyle w:val="Caption"/>
      </w:pPr>
      <w:r>
        <w:t xml:space="preserve">Figure 5.4 : Tension de sortie dans le scénario S3 (perturbation de charge F2) : PID de Ziegler-Nichols et ELM-PID. (a) Essai complet ; (b) agrandissement autour de 50 ms ; (c) agrandissement autour de 70 ms.</w:t>
      </w:r>
    </w:p>
    <w:p>
      <w:r>
        <w:t xml:space="preserve">L'écart maximal, lui, change à peine : 2,01 V pour les deux régulateurs sur S2, 5,66 V pour l'ELM-PID contre 5,73 V pour Ziegler-Nichols sur S3. La différence porte sur le retour. Sur S3, l'ELM-PID revient dans la bande de ±1 V en 0,87 ms aux deux échelons de charge, contre 1,05 et 1,49 ms pour Ziegler-Nichols.</w:t>
      </w:r>
    </w:p>
    <w:p>
      <w:r>
        <w:t xml:space="preserve">Les gains ne changent pas pendant les 20 ms de perturbation. À chaque événement, la fenêtre de l'événement et les deux suivantes sont saturées ou suivent une saturation, et la boucle d'adaptation reste bloquée. Quand elle se rouvre, 1,5 ms après la fin de la fenêtre saturée, soit 1,5 à 2 ms après l'événement, l'erreur moyenne de la fenêtre est déjà sous la zone morte de 0,1 V : la perturbation est rattrapée par le PID avant que la boucle lente puisse agir. Le gain de 15 à 26 % vient donc des gains atteints à 4 ms, à la fin du démarrage. Un PID aux gains fixes de 1,47, 1,06 et 1,15 fois ceux de Ziegler-Nichols, sans aucune adaptation, donne d'ailleurs la même IAE sur S3 (6,41 mV·s). Sur ces deux scénarios, l'ELM-PID a trouvé en ligne un meilleur réglage fixe ; il n'a pas réagi à la perturbation.</w:t>
      </w:r>
    </w:p>
    <w:p>
      <w:pPr>
        <w:pStyle w:val="Heading3"/>
      </w:pPr>
      <w:r>
        <w:t xml:space="preserve">5.3.3. Changement du point de fonctionnement (S8a, S10)</w:t>
      </w:r>
    </w:p>
    <w:p>
      <w:r>
        <w:t xml:space="preserve">À 25 Ω, l'amortissement apporté par la charge tombe de 1,46 à 0,29 (section 3.3). Les gains de Ziegler-Nichols, calculés au point nominal, ne conviennent plus. Sur S8a, l'IAE de Ziegler-Nichols vaut 12,07 mV·s contre 2,96 mV·s pour l'ELM-PID, soit 75 % de moins pour ce dernier. Juste avant le retour de la tension d'entrée à 200 V (5 ms avant 70 ms), l'ondulation de la tension de sortie atteint 252 mV crête à crête avec Ziegler-Nichols, contre 23 mV avec l'ELM-PID (figure 5.5). Les deux régulateurs ramènent cependant la tension dans la bande de ±1 V après chaque événement.</w:t>
      </w:r>
    </w:p>
    <w:p>
      <w:pPr>
        <w:pStyle w:val="Repere"/>
      </w:pPr>
      <w:r>
        <w:rPr>
          <w:highlight w:val="yellow"/>
        </w:rPr>
        <w:t xml:space="preserve">[FIGURE À INSÉRER, fichier : COMPARAISON/figures_chapitre5/Fig5_S8a_A_ZN_ELM.png]</w:t>
      </w:r>
    </w:p>
    <w:p>
      <w:pPr>
        <w:pStyle w:val="Caption"/>
      </w:pPr>
      <w:r>
        <w:t xml:space="preserve">Figure 5.5 : Tension de sortie dans le scénario S8a (charge de 25 Ω, variations de </w:t>
      </w:r>
      <w:r>
        <w:rPr>
          <w:i/>
          <w:iCs/>
        </w:rPr>
        <w:t xml:space="preserve">V</w:t>
      </w:r>
      <w:r>
        <w:t xml:space="preserve">in) : PID de Ziegler-Nichols et ELM-PID. (a) Essai complet ; (b) à (e) agrandissements autour de 50, 70, 100 et 120 ms.</w:t>
      </w:r>
    </w:p>
    <w:p>
      <w:r>
        <w:t xml:space="preserve">S10 accentue cet écart (figure 5.6). Au nouveau point de fonctionnement (160 V, 25 Ω), Ziegler-Nichols oscille vers 1,4 kHz et la tension ne revient pas dans la bande de ±1 V avant l'événement suivant pour quatre des six échelons de charge. Son IAE de 100 ms à la fin vaut 70,48 mV·s, et son erreur moyenne sur les 10 dernières millisecondes est encore de 9,23 mV. L'ELM-PID obtient 8,63 mV·s, soit 88 % de moins, et revient dans la bande après chaque échelon, en 0,16 à 1,22 ms.</w:t>
      </w:r>
    </w:p>
    <w:p>
      <w:pPr>
        <w:pStyle w:val="Repere"/>
      </w:pPr>
      <w:r>
        <w:rPr>
          <w:highlight w:val="yellow"/>
        </w:rPr>
        <w:t xml:space="preserve">[FIGURE À INSÉRER, fichier : COMPARAISON/figures_chapitre5/Fig5_S10_A_ZN_ELM.png]</w:t>
      </w:r>
    </w:p>
    <w:p>
      <w:pPr>
        <w:pStyle w:val="Caption"/>
      </w:pPr>
      <w:r>
        <w:t xml:space="preserve">Figure 5.6 : Tension de sortie dans le scénario S10 (changement durable du point de fonctionnement) : PID de Ziegler-Nichols et ELM-PID. (a) Essai complet ; (b) à (e) agrandissements autour de 50, 100, 115 et 130 ms. Les événements à 145, 160 et 175 ms ne figurent que dans le panneau (a).</w:t>
      </w:r>
    </w:p>
    <w:p>
      <w:r>
        <w:t xml:space="preserve">Une part de cet écart ne doit rien à l'adaptation au nouveau point. S10 a été conçu pour la mesurer : la même simulation est refaite en figeant les gains de l'ELM-PID à 50 ms, juste avant le changement de point de fonctionnement. Le tableau 5.3 compare les deux versions.</w:t>
      </w:r>
    </w:p>
    <w:p>
      <w:pPr>
        <w:pStyle w:val="LegendeTableau"/>
      </w:pPr>
      <w:r>
        <w:t xml:space="preserve">Tableau 5.3 : ELM-PID adaptatif et ELM-PID à gains figés à 50 ms dans le scénario S10.</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348"/>
        <w:gridCol w:w="2278"/>
        <w:gridCol w:w="2161"/>
      </w:tblGrid>
      <w:tr>
        <w:trPr>
          <w:cantSplit/>
          <w:tblHeader/>
        </w:trPr>
        <w:tc>
          <w:tcPr>
            <w:tcW w:type="dxa" w:w="4348"/>
            <w:tcMar>
              <w:top w:type="dxa" w:w="40"/>
              <w:left w:type="dxa" w:w="80"/>
              <w:bottom w:type="dxa" w:w="40"/>
              <w:right w:type="dxa" w:w="80"/>
            </w:tcMar>
            <w:vAlign w:val="center"/>
          </w:tcPr>
          <w:p>
            <w:pPr>
              <w:pStyle w:val="TexteTableau"/>
              <w:jc w:val="left"/>
            </w:pPr>
            <w:r>
              <w:rPr>
                <w:b/>
                <w:bCs/>
              </w:rPr>
              <w:t xml:space="preserve">Grandeur</w:t>
            </w:r>
          </w:p>
        </w:tc>
        <w:tc>
          <w:tcPr>
            <w:tcW w:type="dxa" w:w="2278"/>
            <w:tcMar>
              <w:top w:type="dxa" w:w="40"/>
              <w:left w:type="dxa" w:w="80"/>
              <w:bottom w:type="dxa" w:w="40"/>
              <w:right w:type="dxa" w:w="80"/>
            </w:tcMar>
            <w:vAlign w:val="center"/>
          </w:tcPr>
          <w:p>
            <w:pPr>
              <w:pStyle w:val="TexteTableau"/>
              <w:jc w:val="center"/>
            </w:pPr>
            <w:r>
              <w:rPr>
                <w:b/>
                <w:bCs/>
              </w:rPr>
              <w:t xml:space="preserve">Gains figés à 50 ms</w:t>
            </w:r>
          </w:p>
        </w:tc>
        <w:tc>
          <w:tcPr>
            <w:tcW w:type="dxa" w:w="2161"/>
            <w:tcMar>
              <w:top w:type="dxa" w:w="40"/>
              <w:left w:type="dxa" w:w="80"/>
              <w:bottom w:type="dxa" w:w="40"/>
              <w:right w:type="dxa" w:w="80"/>
            </w:tcMar>
            <w:vAlign w:val="center"/>
          </w:tcPr>
          <w:p>
            <w:pPr>
              <w:pStyle w:val="TexteTableau"/>
              <w:jc w:val="center"/>
            </w:pPr>
            <w:r>
              <w:rPr>
                <w:b/>
                <w:bCs/>
              </w:rPr>
              <w:t xml:space="preserve">Adaptatif</w:t>
            </w:r>
          </w:p>
        </w:tc>
      </w:tr>
      <w:tr>
        <w:trPr>
          <w:cantSplit/>
          <w:tblHeader w:val="false"/>
        </w:trPr>
        <w:tc>
          <w:tcPr>
            <w:tcW w:type="dxa" w:w="4348"/>
            <w:tcMar>
              <w:top w:type="dxa" w:w="40"/>
              <w:left w:type="dxa" w:w="80"/>
              <w:bottom w:type="dxa" w:w="40"/>
              <w:right w:type="dxa" w:w="80"/>
            </w:tcMar>
            <w:vAlign w:val="center"/>
          </w:tcPr>
          <w:p>
            <w:pPr>
              <w:pStyle w:val="TexteTableau"/>
              <w:jc w:val="left"/>
            </w:pPr>
            <w:r>
              <w:t xml:space="preserve">IAE de 100 ms à la fin (mV·s)</w:t>
            </w:r>
          </w:p>
        </w:tc>
        <w:tc>
          <w:tcPr>
            <w:tcW w:type="dxa" w:w="2278"/>
            <w:tcMar>
              <w:top w:type="dxa" w:w="40"/>
              <w:left w:type="dxa" w:w="80"/>
              <w:bottom w:type="dxa" w:w="40"/>
              <w:right w:type="dxa" w:w="80"/>
            </w:tcMar>
            <w:vAlign w:val="center"/>
          </w:tcPr>
          <w:p>
            <w:pPr>
              <w:pStyle w:val="TexteTableau"/>
              <w:jc w:val="center"/>
            </w:pPr>
            <w:r>
              <w:t xml:space="preserve">14,60</w:t>
            </w:r>
          </w:p>
        </w:tc>
        <w:tc>
          <w:tcPr>
            <w:tcW w:type="dxa" w:w="2161"/>
            <w:tcMar>
              <w:top w:type="dxa" w:w="40"/>
              <w:left w:type="dxa" w:w="80"/>
              <w:bottom w:type="dxa" w:w="40"/>
              <w:right w:type="dxa" w:w="80"/>
            </w:tcMar>
            <w:vAlign w:val="center"/>
          </w:tcPr>
          <w:p>
            <w:pPr>
              <w:pStyle w:val="TexteTableau"/>
              <w:jc w:val="center"/>
            </w:pPr>
            <w:r>
              <w:t xml:space="preserve">8,63</w:t>
            </w:r>
          </w:p>
        </w:tc>
      </w:tr>
      <w:tr>
        <w:trPr>
          <w:cantSplit/>
          <w:tblHeader w:val="false"/>
        </w:trPr>
        <w:tc>
          <w:tcPr>
            <w:tcW w:type="dxa" w:w="4348"/>
            <w:tcMar>
              <w:top w:type="dxa" w:w="40"/>
              <w:left w:type="dxa" w:w="80"/>
              <w:bottom w:type="dxa" w:w="40"/>
              <w:right w:type="dxa" w:w="80"/>
            </w:tcMar>
            <w:vAlign w:val="center"/>
          </w:tcPr>
          <w:p>
            <w:pPr>
              <w:pStyle w:val="TexteTableau"/>
              <w:jc w:val="left"/>
            </w:pPr>
            <w:r>
              <w:t xml:space="preserve">Écart maximal de 100 ms à la fin (V)</w:t>
            </w:r>
          </w:p>
        </w:tc>
        <w:tc>
          <w:tcPr>
            <w:tcW w:type="dxa" w:w="2278"/>
            <w:tcMar>
              <w:top w:type="dxa" w:w="40"/>
              <w:left w:type="dxa" w:w="80"/>
              <w:bottom w:type="dxa" w:w="40"/>
              <w:right w:type="dxa" w:w="80"/>
            </w:tcMar>
            <w:vAlign w:val="center"/>
          </w:tcPr>
          <w:p>
            <w:pPr>
              <w:pStyle w:val="TexteTableau"/>
              <w:jc w:val="center"/>
            </w:pPr>
            <w:r>
              <w:t xml:space="preserve">2,29</w:t>
            </w:r>
          </w:p>
        </w:tc>
        <w:tc>
          <w:tcPr>
            <w:tcW w:type="dxa" w:w="2161"/>
            <w:tcMar>
              <w:top w:type="dxa" w:w="40"/>
              <w:left w:type="dxa" w:w="80"/>
              <w:bottom w:type="dxa" w:w="40"/>
              <w:right w:type="dxa" w:w="80"/>
            </w:tcMar>
            <w:vAlign w:val="center"/>
          </w:tcPr>
          <w:p>
            <w:pPr>
              <w:pStyle w:val="TexteTableau"/>
              <w:jc w:val="center"/>
            </w:pPr>
            <w:r>
              <w:t xml:space="preserve">1,91</w:t>
            </w:r>
          </w:p>
        </w:tc>
      </w:tr>
      <w:tr>
        <w:trPr>
          <w:cantSplit/>
          <w:tblHeader w:val="false"/>
        </w:trPr>
        <w:tc>
          <w:tcPr>
            <w:tcW w:type="dxa" w:w="4348"/>
            <w:tcMar>
              <w:top w:type="dxa" w:w="40"/>
              <w:left w:type="dxa" w:w="80"/>
              <w:bottom w:type="dxa" w:w="40"/>
              <w:right w:type="dxa" w:w="80"/>
            </w:tcMar>
            <w:vAlign w:val="center"/>
          </w:tcPr>
          <w:p>
            <w:pPr>
              <w:pStyle w:val="TexteTableau"/>
              <w:jc w:val="left"/>
            </w:pPr>
            <w:r>
              <w:t xml:space="preserve">Temps de retour dans ±1 V par échelon (ms)</w:t>
            </w:r>
          </w:p>
        </w:tc>
        <w:tc>
          <w:tcPr>
            <w:tcW w:type="dxa" w:w="2278"/>
            <w:tcMar>
              <w:top w:type="dxa" w:w="40"/>
              <w:left w:type="dxa" w:w="80"/>
              <w:bottom w:type="dxa" w:w="40"/>
              <w:right w:type="dxa" w:w="80"/>
            </w:tcMar>
            <w:vAlign w:val="center"/>
          </w:tcPr>
          <w:p>
            <w:pPr>
              <w:pStyle w:val="TexteTableau"/>
              <w:jc w:val="center"/>
            </w:pPr>
            <w:r>
              <w:t xml:space="preserve">0,76 à 1,62</w:t>
            </w:r>
          </w:p>
        </w:tc>
        <w:tc>
          <w:tcPr>
            <w:tcW w:type="dxa" w:w="2161"/>
            <w:tcMar>
              <w:top w:type="dxa" w:w="40"/>
              <w:left w:type="dxa" w:w="80"/>
              <w:bottom w:type="dxa" w:w="40"/>
              <w:right w:type="dxa" w:w="80"/>
            </w:tcMar>
            <w:vAlign w:val="center"/>
          </w:tcPr>
          <w:p>
            <w:pPr>
              <w:pStyle w:val="TexteTableau"/>
              <w:jc w:val="center"/>
            </w:pPr>
            <w:r>
              <w:t xml:space="preserve">0,16 à 1,22</w:t>
            </w:r>
          </w:p>
        </w:tc>
      </w:tr>
      <w:tr>
        <w:trPr>
          <w:cantSplit/>
          <w:tblHeader w:val="false"/>
        </w:trPr>
        <w:tc>
          <w:tcPr>
            <w:tcW w:type="dxa" w:w="4348"/>
            <w:tcMar>
              <w:top w:type="dxa" w:w="40"/>
              <w:left w:type="dxa" w:w="80"/>
              <w:bottom w:type="dxa" w:w="40"/>
              <w:right w:type="dxa" w:w="80"/>
            </w:tcMar>
            <w:vAlign w:val="center"/>
          </w:tcPr>
          <w:p>
            <w:pPr>
              <w:pStyle w:val="TexteTableau"/>
              <w:jc w:val="left"/>
            </w:pPr>
            <w:r>
              <w:t xml:space="preserve">IAE de 50 à 100 ms, réajustement (mV·s)</w:t>
            </w:r>
          </w:p>
        </w:tc>
        <w:tc>
          <w:tcPr>
            <w:tcW w:type="dxa" w:w="2278"/>
            <w:tcMar>
              <w:top w:type="dxa" w:w="40"/>
              <w:left w:type="dxa" w:w="80"/>
              <w:bottom w:type="dxa" w:w="40"/>
              <w:right w:type="dxa" w:w="80"/>
            </w:tcMar>
            <w:vAlign w:val="center"/>
          </w:tcPr>
          <w:p>
            <w:pPr>
              <w:pStyle w:val="TexteTableau"/>
              <w:jc w:val="center"/>
            </w:pPr>
            <w:r>
              <w:t xml:space="preserve">129,97</w:t>
            </w:r>
          </w:p>
        </w:tc>
        <w:tc>
          <w:tcPr>
            <w:tcW w:type="dxa" w:w="2161"/>
            <w:tcMar>
              <w:top w:type="dxa" w:w="40"/>
              <w:left w:type="dxa" w:w="80"/>
              <w:bottom w:type="dxa" w:w="40"/>
              <w:right w:type="dxa" w:w="80"/>
            </w:tcMar>
            <w:vAlign w:val="center"/>
          </w:tcPr>
          <w:p>
            <w:pPr>
              <w:pStyle w:val="TexteTableau"/>
              <w:jc w:val="center"/>
            </w:pPr>
            <w:r>
              <w:t xml:space="preserve">129,89</w:t>
            </w:r>
          </w:p>
        </w:tc>
      </w:tr>
      <w:tr>
        <w:trPr>
          <w:cantSplit/>
          <w:tblHeader w:val="false"/>
        </w:trPr>
        <w:tc>
          <w:tcPr>
            <w:tcW w:type="dxa" w:w="4348"/>
            <w:tcMar>
              <w:top w:type="dxa" w:w="40"/>
              <w:left w:type="dxa" w:w="80"/>
              <w:bottom w:type="dxa" w:w="40"/>
              <w:right w:type="dxa" w:w="80"/>
            </w:tcMar>
            <w:vAlign w:val="center"/>
          </w:tcPr>
          <w:p>
            <w:pPr>
              <w:pStyle w:val="TexteTableau"/>
              <w:jc w:val="left"/>
            </w:pPr>
            <w:r>
              <w:t xml:space="preserve">Gains </w:t>
            </w:r>
            <w:r>
              <w:rPr>
                <w:i/>
                <w:iCs/>
              </w:rPr>
              <w:t xml:space="preserve">P</w:t>
            </w:r>
            <w:r>
              <w:t xml:space="preserve">, </w:t>
            </w:r>
            <w:r>
              <w:rPr>
                <w:i/>
                <w:iCs/>
              </w:rPr>
              <w:t xml:space="preserve">I</w:t>
            </w:r>
            <w:r>
              <w:t xml:space="preserve">, </w:t>
            </w:r>
            <w:r>
              <w:rPr>
                <w:i/>
                <w:iCs/>
              </w:rPr>
              <w:t xml:space="preserve">D</w:t>
            </w:r>
            <w:r>
              <w:t xml:space="preserve"> à la fin, rapportés à Ziegler-Nichols</w:t>
            </w:r>
          </w:p>
        </w:tc>
        <w:tc>
          <w:tcPr>
            <w:tcW w:type="dxa" w:w="2278"/>
            <w:tcMar>
              <w:top w:type="dxa" w:w="40"/>
              <w:left w:type="dxa" w:w="80"/>
              <w:bottom w:type="dxa" w:w="40"/>
              <w:right w:type="dxa" w:w="80"/>
            </w:tcMar>
            <w:vAlign w:val="center"/>
          </w:tcPr>
          <w:p>
            <w:pPr>
              <w:pStyle w:val="TexteTableau"/>
              <w:jc w:val="center"/>
            </w:pPr>
            <w:r>
              <w:t xml:space="preserve">1,47 ; 1,06 ; 1,15</w:t>
            </w:r>
          </w:p>
        </w:tc>
        <w:tc>
          <w:tcPr>
            <w:tcW w:type="dxa" w:w="2161"/>
            <w:tcMar>
              <w:top w:type="dxa" w:w="40"/>
              <w:left w:type="dxa" w:w="80"/>
              <w:bottom w:type="dxa" w:w="40"/>
              <w:right w:type="dxa" w:w="80"/>
            </w:tcMar>
            <w:vAlign w:val="center"/>
          </w:tcPr>
          <w:p>
            <w:pPr>
              <w:pStyle w:val="TexteTableau"/>
              <w:jc w:val="center"/>
            </w:pPr>
            <w:r>
              <w:t xml:space="preserve">3,37 ; 2,07 ; 1,35</w:t>
            </w:r>
          </w:p>
        </w:tc>
      </w:tr>
    </w:tbl>
    <w:p>
      <w:pPr>
        <w:spacing w:before="240"/>
      </w:pPr>
      <w:r>
        <w:t xml:space="preserve">Figés à 50 ms, les gains de l'ELM-PID donnent déjà 14,60 mV·s, contre 70,48 mV·s pour Ziegler-Nichols : la plus grande part de l'écart vient du réglage trouvé à la fin du démarrage. L'adaptation poursuivie après 50 ms réduit encore l'IAE de 41 %, de 14,60 à 8,63 mV·s. Elle n'agit pas pendant le réajustement de 50 à 100 ms (129,89 contre 129,97 mV·s), dominé par la surtension qui suit la chute du courant de charge, mais ensuite, d'un échelon de charge à l'autre. Sur S8a, une analyse faite après le calcul, et non prévue, donne un résultat de même sens : un PID aux gains fixes de 1,47, 1,06 et 1,15 fois ceux de Ziegler-Nichols obtient 3,87 mV·s, contre 2,96 mV·s pour l'ELM-PID adaptatif.</w:t>
      </w:r>
    </w:p>
    <w:p>
      <w:r>
        <w:t xml:space="preserve">La figure 5.7 montre comment les gains évoluent. Ceux de l'ELM-PID passent de 1,47, 1,06 et 1,15 fois ceux de Ziegler-Nichols à 50 ms, à 2,48, 1,83 et 1,22 fois à 100 ms, puis à 3,37, 2,07 et 1,35 fois en fin d'essai. L'ELM-PID monte surtout les gains proportionnel et intégral, et presque pas le gain dérivé. La figure donne aussi les gains des autres méthodes, discutés à la section 5.4.</w:t>
      </w:r>
    </w:p>
    <w:p>
      <w:pPr>
        <w:pStyle w:val="Repere"/>
      </w:pPr>
      <w:r>
        <w:rPr>
          <w:highlight w:val="yellow"/>
        </w:rPr>
        <w:t xml:space="preserve">[FIGURE À INSÉRER, fichier : COMPARAISON/figures_chapitre5/Fig5_S10_gains.png]</w:t>
      </w:r>
    </w:p>
    <w:p>
      <w:pPr>
        <w:pStyle w:val="Caption"/>
      </w:pPr>
      <w:r>
        <w:t xml:space="preserve">Figure 5.7 : Gains </w:t>
      </w:r>
      <w:r>
        <w:rPr>
          <w:i/>
          <w:iCs/>
        </w:rPr>
        <w:t xml:space="preserve">P</w:t>
      </w:r>
      <w:r>
        <w:t xml:space="preserve"> (a), </w:t>
      </w:r>
      <w:r>
        <w:rPr>
          <w:i/>
          <w:iCs/>
        </w:rPr>
        <w:t xml:space="preserve">I</w:t>
      </w:r>
      <w:r>
        <w:t xml:space="preserve"> (b) et </w:t>
      </w:r>
      <w:r>
        <w:rPr>
          <w:i/>
          <w:iCs/>
        </w:rPr>
        <w:t xml:space="preserve">D</w:t>
      </w:r>
      <w:r>
        <w:t xml:space="preserve"> (c) rapportés à ceux de Ziegler-Nichols dans le scénario S10, pour les cinq méthodes.</w:t>
      </w:r>
    </w:p>
    <w:p>
      <w:r>
        <w:t xml:space="preserve">L'adaptation a un coût sur la commande (figure 5.8). Sur la fenêtre de classement de S10, l'ELM-PID est la méthode qui passe le plus de temps avec le rapport cyclique en butée (0,6 % des instants), et la seule qui y touche encore à 175 ms (dernier instant à 175,45 ms, contre environ 160 ms pour le PSO-PID et le PINN-PID, et 53,5 et 52,3 ms pour Ziegler-Nichols et le Fuzzy-PID). Sa variation moyenne du rapport cyclique d'une période à l'autre (0,0041) reste en revanche inférieure à celle du PSO-PID (0,0062). Son résultat est enfin sensible à de très petits écarts du circuit : avec </w:t>
      </w:r>
      <w:r>
        <w:rPr>
          <w:i/>
          <w:iCs/>
        </w:rPr>
        <w:t xml:space="preserve">L</w:t>
      </w:r>
      <w:r>
        <w:t xml:space="preserve"> augmentée de 0,1 %, son IAE sur S10 passe de 8,63 à 7,88 mV·s, alors que celle des autres méthodes bouge de moins de 2 %. Cette sensibilité ne change pas le verdict face à Ziegler-Nichols, dont l'IAE reste de 709 à 802 % plus élevée selon la version du circuit.</w:t>
      </w:r>
    </w:p>
    <w:p>
      <w:pPr>
        <w:pStyle w:val="Repere"/>
      </w:pPr>
      <w:r>
        <w:rPr>
          <w:highlight w:val="yellow"/>
        </w:rPr>
        <w:t xml:space="preserve">[FIGURE À INSÉRER, fichier : COMPARAISON/figures_chapitre5/Fig5_S10_A_d_ZN_ELM.png]</w:t>
      </w:r>
    </w:p>
    <w:p>
      <w:pPr>
        <w:pStyle w:val="Caption"/>
      </w:pPr>
      <w:r>
        <w:t xml:space="preserve">Figure 5.8 : Rapport cyclique dans le scénario S10 : PID de Ziegler-Nichols et ELM-PID. (a) Essai complet ; (b) à (e) agrandissements autour de 50, 100, 115 et 130 ms.</w:t>
      </w:r>
    </w:p>
    <w:p>
      <w:pPr>
        <w:pStyle w:val="Heading3"/>
      </w:pPr>
      <w:r>
        <w:t xml:space="preserve">5.3.4. Synthèse</w:t>
      </w:r>
    </w:p>
    <w:p>
      <w:r>
        <w:t xml:space="preserve">Le tableau 5.4 rassemble les résultats des cinq scénarios.</w:t>
      </w:r>
    </w:p>
    <w:p>
      <w:pPr>
        <w:pStyle w:val="LegendeTableau"/>
      </w:pPr>
      <w:r>
        <w:t xml:space="preserve">Tableau 5.4 : Comparaison de l'ELM-PID et du PID de Ziegler-Nichols (ZN) sur les cinq scénarios.</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40"/>
        <w:gridCol w:w="923"/>
        <w:gridCol w:w="1065"/>
        <w:gridCol w:w="1250"/>
        <w:gridCol w:w="1708"/>
        <w:gridCol w:w="1353"/>
        <w:gridCol w:w="1448"/>
      </w:tblGrid>
      <w:tr>
        <w:trPr>
          <w:cantSplit/>
          <w:tblHeader/>
        </w:trPr>
        <w:tc>
          <w:tcPr>
            <w:tcW w:type="dxa" w:w="1040"/>
            <w:tcMar>
              <w:top w:type="dxa" w:w="40"/>
              <w:left w:type="dxa" w:w="80"/>
              <w:bottom w:type="dxa" w:w="40"/>
              <w:right w:type="dxa" w:w="80"/>
            </w:tcMar>
            <w:vAlign w:val="center"/>
          </w:tcPr>
          <w:p>
            <w:pPr>
              <w:pStyle w:val="TexteTableau"/>
              <w:jc w:val="left"/>
            </w:pPr>
            <w:r>
              <w:rPr>
                <w:b/>
                <w:bCs/>
              </w:rPr>
              <w:t xml:space="preserve">Scénario</w:t>
            </w:r>
          </w:p>
        </w:tc>
        <w:tc>
          <w:tcPr>
            <w:tcW w:type="dxa" w:w="923"/>
            <w:tcMar>
              <w:top w:type="dxa" w:w="40"/>
              <w:left w:type="dxa" w:w="80"/>
              <w:bottom w:type="dxa" w:w="40"/>
              <w:right w:type="dxa" w:w="80"/>
            </w:tcMar>
            <w:vAlign w:val="center"/>
          </w:tcPr>
          <w:p>
            <w:pPr>
              <w:pStyle w:val="TexteTableau"/>
              <w:jc w:val="center"/>
            </w:pPr>
            <w:r>
              <w:rPr>
                <w:b/>
                <w:bCs/>
              </w:rPr>
              <w:t xml:space="preserve">IAE ZN (mV·s)</w:t>
            </w:r>
          </w:p>
        </w:tc>
        <w:tc>
          <w:tcPr>
            <w:tcW w:type="dxa" w:w="1065"/>
            <w:tcMar>
              <w:top w:type="dxa" w:w="40"/>
              <w:left w:type="dxa" w:w="80"/>
              <w:bottom w:type="dxa" w:w="40"/>
              <w:right w:type="dxa" w:w="80"/>
            </w:tcMar>
            <w:vAlign w:val="center"/>
          </w:tcPr>
          <w:p>
            <w:pPr>
              <w:pStyle w:val="TexteTableau"/>
              <w:jc w:val="center"/>
            </w:pPr>
            <w:r>
              <w:rPr>
                <w:b/>
                <w:bCs/>
              </w:rPr>
              <w:t xml:space="preserve">IAE ELM-PID (mV·s)</w:t>
            </w:r>
          </w:p>
        </w:tc>
        <w:tc>
          <w:tcPr>
            <w:tcW w:type="dxa" w:w="1250"/>
            <w:tcMar>
              <w:top w:type="dxa" w:w="40"/>
              <w:left w:type="dxa" w:w="80"/>
              <w:bottom w:type="dxa" w:w="40"/>
              <w:right w:type="dxa" w:w="80"/>
            </w:tcMar>
            <w:vAlign w:val="center"/>
          </w:tcPr>
          <w:p>
            <w:pPr>
              <w:pStyle w:val="TexteTableau"/>
              <w:jc w:val="center"/>
            </w:pPr>
            <w:r>
              <w:rPr>
                <w:b/>
                <w:bCs/>
              </w:rPr>
              <w:t xml:space="preserve">ELM-PID/ZN</w:t>
            </w:r>
          </w:p>
        </w:tc>
        <w:tc>
          <w:tcPr>
            <w:tcW w:type="dxa" w:w="1708"/>
            <w:tcMar>
              <w:top w:type="dxa" w:w="40"/>
              <w:left w:type="dxa" w:w="80"/>
              <w:bottom w:type="dxa" w:w="40"/>
              <w:right w:type="dxa" w:w="80"/>
            </w:tcMar>
            <w:vAlign w:val="center"/>
          </w:tcPr>
          <w:p>
            <w:pPr>
              <w:pStyle w:val="TexteTableau"/>
              <w:jc w:val="center"/>
            </w:pPr>
            <w:r>
              <w:rPr>
                <w:b/>
                <w:bCs/>
              </w:rPr>
              <w:t xml:space="preserve">Séparation (écart de ZN sur l'ELM-PID)</w:t>
            </w:r>
          </w:p>
        </w:tc>
        <w:tc>
          <w:tcPr>
            <w:tcW w:type="dxa" w:w="1353"/>
            <w:tcMar>
              <w:top w:type="dxa" w:w="40"/>
              <w:left w:type="dxa" w:w="80"/>
              <w:bottom w:type="dxa" w:w="40"/>
              <w:right w:type="dxa" w:w="80"/>
            </w:tcMar>
            <w:vAlign w:val="center"/>
          </w:tcPr>
          <w:p>
            <w:pPr>
              <w:pStyle w:val="TexteTableau"/>
              <w:jc w:val="center"/>
            </w:pPr>
            <w:r>
              <w:rPr>
                <w:b/>
                <w:bCs/>
              </w:rPr>
              <w:t xml:space="preserve">Écart maximal ZN / ELM-PID (V)</w:t>
            </w:r>
          </w:p>
        </w:tc>
        <w:tc>
          <w:tcPr>
            <w:tcW w:type="dxa" w:w="1448"/>
            <w:tcMar>
              <w:top w:type="dxa" w:w="40"/>
              <w:left w:type="dxa" w:w="80"/>
              <w:bottom w:type="dxa" w:w="40"/>
              <w:right w:type="dxa" w:w="80"/>
            </w:tcMar>
            <w:vAlign w:val="center"/>
          </w:tcPr>
          <w:p>
            <w:pPr>
              <w:pStyle w:val="TexteTableau"/>
              <w:jc w:val="center"/>
            </w:pPr>
            <w:r>
              <w:rPr>
                <w:b/>
                <w:bCs/>
              </w:rPr>
              <w:t xml:space="preserve">Erreur statique ZN / ELM-PID (mV)</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S1</w:t>
            </w:r>
          </w:p>
        </w:tc>
        <w:tc>
          <w:tcPr>
            <w:tcW w:type="dxa" w:w="923"/>
            <w:tcMar>
              <w:top w:type="dxa" w:w="40"/>
              <w:left w:type="dxa" w:w="80"/>
              <w:bottom w:type="dxa" w:w="40"/>
              <w:right w:type="dxa" w:w="80"/>
            </w:tcMar>
            <w:vAlign w:val="center"/>
          </w:tcPr>
          <w:p>
            <w:pPr>
              <w:pStyle w:val="TexteTableau"/>
              <w:jc w:val="center"/>
            </w:pPr>
            <w:r>
              <w:t xml:space="preserve">93,77</w:t>
            </w:r>
          </w:p>
        </w:tc>
        <w:tc>
          <w:tcPr>
            <w:tcW w:type="dxa" w:w="1065"/>
            <w:tcMar>
              <w:top w:type="dxa" w:w="40"/>
              <w:left w:type="dxa" w:w="80"/>
              <w:bottom w:type="dxa" w:w="40"/>
              <w:right w:type="dxa" w:w="80"/>
            </w:tcMar>
            <w:vAlign w:val="center"/>
          </w:tcPr>
          <w:p>
            <w:pPr>
              <w:pStyle w:val="TexteTableau"/>
              <w:jc w:val="center"/>
            </w:pPr>
            <w:r>
              <w:t xml:space="preserve">93,72</w:t>
            </w:r>
          </w:p>
        </w:tc>
        <w:tc>
          <w:tcPr>
            <w:tcW w:type="dxa" w:w="1250"/>
            <w:tcMar>
              <w:top w:type="dxa" w:w="40"/>
              <w:left w:type="dxa" w:w="80"/>
              <w:bottom w:type="dxa" w:w="40"/>
              <w:right w:type="dxa" w:w="80"/>
            </w:tcMar>
            <w:vAlign w:val="center"/>
          </w:tcPr>
          <w:p>
            <w:pPr>
              <w:pStyle w:val="TexteTableau"/>
              <w:jc w:val="center"/>
            </w:pPr>
            <w:r>
              <w:t xml:space="preserve">0,999</w:t>
            </w:r>
          </w:p>
        </w:tc>
        <w:tc>
          <w:tcPr>
            <w:tcW w:type="dxa" w:w="1708"/>
            <w:tcMar>
              <w:top w:type="dxa" w:w="40"/>
              <w:left w:type="dxa" w:w="80"/>
              <w:bottom w:type="dxa" w:w="40"/>
              <w:right w:type="dxa" w:w="80"/>
            </w:tcMar>
            <w:vAlign w:val="center"/>
          </w:tcPr>
          <w:p>
            <w:pPr>
              <w:pStyle w:val="TexteTableau"/>
              <w:jc w:val="center"/>
            </w:pPr>
            <w:r>
              <w:t xml:space="preserve">séparés, 0,05 à 0,06 %</w:t>
            </w:r>
          </w:p>
        </w:tc>
        <w:tc>
          <w:tcPr>
            <w:tcW w:type="dxa" w:w="1353"/>
            <w:tcMar>
              <w:top w:type="dxa" w:w="40"/>
              <w:left w:type="dxa" w:w="80"/>
              <w:bottom w:type="dxa" w:w="40"/>
              <w:right w:type="dxa" w:w="80"/>
            </w:tcMar>
            <w:vAlign w:val="center"/>
          </w:tcPr>
          <w:p>
            <w:pPr>
              <w:pStyle w:val="TexteTableau"/>
              <w:jc w:val="center"/>
            </w:pPr>
            <w:r>
              <w:t xml:space="preserve">– / –</w:t>
            </w:r>
          </w:p>
        </w:tc>
        <w:tc>
          <w:tcPr>
            <w:tcW w:type="dxa" w:w="1448"/>
            <w:tcMar>
              <w:top w:type="dxa" w:w="40"/>
              <w:left w:type="dxa" w:w="80"/>
              <w:bottom w:type="dxa" w:w="40"/>
              <w:right w:type="dxa" w:w="80"/>
            </w:tcMar>
            <w:vAlign w:val="center"/>
          </w:tcPr>
          <w:p>
            <w:pPr>
              <w:pStyle w:val="TexteTableau"/>
              <w:jc w:val="center"/>
            </w:pPr>
            <w:r>
              <w:t xml:space="preserve">0,01 / 0,00</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S2</w:t>
            </w:r>
          </w:p>
        </w:tc>
        <w:tc>
          <w:tcPr>
            <w:tcW w:type="dxa" w:w="923"/>
            <w:tcMar>
              <w:top w:type="dxa" w:w="40"/>
              <w:left w:type="dxa" w:w="80"/>
              <w:bottom w:type="dxa" w:w="40"/>
              <w:right w:type="dxa" w:w="80"/>
            </w:tcMar>
            <w:vAlign w:val="center"/>
          </w:tcPr>
          <w:p>
            <w:pPr>
              <w:pStyle w:val="TexteTableau"/>
              <w:jc w:val="center"/>
            </w:pPr>
            <w:r>
              <w:t xml:space="preserve">2,84</w:t>
            </w:r>
          </w:p>
        </w:tc>
        <w:tc>
          <w:tcPr>
            <w:tcW w:type="dxa" w:w="1065"/>
            <w:tcMar>
              <w:top w:type="dxa" w:w="40"/>
              <w:left w:type="dxa" w:w="80"/>
              <w:bottom w:type="dxa" w:w="40"/>
              <w:right w:type="dxa" w:w="80"/>
            </w:tcMar>
            <w:vAlign w:val="center"/>
          </w:tcPr>
          <w:p>
            <w:pPr>
              <w:pStyle w:val="TexteTableau"/>
              <w:jc w:val="center"/>
            </w:pPr>
            <w:r>
              <w:t xml:space="preserve">2,41</w:t>
            </w:r>
          </w:p>
        </w:tc>
        <w:tc>
          <w:tcPr>
            <w:tcW w:type="dxa" w:w="1250"/>
            <w:tcMar>
              <w:top w:type="dxa" w:w="40"/>
              <w:left w:type="dxa" w:w="80"/>
              <w:bottom w:type="dxa" w:w="40"/>
              <w:right w:type="dxa" w:w="80"/>
            </w:tcMar>
            <w:vAlign w:val="center"/>
          </w:tcPr>
          <w:p>
            <w:pPr>
              <w:pStyle w:val="TexteTableau"/>
              <w:jc w:val="center"/>
            </w:pPr>
            <w:r>
              <w:t xml:space="preserve">0,847</w:t>
            </w:r>
          </w:p>
        </w:tc>
        <w:tc>
          <w:tcPr>
            <w:tcW w:type="dxa" w:w="1708"/>
            <w:tcMar>
              <w:top w:type="dxa" w:w="40"/>
              <w:left w:type="dxa" w:w="80"/>
              <w:bottom w:type="dxa" w:w="40"/>
              <w:right w:type="dxa" w:w="80"/>
            </w:tcMar>
            <w:vAlign w:val="center"/>
          </w:tcPr>
          <w:p>
            <w:pPr>
              <w:pStyle w:val="TexteTableau"/>
              <w:jc w:val="center"/>
            </w:pPr>
            <w:r>
              <w:t xml:space="preserve">séparés, 17,8 à 18,5 %</w:t>
            </w:r>
          </w:p>
        </w:tc>
        <w:tc>
          <w:tcPr>
            <w:tcW w:type="dxa" w:w="1353"/>
            <w:tcMar>
              <w:top w:type="dxa" w:w="40"/>
              <w:left w:type="dxa" w:w="80"/>
              <w:bottom w:type="dxa" w:w="40"/>
              <w:right w:type="dxa" w:w="80"/>
            </w:tcMar>
            <w:vAlign w:val="center"/>
          </w:tcPr>
          <w:p>
            <w:pPr>
              <w:pStyle w:val="TexteTableau"/>
              <w:jc w:val="center"/>
            </w:pPr>
            <w:r>
              <w:t xml:space="preserve">2,01 / 2,01</w:t>
            </w:r>
          </w:p>
        </w:tc>
        <w:tc>
          <w:tcPr>
            <w:tcW w:type="dxa" w:w="1448"/>
            <w:tcMar>
              <w:top w:type="dxa" w:w="40"/>
              <w:left w:type="dxa" w:w="80"/>
              <w:bottom w:type="dxa" w:w="40"/>
              <w:right w:type="dxa" w:w="80"/>
            </w:tcMar>
            <w:vAlign w:val="center"/>
          </w:tcPr>
          <w:p>
            <w:pPr>
              <w:pStyle w:val="TexteTableau"/>
              <w:jc w:val="center"/>
            </w:pPr>
            <w:r>
              <w:t xml:space="preserve">0,00 / 0,01</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S3</w:t>
            </w:r>
          </w:p>
        </w:tc>
        <w:tc>
          <w:tcPr>
            <w:tcW w:type="dxa" w:w="923"/>
            <w:tcMar>
              <w:top w:type="dxa" w:w="40"/>
              <w:left w:type="dxa" w:w="80"/>
              <w:bottom w:type="dxa" w:w="40"/>
              <w:right w:type="dxa" w:w="80"/>
            </w:tcMar>
            <w:vAlign w:val="center"/>
          </w:tcPr>
          <w:p>
            <w:pPr>
              <w:pStyle w:val="TexteTableau"/>
              <w:jc w:val="center"/>
            </w:pPr>
            <w:r>
              <w:t xml:space="preserve">8,67</w:t>
            </w:r>
          </w:p>
        </w:tc>
        <w:tc>
          <w:tcPr>
            <w:tcW w:type="dxa" w:w="1065"/>
            <w:tcMar>
              <w:top w:type="dxa" w:w="40"/>
              <w:left w:type="dxa" w:w="80"/>
              <w:bottom w:type="dxa" w:w="40"/>
              <w:right w:type="dxa" w:w="80"/>
            </w:tcMar>
            <w:vAlign w:val="center"/>
          </w:tcPr>
          <w:p>
            <w:pPr>
              <w:pStyle w:val="TexteTableau"/>
              <w:jc w:val="center"/>
            </w:pPr>
            <w:r>
              <w:t xml:space="preserve">6,41</w:t>
            </w:r>
          </w:p>
        </w:tc>
        <w:tc>
          <w:tcPr>
            <w:tcW w:type="dxa" w:w="1250"/>
            <w:tcMar>
              <w:top w:type="dxa" w:w="40"/>
              <w:left w:type="dxa" w:w="80"/>
              <w:bottom w:type="dxa" w:w="40"/>
              <w:right w:type="dxa" w:w="80"/>
            </w:tcMar>
            <w:vAlign w:val="center"/>
          </w:tcPr>
          <w:p>
            <w:pPr>
              <w:pStyle w:val="TexteTableau"/>
              <w:jc w:val="center"/>
            </w:pPr>
            <w:r>
              <w:t xml:space="preserve">0,739</w:t>
            </w:r>
          </w:p>
        </w:tc>
        <w:tc>
          <w:tcPr>
            <w:tcW w:type="dxa" w:w="1708"/>
            <w:tcMar>
              <w:top w:type="dxa" w:w="40"/>
              <w:left w:type="dxa" w:w="80"/>
              <w:bottom w:type="dxa" w:w="40"/>
              <w:right w:type="dxa" w:w="80"/>
            </w:tcMar>
            <w:vAlign w:val="center"/>
          </w:tcPr>
          <w:p>
            <w:pPr>
              <w:pStyle w:val="TexteTableau"/>
              <w:jc w:val="center"/>
            </w:pPr>
            <w:r>
              <w:t xml:space="preserve">séparés, 34,8 à 35,7 %</w:t>
            </w:r>
          </w:p>
        </w:tc>
        <w:tc>
          <w:tcPr>
            <w:tcW w:type="dxa" w:w="1353"/>
            <w:tcMar>
              <w:top w:type="dxa" w:w="40"/>
              <w:left w:type="dxa" w:w="80"/>
              <w:bottom w:type="dxa" w:w="40"/>
              <w:right w:type="dxa" w:w="80"/>
            </w:tcMar>
            <w:vAlign w:val="center"/>
          </w:tcPr>
          <w:p>
            <w:pPr>
              <w:pStyle w:val="TexteTableau"/>
              <w:jc w:val="center"/>
            </w:pPr>
            <w:r>
              <w:t xml:space="preserve">5,73 / 5,66</w:t>
            </w:r>
          </w:p>
        </w:tc>
        <w:tc>
          <w:tcPr>
            <w:tcW w:type="dxa" w:w="1448"/>
            <w:tcMar>
              <w:top w:type="dxa" w:w="40"/>
              <w:left w:type="dxa" w:w="80"/>
              <w:bottom w:type="dxa" w:w="40"/>
              <w:right w:type="dxa" w:w="80"/>
            </w:tcMar>
            <w:vAlign w:val="center"/>
          </w:tcPr>
          <w:p>
            <w:pPr>
              <w:pStyle w:val="TexteTableau"/>
              <w:jc w:val="center"/>
            </w:pPr>
            <w:r>
              <w:t xml:space="preserve">0,00 / 0,00</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S8a</w:t>
            </w:r>
          </w:p>
        </w:tc>
        <w:tc>
          <w:tcPr>
            <w:tcW w:type="dxa" w:w="923"/>
            <w:tcMar>
              <w:top w:type="dxa" w:w="40"/>
              <w:left w:type="dxa" w:w="80"/>
              <w:bottom w:type="dxa" w:w="40"/>
              <w:right w:type="dxa" w:w="80"/>
            </w:tcMar>
            <w:vAlign w:val="center"/>
          </w:tcPr>
          <w:p>
            <w:pPr>
              <w:pStyle w:val="TexteTableau"/>
              <w:jc w:val="center"/>
            </w:pPr>
            <w:r>
              <w:t xml:space="preserve">12,07</w:t>
            </w:r>
          </w:p>
        </w:tc>
        <w:tc>
          <w:tcPr>
            <w:tcW w:type="dxa" w:w="1065"/>
            <w:tcMar>
              <w:top w:type="dxa" w:w="40"/>
              <w:left w:type="dxa" w:w="80"/>
              <w:bottom w:type="dxa" w:w="40"/>
              <w:right w:type="dxa" w:w="80"/>
            </w:tcMar>
            <w:vAlign w:val="center"/>
          </w:tcPr>
          <w:p>
            <w:pPr>
              <w:pStyle w:val="TexteTableau"/>
              <w:jc w:val="center"/>
            </w:pPr>
            <w:r>
              <w:t xml:space="preserve">2,96</w:t>
            </w:r>
          </w:p>
        </w:tc>
        <w:tc>
          <w:tcPr>
            <w:tcW w:type="dxa" w:w="1250"/>
            <w:tcMar>
              <w:top w:type="dxa" w:w="40"/>
              <w:left w:type="dxa" w:w="80"/>
              <w:bottom w:type="dxa" w:w="40"/>
              <w:right w:type="dxa" w:w="80"/>
            </w:tcMar>
            <w:vAlign w:val="center"/>
          </w:tcPr>
          <w:p>
            <w:pPr>
              <w:pStyle w:val="TexteTableau"/>
              <w:jc w:val="center"/>
            </w:pPr>
            <w:r>
              <w:t xml:space="preserve">0,246</w:t>
            </w:r>
          </w:p>
        </w:tc>
        <w:tc>
          <w:tcPr>
            <w:tcW w:type="dxa" w:w="1708"/>
            <w:tcMar>
              <w:top w:type="dxa" w:w="40"/>
              <w:left w:type="dxa" w:w="80"/>
              <w:bottom w:type="dxa" w:w="40"/>
              <w:right w:type="dxa" w:w="80"/>
            </w:tcMar>
            <w:vAlign w:val="center"/>
          </w:tcPr>
          <w:p>
            <w:pPr>
              <w:pStyle w:val="TexteTableau"/>
              <w:jc w:val="center"/>
            </w:pPr>
            <w:r>
              <w:t xml:space="preserve">séparés, 302 à 313 %</w:t>
            </w:r>
          </w:p>
        </w:tc>
        <w:tc>
          <w:tcPr>
            <w:tcW w:type="dxa" w:w="1353"/>
            <w:tcMar>
              <w:top w:type="dxa" w:w="40"/>
              <w:left w:type="dxa" w:w="80"/>
              <w:bottom w:type="dxa" w:w="40"/>
              <w:right w:type="dxa" w:w="80"/>
            </w:tcMar>
            <w:vAlign w:val="center"/>
          </w:tcPr>
          <w:p>
            <w:pPr>
              <w:pStyle w:val="TexteTableau"/>
              <w:jc w:val="center"/>
            </w:pPr>
            <w:r>
              <w:t xml:space="preserve">1,43 / 0,97</w:t>
            </w:r>
          </w:p>
        </w:tc>
        <w:tc>
          <w:tcPr>
            <w:tcW w:type="dxa" w:w="1448"/>
            <w:tcMar>
              <w:top w:type="dxa" w:w="40"/>
              <w:left w:type="dxa" w:w="80"/>
              <w:bottom w:type="dxa" w:w="40"/>
              <w:right w:type="dxa" w:w="80"/>
            </w:tcMar>
            <w:vAlign w:val="center"/>
          </w:tcPr>
          <w:p>
            <w:pPr>
              <w:pStyle w:val="TexteTableau"/>
              <w:jc w:val="center"/>
            </w:pPr>
            <w:r>
              <w:t xml:space="preserve">0,00 / 0,00</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S10</w:t>
            </w:r>
          </w:p>
        </w:tc>
        <w:tc>
          <w:tcPr>
            <w:tcW w:type="dxa" w:w="923"/>
            <w:tcMar>
              <w:top w:type="dxa" w:w="40"/>
              <w:left w:type="dxa" w:w="80"/>
              <w:bottom w:type="dxa" w:w="40"/>
              <w:right w:type="dxa" w:w="80"/>
            </w:tcMar>
            <w:vAlign w:val="center"/>
          </w:tcPr>
          <w:p>
            <w:pPr>
              <w:pStyle w:val="TexteTableau"/>
              <w:jc w:val="center"/>
            </w:pPr>
            <w:r>
              <w:t xml:space="preserve">70,48</w:t>
            </w:r>
          </w:p>
        </w:tc>
        <w:tc>
          <w:tcPr>
            <w:tcW w:type="dxa" w:w="1065"/>
            <w:tcMar>
              <w:top w:type="dxa" w:w="40"/>
              <w:left w:type="dxa" w:w="80"/>
              <w:bottom w:type="dxa" w:w="40"/>
              <w:right w:type="dxa" w:w="80"/>
            </w:tcMar>
            <w:vAlign w:val="center"/>
          </w:tcPr>
          <w:p>
            <w:pPr>
              <w:pStyle w:val="TexteTableau"/>
              <w:jc w:val="center"/>
            </w:pPr>
            <w:r>
              <w:t xml:space="preserve">8,63</w:t>
            </w:r>
          </w:p>
        </w:tc>
        <w:tc>
          <w:tcPr>
            <w:tcW w:type="dxa" w:w="1250"/>
            <w:tcMar>
              <w:top w:type="dxa" w:w="40"/>
              <w:left w:type="dxa" w:w="80"/>
              <w:bottom w:type="dxa" w:w="40"/>
              <w:right w:type="dxa" w:w="80"/>
            </w:tcMar>
            <w:vAlign w:val="center"/>
          </w:tcPr>
          <w:p>
            <w:pPr>
              <w:pStyle w:val="TexteTableau"/>
              <w:jc w:val="center"/>
            </w:pPr>
            <w:r>
              <w:t xml:space="preserve">0,122</w:t>
            </w:r>
          </w:p>
        </w:tc>
        <w:tc>
          <w:tcPr>
            <w:tcW w:type="dxa" w:w="1708"/>
            <w:tcMar>
              <w:top w:type="dxa" w:w="40"/>
              <w:left w:type="dxa" w:w="80"/>
              <w:bottom w:type="dxa" w:w="40"/>
              <w:right w:type="dxa" w:w="80"/>
            </w:tcMar>
            <w:vAlign w:val="center"/>
          </w:tcPr>
          <w:p>
            <w:pPr>
              <w:pStyle w:val="TexteTableau"/>
              <w:jc w:val="center"/>
            </w:pPr>
            <w:r>
              <w:t xml:space="preserve">séparés, 709 à 802 %</w:t>
            </w:r>
          </w:p>
        </w:tc>
        <w:tc>
          <w:tcPr>
            <w:tcW w:type="dxa" w:w="1353"/>
            <w:tcMar>
              <w:top w:type="dxa" w:w="40"/>
              <w:left w:type="dxa" w:w="80"/>
              <w:bottom w:type="dxa" w:w="40"/>
              <w:right w:type="dxa" w:w="80"/>
            </w:tcMar>
            <w:vAlign w:val="center"/>
          </w:tcPr>
          <w:p>
            <w:pPr>
              <w:pStyle w:val="TexteTableau"/>
              <w:jc w:val="center"/>
            </w:pPr>
            <w:r>
              <w:t xml:space="preserve">3,22 / 1,91</w:t>
            </w:r>
          </w:p>
        </w:tc>
        <w:tc>
          <w:tcPr>
            <w:tcW w:type="dxa" w:w="1448"/>
            <w:tcMar>
              <w:top w:type="dxa" w:w="40"/>
              <w:left w:type="dxa" w:w="80"/>
              <w:bottom w:type="dxa" w:w="40"/>
              <w:right w:type="dxa" w:w="80"/>
            </w:tcMar>
            <w:vAlign w:val="center"/>
          </w:tcPr>
          <w:p>
            <w:pPr>
              <w:pStyle w:val="TexteTableau"/>
              <w:jc w:val="center"/>
            </w:pPr>
            <w:r>
              <w:t xml:space="preserve">9,23 / 0,01</w:t>
            </w:r>
          </w:p>
        </w:tc>
      </w:tr>
    </w:tbl>
    <w:p>
      <w:pPr>
        <w:spacing w:before="240"/>
      </w:pPr>
      <w:r>
        <w:t xml:space="preserve">Sur S1, l'écart maximal est l'erreur initiale de 100 V à </w:t>
      </w:r>
      <w:r>
        <w:rPr>
          <w:i/>
          <w:iCs/>
        </w:rPr>
        <w:t xml:space="preserve">t</w:t>
      </w:r>
      <w:r>
        <w:t xml:space="preserve"> = 0, identique pour toutes les méthodes ; il n'est pas reporté.</w:t>
      </w:r>
    </w:p>
    <w:p>
      <w:r>
        <w:t xml:space="preserve">Sur aucun des cinq scénarios l'ELM-PID ne fait moins bien que Ziegler-Nichols. Son avantage dépend du scénario : nul au démarrage, où l'adaptation est bloquée par la saturation ; de 15 à 26 % près du point nominal, où il vient des gains trouvés à la fin du démarrage ; de 75 à 88 % à charge légère, là où le réglage de Ziegler-Nichols ne convient plus. La part due à l'adaptation poursuivie après le démarrage n'a été mesurée comme prévu que sur S10, où elle réduit l'IAE de 41 %. Le reste de l'écart vient d'un seul ajustement des gains, fait à 4 ms.</w:t>
      </w:r>
    </w:p>
    <w:p>
      <w:r>
        <w:t xml:space="preserve">La section 5.4 compare l'ELM-PID aux trois méthodes avancées, dont le PSO-PID, qui garde des gains fixes. La section 5.5 discute le rôle réel du réseau ELM dans ces résultats.</w:t>
      </w:r>
    </w:p>
    <w:p>
      <w:pPr>
        <w:pStyle w:val="Heading2"/>
      </w:pPr>
      <w:r>
        <w:t xml:space="preserve">5.4. L'ELM-PID face aux méthodes avancées</w:t>
      </w:r>
    </w:p>
    <w:p>
      <w:r>
        <w:t xml:space="preserve">La section 5.3 a montré ce que l'ELM-PID gagne sur son point de départ. Il reste à le situer face aux trois méthodes avancées, sur les mêmes scénarios et avec la même règle de séparation. Nous comparons d'abord les performances, puis leur coût de calcul.</w:t>
      </w:r>
    </w:p>
    <w:p>
      <w:pPr>
        <w:pStyle w:val="Heading3"/>
      </w:pPr>
      <w:r>
        <w:t xml:space="preserve">5.4.1. Performances sur les cinq scénarios</w:t>
      </w:r>
    </w:p>
    <w:p>
      <w:r>
        <w:t xml:space="preserve">Le tableau 5.5 donne l'IAE des cinq méthodes et les groupes que forme la règle de séparation de la section 5.2.3. Deux méthodes du même groupe ne sont pas séparées : leur ordre change selon la version du circuit.</w:t>
      </w:r>
    </w:p>
    <w:p>
      <w:pPr>
        <w:pStyle w:val="LegendeTableau"/>
      </w:pPr>
      <w:r>
        <w:t xml:space="preserve">Tableau 5.5 : IAE de la fenêtre de classement (mV·s) des cinq méthodes et groupes ordonnés par la règle de séparation.</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40"/>
        <w:gridCol w:w="742"/>
        <w:gridCol w:w="935"/>
        <w:gridCol w:w="1145"/>
        <w:gridCol w:w="935"/>
        <w:gridCol w:w="1040"/>
        <w:gridCol w:w="2950"/>
      </w:tblGrid>
      <w:tr>
        <w:trPr>
          <w:cantSplit/>
          <w:tblHeader/>
        </w:trPr>
        <w:tc>
          <w:tcPr>
            <w:tcW w:type="dxa" w:w="1040"/>
            <w:tcMar>
              <w:top w:type="dxa" w:w="40"/>
              <w:left w:type="dxa" w:w="80"/>
              <w:bottom w:type="dxa" w:w="40"/>
              <w:right w:type="dxa" w:w="80"/>
            </w:tcMar>
            <w:vAlign w:val="center"/>
          </w:tcPr>
          <w:p>
            <w:pPr>
              <w:pStyle w:val="TexteTableau"/>
              <w:jc w:val="left"/>
            </w:pPr>
            <w:r>
              <w:rPr>
                <w:b/>
                <w:bCs/>
              </w:rPr>
              <w:t xml:space="preserve">Scénario</w:t>
            </w:r>
          </w:p>
        </w:tc>
        <w:tc>
          <w:tcPr>
            <w:tcW w:type="dxa" w:w="742"/>
            <w:tcMar>
              <w:top w:type="dxa" w:w="40"/>
              <w:left w:type="dxa" w:w="80"/>
              <w:bottom w:type="dxa" w:w="40"/>
              <w:right w:type="dxa" w:w="80"/>
            </w:tcMar>
            <w:vAlign w:val="center"/>
          </w:tcPr>
          <w:p>
            <w:pPr>
              <w:pStyle w:val="TexteTableau"/>
              <w:jc w:val="center"/>
            </w:pPr>
            <w:r>
              <w:rPr>
                <w:b/>
                <w:bCs/>
              </w:rPr>
              <w:t xml:space="preserve">ZN</w:t>
            </w:r>
          </w:p>
        </w:tc>
        <w:tc>
          <w:tcPr>
            <w:tcW w:type="dxa" w:w="935"/>
            <w:tcMar>
              <w:top w:type="dxa" w:w="40"/>
              <w:left w:type="dxa" w:w="80"/>
              <w:bottom w:type="dxa" w:w="40"/>
              <w:right w:type="dxa" w:w="80"/>
            </w:tcMar>
            <w:vAlign w:val="center"/>
          </w:tcPr>
          <w:p>
            <w:pPr>
              <w:pStyle w:val="TexteTableau"/>
              <w:jc w:val="center"/>
            </w:pPr>
            <w:r>
              <w:rPr>
                <w:b/>
                <w:bCs/>
              </w:rPr>
              <w:t xml:space="preserve">PSO-PID</w:t>
            </w:r>
          </w:p>
        </w:tc>
        <w:tc>
          <w:tcPr>
            <w:tcW w:type="dxa" w:w="1145"/>
            <w:tcMar>
              <w:top w:type="dxa" w:w="40"/>
              <w:left w:type="dxa" w:w="80"/>
              <w:bottom w:type="dxa" w:w="40"/>
              <w:right w:type="dxa" w:w="80"/>
            </w:tcMar>
            <w:vAlign w:val="center"/>
          </w:tcPr>
          <w:p>
            <w:pPr>
              <w:pStyle w:val="TexteTableau"/>
              <w:jc w:val="center"/>
            </w:pPr>
            <w:r>
              <w:rPr>
                <w:b/>
                <w:bCs/>
              </w:rPr>
              <w:t xml:space="preserve">Fuzzy-PID</w:t>
            </w:r>
          </w:p>
        </w:tc>
        <w:tc>
          <w:tcPr>
            <w:tcW w:type="dxa" w:w="935"/>
            <w:tcMar>
              <w:top w:type="dxa" w:w="40"/>
              <w:left w:type="dxa" w:w="80"/>
              <w:bottom w:type="dxa" w:w="40"/>
              <w:right w:type="dxa" w:w="80"/>
            </w:tcMar>
            <w:vAlign w:val="center"/>
          </w:tcPr>
          <w:p>
            <w:pPr>
              <w:pStyle w:val="TexteTableau"/>
              <w:jc w:val="center"/>
            </w:pPr>
            <w:r>
              <w:rPr>
                <w:b/>
                <w:bCs/>
              </w:rPr>
              <w:t xml:space="preserve">ELM-PID</w:t>
            </w:r>
          </w:p>
        </w:tc>
        <w:tc>
          <w:tcPr>
            <w:tcW w:type="dxa" w:w="1040"/>
            <w:tcMar>
              <w:top w:type="dxa" w:w="40"/>
              <w:left w:type="dxa" w:w="80"/>
              <w:bottom w:type="dxa" w:w="40"/>
              <w:right w:type="dxa" w:w="80"/>
            </w:tcMar>
            <w:vAlign w:val="center"/>
          </w:tcPr>
          <w:p>
            <w:pPr>
              <w:pStyle w:val="TexteTableau"/>
              <w:jc w:val="center"/>
            </w:pPr>
            <w:r>
              <w:rPr>
                <w:b/>
                <w:bCs/>
              </w:rPr>
              <w:t xml:space="preserve">PINN-PID</w:t>
            </w:r>
          </w:p>
        </w:tc>
        <w:tc>
          <w:tcPr>
            <w:tcW w:type="dxa" w:w="2950"/>
            <w:tcMar>
              <w:top w:type="dxa" w:w="40"/>
              <w:left w:type="dxa" w:w="80"/>
              <w:bottom w:type="dxa" w:w="40"/>
              <w:right w:type="dxa" w:w="80"/>
            </w:tcMar>
            <w:vAlign w:val="center"/>
          </w:tcPr>
          <w:p>
            <w:pPr>
              <w:pStyle w:val="TexteTableau"/>
              <w:jc w:val="center"/>
            </w:pPr>
            <w:r>
              <w:rPr>
                <w:b/>
                <w:bCs/>
              </w:rPr>
              <w:t xml:space="preserve">Groupes ordonnés</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S1</w:t>
            </w:r>
          </w:p>
        </w:tc>
        <w:tc>
          <w:tcPr>
            <w:tcW w:type="dxa" w:w="742"/>
            <w:tcMar>
              <w:top w:type="dxa" w:w="40"/>
              <w:left w:type="dxa" w:w="80"/>
              <w:bottom w:type="dxa" w:w="40"/>
              <w:right w:type="dxa" w:w="80"/>
            </w:tcMar>
            <w:vAlign w:val="center"/>
          </w:tcPr>
          <w:p>
            <w:pPr>
              <w:pStyle w:val="TexteTableau"/>
              <w:jc w:val="center"/>
            </w:pPr>
            <w:r>
              <w:t xml:space="preserve">93,77</w:t>
            </w:r>
          </w:p>
        </w:tc>
        <w:tc>
          <w:tcPr>
            <w:tcW w:type="dxa" w:w="935"/>
            <w:tcMar>
              <w:top w:type="dxa" w:w="40"/>
              <w:left w:type="dxa" w:w="80"/>
              <w:bottom w:type="dxa" w:w="40"/>
              <w:right w:type="dxa" w:w="80"/>
            </w:tcMar>
            <w:vAlign w:val="center"/>
          </w:tcPr>
          <w:p>
            <w:pPr>
              <w:pStyle w:val="TexteTableau"/>
              <w:jc w:val="center"/>
            </w:pPr>
            <w:r>
              <w:t xml:space="preserve">87,62</w:t>
            </w:r>
          </w:p>
        </w:tc>
        <w:tc>
          <w:tcPr>
            <w:tcW w:type="dxa" w:w="1145"/>
            <w:tcMar>
              <w:top w:type="dxa" w:w="40"/>
              <w:left w:type="dxa" w:w="80"/>
              <w:bottom w:type="dxa" w:w="40"/>
              <w:right w:type="dxa" w:w="80"/>
            </w:tcMar>
            <w:vAlign w:val="center"/>
          </w:tcPr>
          <w:p>
            <w:pPr>
              <w:pStyle w:val="TexteTableau"/>
              <w:jc w:val="center"/>
            </w:pPr>
            <w:r>
              <w:t xml:space="preserve">110,91</w:t>
            </w:r>
          </w:p>
        </w:tc>
        <w:tc>
          <w:tcPr>
            <w:tcW w:type="dxa" w:w="935"/>
            <w:tcMar>
              <w:top w:type="dxa" w:w="40"/>
              <w:left w:type="dxa" w:w="80"/>
              <w:bottom w:type="dxa" w:w="40"/>
              <w:right w:type="dxa" w:w="80"/>
            </w:tcMar>
            <w:vAlign w:val="center"/>
          </w:tcPr>
          <w:p>
            <w:pPr>
              <w:pStyle w:val="TexteTableau"/>
              <w:jc w:val="center"/>
            </w:pPr>
            <w:r>
              <w:t xml:space="preserve">93,72</w:t>
            </w:r>
          </w:p>
        </w:tc>
        <w:tc>
          <w:tcPr>
            <w:tcW w:type="dxa" w:w="1040"/>
            <w:tcMar>
              <w:top w:type="dxa" w:w="40"/>
              <w:left w:type="dxa" w:w="80"/>
              <w:bottom w:type="dxa" w:w="40"/>
              <w:right w:type="dxa" w:w="80"/>
            </w:tcMar>
            <w:vAlign w:val="center"/>
          </w:tcPr>
          <w:p>
            <w:pPr>
              <w:pStyle w:val="TexteTableau"/>
              <w:jc w:val="center"/>
            </w:pPr>
            <w:r>
              <w:t xml:space="preserve">92,06</w:t>
            </w:r>
          </w:p>
        </w:tc>
        <w:tc>
          <w:tcPr>
            <w:tcW w:type="dxa" w:w="2950"/>
            <w:tcMar>
              <w:top w:type="dxa" w:w="40"/>
              <w:left w:type="dxa" w:w="80"/>
              <w:bottom w:type="dxa" w:w="40"/>
              <w:right w:type="dxa" w:w="80"/>
            </w:tcMar>
            <w:vAlign w:val="center"/>
          </w:tcPr>
          <w:p>
            <w:pPr>
              <w:pStyle w:val="TexteTableau"/>
              <w:jc w:val="left"/>
            </w:pPr>
            <w:r>
              <w:t xml:space="preserve">{PSO} &lt; {PINN} &lt; {ELM} &lt; {ZN} &lt; {Fuzzy}</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S2</w:t>
            </w:r>
          </w:p>
        </w:tc>
        <w:tc>
          <w:tcPr>
            <w:tcW w:type="dxa" w:w="742"/>
            <w:tcMar>
              <w:top w:type="dxa" w:w="40"/>
              <w:left w:type="dxa" w:w="80"/>
              <w:bottom w:type="dxa" w:w="40"/>
              <w:right w:type="dxa" w:w="80"/>
            </w:tcMar>
            <w:vAlign w:val="center"/>
          </w:tcPr>
          <w:p>
            <w:pPr>
              <w:pStyle w:val="TexteTableau"/>
              <w:jc w:val="center"/>
            </w:pPr>
            <w:r>
              <w:t xml:space="preserve">2,84</w:t>
            </w:r>
          </w:p>
        </w:tc>
        <w:tc>
          <w:tcPr>
            <w:tcW w:type="dxa" w:w="935"/>
            <w:tcMar>
              <w:top w:type="dxa" w:w="40"/>
              <w:left w:type="dxa" w:w="80"/>
              <w:bottom w:type="dxa" w:w="40"/>
              <w:right w:type="dxa" w:w="80"/>
            </w:tcMar>
            <w:vAlign w:val="center"/>
          </w:tcPr>
          <w:p>
            <w:pPr>
              <w:pStyle w:val="TexteTableau"/>
              <w:jc w:val="center"/>
            </w:pPr>
            <w:r>
              <w:t xml:space="preserve">2,04</w:t>
            </w:r>
          </w:p>
        </w:tc>
        <w:tc>
          <w:tcPr>
            <w:tcW w:type="dxa" w:w="1145"/>
            <w:tcMar>
              <w:top w:type="dxa" w:w="40"/>
              <w:left w:type="dxa" w:w="80"/>
              <w:bottom w:type="dxa" w:w="40"/>
              <w:right w:type="dxa" w:w="80"/>
            </w:tcMar>
            <w:vAlign w:val="center"/>
          </w:tcPr>
          <w:p>
            <w:pPr>
              <w:pStyle w:val="TexteTableau"/>
              <w:jc w:val="center"/>
            </w:pPr>
            <w:r>
              <w:t xml:space="preserve">2,43</w:t>
            </w:r>
          </w:p>
        </w:tc>
        <w:tc>
          <w:tcPr>
            <w:tcW w:type="dxa" w:w="935"/>
            <w:tcMar>
              <w:top w:type="dxa" w:w="40"/>
              <w:left w:type="dxa" w:w="80"/>
              <w:bottom w:type="dxa" w:w="40"/>
              <w:right w:type="dxa" w:w="80"/>
            </w:tcMar>
            <w:vAlign w:val="center"/>
          </w:tcPr>
          <w:p>
            <w:pPr>
              <w:pStyle w:val="TexteTableau"/>
              <w:jc w:val="center"/>
            </w:pPr>
            <w:r>
              <w:t xml:space="preserve">2,41</w:t>
            </w:r>
          </w:p>
        </w:tc>
        <w:tc>
          <w:tcPr>
            <w:tcW w:type="dxa" w:w="1040"/>
            <w:tcMar>
              <w:top w:type="dxa" w:w="40"/>
              <w:left w:type="dxa" w:w="80"/>
              <w:bottom w:type="dxa" w:w="40"/>
              <w:right w:type="dxa" w:w="80"/>
            </w:tcMar>
            <w:vAlign w:val="center"/>
          </w:tcPr>
          <w:p>
            <w:pPr>
              <w:pStyle w:val="TexteTableau"/>
              <w:jc w:val="center"/>
            </w:pPr>
            <w:r>
              <w:t xml:space="preserve">2,44</w:t>
            </w:r>
          </w:p>
        </w:tc>
        <w:tc>
          <w:tcPr>
            <w:tcW w:type="dxa" w:w="2950"/>
            <w:tcMar>
              <w:top w:type="dxa" w:w="40"/>
              <w:left w:type="dxa" w:w="80"/>
              <w:bottom w:type="dxa" w:w="40"/>
              <w:right w:type="dxa" w:w="80"/>
            </w:tcMar>
            <w:vAlign w:val="center"/>
          </w:tcPr>
          <w:p>
            <w:pPr>
              <w:pStyle w:val="TexteTableau"/>
              <w:jc w:val="left"/>
            </w:pPr>
            <w:r>
              <w:t xml:space="preserve">{PSO} &lt; {ELM, Fuzzy, PINN} &lt; {ZN}, relation non transitive (voir le texte)</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S3</w:t>
            </w:r>
          </w:p>
        </w:tc>
        <w:tc>
          <w:tcPr>
            <w:tcW w:type="dxa" w:w="742"/>
            <w:tcMar>
              <w:top w:type="dxa" w:w="40"/>
              <w:left w:type="dxa" w:w="80"/>
              <w:bottom w:type="dxa" w:w="40"/>
              <w:right w:type="dxa" w:w="80"/>
            </w:tcMar>
            <w:vAlign w:val="center"/>
          </w:tcPr>
          <w:p>
            <w:pPr>
              <w:pStyle w:val="TexteTableau"/>
              <w:jc w:val="center"/>
            </w:pPr>
            <w:r>
              <w:t xml:space="preserve">8,67</w:t>
            </w:r>
          </w:p>
        </w:tc>
        <w:tc>
          <w:tcPr>
            <w:tcW w:type="dxa" w:w="935"/>
            <w:tcMar>
              <w:top w:type="dxa" w:w="40"/>
              <w:left w:type="dxa" w:w="80"/>
              <w:bottom w:type="dxa" w:w="40"/>
              <w:right w:type="dxa" w:w="80"/>
            </w:tcMar>
            <w:vAlign w:val="center"/>
          </w:tcPr>
          <w:p>
            <w:pPr>
              <w:pStyle w:val="TexteTableau"/>
              <w:jc w:val="center"/>
            </w:pPr>
            <w:r>
              <w:t xml:space="preserve">5,46</w:t>
            </w:r>
          </w:p>
        </w:tc>
        <w:tc>
          <w:tcPr>
            <w:tcW w:type="dxa" w:w="1145"/>
            <w:tcMar>
              <w:top w:type="dxa" w:w="40"/>
              <w:left w:type="dxa" w:w="80"/>
              <w:bottom w:type="dxa" w:w="40"/>
              <w:right w:type="dxa" w:w="80"/>
            </w:tcMar>
            <w:vAlign w:val="center"/>
          </w:tcPr>
          <w:p>
            <w:pPr>
              <w:pStyle w:val="TexteTableau"/>
              <w:jc w:val="center"/>
            </w:pPr>
            <w:r>
              <w:t xml:space="preserve">7,94</w:t>
            </w:r>
          </w:p>
        </w:tc>
        <w:tc>
          <w:tcPr>
            <w:tcW w:type="dxa" w:w="935"/>
            <w:tcMar>
              <w:top w:type="dxa" w:w="40"/>
              <w:left w:type="dxa" w:w="80"/>
              <w:bottom w:type="dxa" w:w="40"/>
              <w:right w:type="dxa" w:w="80"/>
            </w:tcMar>
            <w:vAlign w:val="center"/>
          </w:tcPr>
          <w:p>
            <w:pPr>
              <w:pStyle w:val="TexteTableau"/>
              <w:jc w:val="center"/>
            </w:pPr>
            <w:r>
              <w:t xml:space="preserve">6,41</w:t>
            </w:r>
          </w:p>
        </w:tc>
        <w:tc>
          <w:tcPr>
            <w:tcW w:type="dxa" w:w="1040"/>
            <w:tcMar>
              <w:top w:type="dxa" w:w="40"/>
              <w:left w:type="dxa" w:w="80"/>
              <w:bottom w:type="dxa" w:w="40"/>
              <w:right w:type="dxa" w:w="80"/>
            </w:tcMar>
            <w:vAlign w:val="center"/>
          </w:tcPr>
          <w:p>
            <w:pPr>
              <w:pStyle w:val="TexteTableau"/>
              <w:jc w:val="center"/>
            </w:pPr>
            <w:r>
              <w:t xml:space="preserve">6,40</w:t>
            </w:r>
          </w:p>
        </w:tc>
        <w:tc>
          <w:tcPr>
            <w:tcW w:type="dxa" w:w="2950"/>
            <w:tcMar>
              <w:top w:type="dxa" w:w="40"/>
              <w:left w:type="dxa" w:w="80"/>
              <w:bottom w:type="dxa" w:w="40"/>
              <w:right w:type="dxa" w:w="80"/>
            </w:tcMar>
            <w:vAlign w:val="center"/>
          </w:tcPr>
          <w:p>
            <w:pPr>
              <w:pStyle w:val="TexteTableau"/>
              <w:jc w:val="left"/>
            </w:pPr>
            <w:r>
              <w:t xml:space="preserve">{PSO} &lt; {PINN, ELM} &lt; {Fuzzy} &lt; {ZN}</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S8a</w:t>
            </w:r>
          </w:p>
        </w:tc>
        <w:tc>
          <w:tcPr>
            <w:tcW w:type="dxa" w:w="742"/>
            <w:tcMar>
              <w:top w:type="dxa" w:w="40"/>
              <w:left w:type="dxa" w:w="80"/>
              <w:bottom w:type="dxa" w:w="40"/>
              <w:right w:type="dxa" w:w="80"/>
            </w:tcMar>
            <w:vAlign w:val="center"/>
          </w:tcPr>
          <w:p>
            <w:pPr>
              <w:pStyle w:val="TexteTableau"/>
              <w:jc w:val="center"/>
            </w:pPr>
            <w:r>
              <w:t xml:space="preserve">12,07</w:t>
            </w:r>
          </w:p>
        </w:tc>
        <w:tc>
          <w:tcPr>
            <w:tcW w:type="dxa" w:w="935"/>
            <w:tcMar>
              <w:top w:type="dxa" w:w="40"/>
              <w:left w:type="dxa" w:w="80"/>
              <w:bottom w:type="dxa" w:w="40"/>
              <w:right w:type="dxa" w:w="80"/>
            </w:tcMar>
            <w:vAlign w:val="center"/>
          </w:tcPr>
          <w:p>
            <w:pPr>
              <w:pStyle w:val="TexteTableau"/>
              <w:jc w:val="center"/>
            </w:pPr>
            <w:r>
              <w:t xml:space="preserve">2,46</w:t>
            </w:r>
          </w:p>
        </w:tc>
        <w:tc>
          <w:tcPr>
            <w:tcW w:type="dxa" w:w="1145"/>
            <w:tcMar>
              <w:top w:type="dxa" w:w="40"/>
              <w:left w:type="dxa" w:w="80"/>
              <w:bottom w:type="dxa" w:w="40"/>
              <w:right w:type="dxa" w:w="80"/>
            </w:tcMar>
            <w:vAlign w:val="center"/>
          </w:tcPr>
          <w:p>
            <w:pPr>
              <w:pStyle w:val="TexteTableau"/>
              <w:jc w:val="center"/>
            </w:pPr>
            <w:r>
              <w:t xml:space="preserve">4,12</w:t>
            </w:r>
          </w:p>
        </w:tc>
        <w:tc>
          <w:tcPr>
            <w:tcW w:type="dxa" w:w="935"/>
            <w:tcMar>
              <w:top w:type="dxa" w:w="40"/>
              <w:left w:type="dxa" w:w="80"/>
              <w:bottom w:type="dxa" w:w="40"/>
              <w:right w:type="dxa" w:w="80"/>
            </w:tcMar>
            <w:vAlign w:val="center"/>
          </w:tcPr>
          <w:p>
            <w:pPr>
              <w:pStyle w:val="TexteTableau"/>
              <w:jc w:val="center"/>
            </w:pPr>
            <w:r>
              <w:t xml:space="preserve">2,96</w:t>
            </w:r>
          </w:p>
        </w:tc>
        <w:tc>
          <w:tcPr>
            <w:tcW w:type="dxa" w:w="1040"/>
            <w:tcMar>
              <w:top w:type="dxa" w:w="40"/>
              <w:left w:type="dxa" w:w="80"/>
              <w:bottom w:type="dxa" w:w="40"/>
              <w:right w:type="dxa" w:w="80"/>
            </w:tcMar>
            <w:vAlign w:val="center"/>
          </w:tcPr>
          <w:p>
            <w:pPr>
              <w:pStyle w:val="TexteTableau"/>
              <w:jc w:val="center"/>
            </w:pPr>
            <w:r>
              <w:t xml:space="preserve">2,95</w:t>
            </w:r>
          </w:p>
        </w:tc>
        <w:tc>
          <w:tcPr>
            <w:tcW w:type="dxa" w:w="2950"/>
            <w:tcMar>
              <w:top w:type="dxa" w:w="40"/>
              <w:left w:type="dxa" w:w="80"/>
              <w:bottom w:type="dxa" w:w="40"/>
              <w:right w:type="dxa" w:w="80"/>
            </w:tcMar>
            <w:vAlign w:val="center"/>
          </w:tcPr>
          <w:p>
            <w:pPr>
              <w:pStyle w:val="TexteTableau"/>
              <w:jc w:val="left"/>
            </w:pPr>
            <w:r>
              <w:t xml:space="preserve">{PSO} &lt; {PINN} &lt; {ELM} &lt; {Fuzzy} &lt; {ZN}</w:t>
            </w:r>
          </w:p>
        </w:tc>
      </w:tr>
      <w:tr>
        <w:trPr>
          <w:cantSplit/>
          <w:tblHeader w:val="false"/>
        </w:trPr>
        <w:tc>
          <w:tcPr>
            <w:tcW w:type="dxa" w:w="1040"/>
            <w:tcMar>
              <w:top w:type="dxa" w:w="40"/>
              <w:left w:type="dxa" w:w="80"/>
              <w:bottom w:type="dxa" w:w="40"/>
              <w:right w:type="dxa" w:w="80"/>
            </w:tcMar>
            <w:vAlign w:val="center"/>
          </w:tcPr>
          <w:p>
            <w:pPr>
              <w:pStyle w:val="TexteTableau"/>
              <w:jc w:val="left"/>
            </w:pPr>
            <w:r>
              <w:t xml:space="preserve">S10</w:t>
            </w:r>
          </w:p>
        </w:tc>
        <w:tc>
          <w:tcPr>
            <w:tcW w:type="dxa" w:w="742"/>
            <w:tcMar>
              <w:top w:type="dxa" w:w="40"/>
              <w:left w:type="dxa" w:w="80"/>
              <w:bottom w:type="dxa" w:w="40"/>
              <w:right w:type="dxa" w:w="80"/>
            </w:tcMar>
            <w:vAlign w:val="center"/>
          </w:tcPr>
          <w:p>
            <w:pPr>
              <w:pStyle w:val="TexteTableau"/>
              <w:jc w:val="center"/>
            </w:pPr>
            <w:r>
              <w:t xml:space="preserve">70,48</w:t>
            </w:r>
          </w:p>
        </w:tc>
        <w:tc>
          <w:tcPr>
            <w:tcW w:type="dxa" w:w="935"/>
            <w:tcMar>
              <w:top w:type="dxa" w:w="40"/>
              <w:left w:type="dxa" w:w="80"/>
              <w:bottom w:type="dxa" w:w="40"/>
              <w:right w:type="dxa" w:w="80"/>
            </w:tcMar>
            <w:vAlign w:val="center"/>
          </w:tcPr>
          <w:p>
            <w:pPr>
              <w:pStyle w:val="TexteTableau"/>
              <w:jc w:val="center"/>
            </w:pPr>
            <w:r>
              <w:t xml:space="preserve">3,98</w:t>
            </w:r>
          </w:p>
        </w:tc>
        <w:tc>
          <w:tcPr>
            <w:tcW w:type="dxa" w:w="1145"/>
            <w:tcMar>
              <w:top w:type="dxa" w:w="40"/>
              <w:left w:type="dxa" w:w="80"/>
              <w:bottom w:type="dxa" w:w="40"/>
              <w:right w:type="dxa" w:w="80"/>
            </w:tcMar>
            <w:vAlign w:val="center"/>
          </w:tcPr>
          <w:p>
            <w:pPr>
              <w:pStyle w:val="TexteTableau"/>
              <w:jc w:val="center"/>
            </w:pPr>
            <w:r>
              <w:t xml:space="preserve">9,18</w:t>
            </w:r>
          </w:p>
        </w:tc>
        <w:tc>
          <w:tcPr>
            <w:tcW w:type="dxa" w:w="935"/>
            <w:tcMar>
              <w:top w:type="dxa" w:w="40"/>
              <w:left w:type="dxa" w:w="80"/>
              <w:bottom w:type="dxa" w:w="40"/>
              <w:right w:type="dxa" w:w="80"/>
            </w:tcMar>
            <w:vAlign w:val="center"/>
          </w:tcPr>
          <w:p>
            <w:pPr>
              <w:pStyle w:val="TexteTableau"/>
              <w:jc w:val="center"/>
            </w:pPr>
            <w:r>
              <w:t xml:space="preserve">8,63</w:t>
            </w:r>
          </w:p>
        </w:tc>
        <w:tc>
          <w:tcPr>
            <w:tcW w:type="dxa" w:w="1040"/>
            <w:tcMar>
              <w:top w:type="dxa" w:w="40"/>
              <w:left w:type="dxa" w:w="80"/>
              <w:bottom w:type="dxa" w:w="40"/>
              <w:right w:type="dxa" w:w="80"/>
            </w:tcMar>
            <w:vAlign w:val="center"/>
          </w:tcPr>
          <w:p>
            <w:pPr>
              <w:pStyle w:val="TexteTableau"/>
              <w:jc w:val="center"/>
            </w:pPr>
            <w:r>
              <w:t xml:space="preserve">6,63</w:t>
            </w:r>
          </w:p>
        </w:tc>
        <w:tc>
          <w:tcPr>
            <w:tcW w:type="dxa" w:w="2950"/>
            <w:tcMar>
              <w:top w:type="dxa" w:w="40"/>
              <w:left w:type="dxa" w:w="80"/>
              <w:bottom w:type="dxa" w:w="40"/>
              <w:right w:type="dxa" w:w="80"/>
            </w:tcMar>
            <w:vAlign w:val="center"/>
          </w:tcPr>
          <w:p>
            <w:pPr>
              <w:pStyle w:val="TexteTableau"/>
              <w:jc w:val="left"/>
            </w:pPr>
            <w:r>
              <w:t xml:space="preserve">{PSO} &lt; {PINN} &lt; {ELM} &lt; {Fuzzy} &lt; {ZN}</w:t>
            </w:r>
          </w:p>
        </w:tc>
      </w:tr>
    </w:tbl>
    <w:p>
      <w:pPr>
        <w:spacing w:before="240"/>
      </w:pPr>
      <w:r>
        <w:t xml:space="preserve">Le PSO-PID a la plus petite IAE sur les cinq scénarios, et il est séparé de toutes les autres méthodes partout. Les paragraphes qui suivent reprennent chaque scénario.</w:t>
      </w:r>
    </w:p>
    <w:p>
      <w:r>
        <w:t xml:space="preserve">Sur S1 (figures 5.9 et 5.10), le PSO-PID a le plus petit dépassement (7,06 %) et l'établissement le plus rapide (2,64 ms). Suivent le PINN-PID (13,20 % ; 2,70 ms) et l'ELM-PID (13,99 % ; 3,40 ms). Le Fuzzy-PID dépasse de 27,34 % et s'établit en 3,35 ms ; c'est aussi lui dont le rapport cyclique reste le plus longtemps en butée pendant la montée (2,250 ms au total, la dernière fois à 2,605 ms, contre 1,6 à 1,8 ms pour les trois autres).</w:t>
      </w:r>
    </w:p>
    <w:p>
      <w:pPr>
        <w:pStyle w:val="Repere"/>
      </w:pPr>
      <w:r>
        <w:rPr>
          <w:highlight w:val="yellow"/>
        </w:rPr>
        <w:t xml:space="preserve">[FIGURE À INSÉRER, fichier : COMPARAISON/figures_chapitre5/Fig5_S1_B_ELM_PSO_Fuzzy_PINN.png]</w:t>
      </w:r>
    </w:p>
    <w:p>
      <w:pPr>
        <w:pStyle w:val="Caption"/>
      </w:pPr>
      <w:r>
        <w:t xml:space="preserve">Figure 5.9 : Tension de sortie dans le scénario S1 : ELM-PID, PSO-PID, Fuzzy-PID et PINN-PID. (a) Essai complet ; (b) agrandissement de 0 à 10 ms.</w:t>
      </w:r>
    </w:p>
    <w:p>
      <w:pPr>
        <w:pStyle w:val="Repere"/>
      </w:pPr>
      <w:r>
        <w:rPr>
          <w:highlight w:val="yellow"/>
        </w:rPr>
        <w:t xml:space="preserve">[FIGURE À INSÉRER, fichier : COMPARAISON/figures_chapitre5/Fig5_S1_B_d_ELM_PSO_Fuzzy_PINN.png]</w:t>
      </w:r>
    </w:p>
    <w:p>
      <w:pPr>
        <w:pStyle w:val="Caption"/>
      </w:pPr>
      <w:r>
        <w:t xml:space="preserve">Figure 5.10 : Rapport cyclique dans le scénario S1 : ELM-PID, PSO-PID, Fuzzy-PID et PINN-PID. (a) Essai complet ; (b) agrandissement de 0 à 10 ms.</w:t>
      </w:r>
    </w:p>
    <w:p>
      <w:r>
        <w:t xml:space="preserve">Sur S2 (figure 5.11), l'ELM-PID, le Fuzzy-PID et le PINN-PID sont à moins de 1,4 % l'un de l'autre. La règle ne sépare ni l'ELM-PID du PINN-PID (écart de −0,22 à +1,90 % selon la version du circuit) ni le Fuzzy-PID du PINN-PID (−1,14 à +0,51 %), mais elle sépare l'ELM-PID du Fuzzy-PID (+0,76 à +1,38 %). La relation n'est donc pas transitive, et aucun groupe ne peut être formé ; en pratique, les trois méthodes sont au même niveau. Le PSO-PID fait 15 % de moins que l'ELM-PID (2,04 contre 2,41 mV·s).</w:t>
      </w:r>
    </w:p>
    <w:p>
      <w:pPr>
        <w:pStyle w:val="Repere"/>
      </w:pPr>
      <w:r>
        <w:rPr>
          <w:highlight w:val="yellow"/>
        </w:rPr>
        <w:t xml:space="preserve">[FIGURE À INSÉRER, fichier : COMPARAISON/figures_chapitre5/Fig5_S2_B_ELM_PSO_Fuzzy_PINN.png]</w:t>
      </w:r>
    </w:p>
    <w:p>
      <w:pPr>
        <w:pStyle w:val="Caption"/>
      </w:pPr>
      <w:r>
        <w:t xml:space="preserve">Figure 5.11 : Tension de sortie dans le scénario S2 : ELM-PID, PSO-PID, Fuzzy-PID et PINN-PID. (a) Essai complet ; (b) agrandissement autour de 50 ms ; (c) agrandissement autour de 70 ms.</w:t>
      </w:r>
    </w:p>
    <w:p>
      <w:r>
        <w:t xml:space="preserve">Sur S3 (figure 5.12), l'ELM-PID et le PINN-PID ne sont pas séparés (6,41 et 6,40 mV·s). Le PSO-PID obtient 5,46 mV·s. Au premier échelon de charge, l'écart maximal est le même pour toutes les méthodes (5,52 V) ; au retour de la charge à 70 ms, il vaut 5,43 V pour le PSO-PID contre 5,66 V pour l'ELM-PID, le Fuzzy-PID et le PINN-PID.</w:t>
      </w:r>
    </w:p>
    <w:p>
      <w:pPr>
        <w:pStyle w:val="Repere"/>
      </w:pPr>
      <w:r>
        <w:rPr>
          <w:highlight w:val="yellow"/>
        </w:rPr>
        <w:t xml:space="preserve">[FIGURE À INSÉRER, fichier : COMPARAISON/figures_chapitre5/Fig5_S3_B_ELM_PSO_Fuzzy_PINN.png]</w:t>
      </w:r>
    </w:p>
    <w:p>
      <w:pPr>
        <w:pStyle w:val="Caption"/>
      </w:pPr>
      <w:r>
        <w:t xml:space="preserve">Figure 5.12 : Tension de sortie dans le scénario S3 : ELM-PID, PSO-PID, Fuzzy-PID et PINN-PID. (a) Essai complet ; (b) agrandissement autour de 50 ms ; (c) agrandissement autour de 70 ms.</w:t>
      </w:r>
    </w:p>
    <w:p>
      <w:r>
        <w:t xml:space="preserve">Sur S8a (figure 5.13), le PINN-PID devance l'ELM-PID de 0,4 %. L'ordre est le même dans les cinq versions du circuit (écart de 0,13 à 1,24 %), mais un tel écart n'a pas de poids pratique. Le PSO-PID garde la tension plus près de la consigne : écart maximal de 0,60 V, contre 0,94 V pour le PINN-PID et 0,97 V pour l'ELM-PID.</w:t>
      </w:r>
    </w:p>
    <w:p>
      <w:pPr>
        <w:pStyle w:val="Repere"/>
      </w:pPr>
      <w:r>
        <w:rPr>
          <w:highlight w:val="yellow"/>
        </w:rPr>
        <w:t xml:space="preserve">[FIGURE À INSÉRER, fichier : COMPARAISON/figures_chapitre5/Fig5_S8a_B_ELM_PSO_Fuzzy_PINN.png]</w:t>
      </w:r>
    </w:p>
    <w:p>
      <w:pPr>
        <w:pStyle w:val="Caption"/>
      </w:pPr>
      <w:r>
        <w:t xml:space="preserve">Figure 5.13 : Tension de sortie dans le scénario S8a : ELM-PID, PSO-PID, Fuzzy-PID et PINN-PID. (a) Essai complet ; (b) à (e) agrandissements autour de 50, 70, 100 et 120 ms.</w:t>
      </w:r>
    </w:p>
    <w:p>
      <w:r>
        <w:t xml:space="preserve">S10 écarte nettement les quatre méthodes avancées, toutes séparées (figure 5.14) : PSO-PID 3,98 mV·s, PINN-PID 6,63, ELM-PID 8,63 et Fuzzy-PID 9,18. Le PINN-PID dépasse le PSO-PID de 66,5 à 69,9 % selon la version du circuit, l'ELM-PID dépasse le PINN-PID de 16,7 à 30,3 %, et le Fuzzy-PID dépasse l'ELM-PID de 6,3 à 16,7 %.</w:t>
      </w:r>
    </w:p>
    <w:p>
      <w:pPr>
        <w:pStyle w:val="Repere"/>
      </w:pPr>
      <w:r>
        <w:rPr>
          <w:highlight w:val="yellow"/>
        </w:rPr>
        <w:t xml:space="preserve">[FIGURE À INSÉRER, fichier : COMPARAISON/figures_chapitre5/Fig5_S10_B_ELM_PSO_Fuzzy_PINN.png]</w:t>
      </w:r>
    </w:p>
    <w:p>
      <w:pPr>
        <w:pStyle w:val="Caption"/>
      </w:pPr>
      <w:r>
        <w:t xml:space="preserve">Figure 5.14 : Tension de sortie dans le scénario S10 : ELM-PID, PSO-PID, Fuzzy-PID et PINN-PID. (a) Essai complet ; (b) à (e) agrandissements autour de 50, 100, 115 et 130 ms. Les événements à 145, 160 et 175 ms ne figurent que dans le panneau (a).</w:t>
      </w:r>
    </w:p>
    <w:p>
      <w:r>
        <w:t xml:space="preserve">Le tableau 5.6 mesure, pour les deux méthodes adaptatives, ce qu'apporte l'adaptation poursuivie après le changement de point de fonctionnement, par la même comparaison qu'à la section 5.3.3 : gains figés à 50 ms contre adaptation continue.</w:t>
      </w:r>
    </w:p>
    <w:p>
      <w:pPr>
        <w:pStyle w:val="LegendeTableau"/>
      </w:pPr>
      <w:r>
        <w:t xml:space="preserve">Tableau 5.6 : IAE de 100 ms à la fin (mV·s) et gains rapportés à ceux de Ziegler-Nichols (</w:t>
      </w:r>
      <w:r>
        <w:rPr>
          <w:i/>
          <w:iCs/>
        </w:rPr>
        <w:t xml:space="preserve">P</w:t>
      </w:r>
      <w:r>
        <w:t xml:space="preserve"> ; </w:t>
      </w:r>
      <w:r>
        <w:rPr>
          <w:i/>
          <w:iCs/>
        </w:rPr>
        <w:t xml:space="preserve">I</w:t>
      </w:r>
      <w:r>
        <w:t xml:space="preserve"> ; </w:t>
      </w:r>
      <w:r>
        <w:rPr>
          <w:i/>
          <w:iCs/>
        </w:rPr>
        <w:t xml:space="preserve">D</w:t>
      </w:r>
      <w:r>
        <w:t xml:space="preserve">) des deux méthodes adaptatives dans le scénario S10.</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18"/>
        <w:gridCol w:w="2631"/>
        <w:gridCol w:w="2638"/>
      </w:tblGrid>
      <w:tr>
        <w:trPr>
          <w:cantSplit/>
          <w:tblHeader/>
        </w:trPr>
        <w:tc>
          <w:tcPr>
            <w:tcW w:type="dxa" w:w="3518"/>
            <w:tcMar>
              <w:top w:type="dxa" w:w="40"/>
              <w:left w:type="dxa" w:w="80"/>
              <w:bottom w:type="dxa" w:w="40"/>
              <w:right w:type="dxa" w:w="80"/>
            </w:tcMar>
            <w:vAlign w:val="center"/>
          </w:tcPr>
          <w:p>
            <w:pPr>
              <w:pStyle w:val="TexteTableau"/>
              <w:jc w:val="left"/>
            </w:pPr>
            <w:r>
              <w:rPr>
                <w:b/>
                <w:bCs/>
              </w:rPr>
              <w:t xml:space="preserve">Grandeur</w:t>
            </w:r>
          </w:p>
        </w:tc>
        <w:tc>
          <w:tcPr>
            <w:tcW w:type="dxa" w:w="2631"/>
            <w:tcMar>
              <w:top w:type="dxa" w:w="40"/>
              <w:left w:type="dxa" w:w="80"/>
              <w:bottom w:type="dxa" w:w="40"/>
              <w:right w:type="dxa" w:w="80"/>
            </w:tcMar>
            <w:vAlign w:val="center"/>
          </w:tcPr>
          <w:p>
            <w:pPr>
              <w:pStyle w:val="TexteTableau"/>
              <w:jc w:val="center"/>
            </w:pPr>
            <w:r>
              <w:rPr>
                <w:b/>
                <w:bCs/>
              </w:rPr>
              <w:t xml:space="preserve">ELM-PID</w:t>
            </w:r>
          </w:p>
        </w:tc>
        <w:tc>
          <w:tcPr>
            <w:tcW w:type="dxa" w:w="2638"/>
            <w:tcMar>
              <w:top w:type="dxa" w:w="40"/>
              <w:left w:type="dxa" w:w="80"/>
              <w:bottom w:type="dxa" w:w="40"/>
              <w:right w:type="dxa" w:w="80"/>
            </w:tcMar>
            <w:vAlign w:val="center"/>
          </w:tcPr>
          <w:p>
            <w:pPr>
              <w:pStyle w:val="TexteTableau"/>
              <w:jc w:val="center"/>
            </w:pPr>
            <w:r>
              <w:rPr>
                <w:b/>
                <w:bCs/>
              </w:rPr>
              <w:t xml:space="preserve">PINN-PID</w:t>
            </w:r>
          </w:p>
        </w:tc>
      </w:tr>
      <w:tr>
        <w:trPr>
          <w:cantSplit/>
          <w:tblHeader w:val="false"/>
        </w:trPr>
        <w:tc>
          <w:tcPr>
            <w:tcW w:type="dxa" w:w="3518"/>
            <w:tcMar>
              <w:top w:type="dxa" w:w="40"/>
              <w:left w:type="dxa" w:w="80"/>
              <w:bottom w:type="dxa" w:w="40"/>
              <w:right w:type="dxa" w:w="80"/>
            </w:tcMar>
            <w:vAlign w:val="center"/>
          </w:tcPr>
          <w:p>
            <w:pPr>
              <w:pStyle w:val="TexteTableau"/>
              <w:jc w:val="left"/>
            </w:pPr>
            <w:r>
              <w:t xml:space="preserve">IAE, gains figés à 50 ms</w:t>
            </w:r>
          </w:p>
        </w:tc>
        <w:tc>
          <w:tcPr>
            <w:tcW w:type="dxa" w:w="2631"/>
            <w:tcMar>
              <w:top w:type="dxa" w:w="40"/>
              <w:left w:type="dxa" w:w="80"/>
              <w:bottom w:type="dxa" w:w="40"/>
              <w:right w:type="dxa" w:w="80"/>
            </w:tcMar>
            <w:vAlign w:val="center"/>
          </w:tcPr>
          <w:p>
            <w:pPr>
              <w:pStyle w:val="TexteTableau"/>
              <w:jc w:val="center"/>
            </w:pPr>
            <w:r>
              <w:t xml:space="preserve">14,60</w:t>
            </w:r>
          </w:p>
        </w:tc>
        <w:tc>
          <w:tcPr>
            <w:tcW w:type="dxa" w:w="2638"/>
            <w:tcMar>
              <w:top w:type="dxa" w:w="40"/>
              <w:left w:type="dxa" w:w="80"/>
              <w:bottom w:type="dxa" w:w="40"/>
              <w:right w:type="dxa" w:w="80"/>
            </w:tcMar>
            <w:vAlign w:val="center"/>
          </w:tcPr>
          <w:p>
            <w:pPr>
              <w:pStyle w:val="TexteTableau"/>
              <w:jc w:val="center"/>
            </w:pPr>
            <w:r>
              <w:t xml:space="preserve">17,19</w:t>
            </w:r>
          </w:p>
        </w:tc>
      </w:tr>
      <w:tr>
        <w:trPr>
          <w:cantSplit/>
          <w:tblHeader w:val="false"/>
        </w:trPr>
        <w:tc>
          <w:tcPr>
            <w:tcW w:type="dxa" w:w="3518"/>
            <w:tcMar>
              <w:top w:type="dxa" w:w="40"/>
              <w:left w:type="dxa" w:w="80"/>
              <w:bottom w:type="dxa" w:w="40"/>
              <w:right w:type="dxa" w:w="80"/>
            </w:tcMar>
            <w:vAlign w:val="center"/>
          </w:tcPr>
          <w:p>
            <w:pPr>
              <w:pStyle w:val="TexteTableau"/>
              <w:jc w:val="left"/>
            </w:pPr>
            <w:r>
              <w:t xml:space="preserve">IAE, adaptation continue</w:t>
            </w:r>
          </w:p>
        </w:tc>
        <w:tc>
          <w:tcPr>
            <w:tcW w:type="dxa" w:w="2631"/>
            <w:tcMar>
              <w:top w:type="dxa" w:w="40"/>
              <w:left w:type="dxa" w:w="80"/>
              <w:bottom w:type="dxa" w:w="40"/>
              <w:right w:type="dxa" w:w="80"/>
            </w:tcMar>
            <w:vAlign w:val="center"/>
          </w:tcPr>
          <w:p>
            <w:pPr>
              <w:pStyle w:val="TexteTableau"/>
              <w:jc w:val="center"/>
            </w:pPr>
            <w:r>
              <w:t xml:space="preserve">8,63</w:t>
            </w:r>
          </w:p>
        </w:tc>
        <w:tc>
          <w:tcPr>
            <w:tcW w:type="dxa" w:w="2638"/>
            <w:tcMar>
              <w:top w:type="dxa" w:w="40"/>
              <w:left w:type="dxa" w:w="80"/>
              <w:bottom w:type="dxa" w:w="40"/>
              <w:right w:type="dxa" w:w="80"/>
            </w:tcMar>
            <w:vAlign w:val="center"/>
          </w:tcPr>
          <w:p>
            <w:pPr>
              <w:pStyle w:val="TexteTableau"/>
              <w:jc w:val="center"/>
            </w:pPr>
            <w:r>
              <w:t xml:space="preserve">6,63</w:t>
            </w:r>
          </w:p>
        </w:tc>
      </w:tr>
      <w:tr>
        <w:trPr>
          <w:cantSplit/>
          <w:tblHeader w:val="false"/>
        </w:trPr>
        <w:tc>
          <w:tcPr>
            <w:tcW w:type="dxa" w:w="3518"/>
            <w:tcMar>
              <w:top w:type="dxa" w:w="40"/>
              <w:left w:type="dxa" w:w="80"/>
              <w:bottom w:type="dxa" w:w="40"/>
              <w:right w:type="dxa" w:w="80"/>
            </w:tcMar>
            <w:vAlign w:val="center"/>
          </w:tcPr>
          <w:p>
            <w:pPr>
              <w:pStyle w:val="TexteTableau"/>
              <w:jc w:val="left"/>
            </w:pPr>
            <w:r>
              <w:t xml:space="preserve">Réduction due à l'adaptation</w:t>
            </w:r>
          </w:p>
        </w:tc>
        <w:tc>
          <w:tcPr>
            <w:tcW w:type="dxa" w:w="2631"/>
            <w:tcMar>
              <w:top w:type="dxa" w:w="40"/>
              <w:left w:type="dxa" w:w="80"/>
              <w:bottom w:type="dxa" w:w="40"/>
              <w:right w:type="dxa" w:w="80"/>
            </w:tcMar>
            <w:vAlign w:val="center"/>
          </w:tcPr>
          <w:p>
            <w:pPr>
              <w:pStyle w:val="TexteTableau"/>
              <w:jc w:val="center"/>
            </w:pPr>
            <w:r>
              <w:t xml:space="preserve">41 %</w:t>
            </w:r>
          </w:p>
        </w:tc>
        <w:tc>
          <w:tcPr>
            <w:tcW w:type="dxa" w:w="2638"/>
            <w:tcMar>
              <w:top w:type="dxa" w:w="40"/>
              <w:left w:type="dxa" w:w="80"/>
              <w:bottom w:type="dxa" w:w="40"/>
              <w:right w:type="dxa" w:w="80"/>
            </w:tcMar>
            <w:vAlign w:val="center"/>
          </w:tcPr>
          <w:p>
            <w:pPr>
              <w:pStyle w:val="TexteTableau"/>
              <w:jc w:val="center"/>
            </w:pPr>
            <w:r>
              <w:t xml:space="preserve">61 %</w:t>
            </w:r>
          </w:p>
        </w:tc>
      </w:tr>
      <w:tr>
        <w:trPr>
          <w:cantSplit/>
          <w:tblHeader w:val="false"/>
        </w:trPr>
        <w:tc>
          <w:tcPr>
            <w:tcW w:type="dxa" w:w="3518"/>
            <w:tcMar>
              <w:top w:type="dxa" w:w="40"/>
              <w:left w:type="dxa" w:w="80"/>
              <w:bottom w:type="dxa" w:w="40"/>
              <w:right w:type="dxa" w:w="80"/>
            </w:tcMar>
            <w:vAlign w:val="center"/>
          </w:tcPr>
          <w:p>
            <w:pPr>
              <w:pStyle w:val="TexteTableau"/>
              <w:jc w:val="left"/>
            </w:pPr>
            <w:r>
              <w:t xml:space="preserve">Gains à 50 ms</w:t>
            </w:r>
          </w:p>
        </w:tc>
        <w:tc>
          <w:tcPr>
            <w:tcW w:type="dxa" w:w="2631"/>
            <w:tcMar>
              <w:top w:type="dxa" w:w="40"/>
              <w:left w:type="dxa" w:w="80"/>
              <w:bottom w:type="dxa" w:w="40"/>
              <w:right w:type="dxa" w:w="80"/>
            </w:tcMar>
            <w:vAlign w:val="center"/>
          </w:tcPr>
          <w:p>
            <w:pPr>
              <w:pStyle w:val="TexteTableau"/>
              <w:jc w:val="center"/>
            </w:pPr>
            <w:r>
              <w:t xml:space="preserve">1,47 ; 1,06 ; 1,15</w:t>
            </w:r>
          </w:p>
        </w:tc>
        <w:tc>
          <w:tcPr>
            <w:tcW w:type="dxa" w:w="2638"/>
            <w:tcMar>
              <w:top w:type="dxa" w:w="40"/>
              <w:left w:type="dxa" w:w="80"/>
              <w:bottom w:type="dxa" w:w="40"/>
              <w:right w:type="dxa" w:w="80"/>
            </w:tcMar>
            <w:vAlign w:val="center"/>
          </w:tcPr>
          <w:p>
            <w:pPr>
              <w:pStyle w:val="TexteTableau"/>
              <w:jc w:val="center"/>
            </w:pPr>
            <w:r>
              <w:t xml:space="preserve">1,30 ; 0,90 ; 1,06</w:t>
            </w:r>
          </w:p>
        </w:tc>
      </w:tr>
      <w:tr>
        <w:trPr>
          <w:cantSplit/>
          <w:tblHeader w:val="false"/>
        </w:trPr>
        <w:tc>
          <w:tcPr>
            <w:tcW w:type="dxa" w:w="3518"/>
            <w:tcMar>
              <w:top w:type="dxa" w:w="40"/>
              <w:left w:type="dxa" w:w="80"/>
              <w:bottom w:type="dxa" w:w="40"/>
              <w:right w:type="dxa" w:w="80"/>
            </w:tcMar>
            <w:vAlign w:val="center"/>
          </w:tcPr>
          <w:p>
            <w:pPr>
              <w:pStyle w:val="TexteTableau"/>
              <w:jc w:val="left"/>
            </w:pPr>
            <w:r>
              <w:t xml:space="preserve">Gains à 100 ms</w:t>
            </w:r>
          </w:p>
        </w:tc>
        <w:tc>
          <w:tcPr>
            <w:tcW w:type="dxa" w:w="2631"/>
            <w:tcMar>
              <w:top w:type="dxa" w:w="40"/>
              <w:left w:type="dxa" w:w="80"/>
              <w:bottom w:type="dxa" w:w="40"/>
              <w:right w:type="dxa" w:w="80"/>
            </w:tcMar>
            <w:vAlign w:val="center"/>
          </w:tcPr>
          <w:p>
            <w:pPr>
              <w:pStyle w:val="TexteTableau"/>
              <w:jc w:val="center"/>
            </w:pPr>
            <w:r>
              <w:t xml:space="preserve">2,48 ; 1,83 ; 1,22</w:t>
            </w:r>
          </w:p>
        </w:tc>
        <w:tc>
          <w:tcPr>
            <w:tcW w:type="dxa" w:w="2638"/>
            <w:tcMar>
              <w:top w:type="dxa" w:w="40"/>
              <w:left w:type="dxa" w:w="80"/>
              <w:bottom w:type="dxa" w:w="40"/>
              <w:right w:type="dxa" w:w="80"/>
            </w:tcMar>
            <w:vAlign w:val="center"/>
          </w:tcPr>
          <w:p>
            <w:pPr>
              <w:pStyle w:val="TexteTableau"/>
              <w:jc w:val="center"/>
            </w:pPr>
            <w:r>
              <w:t xml:space="preserve">1,65 ; 0,75 ; 1,53</w:t>
            </w:r>
          </w:p>
        </w:tc>
      </w:tr>
      <w:tr>
        <w:trPr>
          <w:cantSplit/>
          <w:tblHeader w:val="false"/>
        </w:trPr>
        <w:tc>
          <w:tcPr>
            <w:tcW w:type="dxa" w:w="3518"/>
            <w:tcMar>
              <w:top w:type="dxa" w:w="40"/>
              <w:left w:type="dxa" w:w="80"/>
              <w:bottom w:type="dxa" w:w="40"/>
              <w:right w:type="dxa" w:w="80"/>
            </w:tcMar>
            <w:vAlign w:val="center"/>
          </w:tcPr>
          <w:p>
            <w:pPr>
              <w:pStyle w:val="TexteTableau"/>
              <w:jc w:val="left"/>
            </w:pPr>
            <w:r>
              <w:t xml:space="preserve">Gains en fin d'essai</w:t>
            </w:r>
          </w:p>
        </w:tc>
        <w:tc>
          <w:tcPr>
            <w:tcW w:type="dxa" w:w="2631"/>
            <w:tcMar>
              <w:top w:type="dxa" w:w="40"/>
              <w:left w:type="dxa" w:w="80"/>
              <w:bottom w:type="dxa" w:w="40"/>
              <w:right w:type="dxa" w:w="80"/>
            </w:tcMar>
            <w:vAlign w:val="center"/>
          </w:tcPr>
          <w:p>
            <w:pPr>
              <w:pStyle w:val="TexteTableau"/>
              <w:jc w:val="center"/>
            </w:pPr>
            <w:r>
              <w:t xml:space="preserve">3,37 ; 2,07 ; 1,35</w:t>
            </w:r>
          </w:p>
        </w:tc>
        <w:tc>
          <w:tcPr>
            <w:tcW w:type="dxa" w:w="2638"/>
            <w:tcMar>
              <w:top w:type="dxa" w:w="40"/>
              <w:left w:type="dxa" w:w="80"/>
              <w:bottom w:type="dxa" w:w="40"/>
              <w:right w:type="dxa" w:w="80"/>
            </w:tcMar>
            <w:vAlign w:val="center"/>
          </w:tcPr>
          <w:p>
            <w:pPr>
              <w:pStyle w:val="TexteTableau"/>
              <w:jc w:val="center"/>
            </w:pPr>
            <w:r>
              <w:t xml:space="preserve">1,70 ; 0,30 ; 1,26</w:t>
            </w:r>
          </w:p>
        </w:tc>
      </w:tr>
    </w:tbl>
    <w:p>
      <w:pPr>
        <w:spacing w:before="240"/>
      </w:pPr>
      <w:r>
        <w:t xml:space="preserve">Figés à 50 ms, le PINN-PID ferait moins bien que l'ELM-PID (17,19 contre 14,60 mV·s) ; c'est son adaptation qui le fait passer devant. Les deux méthodes montent le gain proportionnel, mais elles traitent l'action intégrale en sens opposés (figure 5.7) : l'ELM-PID la porte à 2,07 fois celle de Ziegler-Nichols en fin d'essai, tandis que le PINN-PID la réduit à 0,30 fois sur le banc, et jusqu'à 0,25 fois sous Simulink, borne basse de sa boîte de gains. Le PINN-PID obtient la plus petite IAE des deux. Nous constatons cette différence sans pouvoir l'expliquer : aucun essai de ce travail n'isole l'effet de l'action intégrale de celui des autres gains.</w:t>
      </w:r>
    </w:p>
    <w:p>
      <w:r>
        <w:t xml:space="preserve">Le PSO-PID, à gains fixes, reste pourtant devant les deux. Ses gains valent 2,55, 1,37 et 2,61 fois ceux de Ziegler-Nichols, sur tout l'essai. Ils ont été réglés hors ligne [Gaing, 2004] sur quatre essais de réglage distincts des essais de développement : un échelon de charge de 7 à 4,5 Ω, des échelons de tension d'entrée (175 puis 235 V) à 15 Ω, un échelon de consigne à charge légère (60 Ω) et un essai avec bruit de mesure et quantification. Le réglage imposait en outre une marge de phase d'au moins 30° à douze points de fonctionnement, de 4 à 98 Ω et de 160 à 240 V, ce qui inclut le point de S10. Aucun de ces essais ne contient d'échelon de charge à 25 Ω sous 160 V. Les méthodes adaptatives, elles, partent des gains de Ziegler-Nichols et les font monter en ligne ; à 50 ms, leurs gains dérivés n'atteignent pas la moitié de celui du PSO-PID.</w:t>
      </w:r>
    </w:p>
    <w:p>
      <w:r>
        <w:t xml:space="preserve">Sur la commande (figure 5.15), le dernier passage du rapport cyclique en butée a lieu à 175,45 ms pour l'ELM-PID, à 160,2 ms pour le PSO-PID, à 160,1 ms pour le PINN-PID, et dès 53,5 et 52,3 ms pour Ziegler-Nichols et le Fuzzy-PID.</w:t>
      </w:r>
    </w:p>
    <w:p>
      <w:pPr>
        <w:pStyle w:val="Repere"/>
      </w:pPr>
      <w:r>
        <w:rPr>
          <w:highlight w:val="yellow"/>
        </w:rPr>
        <w:t xml:space="preserve">[FIGURE À INSÉRER, fichier : COMPARAISON/figures_chapitre5/Fig5_S10_B_d_ELM_PSO_Fuzzy_PINN.png]</w:t>
      </w:r>
    </w:p>
    <w:p>
      <w:pPr>
        <w:pStyle w:val="Caption"/>
      </w:pPr>
      <w:r>
        <w:t xml:space="preserve">Figure 5.15 : Rapport cyclique dans le scénario S10 : ELM-PID, PSO-PID, Fuzzy-PID et PINN-PID. (a) Essai complet ; (b) à (e) agrandissements autour de 50, 100, 115 et 130 ms.</w:t>
      </w:r>
    </w:p>
    <w:p>
      <w:pPr>
        <w:pStyle w:val="Heading3"/>
      </w:pPr>
      <w:r>
        <w:t xml:space="preserve">5.4.2. Précision et coût de calcul</w:t>
      </w:r>
    </w:p>
    <w:p>
      <w:r>
        <w:t xml:space="preserve">Le tableau 5.7 donne le temps de calcul d'un appel au régulateur, mesuré sur le banc Python et cumulé sur les cinq scénarios. Il s'agit de Python interprété sur un ordinateur de bureau : seuls les rapports entre méthodes ont un sens, pas les valeurs absolues.</w:t>
      </w:r>
    </w:p>
    <w:p>
      <w:pPr>
        <w:pStyle w:val="LegendeTableau"/>
      </w:pPr>
      <w:r>
        <w:t xml:space="preserve">Tableau 5.7 : Temps de calcul par appel du régulateur sur le banc Python (µs, cinq scénarios réunis).</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43"/>
        <w:gridCol w:w="1673"/>
        <w:gridCol w:w="1883"/>
        <w:gridCol w:w="3188"/>
      </w:tblGrid>
      <w:tr>
        <w:trPr>
          <w:cantSplit/>
          <w:tblHeader/>
        </w:trPr>
        <w:tc>
          <w:tcPr>
            <w:tcW w:type="dxa" w:w="2043"/>
            <w:tcMar>
              <w:top w:type="dxa" w:w="40"/>
              <w:left w:type="dxa" w:w="80"/>
              <w:bottom w:type="dxa" w:w="40"/>
              <w:right w:type="dxa" w:w="80"/>
            </w:tcMar>
            <w:vAlign w:val="center"/>
          </w:tcPr>
          <w:p>
            <w:pPr>
              <w:pStyle w:val="TexteTableau"/>
              <w:jc w:val="left"/>
            </w:pPr>
            <w:r>
              <w:rPr>
                <w:b/>
                <w:bCs/>
              </w:rPr>
              <w:t xml:space="preserve">Méthode</w:t>
            </w:r>
          </w:p>
        </w:tc>
        <w:tc>
          <w:tcPr>
            <w:tcW w:type="dxa" w:w="1673"/>
            <w:tcMar>
              <w:top w:type="dxa" w:w="40"/>
              <w:left w:type="dxa" w:w="80"/>
              <w:bottom w:type="dxa" w:w="40"/>
              <w:right w:type="dxa" w:w="80"/>
            </w:tcMar>
            <w:vAlign w:val="center"/>
          </w:tcPr>
          <w:p>
            <w:pPr>
              <w:pStyle w:val="TexteTableau"/>
              <w:jc w:val="center"/>
            </w:pPr>
            <w:r>
              <w:rPr>
                <w:b/>
                <w:bCs/>
              </w:rPr>
              <w:t xml:space="preserve">Appel moyen</w:t>
            </w:r>
          </w:p>
        </w:tc>
        <w:tc>
          <w:tcPr>
            <w:tcW w:type="dxa" w:w="1883"/>
            <w:tcMar>
              <w:top w:type="dxa" w:w="40"/>
              <w:left w:type="dxa" w:w="80"/>
              <w:bottom w:type="dxa" w:w="40"/>
              <w:right w:type="dxa" w:w="80"/>
            </w:tcMar>
            <w:vAlign w:val="center"/>
          </w:tcPr>
          <w:p>
            <w:pPr>
              <w:pStyle w:val="TexteTableau"/>
              <w:jc w:val="center"/>
            </w:pPr>
            <w:r>
              <w:rPr>
                <w:b/>
                <w:bCs/>
              </w:rPr>
              <w:t xml:space="preserve">Appel ordinaire</w:t>
            </w:r>
          </w:p>
        </w:tc>
        <w:tc>
          <w:tcPr>
            <w:tcW w:type="dxa" w:w="3188"/>
            <w:tcMar>
              <w:top w:type="dxa" w:w="40"/>
              <w:left w:type="dxa" w:w="80"/>
              <w:bottom w:type="dxa" w:w="40"/>
              <w:right w:type="dxa" w:w="80"/>
            </w:tcMar>
            <w:vAlign w:val="center"/>
          </w:tcPr>
          <w:p>
            <w:pPr>
              <w:pStyle w:val="TexteTableau"/>
              <w:jc w:val="center"/>
            </w:pPr>
            <w:r>
              <w:rPr>
                <w:b/>
                <w:bCs/>
              </w:rPr>
              <w:t xml:space="preserve">Fin de fenêtre avec adaptation (nombre)</w:t>
            </w:r>
          </w:p>
        </w:tc>
      </w:tr>
      <w:tr>
        <w:trPr>
          <w:cantSplit/>
          <w:tblHeader w:val="false"/>
        </w:trPr>
        <w:tc>
          <w:tcPr>
            <w:tcW w:type="dxa" w:w="2043"/>
            <w:tcMar>
              <w:top w:type="dxa" w:w="40"/>
              <w:left w:type="dxa" w:w="80"/>
              <w:bottom w:type="dxa" w:w="40"/>
              <w:right w:type="dxa" w:w="80"/>
            </w:tcMar>
            <w:vAlign w:val="center"/>
          </w:tcPr>
          <w:p>
            <w:pPr>
              <w:pStyle w:val="TexteTableau"/>
              <w:jc w:val="left"/>
            </w:pPr>
            <w:r>
              <w:t xml:space="preserve">Ziegler-Nichols</w:t>
            </w:r>
          </w:p>
        </w:tc>
        <w:tc>
          <w:tcPr>
            <w:tcW w:type="dxa" w:w="1673"/>
            <w:tcMar>
              <w:top w:type="dxa" w:w="40"/>
              <w:left w:type="dxa" w:w="80"/>
              <w:bottom w:type="dxa" w:w="40"/>
              <w:right w:type="dxa" w:w="80"/>
            </w:tcMar>
            <w:vAlign w:val="center"/>
          </w:tcPr>
          <w:p>
            <w:pPr>
              <w:pStyle w:val="TexteTableau"/>
              <w:jc w:val="center"/>
            </w:pPr>
            <w:r>
              <w:t xml:space="preserve">1,39</w:t>
            </w:r>
          </w:p>
        </w:tc>
        <w:tc>
          <w:tcPr>
            <w:tcW w:type="dxa" w:w="1883"/>
            <w:tcMar>
              <w:top w:type="dxa" w:w="40"/>
              <w:left w:type="dxa" w:w="80"/>
              <w:bottom w:type="dxa" w:w="40"/>
              <w:right w:type="dxa" w:w="80"/>
            </w:tcMar>
            <w:vAlign w:val="center"/>
          </w:tcPr>
          <w:p>
            <w:pPr>
              <w:pStyle w:val="TexteTableau"/>
              <w:jc w:val="center"/>
            </w:pPr>
            <w:r>
              <w:t xml:space="preserve">–</w:t>
            </w:r>
          </w:p>
        </w:tc>
        <w:tc>
          <w:tcPr>
            <w:tcW w:type="dxa" w:w="3188"/>
            <w:tcMar>
              <w:top w:type="dxa" w:w="40"/>
              <w:left w:type="dxa" w:w="80"/>
              <w:bottom w:type="dxa" w:w="40"/>
              <w:right w:type="dxa" w:w="80"/>
            </w:tcMar>
            <w:vAlign w:val="center"/>
          </w:tcPr>
          <w:p>
            <w:pPr>
              <w:pStyle w:val="TexteTableau"/>
              <w:jc w:val="center"/>
            </w:pPr>
            <w:r>
              <w:t xml:space="preserve">–</w:t>
            </w:r>
          </w:p>
        </w:tc>
      </w:tr>
      <w:tr>
        <w:trPr>
          <w:cantSplit/>
          <w:tblHeader w:val="false"/>
        </w:trPr>
        <w:tc>
          <w:tcPr>
            <w:tcW w:type="dxa" w:w="2043"/>
            <w:tcMar>
              <w:top w:type="dxa" w:w="40"/>
              <w:left w:type="dxa" w:w="80"/>
              <w:bottom w:type="dxa" w:w="40"/>
              <w:right w:type="dxa" w:w="80"/>
            </w:tcMar>
            <w:vAlign w:val="center"/>
          </w:tcPr>
          <w:p>
            <w:pPr>
              <w:pStyle w:val="TexteTableau"/>
              <w:jc w:val="left"/>
            </w:pPr>
            <w:r>
              <w:t xml:space="preserve">PSO-PID</w:t>
            </w:r>
          </w:p>
        </w:tc>
        <w:tc>
          <w:tcPr>
            <w:tcW w:type="dxa" w:w="1673"/>
            <w:tcMar>
              <w:top w:type="dxa" w:w="40"/>
              <w:left w:type="dxa" w:w="80"/>
              <w:bottom w:type="dxa" w:w="40"/>
              <w:right w:type="dxa" w:w="80"/>
            </w:tcMar>
            <w:vAlign w:val="center"/>
          </w:tcPr>
          <w:p>
            <w:pPr>
              <w:pStyle w:val="TexteTableau"/>
              <w:jc w:val="center"/>
            </w:pPr>
            <w:r>
              <w:t xml:space="preserve">1,43</w:t>
            </w:r>
          </w:p>
        </w:tc>
        <w:tc>
          <w:tcPr>
            <w:tcW w:type="dxa" w:w="1883"/>
            <w:tcMar>
              <w:top w:type="dxa" w:w="40"/>
              <w:left w:type="dxa" w:w="80"/>
              <w:bottom w:type="dxa" w:w="40"/>
              <w:right w:type="dxa" w:w="80"/>
            </w:tcMar>
            <w:vAlign w:val="center"/>
          </w:tcPr>
          <w:p>
            <w:pPr>
              <w:pStyle w:val="TexteTableau"/>
              <w:jc w:val="center"/>
            </w:pPr>
            <w:r>
              <w:t xml:space="preserve">–</w:t>
            </w:r>
          </w:p>
        </w:tc>
        <w:tc>
          <w:tcPr>
            <w:tcW w:type="dxa" w:w="3188"/>
            <w:tcMar>
              <w:top w:type="dxa" w:w="40"/>
              <w:left w:type="dxa" w:w="80"/>
              <w:bottom w:type="dxa" w:w="40"/>
              <w:right w:type="dxa" w:w="80"/>
            </w:tcMar>
            <w:vAlign w:val="center"/>
          </w:tcPr>
          <w:p>
            <w:pPr>
              <w:pStyle w:val="TexteTableau"/>
              <w:jc w:val="center"/>
            </w:pPr>
            <w:r>
              <w:t xml:space="preserve">–</w:t>
            </w:r>
          </w:p>
        </w:tc>
      </w:tr>
      <w:tr>
        <w:trPr>
          <w:cantSplit/>
          <w:tblHeader w:val="false"/>
        </w:trPr>
        <w:tc>
          <w:tcPr>
            <w:tcW w:type="dxa" w:w="2043"/>
            <w:tcMar>
              <w:top w:type="dxa" w:w="40"/>
              <w:left w:type="dxa" w:w="80"/>
              <w:bottom w:type="dxa" w:w="40"/>
              <w:right w:type="dxa" w:w="80"/>
            </w:tcMar>
            <w:vAlign w:val="center"/>
          </w:tcPr>
          <w:p>
            <w:pPr>
              <w:pStyle w:val="TexteTableau"/>
              <w:jc w:val="left"/>
            </w:pPr>
            <w:r>
              <w:t xml:space="preserve">Fuzzy-PID</w:t>
            </w:r>
          </w:p>
        </w:tc>
        <w:tc>
          <w:tcPr>
            <w:tcW w:type="dxa" w:w="1673"/>
            <w:tcMar>
              <w:top w:type="dxa" w:w="40"/>
              <w:left w:type="dxa" w:w="80"/>
              <w:bottom w:type="dxa" w:w="40"/>
              <w:right w:type="dxa" w:w="80"/>
            </w:tcMar>
            <w:vAlign w:val="center"/>
          </w:tcPr>
          <w:p>
            <w:pPr>
              <w:pStyle w:val="TexteTableau"/>
              <w:jc w:val="center"/>
            </w:pPr>
            <w:r>
              <w:t xml:space="preserve">12,74</w:t>
            </w:r>
          </w:p>
        </w:tc>
        <w:tc>
          <w:tcPr>
            <w:tcW w:type="dxa" w:w="1883"/>
            <w:tcMar>
              <w:top w:type="dxa" w:w="40"/>
              <w:left w:type="dxa" w:w="80"/>
              <w:bottom w:type="dxa" w:w="40"/>
              <w:right w:type="dxa" w:w="80"/>
            </w:tcMar>
            <w:vAlign w:val="center"/>
          </w:tcPr>
          <w:p>
            <w:pPr>
              <w:pStyle w:val="TexteTableau"/>
              <w:jc w:val="center"/>
            </w:pPr>
            <w:r>
              <w:t xml:space="preserve">–</w:t>
            </w:r>
          </w:p>
        </w:tc>
        <w:tc>
          <w:tcPr>
            <w:tcW w:type="dxa" w:w="3188"/>
            <w:tcMar>
              <w:top w:type="dxa" w:w="40"/>
              <w:left w:type="dxa" w:w="80"/>
              <w:bottom w:type="dxa" w:w="40"/>
              <w:right w:type="dxa" w:w="80"/>
            </w:tcMar>
            <w:vAlign w:val="center"/>
          </w:tcPr>
          <w:p>
            <w:pPr>
              <w:pStyle w:val="TexteTableau"/>
              <w:jc w:val="center"/>
            </w:pPr>
            <w:r>
              <w:t xml:space="preserve">–</w:t>
            </w:r>
          </w:p>
        </w:tc>
      </w:tr>
      <w:tr>
        <w:trPr>
          <w:cantSplit/>
          <w:tblHeader w:val="false"/>
        </w:trPr>
        <w:tc>
          <w:tcPr>
            <w:tcW w:type="dxa" w:w="2043"/>
            <w:tcMar>
              <w:top w:type="dxa" w:w="40"/>
              <w:left w:type="dxa" w:w="80"/>
              <w:bottom w:type="dxa" w:w="40"/>
              <w:right w:type="dxa" w:w="80"/>
            </w:tcMar>
            <w:vAlign w:val="center"/>
          </w:tcPr>
          <w:p>
            <w:pPr>
              <w:pStyle w:val="TexteTableau"/>
              <w:jc w:val="left"/>
            </w:pPr>
            <w:r>
              <w:t xml:space="preserve">ELM-PID</w:t>
            </w:r>
          </w:p>
        </w:tc>
        <w:tc>
          <w:tcPr>
            <w:tcW w:type="dxa" w:w="1673"/>
            <w:tcMar>
              <w:top w:type="dxa" w:w="40"/>
              <w:left w:type="dxa" w:w="80"/>
              <w:bottom w:type="dxa" w:w="40"/>
              <w:right w:type="dxa" w:w="80"/>
            </w:tcMar>
            <w:vAlign w:val="center"/>
          </w:tcPr>
          <w:p>
            <w:pPr>
              <w:pStyle w:val="TexteTableau"/>
              <w:jc w:val="center"/>
            </w:pPr>
            <w:r>
              <w:t xml:space="preserve">3,59</w:t>
            </w:r>
          </w:p>
        </w:tc>
        <w:tc>
          <w:tcPr>
            <w:tcW w:type="dxa" w:w="1883"/>
            <w:tcMar>
              <w:top w:type="dxa" w:w="40"/>
              <w:left w:type="dxa" w:w="80"/>
              <w:bottom w:type="dxa" w:w="40"/>
              <w:right w:type="dxa" w:w="80"/>
            </w:tcMar>
            <w:vAlign w:val="center"/>
          </w:tcPr>
          <w:p>
            <w:pPr>
              <w:pStyle w:val="TexteTableau"/>
              <w:jc w:val="center"/>
            </w:pPr>
            <w:r>
              <w:t xml:space="preserve">3,22</w:t>
            </w:r>
          </w:p>
        </w:tc>
        <w:tc>
          <w:tcPr>
            <w:tcW w:type="dxa" w:w="3188"/>
            <w:tcMar>
              <w:top w:type="dxa" w:w="40"/>
              <w:left w:type="dxa" w:w="80"/>
              <w:bottom w:type="dxa" w:w="40"/>
              <w:right w:type="dxa" w:w="80"/>
            </w:tcMar>
            <w:vAlign w:val="center"/>
          </w:tcPr>
          <w:p>
            <w:pPr>
              <w:pStyle w:val="TexteTableau"/>
              <w:jc w:val="center"/>
            </w:pPr>
            <w:r>
              <w:t xml:space="preserve">840,38 (20)</w:t>
            </w:r>
          </w:p>
        </w:tc>
      </w:tr>
      <w:tr>
        <w:trPr>
          <w:cantSplit/>
          <w:tblHeader w:val="false"/>
        </w:trPr>
        <w:tc>
          <w:tcPr>
            <w:tcW w:type="dxa" w:w="2043"/>
            <w:tcMar>
              <w:top w:type="dxa" w:w="40"/>
              <w:left w:type="dxa" w:w="80"/>
              <w:bottom w:type="dxa" w:w="40"/>
              <w:right w:type="dxa" w:w="80"/>
            </w:tcMar>
            <w:vAlign w:val="center"/>
          </w:tcPr>
          <w:p>
            <w:pPr>
              <w:pStyle w:val="TexteTableau"/>
              <w:jc w:val="left"/>
            </w:pPr>
            <w:r>
              <w:t xml:space="preserve">PINN-PID</w:t>
            </w:r>
          </w:p>
        </w:tc>
        <w:tc>
          <w:tcPr>
            <w:tcW w:type="dxa" w:w="1673"/>
            <w:tcMar>
              <w:top w:type="dxa" w:w="40"/>
              <w:left w:type="dxa" w:w="80"/>
              <w:bottom w:type="dxa" w:w="40"/>
              <w:right w:type="dxa" w:w="80"/>
            </w:tcMar>
            <w:vAlign w:val="center"/>
          </w:tcPr>
          <w:p>
            <w:pPr>
              <w:pStyle w:val="TexteTableau"/>
              <w:jc w:val="center"/>
            </w:pPr>
            <w:r>
              <w:t xml:space="preserve">38,93</w:t>
            </w:r>
          </w:p>
        </w:tc>
        <w:tc>
          <w:tcPr>
            <w:tcW w:type="dxa" w:w="1883"/>
            <w:tcMar>
              <w:top w:type="dxa" w:w="40"/>
              <w:left w:type="dxa" w:w="80"/>
              <w:bottom w:type="dxa" w:w="40"/>
              <w:right w:type="dxa" w:w="80"/>
            </w:tcMar>
            <w:vAlign w:val="center"/>
          </w:tcPr>
          <w:p>
            <w:pPr>
              <w:pStyle w:val="TexteTableau"/>
              <w:jc w:val="center"/>
            </w:pPr>
            <w:r>
              <w:t xml:space="preserve">31,28</w:t>
            </w:r>
          </w:p>
        </w:tc>
        <w:tc>
          <w:tcPr>
            <w:tcW w:type="dxa" w:w="3188"/>
            <w:tcMar>
              <w:top w:type="dxa" w:w="40"/>
              <w:left w:type="dxa" w:w="80"/>
              <w:bottom w:type="dxa" w:w="40"/>
              <w:right w:type="dxa" w:w="80"/>
            </w:tcMar>
            <w:vAlign w:val="center"/>
          </w:tcPr>
          <w:p>
            <w:pPr>
              <w:pStyle w:val="TexteTableau"/>
              <w:jc w:val="center"/>
            </w:pPr>
            <w:r>
              <w:t xml:space="preserve">16 618,37 (100)</w:t>
            </w:r>
          </w:p>
        </w:tc>
      </w:tr>
    </w:tbl>
    <w:p>
      <w:pPr>
        <w:spacing w:before="240"/>
      </w:pPr>
      <w:r>
        <w:t xml:space="preserve">L'appel moyen de l'ELM-PID coûte environ dix fois moins que celui du PINN-PID (3,59 contre 38,93 µs), et un pas d'adaptation environ vingt fois moins (0,84 contre 16,6 ms). Pour ce coût, l'ELM-PID atteint la même précision que le PINN-PID sur S1 à S8a (écarts de 0,03 à 1,8 %). S10 fait exception : le PINN-PID y obtient une IAE inférieure de 23 %.</w:t>
      </w:r>
    </w:p>
    <w:p>
      <w:r>
        <w:t xml:space="preserve">Sur ce compromis, le PSO-PID domine. En ligne, il coûte autant que Ziegler-Nichols (1,43 contre 1,39 µs par appel) et il a la meilleure IAE partout. Son coût est reporté hors ligne : la recherche par essaim a pris 35 minutes sur quatre cœurs pour cinq graines, à raison de 0,57 s par évaluation des gains.</w:t>
      </w:r>
    </w:p>
    <w:p>
      <w:r>
        <w:t xml:space="preserve">Aucune méthode adaptative n'est démontrée compatible avec le temps réel. Sur le banc, un pas d'adaptation de l'ELM-PID dure 0,84 ms, plus que sa fenêtre de 0,5 ms ; celui du PINN-PID dure 16,6 ms. Un code compilé sur une cible embarquée irait plus vite, mais ce travail ne l'a pas mesuré.</w:t>
      </w:r>
    </w:p>
    <w:p>
      <w:r>
        <w:t xml:space="preserve">En chiffres, l'ELM-PID peut revendiquer trois choses. Il ne fait jamais moins bien que le PID de Ziegler-Nichols dont il part. Il fait jeu égal avec le PINN-PID sur quatre scénarios sur cinq, pour un calcul environ dix fois moins coûteux, mais il reste derrière lui sur S10. Il part des gains de Ziegler-Nichols sans réglage hors ligne des gains sur des essais, ce que le PSO-PID exige ; son réseau demande en revanche un apprentissage hors ligne sur des enregistrements du convertisseur en boucle ouverte. La section 5.5 fait le bilan multicritère de ces résultats et discute le rôle réel du réseau ELM.</w:t>
      </w:r>
    </w:p>
    <w:p>
      <w:pPr>
        <w:pStyle w:val="Heading2"/>
      </w:pPr>
      <w:r>
        <w:t xml:space="preserve">5.5. Bilan multicritère et discussion</w:t>
      </w:r>
    </w:p>
    <w:p>
      <w:pPr>
        <w:pStyle w:val="Heading3"/>
      </w:pPr>
      <w:r>
        <w:t xml:space="preserve">5.5.1. Tableau récapitulatif multicritère</w:t>
      </w:r>
    </w:p>
    <w:p>
      <w:r>
        <w:t xml:space="preserve">Le tableau 5.8 rassemble, pour chaque méthode, les grandeurs des sections 5.3 et 5.4. Les IAE y sont rapportées à celle de Ziegler-Nichols sur le même scénario.</w:t>
      </w:r>
    </w:p>
    <w:p>
      <w:pPr>
        <w:pStyle w:val="LegendeTableau"/>
      </w:pPr>
      <w:r>
        <w:t xml:space="preserve">Tableau 5.8 : Récapitulatif multicritère des cinq méthodes.</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22"/>
        <w:gridCol w:w="1183"/>
        <w:gridCol w:w="1249"/>
        <w:gridCol w:w="1280"/>
        <w:gridCol w:w="1615"/>
        <w:gridCol w:w="1538"/>
      </w:tblGrid>
      <w:tr>
        <w:trPr>
          <w:cantSplit/>
          <w:tblHeader/>
        </w:trPr>
        <w:tc>
          <w:tcPr>
            <w:tcW w:type="dxa" w:w="1922"/>
            <w:tcMar>
              <w:top w:type="dxa" w:w="40"/>
              <w:left w:type="dxa" w:w="80"/>
              <w:bottom w:type="dxa" w:w="40"/>
              <w:right w:type="dxa" w:w="80"/>
            </w:tcMar>
            <w:vAlign w:val="center"/>
          </w:tcPr>
          <w:p>
            <w:pPr>
              <w:pStyle w:val="TexteTableau"/>
              <w:jc w:val="left"/>
            </w:pPr>
            <w:r>
              <w:rPr>
                <w:b/>
                <w:bCs/>
              </w:rPr>
              <w:t xml:space="preserve">Grandeur</w:t>
            </w:r>
          </w:p>
        </w:tc>
        <w:tc>
          <w:tcPr>
            <w:tcW w:type="dxa" w:w="1183"/>
            <w:tcMar>
              <w:top w:type="dxa" w:w="40"/>
              <w:left w:type="dxa" w:w="80"/>
              <w:bottom w:type="dxa" w:w="40"/>
              <w:right w:type="dxa" w:w="80"/>
            </w:tcMar>
            <w:vAlign w:val="center"/>
          </w:tcPr>
          <w:p>
            <w:pPr>
              <w:pStyle w:val="TexteTableau"/>
              <w:jc w:val="center"/>
            </w:pPr>
            <w:r>
              <w:rPr>
                <w:b/>
                <w:bCs/>
              </w:rPr>
              <w:t xml:space="preserve">ZN</w:t>
            </w:r>
          </w:p>
        </w:tc>
        <w:tc>
          <w:tcPr>
            <w:tcW w:type="dxa" w:w="1249"/>
            <w:tcMar>
              <w:top w:type="dxa" w:w="40"/>
              <w:left w:type="dxa" w:w="80"/>
              <w:bottom w:type="dxa" w:w="40"/>
              <w:right w:type="dxa" w:w="80"/>
            </w:tcMar>
            <w:vAlign w:val="center"/>
          </w:tcPr>
          <w:p>
            <w:pPr>
              <w:pStyle w:val="TexteTableau"/>
              <w:jc w:val="center"/>
            </w:pPr>
            <w:r>
              <w:rPr>
                <w:b/>
                <w:bCs/>
              </w:rPr>
              <w:t xml:space="preserve">PSO-PID</w:t>
            </w:r>
          </w:p>
        </w:tc>
        <w:tc>
          <w:tcPr>
            <w:tcW w:type="dxa" w:w="1280"/>
            <w:tcMar>
              <w:top w:type="dxa" w:w="40"/>
              <w:left w:type="dxa" w:w="80"/>
              <w:bottom w:type="dxa" w:w="40"/>
              <w:right w:type="dxa" w:w="80"/>
            </w:tcMar>
            <w:vAlign w:val="center"/>
          </w:tcPr>
          <w:p>
            <w:pPr>
              <w:pStyle w:val="TexteTableau"/>
              <w:jc w:val="center"/>
            </w:pPr>
            <w:r>
              <w:rPr>
                <w:b/>
                <w:bCs/>
              </w:rPr>
              <w:t xml:space="preserve">Fuzzy-PID</w:t>
            </w:r>
          </w:p>
        </w:tc>
        <w:tc>
          <w:tcPr>
            <w:tcW w:type="dxa" w:w="1615"/>
            <w:tcMar>
              <w:top w:type="dxa" w:w="40"/>
              <w:left w:type="dxa" w:w="80"/>
              <w:bottom w:type="dxa" w:w="40"/>
              <w:right w:type="dxa" w:w="80"/>
            </w:tcMar>
            <w:vAlign w:val="center"/>
          </w:tcPr>
          <w:p>
            <w:pPr>
              <w:pStyle w:val="TexteTableau"/>
              <w:jc w:val="center"/>
            </w:pPr>
            <w:r>
              <w:rPr>
                <w:b/>
                <w:bCs/>
              </w:rPr>
              <w:t xml:space="preserve">ELM-PID</w:t>
            </w:r>
          </w:p>
        </w:tc>
        <w:tc>
          <w:tcPr>
            <w:tcW w:type="dxa" w:w="1538"/>
            <w:tcMar>
              <w:top w:type="dxa" w:w="40"/>
              <w:left w:type="dxa" w:w="80"/>
              <w:bottom w:type="dxa" w:w="40"/>
              <w:right w:type="dxa" w:w="80"/>
            </w:tcMar>
            <w:vAlign w:val="center"/>
          </w:tcPr>
          <w:p>
            <w:pPr>
              <w:pStyle w:val="TexteTableau"/>
              <w:jc w:val="center"/>
            </w:pPr>
            <w:r>
              <w:rPr>
                <w:b/>
                <w:bCs/>
              </w:rPr>
              <w:t xml:space="preserve">PINN-PID</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IAE/IAE_ZN, S1</w:t>
            </w:r>
          </w:p>
        </w:tc>
        <w:tc>
          <w:tcPr>
            <w:tcW w:type="dxa" w:w="1183"/>
            <w:tcMar>
              <w:top w:type="dxa" w:w="40"/>
              <w:left w:type="dxa" w:w="80"/>
              <w:bottom w:type="dxa" w:w="40"/>
              <w:right w:type="dxa" w:w="80"/>
            </w:tcMar>
            <w:vAlign w:val="center"/>
          </w:tcPr>
          <w:p>
            <w:pPr>
              <w:pStyle w:val="TexteTableau"/>
              <w:jc w:val="center"/>
            </w:pPr>
            <w:r>
              <w:t xml:space="preserve">1</w:t>
            </w:r>
          </w:p>
        </w:tc>
        <w:tc>
          <w:tcPr>
            <w:tcW w:type="dxa" w:w="1249"/>
            <w:tcMar>
              <w:top w:type="dxa" w:w="40"/>
              <w:left w:type="dxa" w:w="80"/>
              <w:bottom w:type="dxa" w:w="40"/>
              <w:right w:type="dxa" w:w="80"/>
            </w:tcMar>
            <w:vAlign w:val="center"/>
          </w:tcPr>
          <w:p>
            <w:pPr>
              <w:pStyle w:val="TexteTableau"/>
              <w:jc w:val="center"/>
            </w:pPr>
            <w:r>
              <w:t xml:space="preserve">0,935</w:t>
            </w:r>
          </w:p>
        </w:tc>
        <w:tc>
          <w:tcPr>
            <w:tcW w:type="dxa" w:w="1280"/>
            <w:tcMar>
              <w:top w:type="dxa" w:w="40"/>
              <w:left w:type="dxa" w:w="80"/>
              <w:bottom w:type="dxa" w:w="40"/>
              <w:right w:type="dxa" w:w="80"/>
            </w:tcMar>
            <w:vAlign w:val="center"/>
          </w:tcPr>
          <w:p>
            <w:pPr>
              <w:pStyle w:val="TexteTableau"/>
              <w:jc w:val="center"/>
            </w:pPr>
            <w:r>
              <w:t xml:space="preserve">1,183</w:t>
            </w:r>
          </w:p>
        </w:tc>
        <w:tc>
          <w:tcPr>
            <w:tcW w:type="dxa" w:w="1615"/>
            <w:tcMar>
              <w:top w:type="dxa" w:w="40"/>
              <w:left w:type="dxa" w:w="80"/>
              <w:bottom w:type="dxa" w:w="40"/>
              <w:right w:type="dxa" w:w="80"/>
            </w:tcMar>
            <w:vAlign w:val="center"/>
          </w:tcPr>
          <w:p>
            <w:pPr>
              <w:pStyle w:val="TexteTableau"/>
              <w:jc w:val="center"/>
            </w:pPr>
            <w:r>
              <w:t xml:space="preserve">0,999</w:t>
            </w:r>
          </w:p>
        </w:tc>
        <w:tc>
          <w:tcPr>
            <w:tcW w:type="dxa" w:w="1538"/>
            <w:tcMar>
              <w:top w:type="dxa" w:w="40"/>
              <w:left w:type="dxa" w:w="80"/>
              <w:bottom w:type="dxa" w:w="40"/>
              <w:right w:type="dxa" w:w="80"/>
            </w:tcMar>
            <w:vAlign w:val="center"/>
          </w:tcPr>
          <w:p>
            <w:pPr>
              <w:pStyle w:val="TexteTableau"/>
              <w:jc w:val="center"/>
            </w:pPr>
            <w:r>
              <w:t xml:space="preserve">0,982</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IAE/IAE_ZN, S2</w:t>
            </w:r>
          </w:p>
        </w:tc>
        <w:tc>
          <w:tcPr>
            <w:tcW w:type="dxa" w:w="1183"/>
            <w:tcMar>
              <w:top w:type="dxa" w:w="40"/>
              <w:left w:type="dxa" w:w="80"/>
              <w:bottom w:type="dxa" w:w="40"/>
              <w:right w:type="dxa" w:w="80"/>
            </w:tcMar>
            <w:vAlign w:val="center"/>
          </w:tcPr>
          <w:p>
            <w:pPr>
              <w:pStyle w:val="TexteTableau"/>
              <w:jc w:val="center"/>
            </w:pPr>
            <w:r>
              <w:t xml:space="preserve">1</w:t>
            </w:r>
          </w:p>
        </w:tc>
        <w:tc>
          <w:tcPr>
            <w:tcW w:type="dxa" w:w="1249"/>
            <w:tcMar>
              <w:top w:type="dxa" w:w="40"/>
              <w:left w:type="dxa" w:w="80"/>
              <w:bottom w:type="dxa" w:w="40"/>
              <w:right w:type="dxa" w:w="80"/>
            </w:tcMar>
            <w:vAlign w:val="center"/>
          </w:tcPr>
          <w:p>
            <w:pPr>
              <w:pStyle w:val="TexteTableau"/>
              <w:jc w:val="center"/>
            </w:pPr>
            <w:r>
              <w:t xml:space="preserve">0,719</w:t>
            </w:r>
          </w:p>
        </w:tc>
        <w:tc>
          <w:tcPr>
            <w:tcW w:type="dxa" w:w="1280"/>
            <w:tcMar>
              <w:top w:type="dxa" w:w="40"/>
              <w:left w:type="dxa" w:w="80"/>
              <w:bottom w:type="dxa" w:w="40"/>
              <w:right w:type="dxa" w:w="80"/>
            </w:tcMar>
            <w:vAlign w:val="center"/>
          </w:tcPr>
          <w:p>
            <w:pPr>
              <w:pStyle w:val="TexteTableau"/>
              <w:jc w:val="center"/>
            </w:pPr>
            <w:r>
              <w:t xml:space="preserve">0,856</w:t>
            </w:r>
          </w:p>
        </w:tc>
        <w:tc>
          <w:tcPr>
            <w:tcW w:type="dxa" w:w="1615"/>
            <w:tcMar>
              <w:top w:type="dxa" w:w="40"/>
              <w:left w:type="dxa" w:w="80"/>
              <w:bottom w:type="dxa" w:w="40"/>
              <w:right w:type="dxa" w:w="80"/>
            </w:tcMar>
            <w:vAlign w:val="center"/>
          </w:tcPr>
          <w:p>
            <w:pPr>
              <w:pStyle w:val="TexteTableau"/>
              <w:jc w:val="center"/>
            </w:pPr>
            <w:r>
              <w:t xml:space="preserve">0,847</w:t>
            </w:r>
          </w:p>
        </w:tc>
        <w:tc>
          <w:tcPr>
            <w:tcW w:type="dxa" w:w="1538"/>
            <w:tcMar>
              <w:top w:type="dxa" w:w="40"/>
              <w:left w:type="dxa" w:w="80"/>
              <w:bottom w:type="dxa" w:w="40"/>
              <w:right w:type="dxa" w:w="80"/>
            </w:tcMar>
            <w:vAlign w:val="center"/>
          </w:tcPr>
          <w:p>
            <w:pPr>
              <w:pStyle w:val="TexteTableau"/>
              <w:jc w:val="center"/>
            </w:pPr>
            <w:r>
              <w:t xml:space="preserve">0,858</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IAE/IAE_ZN, S3</w:t>
            </w:r>
          </w:p>
        </w:tc>
        <w:tc>
          <w:tcPr>
            <w:tcW w:type="dxa" w:w="1183"/>
            <w:tcMar>
              <w:top w:type="dxa" w:w="40"/>
              <w:left w:type="dxa" w:w="80"/>
              <w:bottom w:type="dxa" w:w="40"/>
              <w:right w:type="dxa" w:w="80"/>
            </w:tcMar>
            <w:vAlign w:val="center"/>
          </w:tcPr>
          <w:p>
            <w:pPr>
              <w:pStyle w:val="TexteTableau"/>
              <w:jc w:val="center"/>
            </w:pPr>
            <w:r>
              <w:t xml:space="preserve">1</w:t>
            </w:r>
          </w:p>
        </w:tc>
        <w:tc>
          <w:tcPr>
            <w:tcW w:type="dxa" w:w="1249"/>
            <w:tcMar>
              <w:top w:type="dxa" w:w="40"/>
              <w:left w:type="dxa" w:w="80"/>
              <w:bottom w:type="dxa" w:w="40"/>
              <w:right w:type="dxa" w:w="80"/>
            </w:tcMar>
            <w:vAlign w:val="center"/>
          </w:tcPr>
          <w:p>
            <w:pPr>
              <w:pStyle w:val="TexteTableau"/>
              <w:jc w:val="center"/>
            </w:pPr>
            <w:r>
              <w:t xml:space="preserve">0,630</w:t>
            </w:r>
          </w:p>
        </w:tc>
        <w:tc>
          <w:tcPr>
            <w:tcW w:type="dxa" w:w="1280"/>
            <w:tcMar>
              <w:top w:type="dxa" w:w="40"/>
              <w:left w:type="dxa" w:w="80"/>
              <w:bottom w:type="dxa" w:w="40"/>
              <w:right w:type="dxa" w:w="80"/>
            </w:tcMar>
            <w:vAlign w:val="center"/>
          </w:tcPr>
          <w:p>
            <w:pPr>
              <w:pStyle w:val="TexteTableau"/>
              <w:jc w:val="center"/>
            </w:pPr>
            <w:r>
              <w:t xml:space="preserve">0,916</w:t>
            </w:r>
          </w:p>
        </w:tc>
        <w:tc>
          <w:tcPr>
            <w:tcW w:type="dxa" w:w="1615"/>
            <w:tcMar>
              <w:top w:type="dxa" w:w="40"/>
              <w:left w:type="dxa" w:w="80"/>
              <w:bottom w:type="dxa" w:w="40"/>
              <w:right w:type="dxa" w:w="80"/>
            </w:tcMar>
            <w:vAlign w:val="center"/>
          </w:tcPr>
          <w:p>
            <w:pPr>
              <w:pStyle w:val="TexteTableau"/>
              <w:jc w:val="center"/>
            </w:pPr>
            <w:r>
              <w:t xml:space="preserve">0,739</w:t>
            </w:r>
          </w:p>
        </w:tc>
        <w:tc>
          <w:tcPr>
            <w:tcW w:type="dxa" w:w="1538"/>
            <w:tcMar>
              <w:top w:type="dxa" w:w="40"/>
              <w:left w:type="dxa" w:w="80"/>
              <w:bottom w:type="dxa" w:w="40"/>
              <w:right w:type="dxa" w:w="80"/>
            </w:tcMar>
            <w:vAlign w:val="center"/>
          </w:tcPr>
          <w:p>
            <w:pPr>
              <w:pStyle w:val="TexteTableau"/>
              <w:jc w:val="center"/>
            </w:pPr>
            <w:r>
              <w:t xml:space="preserve">0,739</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IAE/IAE_ZN, S8a</w:t>
            </w:r>
          </w:p>
        </w:tc>
        <w:tc>
          <w:tcPr>
            <w:tcW w:type="dxa" w:w="1183"/>
            <w:tcMar>
              <w:top w:type="dxa" w:w="40"/>
              <w:left w:type="dxa" w:w="80"/>
              <w:bottom w:type="dxa" w:w="40"/>
              <w:right w:type="dxa" w:w="80"/>
            </w:tcMar>
            <w:vAlign w:val="center"/>
          </w:tcPr>
          <w:p>
            <w:pPr>
              <w:pStyle w:val="TexteTableau"/>
              <w:jc w:val="center"/>
            </w:pPr>
            <w:r>
              <w:t xml:space="preserve">1</w:t>
            </w:r>
          </w:p>
        </w:tc>
        <w:tc>
          <w:tcPr>
            <w:tcW w:type="dxa" w:w="1249"/>
            <w:tcMar>
              <w:top w:type="dxa" w:w="40"/>
              <w:left w:type="dxa" w:w="80"/>
              <w:bottom w:type="dxa" w:w="40"/>
              <w:right w:type="dxa" w:w="80"/>
            </w:tcMar>
            <w:vAlign w:val="center"/>
          </w:tcPr>
          <w:p>
            <w:pPr>
              <w:pStyle w:val="TexteTableau"/>
              <w:jc w:val="center"/>
            </w:pPr>
            <w:r>
              <w:t xml:space="preserve">0,204</w:t>
            </w:r>
          </w:p>
        </w:tc>
        <w:tc>
          <w:tcPr>
            <w:tcW w:type="dxa" w:w="1280"/>
            <w:tcMar>
              <w:top w:type="dxa" w:w="40"/>
              <w:left w:type="dxa" w:w="80"/>
              <w:bottom w:type="dxa" w:w="40"/>
              <w:right w:type="dxa" w:w="80"/>
            </w:tcMar>
            <w:vAlign w:val="center"/>
          </w:tcPr>
          <w:p>
            <w:pPr>
              <w:pStyle w:val="TexteTableau"/>
              <w:jc w:val="center"/>
            </w:pPr>
            <w:r>
              <w:t xml:space="preserve">0,341</w:t>
            </w:r>
          </w:p>
        </w:tc>
        <w:tc>
          <w:tcPr>
            <w:tcW w:type="dxa" w:w="1615"/>
            <w:tcMar>
              <w:top w:type="dxa" w:w="40"/>
              <w:left w:type="dxa" w:w="80"/>
              <w:bottom w:type="dxa" w:w="40"/>
              <w:right w:type="dxa" w:w="80"/>
            </w:tcMar>
            <w:vAlign w:val="center"/>
          </w:tcPr>
          <w:p>
            <w:pPr>
              <w:pStyle w:val="TexteTableau"/>
              <w:jc w:val="center"/>
            </w:pPr>
            <w:r>
              <w:t xml:space="preserve">0,246</w:t>
            </w:r>
          </w:p>
        </w:tc>
        <w:tc>
          <w:tcPr>
            <w:tcW w:type="dxa" w:w="1538"/>
            <w:tcMar>
              <w:top w:type="dxa" w:w="40"/>
              <w:left w:type="dxa" w:w="80"/>
              <w:bottom w:type="dxa" w:w="40"/>
              <w:right w:type="dxa" w:w="80"/>
            </w:tcMar>
            <w:vAlign w:val="center"/>
          </w:tcPr>
          <w:p>
            <w:pPr>
              <w:pStyle w:val="TexteTableau"/>
              <w:jc w:val="center"/>
            </w:pPr>
            <w:r>
              <w:t xml:space="preserve">0,245</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IAE/IAE_ZN, S10</w:t>
            </w:r>
          </w:p>
        </w:tc>
        <w:tc>
          <w:tcPr>
            <w:tcW w:type="dxa" w:w="1183"/>
            <w:tcMar>
              <w:top w:type="dxa" w:w="40"/>
              <w:left w:type="dxa" w:w="80"/>
              <w:bottom w:type="dxa" w:w="40"/>
              <w:right w:type="dxa" w:w="80"/>
            </w:tcMar>
            <w:vAlign w:val="center"/>
          </w:tcPr>
          <w:p>
            <w:pPr>
              <w:pStyle w:val="TexteTableau"/>
              <w:jc w:val="center"/>
            </w:pPr>
            <w:r>
              <w:t xml:space="preserve">1</w:t>
            </w:r>
          </w:p>
        </w:tc>
        <w:tc>
          <w:tcPr>
            <w:tcW w:type="dxa" w:w="1249"/>
            <w:tcMar>
              <w:top w:type="dxa" w:w="40"/>
              <w:left w:type="dxa" w:w="80"/>
              <w:bottom w:type="dxa" w:w="40"/>
              <w:right w:type="dxa" w:w="80"/>
            </w:tcMar>
            <w:vAlign w:val="center"/>
          </w:tcPr>
          <w:p>
            <w:pPr>
              <w:pStyle w:val="TexteTableau"/>
              <w:jc w:val="center"/>
            </w:pPr>
            <w:r>
              <w:t xml:space="preserve">0,056</w:t>
            </w:r>
          </w:p>
        </w:tc>
        <w:tc>
          <w:tcPr>
            <w:tcW w:type="dxa" w:w="1280"/>
            <w:tcMar>
              <w:top w:type="dxa" w:w="40"/>
              <w:left w:type="dxa" w:w="80"/>
              <w:bottom w:type="dxa" w:w="40"/>
              <w:right w:type="dxa" w:w="80"/>
            </w:tcMar>
            <w:vAlign w:val="center"/>
          </w:tcPr>
          <w:p>
            <w:pPr>
              <w:pStyle w:val="TexteTableau"/>
              <w:jc w:val="center"/>
            </w:pPr>
            <w:r>
              <w:t xml:space="preserve">0,130</w:t>
            </w:r>
          </w:p>
        </w:tc>
        <w:tc>
          <w:tcPr>
            <w:tcW w:type="dxa" w:w="1615"/>
            <w:tcMar>
              <w:top w:type="dxa" w:w="40"/>
              <w:left w:type="dxa" w:w="80"/>
              <w:bottom w:type="dxa" w:w="40"/>
              <w:right w:type="dxa" w:w="80"/>
            </w:tcMar>
            <w:vAlign w:val="center"/>
          </w:tcPr>
          <w:p>
            <w:pPr>
              <w:pStyle w:val="TexteTableau"/>
              <w:jc w:val="center"/>
            </w:pPr>
            <w:r>
              <w:t xml:space="preserve">0,122</w:t>
            </w:r>
          </w:p>
        </w:tc>
        <w:tc>
          <w:tcPr>
            <w:tcW w:type="dxa" w:w="1538"/>
            <w:tcMar>
              <w:top w:type="dxa" w:w="40"/>
              <w:left w:type="dxa" w:w="80"/>
              <w:bottom w:type="dxa" w:w="40"/>
              <w:right w:type="dxa" w:w="80"/>
            </w:tcMar>
            <w:vAlign w:val="center"/>
          </w:tcPr>
          <w:p>
            <w:pPr>
              <w:pStyle w:val="TexteTableau"/>
              <w:jc w:val="center"/>
            </w:pPr>
            <w:r>
              <w:t xml:space="preserve">0,094</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Dépassement au démarrage, S1 (%)</w:t>
            </w:r>
          </w:p>
        </w:tc>
        <w:tc>
          <w:tcPr>
            <w:tcW w:type="dxa" w:w="1183"/>
            <w:tcMar>
              <w:top w:type="dxa" w:w="40"/>
              <w:left w:type="dxa" w:w="80"/>
              <w:bottom w:type="dxa" w:w="40"/>
              <w:right w:type="dxa" w:w="80"/>
            </w:tcMar>
            <w:vAlign w:val="center"/>
          </w:tcPr>
          <w:p>
            <w:pPr>
              <w:pStyle w:val="TexteTableau"/>
              <w:jc w:val="center"/>
            </w:pPr>
            <w:r>
              <w:t xml:space="preserve">13,99</w:t>
            </w:r>
          </w:p>
        </w:tc>
        <w:tc>
          <w:tcPr>
            <w:tcW w:type="dxa" w:w="1249"/>
            <w:tcMar>
              <w:top w:type="dxa" w:w="40"/>
              <w:left w:type="dxa" w:w="80"/>
              <w:bottom w:type="dxa" w:w="40"/>
              <w:right w:type="dxa" w:w="80"/>
            </w:tcMar>
            <w:vAlign w:val="center"/>
          </w:tcPr>
          <w:p>
            <w:pPr>
              <w:pStyle w:val="TexteTableau"/>
              <w:jc w:val="center"/>
            </w:pPr>
            <w:r>
              <w:t xml:space="preserve">7,06</w:t>
            </w:r>
          </w:p>
        </w:tc>
        <w:tc>
          <w:tcPr>
            <w:tcW w:type="dxa" w:w="1280"/>
            <w:tcMar>
              <w:top w:type="dxa" w:w="40"/>
              <w:left w:type="dxa" w:w="80"/>
              <w:bottom w:type="dxa" w:w="40"/>
              <w:right w:type="dxa" w:w="80"/>
            </w:tcMar>
            <w:vAlign w:val="center"/>
          </w:tcPr>
          <w:p>
            <w:pPr>
              <w:pStyle w:val="TexteTableau"/>
              <w:jc w:val="center"/>
            </w:pPr>
            <w:r>
              <w:t xml:space="preserve">27,34</w:t>
            </w:r>
          </w:p>
        </w:tc>
        <w:tc>
          <w:tcPr>
            <w:tcW w:type="dxa" w:w="1615"/>
            <w:tcMar>
              <w:top w:type="dxa" w:w="40"/>
              <w:left w:type="dxa" w:w="80"/>
              <w:bottom w:type="dxa" w:w="40"/>
              <w:right w:type="dxa" w:w="80"/>
            </w:tcMar>
            <w:vAlign w:val="center"/>
          </w:tcPr>
          <w:p>
            <w:pPr>
              <w:pStyle w:val="TexteTableau"/>
              <w:jc w:val="center"/>
            </w:pPr>
            <w:r>
              <w:t xml:space="preserve">13,99</w:t>
            </w:r>
          </w:p>
        </w:tc>
        <w:tc>
          <w:tcPr>
            <w:tcW w:type="dxa" w:w="1538"/>
            <w:tcMar>
              <w:top w:type="dxa" w:w="40"/>
              <w:left w:type="dxa" w:w="80"/>
              <w:bottom w:type="dxa" w:w="40"/>
              <w:right w:type="dxa" w:w="80"/>
            </w:tcMar>
            <w:vAlign w:val="center"/>
          </w:tcPr>
          <w:p>
            <w:pPr>
              <w:pStyle w:val="TexteTableau"/>
              <w:jc w:val="center"/>
            </w:pPr>
            <w:r>
              <w:t xml:space="preserve">13,20</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Erreur statique maximale en fin d'essai, cinq scénarios (mV)</w:t>
            </w:r>
          </w:p>
        </w:tc>
        <w:tc>
          <w:tcPr>
            <w:tcW w:type="dxa" w:w="1183"/>
            <w:tcMar>
              <w:top w:type="dxa" w:w="40"/>
              <w:left w:type="dxa" w:w="80"/>
              <w:bottom w:type="dxa" w:w="40"/>
              <w:right w:type="dxa" w:w="80"/>
            </w:tcMar>
            <w:vAlign w:val="center"/>
          </w:tcPr>
          <w:p>
            <w:pPr>
              <w:pStyle w:val="TexteTableau"/>
              <w:jc w:val="center"/>
            </w:pPr>
            <w:r>
              <w:t xml:space="preserve">9,23</w:t>
            </w:r>
          </w:p>
        </w:tc>
        <w:tc>
          <w:tcPr>
            <w:tcW w:type="dxa" w:w="1249"/>
            <w:tcMar>
              <w:top w:type="dxa" w:w="40"/>
              <w:left w:type="dxa" w:w="80"/>
              <w:bottom w:type="dxa" w:w="40"/>
              <w:right w:type="dxa" w:w="80"/>
            </w:tcMar>
            <w:vAlign w:val="center"/>
          </w:tcPr>
          <w:p>
            <w:pPr>
              <w:pStyle w:val="TexteTableau"/>
              <w:jc w:val="center"/>
            </w:pPr>
            <w:r>
              <w:t xml:space="preserve">0,01</w:t>
            </w:r>
          </w:p>
        </w:tc>
        <w:tc>
          <w:tcPr>
            <w:tcW w:type="dxa" w:w="1280"/>
            <w:tcMar>
              <w:top w:type="dxa" w:w="40"/>
              <w:left w:type="dxa" w:w="80"/>
              <w:bottom w:type="dxa" w:w="40"/>
              <w:right w:type="dxa" w:w="80"/>
            </w:tcMar>
            <w:vAlign w:val="center"/>
          </w:tcPr>
          <w:p>
            <w:pPr>
              <w:pStyle w:val="TexteTableau"/>
              <w:jc w:val="center"/>
            </w:pPr>
            <w:r>
              <w:t xml:space="preserve">0,03</w:t>
            </w:r>
          </w:p>
        </w:tc>
        <w:tc>
          <w:tcPr>
            <w:tcW w:type="dxa" w:w="1615"/>
            <w:tcMar>
              <w:top w:type="dxa" w:w="40"/>
              <w:left w:type="dxa" w:w="80"/>
              <w:bottom w:type="dxa" w:w="40"/>
              <w:right w:type="dxa" w:w="80"/>
            </w:tcMar>
            <w:vAlign w:val="center"/>
          </w:tcPr>
          <w:p>
            <w:pPr>
              <w:pStyle w:val="TexteTableau"/>
              <w:jc w:val="center"/>
            </w:pPr>
            <w:r>
              <w:t xml:space="preserve">0,01</w:t>
            </w:r>
          </w:p>
        </w:tc>
        <w:tc>
          <w:tcPr>
            <w:tcW w:type="dxa" w:w="1538"/>
            <w:tcMar>
              <w:top w:type="dxa" w:w="40"/>
              <w:left w:type="dxa" w:w="80"/>
              <w:bottom w:type="dxa" w:w="40"/>
              <w:right w:type="dxa" w:w="80"/>
            </w:tcMar>
            <w:vAlign w:val="center"/>
          </w:tcPr>
          <w:p>
            <w:pPr>
              <w:pStyle w:val="TexteTableau"/>
              <w:jc w:val="center"/>
            </w:pPr>
            <w:r>
              <w:t xml:space="preserve">0,02</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Temps en butée, S10 de 100 ms à la fin (%)</w:t>
            </w:r>
          </w:p>
        </w:tc>
        <w:tc>
          <w:tcPr>
            <w:tcW w:type="dxa" w:w="1183"/>
            <w:tcMar>
              <w:top w:type="dxa" w:w="40"/>
              <w:left w:type="dxa" w:w="80"/>
              <w:bottom w:type="dxa" w:w="40"/>
              <w:right w:type="dxa" w:w="80"/>
            </w:tcMar>
            <w:vAlign w:val="center"/>
          </w:tcPr>
          <w:p>
            <w:pPr>
              <w:pStyle w:val="TexteTableau"/>
              <w:jc w:val="center"/>
            </w:pPr>
            <w:r>
              <w:t xml:space="preserve">0,0</w:t>
            </w:r>
          </w:p>
        </w:tc>
        <w:tc>
          <w:tcPr>
            <w:tcW w:type="dxa" w:w="1249"/>
            <w:tcMar>
              <w:top w:type="dxa" w:w="40"/>
              <w:left w:type="dxa" w:w="80"/>
              <w:bottom w:type="dxa" w:w="40"/>
              <w:right w:type="dxa" w:w="80"/>
            </w:tcMar>
            <w:vAlign w:val="center"/>
          </w:tcPr>
          <w:p>
            <w:pPr>
              <w:pStyle w:val="TexteTableau"/>
              <w:jc w:val="center"/>
            </w:pPr>
            <w:r>
              <w:t xml:space="preserve">0,4</w:t>
            </w:r>
          </w:p>
        </w:tc>
        <w:tc>
          <w:tcPr>
            <w:tcW w:type="dxa" w:w="1280"/>
            <w:tcMar>
              <w:top w:type="dxa" w:w="40"/>
              <w:left w:type="dxa" w:w="80"/>
              <w:bottom w:type="dxa" w:w="40"/>
              <w:right w:type="dxa" w:w="80"/>
            </w:tcMar>
            <w:vAlign w:val="center"/>
          </w:tcPr>
          <w:p>
            <w:pPr>
              <w:pStyle w:val="TexteTableau"/>
              <w:jc w:val="center"/>
            </w:pPr>
            <w:r>
              <w:t xml:space="preserve">0,0</w:t>
            </w:r>
          </w:p>
        </w:tc>
        <w:tc>
          <w:tcPr>
            <w:tcW w:type="dxa" w:w="1615"/>
            <w:tcMar>
              <w:top w:type="dxa" w:w="40"/>
              <w:left w:type="dxa" w:w="80"/>
              <w:bottom w:type="dxa" w:w="40"/>
              <w:right w:type="dxa" w:w="80"/>
            </w:tcMar>
            <w:vAlign w:val="center"/>
          </w:tcPr>
          <w:p>
            <w:pPr>
              <w:pStyle w:val="TexteTableau"/>
              <w:jc w:val="center"/>
            </w:pPr>
            <w:r>
              <w:t xml:space="preserve">0,6</w:t>
            </w:r>
          </w:p>
        </w:tc>
        <w:tc>
          <w:tcPr>
            <w:tcW w:type="dxa" w:w="1538"/>
            <w:tcMar>
              <w:top w:type="dxa" w:w="40"/>
              <w:left w:type="dxa" w:w="80"/>
              <w:bottom w:type="dxa" w:w="40"/>
              <w:right w:type="dxa" w:w="80"/>
            </w:tcMar>
            <w:vAlign w:val="center"/>
          </w:tcPr>
          <w:p>
            <w:pPr>
              <w:pStyle w:val="TexteTableau"/>
              <w:jc w:val="center"/>
            </w:pPr>
            <w:r>
              <w:t xml:space="preserve">0,1</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Coût en ligne par appel, banc Python (µs)</w:t>
            </w:r>
          </w:p>
        </w:tc>
        <w:tc>
          <w:tcPr>
            <w:tcW w:type="dxa" w:w="1183"/>
            <w:tcMar>
              <w:top w:type="dxa" w:w="40"/>
              <w:left w:type="dxa" w:w="80"/>
              <w:bottom w:type="dxa" w:w="40"/>
              <w:right w:type="dxa" w:w="80"/>
            </w:tcMar>
            <w:vAlign w:val="center"/>
          </w:tcPr>
          <w:p>
            <w:pPr>
              <w:pStyle w:val="TexteTableau"/>
              <w:jc w:val="center"/>
            </w:pPr>
            <w:r>
              <w:t xml:space="preserve">1,39</w:t>
            </w:r>
          </w:p>
        </w:tc>
        <w:tc>
          <w:tcPr>
            <w:tcW w:type="dxa" w:w="1249"/>
            <w:tcMar>
              <w:top w:type="dxa" w:w="40"/>
              <w:left w:type="dxa" w:w="80"/>
              <w:bottom w:type="dxa" w:w="40"/>
              <w:right w:type="dxa" w:w="80"/>
            </w:tcMar>
            <w:vAlign w:val="center"/>
          </w:tcPr>
          <w:p>
            <w:pPr>
              <w:pStyle w:val="TexteTableau"/>
              <w:jc w:val="center"/>
            </w:pPr>
            <w:r>
              <w:t xml:space="preserve">1,43</w:t>
            </w:r>
          </w:p>
        </w:tc>
        <w:tc>
          <w:tcPr>
            <w:tcW w:type="dxa" w:w="1280"/>
            <w:tcMar>
              <w:top w:type="dxa" w:w="40"/>
              <w:left w:type="dxa" w:w="80"/>
              <w:bottom w:type="dxa" w:w="40"/>
              <w:right w:type="dxa" w:w="80"/>
            </w:tcMar>
            <w:vAlign w:val="center"/>
          </w:tcPr>
          <w:p>
            <w:pPr>
              <w:pStyle w:val="TexteTableau"/>
              <w:jc w:val="center"/>
            </w:pPr>
            <w:r>
              <w:t xml:space="preserve">12,74</w:t>
            </w:r>
          </w:p>
        </w:tc>
        <w:tc>
          <w:tcPr>
            <w:tcW w:type="dxa" w:w="1615"/>
            <w:tcMar>
              <w:top w:type="dxa" w:w="40"/>
              <w:left w:type="dxa" w:w="80"/>
              <w:bottom w:type="dxa" w:w="40"/>
              <w:right w:type="dxa" w:w="80"/>
            </w:tcMar>
            <w:vAlign w:val="center"/>
          </w:tcPr>
          <w:p>
            <w:pPr>
              <w:pStyle w:val="TexteTableau"/>
              <w:jc w:val="center"/>
            </w:pPr>
            <w:r>
              <w:t xml:space="preserve">3,59</w:t>
            </w:r>
          </w:p>
        </w:tc>
        <w:tc>
          <w:tcPr>
            <w:tcW w:type="dxa" w:w="1538"/>
            <w:tcMar>
              <w:top w:type="dxa" w:w="40"/>
              <w:left w:type="dxa" w:w="80"/>
              <w:bottom w:type="dxa" w:w="40"/>
              <w:right w:type="dxa" w:w="80"/>
            </w:tcMar>
            <w:vAlign w:val="center"/>
          </w:tcPr>
          <w:p>
            <w:pPr>
              <w:pStyle w:val="TexteTableau"/>
              <w:jc w:val="center"/>
            </w:pPr>
            <w:r>
              <w:t xml:space="preserve">38,93</w:t>
            </w:r>
          </w:p>
        </w:tc>
      </w:tr>
      <w:tr>
        <w:trPr>
          <w:cantSplit/>
          <w:tblHeader w:val="false"/>
        </w:trPr>
        <w:tc>
          <w:tcPr>
            <w:tcW w:type="dxa" w:w="1922"/>
            <w:tcMar>
              <w:top w:type="dxa" w:w="40"/>
              <w:left w:type="dxa" w:w="80"/>
              <w:bottom w:type="dxa" w:w="40"/>
              <w:right w:type="dxa" w:w="80"/>
            </w:tcMar>
            <w:vAlign w:val="center"/>
          </w:tcPr>
          <w:p>
            <w:pPr>
              <w:pStyle w:val="TexteTableau"/>
              <w:jc w:val="left"/>
            </w:pPr>
            <w:r>
              <w:t xml:space="preserve">Travail hors ligne</w:t>
            </w:r>
          </w:p>
        </w:tc>
        <w:tc>
          <w:tcPr>
            <w:tcW w:type="dxa" w:w="1183"/>
            <w:tcMar>
              <w:top w:type="dxa" w:w="40"/>
              <w:left w:type="dxa" w:w="80"/>
              <w:bottom w:type="dxa" w:w="40"/>
              <w:right w:type="dxa" w:w="80"/>
            </w:tcMar>
            <w:vAlign w:val="center"/>
          </w:tcPr>
          <w:p>
            <w:pPr>
              <w:pStyle w:val="TexteTableau"/>
              <w:jc w:val="center"/>
            </w:pPr>
            <w:r>
              <w:t xml:space="preserve">règle appliquée au modèle moyen, sans optimisation</w:t>
            </w:r>
          </w:p>
        </w:tc>
        <w:tc>
          <w:tcPr>
            <w:tcW w:type="dxa" w:w="1249"/>
            <w:tcMar>
              <w:top w:type="dxa" w:w="40"/>
              <w:left w:type="dxa" w:w="80"/>
              <w:bottom w:type="dxa" w:w="40"/>
              <w:right w:type="dxa" w:w="80"/>
            </w:tcMar>
            <w:vAlign w:val="center"/>
          </w:tcPr>
          <w:p>
            <w:pPr>
              <w:pStyle w:val="TexteTableau"/>
              <w:jc w:val="center"/>
            </w:pPr>
            <w:r>
              <w:t xml:space="preserve">essaim particulaire : 35 min sur quatre cœurs, cinq graines</w:t>
            </w:r>
          </w:p>
        </w:tc>
        <w:tc>
          <w:tcPr>
            <w:tcW w:type="dxa" w:w="1280"/>
            <w:tcMar>
              <w:top w:type="dxa" w:w="40"/>
              <w:left w:type="dxa" w:w="80"/>
              <w:bottom w:type="dxa" w:w="40"/>
              <w:right w:type="dxa" w:w="80"/>
            </w:tcMar>
            <w:vAlign w:val="center"/>
          </w:tcPr>
          <w:p>
            <w:pPr>
              <w:pStyle w:val="TexteTableau"/>
              <w:jc w:val="center"/>
            </w:pPr>
            <w:r>
              <w:t xml:space="preserve">règles de Zhao, plages tirées des gains de ZN, sans optimisation</w:t>
            </w:r>
          </w:p>
        </w:tc>
        <w:tc>
          <w:tcPr>
            <w:tcW w:type="dxa" w:w="1615"/>
            <w:tcMar>
              <w:top w:type="dxa" w:w="40"/>
              <w:left w:type="dxa" w:w="80"/>
              <w:bottom w:type="dxa" w:w="40"/>
              <w:right w:type="dxa" w:w="80"/>
            </w:tcMar>
            <w:vAlign w:val="center"/>
          </w:tcPr>
          <w:p>
            <w:pPr>
              <w:pStyle w:val="TexteTableau"/>
              <w:jc w:val="center"/>
            </w:pPr>
            <w:r>
              <w:t xml:space="preserve">réseau appris sur quatre enregistrements en boucle ouverte (14,8 s) ; ensemble de gains admissibles (181 s)</w:t>
            </w:r>
          </w:p>
        </w:tc>
        <w:tc>
          <w:tcPr>
            <w:tcW w:type="dxa" w:w="1538"/>
            <w:tcMar>
              <w:top w:type="dxa" w:w="40"/>
              <w:left w:type="dxa" w:w="80"/>
              <w:bottom w:type="dxa" w:w="40"/>
              <w:right w:type="dxa" w:w="80"/>
            </w:tcMar>
            <w:vAlign w:val="center"/>
          </w:tcPr>
          <w:p>
            <w:pPr>
              <w:pStyle w:val="TexteTableau"/>
              <w:jc w:val="center"/>
            </w:pPr>
            <w:r>
              <w:t xml:space="preserve">réseau appris sur des enregistrements Simulink (durée non relevée) ; boîte de gains (32 s)</w:t>
            </w:r>
          </w:p>
        </w:tc>
      </w:tr>
    </w:tbl>
    <w:p>
      <w:pPr>
        <w:spacing w:before="240"/>
      </w:pPr>
      <w:r>
        <w:t xml:space="preserve">Le PSO-PID a le plus petit rapport d'IAE sur les cinq scénarios et le plus petit dépassement. L'ELM-PID et le PINN-PID sont proches l'un de l'autre partout, sauf sur S10. Le Fuzzy-PID et Ziegler-Nichols viennent derrière : le premier est le moins bon au démarrage, le second à charge légère. Sur le temps en butée, en revanche, le PSO-PID et l'ELM-PID sont les moins bons. Le tableau montre aussi ce que coûte chaque approche. Les deux méthodes à gains fixes déplacent tout leur travail hors ligne ; le PSO-PID en fait le plus, et c'est lui qui obtient les meilleurs résultats. Les deux méthodes adaptatives demandent un travail hors ligne plus court, centré sur l'apprentissage d'un réseau, puis un calcul en ligne plus lourd : 2,5 fois celui du PSO-PID pour l'ELM-PID, 27 fois pour le PINN-PID. Nous ne calculons pas d'indice global : le classement qui en sortirait dépendrait des poids donnés à chaque grandeur, pour la raison donnée à la section 5.2.3.</w:t>
      </w:r>
    </w:p>
    <w:p>
      <w:pPr>
        <w:pStyle w:val="Heading3"/>
      </w:pPr>
      <w:r>
        <w:t xml:space="preserve">5.5.2. Hypothèses confrontées aux résultats</w:t>
      </w:r>
    </w:p>
    <w:p>
      <w:r>
        <w:t xml:space="preserve">La proposition du travail annonçait des résultats avant tout calcul. Ses phrases ont été réécrites en hypothèses vérifiables le 8 octobre 2026, avant le calcul des résultats de ce chapitre ; l'indice global des versions de mise au point des méthodes (section 5.2.3) était alors déjà connu. Le tableau 5.9 confronte ces hypothèses aux résultats. Le « PID à gains fixes » de la première hypothèse est ici le PID de Ziegler-Nichols.</w:t>
      </w:r>
    </w:p>
    <w:p>
      <w:pPr>
        <w:pStyle w:val="LegendeTableau"/>
      </w:pPr>
      <w:r>
        <w:t xml:space="preserve">Tableau 5.9 : Hypothèses de la proposition et résultats.</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48"/>
        <w:gridCol w:w="1738"/>
        <w:gridCol w:w="3601"/>
      </w:tblGrid>
      <w:tr>
        <w:trPr>
          <w:cantSplit/>
          <w:tblHeader/>
        </w:trPr>
        <w:tc>
          <w:tcPr>
            <w:tcW w:type="dxa" w:w="3448"/>
            <w:tcMar>
              <w:top w:type="dxa" w:w="40"/>
              <w:left w:type="dxa" w:w="80"/>
              <w:bottom w:type="dxa" w:w="40"/>
              <w:right w:type="dxa" w:w="80"/>
            </w:tcMar>
            <w:vAlign w:val="center"/>
          </w:tcPr>
          <w:p>
            <w:pPr>
              <w:pStyle w:val="TexteTableau"/>
              <w:jc w:val="left"/>
            </w:pPr>
            <w:r>
              <w:rPr>
                <w:b/>
                <w:bCs/>
              </w:rPr>
              <w:t xml:space="preserve">Hypothèse (formulation du 8 octobre 2026)</w:t>
            </w:r>
          </w:p>
        </w:tc>
        <w:tc>
          <w:tcPr>
            <w:tcW w:type="dxa" w:w="1738"/>
            <w:tcMar>
              <w:top w:type="dxa" w:w="40"/>
              <w:left w:type="dxa" w:w="80"/>
              <w:bottom w:type="dxa" w:w="40"/>
              <w:right w:type="dxa" w:w="80"/>
            </w:tcMar>
            <w:vAlign w:val="center"/>
          </w:tcPr>
          <w:p>
            <w:pPr>
              <w:pStyle w:val="TexteTableau"/>
              <w:jc w:val="center"/>
            </w:pPr>
            <w:r>
              <w:rPr>
                <w:b/>
                <w:bCs/>
              </w:rPr>
              <w:t xml:space="preserve">Verdict</w:t>
            </w:r>
          </w:p>
        </w:tc>
        <w:tc>
          <w:tcPr>
            <w:tcW w:type="dxa" w:w="3601"/>
            <w:tcMar>
              <w:top w:type="dxa" w:w="40"/>
              <w:left w:type="dxa" w:w="80"/>
              <w:bottom w:type="dxa" w:w="40"/>
              <w:right w:type="dxa" w:w="80"/>
            </w:tcMar>
            <w:vAlign w:val="center"/>
          </w:tcPr>
          <w:p>
            <w:pPr>
              <w:pStyle w:val="TexteTableau"/>
              <w:jc w:val="center"/>
            </w:pPr>
            <w:r>
              <w:rPr>
                <w:b/>
                <w:bCs/>
              </w:rPr>
              <w:t xml:space="preserve">Éléments</w:t>
            </w:r>
          </w:p>
        </w:tc>
      </w:tr>
      <w:tr>
        <w:trPr>
          <w:cantSplit/>
          <w:tblHeader w:val="false"/>
        </w:trPr>
        <w:tc>
          <w:tcPr>
            <w:tcW w:type="dxa" w:w="3448"/>
            <w:tcMar>
              <w:top w:type="dxa" w:w="40"/>
              <w:left w:type="dxa" w:w="80"/>
              <w:bottom w:type="dxa" w:w="40"/>
              <w:right w:type="dxa" w:w="80"/>
            </w:tcMar>
            <w:vAlign w:val="center"/>
          </w:tcPr>
          <w:p>
            <w:pPr>
              <w:pStyle w:val="TexteTableau"/>
              <w:jc w:val="left"/>
            </w:pPr>
            <w:r>
              <w:t xml:space="preserve">H1 : l'ELM-PID « réduirait le dépassement et le temps de rétablissement par rapport au PID à gains fixes », et ses indices « se dégraderaient moins » quand </w:t>
            </w:r>
            <w:r>
              <w:rPr>
                <w:i/>
                <w:iCs/>
              </w:rPr>
              <w:t xml:space="preserve">R</w:t>
            </w:r>
            <w:r>
              <w:t xml:space="preserve"> et </w:t>
            </w:r>
            <w:r>
              <w:rPr>
                <w:i/>
                <w:iCs/>
              </w:rPr>
              <w:t xml:space="preserve">V</w:t>
            </w:r>
            <w:r>
              <w:t xml:space="preserve">in varient.</w:t>
            </w:r>
          </w:p>
        </w:tc>
        <w:tc>
          <w:tcPr>
            <w:tcW w:type="dxa" w:w="1738"/>
            <w:tcMar>
              <w:top w:type="dxa" w:w="40"/>
              <w:left w:type="dxa" w:w="80"/>
              <w:bottom w:type="dxa" w:w="40"/>
              <w:right w:type="dxa" w:w="80"/>
            </w:tcMar>
            <w:vAlign w:val="center"/>
          </w:tcPr>
          <w:p>
            <w:pPr>
              <w:pStyle w:val="TexteTableau"/>
              <w:jc w:val="center"/>
            </w:pPr>
            <w:r>
              <w:t xml:space="preserve">En partie vérifiée</w:t>
            </w:r>
          </w:p>
        </w:tc>
        <w:tc>
          <w:tcPr>
            <w:tcW w:type="dxa" w:w="3601"/>
            <w:tcMar>
              <w:top w:type="dxa" w:w="40"/>
              <w:left w:type="dxa" w:w="80"/>
              <w:bottom w:type="dxa" w:w="40"/>
              <w:right w:type="dxa" w:w="80"/>
            </w:tcMar>
            <w:vAlign w:val="center"/>
          </w:tcPr>
          <w:p>
            <w:pPr>
              <w:pStyle w:val="TexteTableau"/>
              <w:jc w:val="left"/>
            </w:pPr>
            <w:r>
              <w:t xml:space="preserve">Dépassement identique (13,99 %). Retour dans ±1 V plus rapide sur S3 (0,87 ms contre 1,05 et 1,49 ms). Dégradation bien moindre à charge légère : IAE inférieure de 75 % (S8a) et de 88 % (S10).</w:t>
            </w:r>
          </w:p>
        </w:tc>
      </w:tr>
      <w:tr>
        <w:trPr>
          <w:cantSplit/>
          <w:tblHeader w:val="false"/>
        </w:trPr>
        <w:tc>
          <w:tcPr>
            <w:tcW w:type="dxa" w:w="3448"/>
            <w:tcMar>
              <w:top w:type="dxa" w:w="40"/>
              <w:left w:type="dxa" w:w="80"/>
              <w:bottom w:type="dxa" w:w="40"/>
              <w:right w:type="dxa" w:w="80"/>
            </w:tcMar>
            <w:vAlign w:val="center"/>
          </w:tcPr>
          <w:p>
            <w:pPr>
              <w:pStyle w:val="TexteTableau"/>
              <w:jc w:val="left"/>
            </w:pPr>
            <w:r>
              <w:t xml:space="preserve">H2 : l'ELM-PID obtiendrait « le meilleur compromis entre la précision, la rapidité et l'adaptabilité ».</w:t>
            </w:r>
          </w:p>
        </w:tc>
        <w:tc>
          <w:tcPr>
            <w:tcW w:type="dxa" w:w="1738"/>
            <w:tcMar>
              <w:top w:type="dxa" w:w="40"/>
              <w:left w:type="dxa" w:w="80"/>
              <w:bottom w:type="dxa" w:w="40"/>
              <w:right w:type="dxa" w:w="80"/>
            </w:tcMar>
            <w:vAlign w:val="center"/>
          </w:tcPr>
          <w:p>
            <w:pPr>
              <w:pStyle w:val="TexteTableau"/>
              <w:jc w:val="center"/>
            </w:pPr>
            <w:r>
              <w:t xml:space="preserve">Non vérifiée</w:t>
            </w:r>
          </w:p>
        </w:tc>
        <w:tc>
          <w:tcPr>
            <w:tcW w:type="dxa" w:w="3601"/>
            <w:tcMar>
              <w:top w:type="dxa" w:w="40"/>
              <w:left w:type="dxa" w:w="80"/>
              <w:bottom w:type="dxa" w:w="40"/>
              <w:right w:type="dxa" w:w="80"/>
            </w:tcMar>
            <w:vAlign w:val="center"/>
          </w:tcPr>
          <w:p>
            <w:pPr>
              <w:pStyle w:val="TexteTableau"/>
              <w:jc w:val="left"/>
            </w:pPr>
            <w:r>
              <w:t xml:space="preserve">Le PSO-PID a la plus petite IAE sur les cinq scénarios, le plus petit dépassement et l'établissement le plus rapide.</w:t>
            </w:r>
          </w:p>
        </w:tc>
      </w:tr>
      <w:tr>
        <w:trPr>
          <w:cantSplit/>
          <w:tblHeader w:val="false"/>
        </w:trPr>
        <w:tc>
          <w:tcPr>
            <w:tcW w:type="dxa" w:w="3448"/>
            <w:tcMar>
              <w:top w:type="dxa" w:w="40"/>
              <w:left w:type="dxa" w:w="80"/>
              <w:bottom w:type="dxa" w:w="40"/>
              <w:right w:type="dxa" w:w="80"/>
            </w:tcMar>
            <w:vAlign w:val="center"/>
          </w:tcPr>
          <w:p>
            <w:pPr>
              <w:pStyle w:val="TexteTableau"/>
              <w:jc w:val="left"/>
            </w:pPr>
            <w:r>
              <w:t xml:space="preserve">H3 : le Fuzzy-PID resterait « peu sensible aux perturbations ».</w:t>
            </w:r>
          </w:p>
        </w:tc>
        <w:tc>
          <w:tcPr>
            <w:tcW w:type="dxa" w:w="1738"/>
            <w:tcMar>
              <w:top w:type="dxa" w:w="40"/>
              <w:left w:type="dxa" w:w="80"/>
              <w:bottom w:type="dxa" w:w="40"/>
              <w:right w:type="dxa" w:w="80"/>
            </w:tcMar>
            <w:vAlign w:val="center"/>
          </w:tcPr>
          <w:p>
            <w:pPr>
              <w:pStyle w:val="TexteTableau"/>
              <w:jc w:val="center"/>
            </w:pPr>
            <w:r>
              <w:t xml:space="preserve">Non vérifiée</w:t>
            </w:r>
          </w:p>
        </w:tc>
        <w:tc>
          <w:tcPr>
            <w:tcW w:type="dxa" w:w="3601"/>
            <w:tcMar>
              <w:top w:type="dxa" w:w="40"/>
              <w:left w:type="dxa" w:w="80"/>
              <w:bottom w:type="dxa" w:w="40"/>
              <w:right w:type="dxa" w:w="80"/>
            </w:tcMar>
            <w:vAlign w:val="center"/>
          </w:tcPr>
          <w:p>
            <w:pPr>
              <w:pStyle w:val="TexteTableau"/>
              <w:jc w:val="left"/>
            </w:pPr>
            <w:r>
              <w:t xml:space="preserve">Dépassement de 27,34 % sur S1 ; derrière l'ELM-PID et le PINN-PID sur S3, S8a et S10 ; au niveau de l'ELM-PID et du PINN-PID sur S2 seulement.</w:t>
            </w:r>
          </w:p>
        </w:tc>
      </w:tr>
      <w:tr>
        <w:trPr>
          <w:cantSplit/>
          <w:tblHeader w:val="false"/>
        </w:trPr>
        <w:tc>
          <w:tcPr>
            <w:tcW w:type="dxa" w:w="3448"/>
            <w:tcMar>
              <w:top w:type="dxa" w:w="40"/>
              <w:left w:type="dxa" w:w="80"/>
              <w:bottom w:type="dxa" w:w="40"/>
              <w:right w:type="dxa" w:w="80"/>
            </w:tcMar>
            <w:vAlign w:val="center"/>
          </w:tcPr>
          <w:p>
            <w:pPr>
              <w:pStyle w:val="TexteTableau"/>
              <w:jc w:val="left"/>
            </w:pPr>
            <w:r>
              <w:t xml:space="preserve">H4 : le PSO-PID « pourrait atteindre des indices proches de ceux des autres méthodes, au prix d'un réglage plus coûteux ».</w:t>
            </w:r>
          </w:p>
        </w:tc>
        <w:tc>
          <w:tcPr>
            <w:tcW w:type="dxa" w:w="1738"/>
            <w:tcMar>
              <w:top w:type="dxa" w:w="40"/>
              <w:left w:type="dxa" w:w="80"/>
              <w:bottom w:type="dxa" w:w="40"/>
              <w:right w:type="dxa" w:w="80"/>
            </w:tcMar>
            <w:vAlign w:val="center"/>
          </w:tcPr>
          <w:p>
            <w:pPr>
              <w:pStyle w:val="TexteTableau"/>
              <w:jc w:val="center"/>
            </w:pPr>
            <w:r>
              <w:t xml:space="preserve">Non vérifiée pour la performance, vérifiée pour le coût</w:t>
            </w:r>
          </w:p>
        </w:tc>
        <w:tc>
          <w:tcPr>
            <w:tcW w:type="dxa" w:w="3601"/>
            <w:tcMar>
              <w:top w:type="dxa" w:w="40"/>
              <w:left w:type="dxa" w:w="80"/>
              <w:bottom w:type="dxa" w:w="40"/>
              <w:right w:type="dxa" w:w="80"/>
            </w:tcMar>
            <w:vAlign w:val="center"/>
          </w:tcPr>
          <w:p>
            <w:pPr>
              <w:pStyle w:val="TexteTableau"/>
              <w:jc w:val="left"/>
            </w:pPr>
            <w:r>
              <w:t xml:space="preserve">Il fait mieux que les autres, et pas seulement aussi bien. Son réglage coûte 35 minutes de calcul, mais hors ligne ; en ligne, il coûte autant que Ziegler-Nichols (1,43 contre 1,39 µs par appel).</w:t>
            </w:r>
          </w:p>
        </w:tc>
      </w:tr>
    </w:tbl>
    <w:p>
      <w:pPr>
        <w:pStyle w:val="Heading3"/>
        <w:spacing w:before="240"/>
      </w:pPr>
      <w:r>
        <w:t xml:space="preserve">5.5.3. Rôle réel du réseau ELM et limites</w:t>
      </w:r>
    </w:p>
    <w:p>
      <w:r>
        <w:t xml:space="preserve">Dans l'ELM-PID, le réseau sert au gradient de la boucle d'adaptation : il fournit le jacobien </w:t>
      </w:r>
      <w:r>
        <w:rPr>
          <w:i/>
          <w:iCs/>
        </w:rPr>
        <w:t xml:space="preserve">J</w:t>
      </w:r>
      <w:r>
        <w:t xml:space="preserve">(</w:t>
      </w:r>
      <w:r>
        <w:rPr>
          <w:i/>
          <w:iCs/>
        </w:rPr>
        <w:t xml:space="preserve">n</w:t>
      </w:r>
      <w:r>
        <w:t xml:space="preserve">) = ∂ŷ/∂d̄, sensibilité de la moyenne de la tension mesurée sur une fenêtre de 0,5 ms à la moyenne du rapport cyclique (équation (4.5)). Il est en outre mis à jour en ligne par l'algorithme OS-ELM [Liang et al., 2006]. Pour mesurer ce que ces deux éléments apportent, nous avons comparé l'ELM-PID à deux variantes déjà définies lors de sa mise au point (section 4.4.4) : l'une remplace le jacobien du réseau par une constante, l'autre supprime la mise à jour en ligne. Les critères et les prévisions ont été écrits avant le calcul, et le verdict suit la règle de séparation de la section 5.2.3.</w:t>
      </w:r>
    </w:p>
    <w:p>
      <w:r>
        <w:t xml:space="preserve">Le jacobien constant augmente l'IAE de 1,09 % sur S2, de 1,82 % sur S3 et de 2,64 % sur S8a, et ces écarts sont séparés dans les trois cas. Sur S10, il fait au contraire mieux que le réseau au nominal (−9,76 %), mais l'écart n'est pas séparé : il va de −9,76 à +4,01 % selon la version du circuit. Pour comparaison, l'IAE de l'ELM-PID lui-même varie de 7,88 à 8,63 mV·s sur S10 avec ces variations de 0,1 % du circuit. Sans mise à jour en ligne, l'IAE est inchangée sur S2 et S3. Sur S8a, elle baisse de 0,04 % au nominal, écart séparé : sans OS-ELM, la méthode fait très légèrement mieux. Sur S10, l'écart nominal est de −0,90 %, non séparé.</w:t>
      </w:r>
    </w:p>
    <w:p>
      <w:r>
        <w:t xml:space="preserve">Les prévisions sont justes pour la mise à jour en ligne : écart nul sur S2 et S3, inférieur à 0,1 % sur S8a, inférieur à 2 % sur S10. Sur S8a, cette borne de 0,1 % ne tient qu'au nominal : l'écart atteint −0,38 % dans une des versions du circuit. Elles sont justes aussi pour le jacobien constant sur S2, S3 et S8a (+1 à +3 %), dont la séparation avait été annoncée incertaine et s'est vérifiée dans les trois cas. Une prévision est fausse : sur S10, le jacobien constant fait mieux que le réseau au nominal, cas que les critères écrits avant le calcul classaient comme une prévision fausse.</w:t>
      </w:r>
    </w:p>
    <w:p>
      <w:r>
        <w:t xml:space="preserve">Ces résultats s'accordent avec ce que l'on sait du réseau. Sur 4 615 fenêtres de contrôle, le jacobien vrai du convertisseur, calculé sur le banc (section 4.3.2), varie avec la charge, de 11,2 V par unité de rapport cyclique (médiane, 4 à 6 Ω) à 15,8 V (50 à 99 Ω). Celui du réseau reste autour de 11 V (médianes de 11,06 à 11,44 V selon la classe de charge), et la corrélation entre les logarithmes du jacobien du réseau et du jacobien vrai est de −0,04. Le réseau ne reçoit que des moyennes par fenêtre : celles de la tension mesurée sur les deux fenêtres précédentes, celles du rapport cyclique sur la fenêtre courante et les deux précédentes. Avec ces seules entrées, la charge n'est pas observable à l'échelle d'une fenêtre de 0,5 ms. Le réseau agit donc comme un identificateur qui donne à la boucle le signe et l'ordre de grandeur de ∂ŷ/∂d̄ ; ce n'est pas un estimateur de l'état du convertisseur.</w:t>
      </w:r>
    </w:p>
    <w:p>
      <w:r>
        <w:t xml:space="preserve">La forme de la loi d'adaptation explique pourquoi un jacobien aussi peu précis suffit. À la fin de chaque fenêtre, les multiplicateurs des gains suivent le gradient normalisé de la loi (4.7), repris de [Lu et al., 2021]. Dans cette loi, la sensibilité </w:t>
      </w:r>
      <w:r>
        <w:rPr>
          <w:i/>
          <w:iCs/>
        </w:rPr>
        <w:t xml:space="preserve">φ</w:t>
      </w:r>
      <w:r>
        <w:t xml:space="preserve"> de la tension moyenne aux multiplicateurs est le produit du jacobien </w:t>
      </w:r>
      <w:r>
        <w:rPr>
          <w:i/>
          <w:iCs/>
        </w:rPr>
        <w:t xml:space="preserve">J</w:t>
      </w:r>
      <w:r>
        <w:t xml:space="preserve"> par le vecteur </w:t>
      </w:r>
      <w:r>
        <w:rPr>
          <w:i/>
          <w:iCs/>
        </w:rPr>
        <w:t xml:space="preserve">s</w:t>
      </w:r>
      <w:r>
        <w:t xml:space="preserve"> ⊙ </w:t>
      </w:r>
      <w:r>
        <w:rPr>
          <w:i/>
          <w:iCs/>
        </w:rPr>
        <w:t xml:space="preserve">K</w:t>
      </w:r>
      <w:r>
        <w:t xml:space="preserve">ZN, qui ne dépend que de l'erreur, et le pas est divisé par </w:t>
      </w:r>
      <w:r>
        <w:rPr>
          <w:i/>
          <w:iCs/>
        </w:rPr>
        <w:t xml:space="preserve">ε</w:t>
      </w:r>
      <w:r>
        <w:t xml:space="preserve"> + |</w:t>
      </w:r>
      <w:r>
        <w:rPr>
          <w:i/>
          <w:iCs/>
        </w:rPr>
        <w:t xml:space="preserve">φ</w:t>
      </w:r>
      <w:r>
        <w:t xml:space="preserve">|², avec </w:t>
      </w:r>
      <w:r>
        <w:rPr>
          <w:i/>
          <w:iCs/>
        </w:rPr>
        <w:t xml:space="preserve">ε</w:t>
      </w:r>
      <w:r>
        <w:t xml:space="preserve"> = 10⁻³. Quand </w:t>
      </w:r>
      <w:r>
        <w:rPr>
          <w:i/>
          <w:iCs/>
        </w:rPr>
        <w:t xml:space="preserve">ε</w:t>
      </w:r>
      <w:r>
        <w:t xml:space="preserve"> est négligeable, le terme de gradient vaut à peu près </w:t>
      </w:r>
      <w:r>
        <w:rPr>
          <w:i/>
          <w:iCs/>
        </w:rPr>
        <w:t xml:space="preserve">η</w:t>
      </w:r>
      <w:r>
        <w:t xml:space="preserve"> ē (</w:t>
      </w:r>
      <w:r>
        <w:rPr>
          <w:i/>
          <w:iCs/>
        </w:rPr>
        <w:t xml:space="preserve">s</w:t>
      </w:r>
      <w:r>
        <w:t xml:space="preserve"> ⊙ </w:t>
      </w:r>
      <w:r>
        <w:rPr>
          <w:i/>
          <w:iCs/>
        </w:rPr>
        <w:t xml:space="preserve">K</w:t>
      </w:r>
      <w:r>
        <w:t xml:space="preserve">ZN) / (</w:t>
      </w:r>
      <w:r>
        <w:rPr>
          <w:i/>
          <w:iCs/>
        </w:rPr>
        <w:t xml:space="preserve">J</w:t>
      </w:r>
      <w:r>
        <w:t xml:space="preserve"> |</w:t>
      </w:r>
      <w:r>
        <w:rPr>
          <w:i/>
          <w:iCs/>
        </w:rPr>
        <w:t xml:space="preserve">s</w:t>
      </w:r>
      <w:r>
        <w:t xml:space="preserve"> ⊙ </w:t>
      </w:r>
      <w:r>
        <w:rPr>
          <w:i/>
          <w:iCs/>
        </w:rPr>
        <w:t xml:space="preserve">K</w:t>
      </w:r>
      <w:r>
        <w:t xml:space="preserve">ZN|²) : le jacobien n'en fixe que le signe et la longueur. Une erreur de 30 % sur </w:t>
      </w:r>
      <w:r>
        <w:rPr>
          <w:i/>
          <w:iCs/>
        </w:rPr>
        <w:t xml:space="preserve">J</w:t>
      </w:r>
      <w:r>
        <w:t xml:space="preserve"> change la longueur du pas, pas sa direction. Le terme d'inertie de (4.7), de coefficient </w:t>
      </w:r>
      <w:r>
        <w:rPr>
          <w:i/>
          <w:iCs/>
        </w:rPr>
        <w:t xml:space="preserve">α</w:t>
      </w:r>
      <w:r>
        <w:t xml:space="preserve"> = 0,001, ne fait que prolonger le pas précédent.</w:t>
      </w:r>
    </w:p>
    <w:p>
      <w:r>
        <w:t xml:space="preserve">Le résultat de l'ELM-PID tient donc surtout à sa boucle d'adaptation, reprise de [Lu et al., 2021] et modifiée : gradient normalisé, porte fermée pendant la saturation de la commande, projection des gains sur un ensemble admissible. Près du point nominal, le jacobien du réseau apporte 1 à 3 %, de façon reproductible ; sa mise à jour en ligne n'apporte rien de mesurable. Sur S10, ni l'un ni l'autre ne se distingue de la sensibilité de la méthode aux variations du circuit.</w:t>
      </w:r>
    </w:p>
    <w:p>
      <w:r>
        <w:t xml:space="preserve">Plusieurs limites encadrent ces conclusions. L'adaptation est bloquée tant que la commande est saturée, donc pendant toute la montée en tension. Sa boucle, par fenêtres de 0,5 ms, est trop lente pour agir pendant une perturbation brève : la porte se rouvre 1,5 à 2 ms après l'événement, quand le PID a déjà ramené l'erreur moyenne sous la zone morte. Tout repose sur la simulation d'un seul convertisseur, sans essai sur montage réel. La règle de séparation dit si un ordre est reproductible sous des variations de 0,1 % de </w:t>
      </w:r>
      <w:r>
        <w:rPr>
          <w:i/>
          <w:iCs/>
        </w:rPr>
        <w:t xml:space="preserve">L</w:t>
      </w:r>
      <w:r>
        <w:t xml:space="preserve"> et de </w:t>
      </w:r>
      <w:r>
        <w:rPr>
          <w:i/>
          <w:iCs/>
        </w:rPr>
        <w:t xml:space="preserve">C</w:t>
      </w:r>
      <w:r>
        <w:t xml:space="preserve"> ; ce n'est pas une étude de tolérance des composants. Les temps de calcul sont ceux de Python interprété. S2 s'écarte de l'article de Lu et al. en appliquant F1 à la consigne. Enfin, le PSO-PID a été réglé sur un modèle du même convertisseur, sur d'autres points de fonctionnement mais avec les mêmes familles de perturbations ; son avance suppose que ce modèle soit disponible et juste.</w:t>
      </w:r>
    </w:p>
    <w:p>
      <w:pPr>
        <w:pStyle w:val="Heading2"/>
      </w:pPr>
      <w:r>
        <w:t xml:space="preserve">5.6. Conclusion</w:t>
      </w:r>
    </w:p>
    <w:p>
      <w:r>
        <w:t xml:space="preserve">Ce chapitre a comparé en simulation, sur un même convertisseur Buck et un même bloc PID, l'ELM-PID au PID de Ziegler-Nichols dont il part, puis au PSO-PID, au Fuzzy-PID et au PINN-PID, sur cinq scénarios et selon des critères fixés avant le calcul.</w:t>
      </w:r>
    </w:p>
    <w:p>
      <w:r>
        <w:t xml:space="preserve">Face à Ziegler-Nichols, l'ELM-PID ne fait jamais moins bien. Son avantage est nul au démarrage, de 15 à 26 % près du point nominal, et de 75 à 88 % à charge légère, là où le réglage de Ziegler-Nichols ne convient plus. Une grande part de cet avantage vient d'un seul ajustement des gains à la fin du démarrage ; l'adaptation poursuivie réduit encore l'IAE de 41 % sur S10. Face aux méthodes avancées, le PSO-PID, à gains fixes réglés hors ligne, a la meilleure IAE sur les cinq scénarios. L'ELM-PID fait jeu égal avec le PINN-PID sauf sur S10, pour un calcul environ dix fois moins coûteux, et devance le Fuzzy-PID sauf sur S2, où ils sont au même niveau.</w:t>
      </w:r>
    </w:p>
    <w:p>
      <w:r>
        <w:t xml:space="preserve">L'ELM-PID peut donc revendiquer d'améliorer toujours son point de départ, d'égaler le PINN-PID à moindre coût, et de se passer d'un réglage hors ligne des gains, au prix d'un réseau appris hors ligne. Il ne peut pas revendiquer de battre un PID fixe bien réglé, ni attribuer ses résultats à son réseau : ils viennent surtout de sa boucle d'adaptation.</w:t>
      </w:r>
    </w:p>
    <w:p>
      <w:r>
        <w:t xml:space="preserve">Plusieurs questions restent ouvertes : la tenue des méthodes face aux tolérances réelles des composants, leur temps d'exécution sur une cible embarquée, une adaptation assez rapide pour agir pendant les perturbations. Le chapitre 6 les reprend.</w:t>
      </w:r>
    </w:p>
    <w:p>
      <w:pPr>
        <w:pStyle w:val="Heading2"/>
      </w:pPr>
      <w:r>
        <w:t xml:space="preserve">Références citées dans ce chapitre</w:t>
      </w:r>
    </w:p>
    <w:p>
      <w:pPr>
        <w:pStyle w:val="Bibliographie"/>
      </w:pPr>
      <w:r>
        <w:t xml:space="preserve">[Åström et Hägglund, 1995] Åström K.J., Hägglund T., </w:t>
      </w:r>
      <w:r>
        <w:rPr>
          <w:i/>
          <w:iCs/>
        </w:rPr>
        <w:t xml:space="preserve">PID Controllers: Theory, Design, and Tuning</w:t>
      </w:r>
      <w:r>
        <w:t xml:space="preserve">, 2e éd., Instrument Society of America, 1995.</w:t>
      </w:r>
    </w:p>
    <w:p>
      <w:pPr>
        <w:pStyle w:val="Bibliographie"/>
      </w:pPr>
      <w:r>
        <w:t xml:space="preserve">[Gaing, 2004] Gaing Z.-L., </w:t>
      </w:r>
      <w:r>
        <w:rPr>
          <w:i/>
          <w:iCs/>
        </w:rPr>
        <w:t xml:space="preserve">A particle swarm optimization approach for optimum design of PID controller in AVR system</w:t>
      </w:r>
      <w:r>
        <w:t xml:space="preserve">, IEEE Transactions on Energy Conversion, vol. 19, n° 2, 2004, pp. 384-391, doi:10.1109/TEC.2003.821821.</w:t>
      </w:r>
    </w:p>
    <w:p>
      <w:pPr>
        <w:pStyle w:val="Bibliographie"/>
      </w:pPr>
      <w:r>
        <w:t xml:space="preserve">[Graham et Lathrop, 1953] Graham D., Lathrop R.C., </w:t>
      </w:r>
      <w:r>
        <w:rPr>
          <w:i/>
          <w:iCs/>
        </w:rPr>
        <w:t xml:space="preserve">The synthesis of "optimum" transient response: criteria and standard forms</w:t>
      </w:r>
      <w:r>
        <w:t xml:space="preserve">, Transactions of the American Institute of Electrical Engineers, Part II: Applications and Industry, vol. 72, 1953, pp. 273-288.</w:t>
      </w:r>
      <w:r>
        <w:t xml:space="preserve"> </w:t>
      </w:r>
      <w:r>
        <w:rPr>
          <w:highlight w:val="yellow"/>
        </w:rPr>
        <w:t xml:space="preserve">[à revérifier]</w:t>
      </w:r>
    </w:p>
    <w:p>
      <w:pPr>
        <w:pStyle w:val="Bibliographie"/>
      </w:pPr>
      <w:r>
        <w:t xml:space="preserve">[Ito et Wasa, 2025] Ito J., Wasa Y., </w:t>
      </w:r>
      <w:r>
        <w:rPr>
          <w:i/>
          <w:iCs/>
        </w:rPr>
        <w:t xml:space="preserve">Data-driven adaptive PID control based on physics-informed neural networks</w:t>
      </w:r>
      <w:r>
        <w:t xml:space="preserve">, prépublication arXiv:2510.04591, 2025.</w:t>
      </w:r>
    </w:p>
    <w:p>
      <w:pPr>
        <w:pStyle w:val="Bibliographie"/>
      </w:pPr>
      <w:r>
        <w:t xml:space="preserve">[Liang et al., 2006] Liang N.-Y., Huang G.-B., Saratchandran P., Sundararajan N., </w:t>
      </w:r>
      <w:r>
        <w:rPr>
          <w:i/>
          <w:iCs/>
        </w:rPr>
        <w:t xml:space="preserve">A fast and accurate online sequential learning algorithm for feedforward networks</w:t>
      </w:r>
      <w:r>
        <w:t xml:space="preserve">, IEEE Transactions on Neural Networks, vol. 17, n° 6, 2006, pp. 1411-1423, doi:10.1109/TNN.2006.880583.</w:t>
      </w:r>
    </w:p>
    <w:p>
      <w:pPr>
        <w:pStyle w:val="Bibliographie"/>
      </w:pPr>
      <w:r>
        <w:t xml:space="preserve">[Lu et al., 2021] Lu Y., Yu W., Wang J., Jiang D., Li R., </w:t>
      </w:r>
      <w:r>
        <w:rPr>
          <w:i/>
          <w:iCs/>
        </w:rPr>
        <w:t xml:space="preserve">Design of PID controller based on ELM and its implementation for Buck converters</w:t>
      </w:r>
      <w:r>
        <w:t xml:space="preserve">, International Journal of Control, Automation and Systems, vol. 19, 2021, pp. 2479-2490, doi:10.1007/s12555-019-0989-1.</w:t>
      </w:r>
      <w:r>
        <w:t xml:space="preserve"> </w:t>
      </w:r>
      <w:r>
        <w:rPr>
          <w:highlight w:val="yellow"/>
        </w:rPr>
        <w:t xml:space="preserve">[à revérifier]</w:t>
      </w:r>
    </w:p>
    <w:p>
      <w:pPr>
        <w:pStyle w:val="Bibliographie"/>
      </w:pPr>
      <w:r>
        <w:t xml:space="preserve">[Mudry, 2006] Mudry F., </w:t>
      </w:r>
      <w:r>
        <w:rPr>
          <w:i/>
          <w:iCs/>
        </w:rPr>
        <w:t xml:space="preserve">Ajustage des paramètres des régulateurs PID</w:t>
      </w:r>
      <w:r>
        <w:t xml:space="preserve">, note d'application, Institut d'Automatisation Industrielle, Laboratoire d'automatique, eivd, version de mars 2006 (première version avril 2002).</w:t>
      </w:r>
    </w:p>
    <w:p>
      <w:pPr>
        <w:pStyle w:val="Bibliographie"/>
      </w:pPr>
      <w:r>
        <w:t xml:space="preserve">[Ogata, 2010] Ogata K., </w:t>
      </w:r>
      <w:r>
        <w:rPr>
          <w:i/>
          <w:iCs/>
        </w:rPr>
        <w:t xml:space="preserve">Modern Control Engineering</w:t>
      </w:r>
      <w:r>
        <w:t xml:space="preserve">, 5e éd., Prentice Hall, Boston, 2010.</w:t>
      </w:r>
    </w:p>
    <w:p>
      <w:pPr>
        <w:pStyle w:val="Bibliographie"/>
      </w:pPr>
      <w:r>
        <w:t xml:space="preserve">[Zhao et al., 1993] Zhao Z.-Y., Tomizuka M., Isaka S., </w:t>
      </w:r>
      <w:r>
        <w:rPr>
          <w:i/>
          <w:iCs/>
        </w:rPr>
        <w:t xml:space="preserve">Fuzzy gain scheduling of PID controllers</w:t>
      </w:r>
      <w:r>
        <w:t xml:space="preserve">, IEEE Transactions on Systems, Man, and Cybernetics, vol. 23, n° 5, 1993, pp. 1392-1398.</w:t>
      </w:r>
      <w:r>
        <w:t xml:space="preserve"> </w:t>
      </w:r>
      <w:r>
        <w:rPr>
          <w:highlight w:val="yellow"/>
        </w:rPr>
        <w:t xml:space="preserve">[à revérifier]</w:t>
      </w:r>
    </w:p>
    <w:p>
      <w:pPr>
        <w:pStyle w:val="Bibliographie"/>
      </w:pPr>
      <w:r>
        <w:t xml:space="preserve">[Ziegler et Nichols, 1942] Ziegler J.G., Nichols N.B., </w:t>
      </w:r>
      <w:r>
        <w:rPr>
          <w:i/>
          <w:iCs/>
        </w:rPr>
        <w:t xml:space="preserve">Optimum settings for automatic controllers</w:t>
      </w:r>
      <w:r>
        <w:t xml:space="preserve">, Transactions of the ASME, vol. 64, n° 8, 1942, pp. 759-765, doi:10.1115/1.4019264.</w:t>
      </w:r>
    </w:p>
    <w:sectPr>
      <w:footerReference w:type="default" r:id="rId7"/>
      <w:pgSz w:w="11906" w:h="16838" w:orient="portrait"/>
      <w:pgMar w:top="1701" w:right="1417" w:bottom="1417" w:left="1701" w:header="709" w:footer="709"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ageBreakBefore/>
      <w:spacing w:after="420" w:before="240" w:line="240" w:lineRule="auto"/>
      <w:ind w:left="0" w:firstLine="0"/>
      <w:jc w:val="center"/>
      <w:outlineLvl w:val="0"/>
    </w:pPr>
    <w:rPr>
      <w:rFonts w:ascii="Times New Roman" w:cs="Times New Roman" w:eastAsia="Times New Roman" w:hAnsi="Times New Roman"/>
      <w:b/>
      <w:bCs/>
      <w:color w:val="000000"/>
      <w:sz w:val="40"/>
      <w:szCs w:val="40"/>
    </w:rPr>
  </w:style>
  <w:style w:type="paragraph" w:styleId="Heading2">
    <w:name w:val="Heading 2"/>
    <w:basedOn w:val="Normal"/>
    <w:next w:val="Normal"/>
    <w:qFormat/>
    <w:pPr>
      <w:keepNext/>
      <w:keepLines/>
      <w:spacing w:after="360" w:before="0" w:line="240" w:lineRule="auto"/>
      <w:ind w:left="0" w:firstLine="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360" w:before="0" w:line="240" w:lineRule="auto"/>
      <w:ind w:left="0" w:firstLine="0"/>
      <w:jc w:val="left"/>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420" w:before="0" w:line="360" w:lineRule="auto"/>
      <w:ind w:left="0" w:firstLine="0"/>
      <w:jc w:val="both"/>
    </w:pPr>
    <w:rPr>
      <w:rFonts w:ascii="Times New Roman" w:cs="Times New Roman" w:eastAsia="Times New Roman" w:hAnsi="Times New Roman"/>
      <w:color w:val="000000"/>
      <w:sz w:val="24"/>
      <w:szCs w:val="24"/>
    </w:rPr>
  </w:style>
  <w:style w:type="paragraph" w:styleId="Caption">
    <w:name w:val="Caption"/>
    <w:basedOn w:val="Normal"/>
    <w:next w:val="Normal"/>
    <w:qFormat/>
    <w:pPr>
      <w:spacing w:after="420" w:before="120" w:line="240" w:lineRule="auto"/>
      <w:jc w:val="center"/>
    </w:pPr>
    <w:rPr>
      <w:rFonts w:ascii="Times New Roman" w:cs="Times New Roman" w:eastAsia="Times New Roman" w:hAnsi="Times New Roman"/>
      <w:b w:val="false"/>
      <w:bCs w:val="false"/>
      <w:i w:val="false"/>
      <w:iCs w:val="false"/>
      <w:color w:val="000000"/>
      <w:sz w:val="22"/>
      <w:szCs w:val="22"/>
    </w:rPr>
  </w:style>
  <w:style w:type="paragraph" w:styleId="LegendeTableau">
    <w:name w:val="Légende tableau"/>
    <w:basedOn w:val="Caption"/>
    <w:next w:val="Normal"/>
    <w:qFormat/>
    <w:pPr>
      <w:keepNext/>
      <w:spacing w:after="0" w:before="0" w:line="360" w:lineRule="auto"/>
      <w:jc w:val="center"/>
    </w:pPr>
    <w:rPr>
      <w:rFonts w:ascii="Times New Roman" w:cs="Times New Roman" w:eastAsia="Times New Roman" w:hAnsi="Times New Roman"/>
      <w:sz w:val="24"/>
      <w:szCs w:val="24"/>
    </w:rPr>
  </w:style>
  <w:style w:type="paragraph" w:styleId="TexteTableau">
    <w:name w:val="Texte tableau"/>
    <w:basedOn w:val="Normal"/>
    <w:pPr>
      <w:spacing w:after="0" w:before="0" w:line="240" w:lineRule="auto"/>
      <w:jc w:val="center"/>
    </w:pPr>
    <w:rPr>
      <w:rFonts w:ascii="Times New Roman" w:cs="Times New Roman" w:eastAsia="Times New Roman" w:hAnsi="Times New Roman"/>
      <w:sz w:val="22"/>
      <w:szCs w:val="22"/>
    </w:rPr>
  </w:style>
  <w:style w:type="paragraph" w:styleId="Equation">
    <w:name w:val="Équation"/>
    <w:basedOn w:val="Normal"/>
    <w:next w:val="Normal"/>
    <w:pPr>
      <w:tabs>
        <w:tab w:val="left" w:pos="1417"/>
        <w:tab w:val="right" w:pos="8391"/>
      </w:tabs>
      <w:spacing w:after="420" w:before="0" w:line="360" w:lineRule="auto"/>
      <w:jc w:val="left"/>
    </w:pPr>
    <w:rPr>
      <w:rFonts w:ascii="Times New Roman" w:cs="Times New Roman" w:eastAsia="Times New Roman" w:hAnsi="Times New Roman"/>
      <w:sz w:val="24"/>
      <w:szCs w:val="24"/>
    </w:rPr>
  </w:style>
  <w:style w:type="paragraph" w:styleId="Bibliographie">
    <w:name w:val="Bibliographie"/>
    <w:basedOn w:val="Normal"/>
    <w:pPr>
      <w:spacing w:after="0" w:before="0" w:line="360" w:lineRule="auto"/>
      <w:ind w:left="510" w:hanging="510"/>
      <w:jc w:val="both"/>
    </w:pPr>
    <w:rPr>
      <w:rFonts w:ascii="Times New Roman" w:cs="Times New Roman" w:eastAsia="Times New Roman" w:hAnsi="Times New Roman"/>
      <w:sz w:val="24"/>
      <w:szCs w:val="24"/>
    </w:rPr>
  </w:style>
  <w:style w:type="paragraph" w:styleId="Repere">
    <w:name w:val="Repère figure"/>
    <w:basedOn w:val="Normal"/>
    <w:next w:val="Caption"/>
    <w:pPr>
      <w:keepNext/>
      <w:spacing w:after="0" w:before="0" w:line="240" w:lineRule="auto"/>
      <w:jc w:val="center"/>
    </w:pPr>
    <w:rPr>
      <w:rFonts w:ascii="Times New Roman" w:cs="Times New Roman" w:eastAsia="Times New Roman" w:hAnsi="Times New Roman"/>
      <w:sz w:val="24"/>
      <w:szCs w:val="24"/>
    </w:rPr>
  </w:style>
  <w:style w:type="paragraph" w:styleId="Footer">
    <w:name w:val="footer"/>
    <w:basedOn w:val="Normal"/>
    <w:pPr>
      <w:spacing w:after="0" w:before="0" w:line="240" w:lineRule="auto"/>
      <w:jc w:val="righ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Simulation et analyse des performances</dc:title>
  <dc:creator>Jean-Riche Ntumba Panzu</dc:creator>
  <cp:lastModifiedBy>Jean-Riche Ntumba Panzu</cp:lastModifiedBy>
  <cp:revision>1</cp:revision>
  <dcterms:created xsi:type="dcterms:W3CDTF">2026-10-11T03:04:51Z</dcterms:created>
  <dcterms:modified xsi:type="dcterms:W3CDTF">2026-10-11T03:04:51Z</dcterms:modified>
</cp:coreProperties>
</file>