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et l'intégration s'arrête quand la sortie est en butée et que l'erreur pousse dans le même sens (anti-emballement par blocage de l'intégrateur, ou « clamping »)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l'anti-emballement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w:t>
      </w:r>
      <w:r>
        <w:rPr>
          <w:i/>
          <w:iCs/>
        </w:rPr>
        <w:t xml:space="preserve">D</w:t>
      </w:r>
      <w:r>
        <w:t xml:space="preserve">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J,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(section 5.3.4).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reste bloquée tant que la commande est saturée dans la fenêtre courante ou dans l'une des deux précédentes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plus tard,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09"/>
        <w:gridCol w:w="2636"/>
        <w:gridCol w:w="2642"/>
      </w:tblGrid>
      <w:tr>
        <w:trPr>
          <w:cantSplit/>
          <w:tblHeader/>
        </w:trPr>
        <w:tc>
          <w:tcPr>
            <w:tcW w:type="dxa" w:w="3509"/>
            <w:tcMar>
              <w:top w:type="dxa" w:w="40"/>
              <w:left w:type="dxa" w:w="80"/>
              <w:bottom w:type="dxa" w:w="40"/>
              <w:right w:type="dxa" w:w="80"/>
            </w:tcMar>
            <w:vAlign w:val="center"/>
          </w:tcPr>
          <w:p>
            <w:pPr>
              <w:pStyle w:val="TexteTableau"/>
              <w:jc w:val="left"/>
            </w:pPr>
            <w:r>
              <w:rPr>
                <w:b/>
                <w:bCs/>
              </w:rPr>
              <w:t xml:space="preserve">Grandeur</w:t>
            </w:r>
          </w:p>
        </w:tc>
        <w:tc>
          <w:tcPr>
            <w:tcW w:type="dxa" w:w="2636"/>
            <w:tcMar>
              <w:top w:type="dxa" w:w="40"/>
              <w:left w:type="dxa" w:w="80"/>
              <w:bottom w:type="dxa" w:w="40"/>
              <w:right w:type="dxa" w:w="80"/>
            </w:tcMar>
            <w:vAlign w:val="center"/>
          </w:tcPr>
          <w:p>
            <w:pPr>
              <w:pStyle w:val="TexteTableau"/>
              <w:jc w:val="center"/>
            </w:pPr>
            <w:r>
              <w:rPr>
                <w:b/>
                <w:bCs/>
              </w:rPr>
              <w:t xml:space="preserve">ELM-PID</w:t>
            </w:r>
          </w:p>
        </w:tc>
        <w:tc>
          <w:tcPr>
            <w:tcW w:type="dxa" w:w="2642"/>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gains figés à 50 ms</w:t>
            </w:r>
          </w:p>
        </w:tc>
        <w:tc>
          <w:tcPr>
            <w:tcW w:type="dxa" w:w="2636"/>
            <w:tcMar>
              <w:top w:type="dxa" w:w="40"/>
              <w:left w:type="dxa" w:w="80"/>
              <w:bottom w:type="dxa" w:w="40"/>
              <w:right w:type="dxa" w:w="80"/>
            </w:tcMar>
            <w:vAlign w:val="center"/>
          </w:tcPr>
          <w:p>
            <w:pPr>
              <w:pStyle w:val="TexteTableau"/>
              <w:jc w:val="center"/>
            </w:pPr>
            <w:r>
              <w:t xml:space="preserve">14,60</w:t>
            </w:r>
          </w:p>
        </w:tc>
        <w:tc>
          <w:tcPr>
            <w:tcW w:type="dxa" w:w="2642"/>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adaptation continue</w:t>
            </w:r>
          </w:p>
        </w:tc>
        <w:tc>
          <w:tcPr>
            <w:tcW w:type="dxa" w:w="2636"/>
            <w:tcMar>
              <w:top w:type="dxa" w:w="40"/>
              <w:left w:type="dxa" w:w="80"/>
              <w:bottom w:type="dxa" w:w="40"/>
              <w:right w:type="dxa" w:w="80"/>
            </w:tcMar>
            <w:vAlign w:val="center"/>
          </w:tcPr>
          <w:p>
            <w:pPr>
              <w:pStyle w:val="TexteTableau"/>
              <w:jc w:val="center"/>
            </w:pPr>
            <w:r>
              <w:t xml:space="preserve">8,63</w:t>
            </w:r>
          </w:p>
        </w:tc>
        <w:tc>
          <w:tcPr>
            <w:tcW w:type="dxa" w:w="2642"/>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Réduction due à l'adaptation</w:t>
            </w:r>
          </w:p>
        </w:tc>
        <w:tc>
          <w:tcPr>
            <w:tcW w:type="dxa" w:w="2636"/>
            <w:tcMar>
              <w:top w:type="dxa" w:w="40"/>
              <w:left w:type="dxa" w:w="80"/>
              <w:bottom w:type="dxa" w:w="40"/>
              <w:right w:type="dxa" w:w="80"/>
            </w:tcMar>
            <w:vAlign w:val="center"/>
          </w:tcPr>
          <w:p>
            <w:pPr>
              <w:pStyle w:val="TexteTableau"/>
              <w:jc w:val="center"/>
            </w:pPr>
            <w:r>
              <w:t xml:space="preserve">40,9 %</w:t>
            </w:r>
          </w:p>
        </w:tc>
        <w:tc>
          <w:tcPr>
            <w:tcW w:type="dxa" w:w="2642"/>
            <w:tcMar>
              <w:top w:type="dxa" w:w="40"/>
              <w:left w:type="dxa" w:w="80"/>
              <w:bottom w:type="dxa" w:w="40"/>
              <w:right w:type="dxa" w:w="80"/>
            </w:tcMar>
            <w:vAlign w:val="center"/>
          </w:tcPr>
          <w:p>
            <w:pPr>
              <w:pStyle w:val="TexteTableau"/>
              <w:jc w:val="center"/>
            </w:pPr>
            <w:r>
              <w:t xml:space="preserve">61,5 %</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50 ms</w:t>
            </w:r>
          </w:p>
        </w:tc>
        <w:tc>
          <w:tcPr>
            <w:tcW w:type="dxa" w:w="2636"/>
            <w:tcMar>
              <w:top w:type="dxa" w:w="40"/>
              <w:left w:type="dxa" w:w="80"/>
              <w:bottom w:type="dxa" w:w="40"/>
              <w:right w:type="dxa" w:w="80"/>
            </w:tcMar>
            <w:vAlign w:val="center"/>
          </w:tcPr>
          <w:p>
            <w:pPr>
              <w:pStyle w:val="TexteTableau"/>
              <w:jc w:val="center"/>
            </w:pPr>
            <w:r>
              <w:t xml:space="preserve">1,47 ; 1,06 ; 1,15</w:t>
            </w:r>
          </w:p>
        </w:tc>
        <w:tc>
          <w:tcPr>
            <w:tcW w:type="dxa" w:w="2642"/>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100 ms</w:t>
            </w:r>
          </w:p>
        </w:tc>
        <w:tc>
          <w:tcPr>
            <w:tcW w:type="dxa" w:w="2636"/>
            <w:tcMar>
              <w:top w:type="dxa" w:w="40"/>
              <w:left w:type="dxa" w:w="80"/>
              <w:bottom w:type="dxa" w:w="40"/>
              <w:right w:type="dxa" w:w="80"/>
            </w:tcMar>
            <w:vAlign w:val="center"/>
          </w:tcPr>
          <w:p>
            <w:pPr>
              <w:pStyle w:val="TexteTableau"/>
              <w:jc w:val="center"/>
            </w:pPr>
            <w:r>
              <w:t xml:space="preserve">2,48 ; 1,83 ; 1,22</w:t>
            </w:r>
          </w:p>
        </w:tc>
        <w:tc>
          <w:tcPr>
            <w:tcW w:type="dxa" w:w="2642"/>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en fin d'essai</w:t>
            </w:r>
          </w:p>
        </w:tc>
        <w:tc>
          <w:tcPr>
            <w:tcW w:type="dxa" w:w="2636"/>
            <w:tcMar>
              <w:top w:type="dxa" w:w="40"/>
              <w:left w:type="dxa" w:w="80"/>
              <w:bottom w:type="dxa" w:w="40"/>
              <w:right w:type="dxa" w:w="80"/>
            </w:tcMar>
            <w:vAlign w:val="center"/>
          </w:tcPr>
          <w:p>
            <w:pPr>
              <w:pStyle w:val="TexteTableau"/>
              <w:jc w:val="center"/>
            </w:pPr>
            <w:r>
              <w:t xml:space="preserve">3,37 ; 2,07 ; 1,35</w:t>
            </w:r>
          </w:p>
        </w:tc>
        <w:tc>
          <w:tcPr>
            <w:tcW w:type="dxa" w:w="2642"/>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son ensemble de gains admissibles.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à 7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51"/>
        <w:gridCol w:w="1283"/>
        <w:gridCol w:w="1609"/>
        <w:gridCol w:w="1539"/>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51"/>
            <w:tcMar>
              <w:top w:type="dxa" w:w="40"/>
              <w:left w:type="dxa" w:w="80"/>
              <w:bottom w:type="dxa" w:w="40"/>
              <w:right w:type="dxa" w:w="80"/>
            </w:tcMar>
            <w:vAlign w:val="center"/>
          </w:tcPr>
          <w:p>
            <w:pPr>
              <w:pStyle w:val="TexteTableau"/>
              <w:jc w:val="center"/>
            </w:pPr>
            <w:r>
              <w:rPr>
                <w:b/>
                <w:bCs/>
              </w:rPr>
              <w:t xml:space="preserve">PSO-PID</w:t>
            </w:r>
          </w:p>
        </w:tc>
        <w:tc>
          <w:tcPr>
            <w:tcW w:type="dxa" w:w="1283"/>
            <w:tcMar>
              <w:top w:type="dxa" w:w="40"/>
              <w:left w:type="dxa" w:w="80"/>
              <w:bottom w:type="dxa" w:w="40"/>
              <w:right w:type="dxa" w:w="80"/>
            </w:tcMar>
            <w:vAlign w:val="center"/>
          </w:tcPr>
          <w:p>
            <w:pPr>
              <w:pStyle w:val="TexteTableau"/>
              <w:jc w:val="center"/>
            </w:pPr>
            <w:r>
              <w:rPr>
                <w:b/>
                <w:bCs/>
              </w:rPr>
              <w:t xml:space="preserve">Fuzzy-PID</w:t>
            </w:r>
          </w:p>
        </w:tc>
        <w:tc>
          <w:tcPr>
            <w:tcW w:type="dxa" w:w="1609"/>
            <w:tcMar>
              <w:top w:type="dxa" w:w="40"/>
              <w:left w:type="dxa" w:w="80"/>
              <w:bottom w:type="dxa" w:w="40"/>
              <w:right w:type="dxa" w:w="80"/>
            </w:tcMar>
            <w:vAlign w:val="center"/>
          </w:tcPr>
          <w:p>
            <w:pPr>
              <w:pStyle w:val="TexteTableau"/>
              <w:jc w:val="center"/>
            </w:pPr>
            <w:r>
              <w:rPr>
                <w:b/>
                <w:bCs/>
              </w:rPr>
              <w:t xml:space="preserve">ELM-PID</w:t>
            </w:r>
          </w:p>
        </w:tc>
        <w:tc>
          <w:tcPr>
            <w:tcW w:type="dxa" w:w="1539"/>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0,935</w:t>
            </w:r>
          </w:p>
        </w:tc>
        <w:tc>
          <w:tcPr>
            <w:tcW w:type="dxa" w:w="1283"/>
            <w:tcMar>
              <w:top w:type="dxa" w:w="40"/>
              <w:left w:type="dxa" w:w="80"/>
              <w:bottom w:type="dxa" w:w="40"/>
              <w:right w:type="dxa" w:w="80"/>
            </w:tcMar>
            <w:vAlign w:val="center"/>
          </w:tcPr>
          <w:p>
            <w:pPr>
              <w:pStyle w:val="TexteTableau"/>
              <w:jc w:val="center"/>
            </w:pPr>
            <w:r>
              <w:t xml:space="preserve">1,183</w:t>
            </w:r>
          </w:p>
        </w:tc>
        <w:tc>
          <w:tcPr>
            <w:tcW w:type="dxa" w:w="1609"/>
            <w:tcMar>
              <w:top w:type="dxa" w:w="40"/>
              <w:left w:type="dxa" w:w="80"/>
              <w:bottom w:type="dxa" w:w="40"/>
              <w:right w:type="dxa" w:w="80"/>
            </w:tcMar>
            <w:vAlign w:val="center"/>
          </w:tcPr>
          <w:p>
            <w:pPr>
              <w:pStyle w:val="TexteTableau"/>
              <w:jc w:val="center"/>
            </w:pPr>
            <w:r>
              <w:t xml:space="preserve">0,999</w:t>
            </w:r>
          </w:p>
        </w:tc>
        <w:tc>
          <w:tcPr>
            <w:tcW w:type="dxa" w:w="1539"/>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0,719</w:t>
            </w:r>
          </w:p>
        </w:tc>
        <w:tc>
          <w:tcPr>
            <w:tcW w:type="dxa" w:w="1283"/>
            <w:tcMar>
              <w:top w:type="dxa" w:w="40"/>
              <w:left w:type="dxa" w:w="80"/>
              <w:bottom w:type="dxa" w:w="40"/>
              <w:right w:type="dxa" w:w="80"/>
            </w:tcMar>
            <w:vAlign w:val="center"/>
          </w:tcPr>
          <w:p>
            <w:pPr>
              <w:pStyle w:val="TexteTableau"/>
              <w:jc w:val="center"/>
            </w:pPr>
            <w:r>
              <w:t xml:space="preserve">0,856</w:t>
            </w:r>
          </w:p>
        </w:tc>
        <w:tc>
          <w:tcPr>
            <w:tcW w:type="dxa" w:w="1609"/>
            <w:tcMar>
              <w:top w:type="dxa" w:w="40"/>
              <w:left w:type="dxa" w:w="80"/>
              <w:bottom w:type="dxa" w:w="40"/>
              <w:right w:type="dxa" w:w="80"/>
            </w:tcMar>
            <w:vAlign w:val="center"/>
          </w:tcPr>
          <w:p>
            <w:pPr>
              <w:pStyle w:val="TexteTableau"/>
              <w:jc w:val="center"/>
            </w:pPr>
            <w:r>
              <w:t xml:space="preserve">0,847</w:t>
            </w:r>
          </w:p>
        </w:tc>
        <w:tc>
          <w:tcPr>
            <w:tcW w:type="dxa" w:w="1539"/>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0,630</w:t>
            </w:r>
          </w:p>
        </w:tc>
        <w:tc>
          <w:tcPr>
            <w:tcW w:type="dxa" w:w="1283"/>
            <w:tcMar>
              <w:top w:type="dxa" w:w="40"/>
              <w:left w:type="dxa" w:w="80"/>
              <w:bottom w:type="dxa" w:w="40"/>
              <w:right w:type="dxa" w:w="80"/>
            </w:tcMar>
            <w:vAlign w:val="center"/>
          </w:tcPr>
          <w:p>
            <w:pPr>
              <w:pStyle w:val="TexteTableau"/>
              <w:jc w:val="center"/>
            </w:pPr>
            <w:r>
              <w:t xml:space="preserve">0,916</w:t>
            </w:r>
          </w:p>
        </w:tc>
        <w:tc>
          <w:tcPr>
            <w:tcW w:type="dxa" w:w="1609"/>
            <w:tcMar>
              <w:top w:type="dxa" w:w="40"/>
              <w:left w:type="dxa" w:w="80"/>
              <w:bottom w:type="dxa" w:w="40"/>
              <w:right w:type="dxa" w:w="80"/>
            </w:tcMar>
            <w:vAlign w:val="center"/>
          </w:tcPr>
          <w:p>
            <w:pPr>
              <w:pStyle w:val="TexteTableau"/>
              <w:jc w:val="center"/>
            </w:pPr>
            <w:r>
              <w:t xml:space="preserve">0,739</w:t>
            </w:r>
          </w:p>
        </w:tc>
        <w:tc>
          <w:tcPr>
            <w:tcW w:type="dxa" w:w="1539"/>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0,204</w:t>
            </w:r>
          </w:p>
        </w:tc>
        <w:tc>
          <w:tcPr>
            <w:tcW w:type="dxa" w:w="1283"/>
            <w:tcMar>
              <w:top w:type="dxa" w:w="40"/>
              <w:left w:type="dxa" w:w="80"/>
              <w:bottom w:type="dxa" w:w="40"/>
              <w:right w:type="dxa" w:w="80"/>
            </w:tcMar>
            <w:vAlign w:val="center"/>
          </w:tcPr>
          <w:p>
            <w:pPr>
              <w:pStyle w:val="TexteTableau"/>
              <w:jc w:val="center"/>
            </w:pPr>
            <w:r>
              <w:t xml:space="preserve">0,341</w:t>
            </w:r>
          </w:p>
        </w:tc>
        <w:tc>
          <w:tcPr>
            <w:tcW w:type="dxa" w:w="1609"/>
            <w:tcMar>
              <w:top w:type="dxa" w:w="40"/>
              <w:left w:type="dxa" w:w="80"/>
              <w:bottom w:type="dxa" w:w="40"/>
              <w:right w:type="dxa" w:w="80"/>
            </w:tcMar>
            <w:vAlign w:val="center"/>
          </w:tcPr>
          <w:p>
            <w:pPr>
              <w:pStyle w:val="TexteTableau"/>
              <w:jc w:val="center"/>
            </w:pPr>
            <w:r>
              <w:t xml:space="preserve">0,246</w:t>
            </w:r>
          </w:p>
        </w:tc>
        <w:tc>
          <w:tcPr>
            <w:tcW w:type="dxa" w:w="1539"/>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0,056</w:t>
            </w:r>
          </w:p>
        </w:tc>
        <w:tc>
          <w:tcPr>
            <w:tcW w:type="dxa" w:w="1283"/>
            <w:tcMar>
              <w:top w:type="dxa" w:w="40"/>
              <w:left w:type="dxa" w:w="80"/>
              <w:bottom w:type="dxa" w:w="40"/>
              <w:right w:type="dxa" w:w="80"/>
            </w:tcMar>
            <w:vAlign w:val="center"/>
          </w:tcPr>
          <w:p>
            <w:pPr>
              <w:pStyle w:val="TexteTableau"/>
              <w:jc w:val="center"/>
            </w:pPr>
            <w:r>
              <w:t xml:space="preserve">0,130</w:t>
            </w:r>
          </w:p>
        </w:tc>
        <w:tc>
          <w:tcPr>
            <w:tcW w:type="dxa" w:w="1609"/>
            <w:tcMar>
              <w:top w:type="dxa" w:w="40"/>
              <w:left w:type="dxa" w:w="80"/>
              <w:bottom w:type="dxa" w:w="40"/>
              <w:right w:type="dxa" w:w="80"/>
            </w:tcMar>
            <w:vAlign w:val="center"/>
          </w:tcPr>
          <w:p>
            <w:pPr>
              <w:pStyle w:val="TexteTableau"/>
              <w:jc w:val="center"/>
            </w:pPr>
            <w:r>
              <w:t xml:space="preserve">0,122</w:t>
            </w:r>
          </w:p>
        </w:tc>
        <w:tc>
          <w:tcPr>
            <w:tcW w:type="dxa" w:w="1539"/>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51"/>
            <w:tcMar>
              <w:top w:type="dxa" w:w="40"/>
              <w:left w:type="dxa" w:w="80"/>
              <w:bottom w:type="dxa" w:w="40"/>
              <w:right w:type="dxa" w:w="80"/>
            </w:tcMar>
            <w:vAlign w:val="center"/>
          </w:tcPr>
          <w:p>
            <w:pPr>
              <w:pStyle w:val="TexteTableau"/>
              <w:jc w:val="center"/>
            </w:pPr>
            <w:r>
              <w:t xml:space="preserve">7,06</w:t>
            </w:r>
          </w:p>
        </w:tc>
        <w:tc>
          <w:tcPr>
            <w:tcW w:type="dxa" w:w="1283"/>
            <w:tcMar>
              <w:top w:type="dxa" w:w="40"/>
              <w:left w:type="dxa" w:w="80"/>
              <w:bottom w:type="dxa" w:w="40"/>
              <w:right w:type="dxa" w:w="80"/>
            </w:tcMar>
            <w:vAlign w:val="center"/>
          </w:tcPr>
          <w:p>
            <w:pPr>
              <w:pStyle w:val="TexteTableau"/>
              <w:jc w:val="center"/>
            </w:pPr>
            <w:r>
              <w:t xml:space="preserve">27,34</w:t>
            </w:r>
          </w:p>
        </w:tc>
        <w:tc>
          <w:tcPr>
            <w:tcW w:type="dxa" w:w="1609"/>
            <w:tcMar>
              <w:top w:type="dxa" w:w="40"/>
              <w:left w:type="dxa" w:w="80"/>
              <w:bottom w:type="dxa" w:w="40"/>
              <w:right w:type="dxa" w:w="80"/>
            </w:tcMar>
            <w:vAlign w:val="center"/>
          </w:tcPr>
          <w:p>
            <w:pPr>
              <w:pStyle w:val="TexteTableau"/>
              <w:jc w:val="center"/>
            </w:pPr>
            <w:r>
              <w:t xml:space="preserve">13,99</w:t>
            </w:r>
          </w:p>
        </w:tc>
        <w:tc>
          <w:tcPr>
            <w:tcW w:type="dxa" w:w="1539"/>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51"/>
            <w:tcMar>
              <w:top w:type="dxa" w:w="40"/>
              <w:left w:type="dxa" w:w="80"/>
              <w:bottom w:type="dxa" w:w="40"/>
              <w:right w:type="dxa" w:w="80"/>
            </w:tcMar>
            <w:vAlign w:val="center"/>
          </w:tcPr>
          <w:p>
            <w:pPr>
              <w:pStyle w:val="TexteTableau"/>
              <w:jc w:val="center"/>
            </w:pPr>
            <w:r>
              <w:t xml:space="preserve">0,01</w:t>
            </w:r>
          </w:p>
        </w:tc>
        <w:tc>
          <w:tcPr>
            <w:tcW w:type="dxa" w:w="1283"/>
            <w:tcMar>
              <w:top w:type="dxa" w:w="40"/>
              <w:left w:type="dxa" w:w="80"/>
              <w:bottom w:type="dxa" w:w="40"/>
              <w:right w:type="dxa" w:w="80"/>
            </w:tcMar>
            <w:vAlign w:val="center"/>
          </w:tcPr>
          <w:p>
            <w:pPr>
              <w:pStyle w:val="TexteTableau"/>
              <w:jc w:val="center"/>
            </w:pPr>
            <w:r>
              <w:t xml:space="preserve">0,03</w:t>
            </w:r>
          </w:p>
        </w:tc>
        <w:tc>
          <w:tcPr>
            <w:tcW w:type="dxa" w:w="1609"/>
            <w:tcMar>
              <w:top w:type="dxa" w:w="40"/>
              <w:left w:type="dxa" w:w="80"/>
              <w:bottom w:type="dxa" w:w="40"/>
              <w:right w:type="dxa" w:w="80"/>
            </w:tcMar>
            <w:vAlign w:val="center"/>
          </w:tcPr>
          <w:p>
            <w:pPr>
              <w:pStyle w:val="TexteTableau"/>
              <w:jc w:val="center"/>
            </w:pPr>
            <w:r>
              <w:t xml:space="preserve">0,01</w:t>
            </w:r>
          </w:p>
        </w:tc>
        <w:tc>
          <w:tcPr>
            <w:tcW w:type="dxa" w:w="1539"/>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51"/>
            <w:tcMar>
              <w:top w:type="dxa" w:w="40"/>
              <w:left w:type="dxa" w:w="80"/>
              <w:bottom w:type="dxa" w:w="40"/>
              <w:right w:type="dxa" w:w="80"/>
            </w:tcMar>
            <w:vAlign w:val="center"/>
          </w:tcPr>
          <w:p>
            <w:pPr>
              <w:pStyle w:val="TexteTableau"/>
              <w:jc w:val="center"/>
            </w:pPr>
            <w:r>
              <w:t xml:space="preserve">0,4</w:t>
            </w:r>
          </w:p>
        </w:tc>
        <w:tc>
          <w:tcPr>
            <w:tcW w:type="dxa" w:w="1283"/>
            <w:tcMar>
              <w:top w:type="dxa" w:w="40"/>
              <w:left w:type="dxa" w:w="80"/>
              <w:bottom w:type="dxa" w:w="40"/>
              <w:right w:type="dxa" w:w="80"/>
            </w:tcMar>
            <w:vAlign w:val="center"/>
          </w:tcPr>
          <w:p>
            <w:pPr>
              <w:pStyle w:val="TexteTableau"/>
              <w:jc w:val="center"/>
            </w:pPr>
            <w:r>
              <w:t xml:space="preserve">0,0</w:t>
            </w:r>
          </w:p>
        </w:tc>
        <w:tc>
          <w:tcPr>
            <w:tcW w:type="dxa" w:w="1609"/>
            <w:tcMar>
              <w:top w:type="dxa" w:w="40"/>
              <w:left w:type="dxa" w:w="80"/>
              <w:bottom w:type="dxa" w:w="40"/>
              <w:right w:type="dxa" w:w="80"/>
            </w:tcMar>
            <w:vAlign w:val="center"/>
          </w:tcPr>
          <w:p>
            <w:pPr>
              <w:pStyle w:val="TexteTableau"/>
              <w:jc w:val="center"/>
            </w:pPr>
            <w:r>
              <w:t xml:space="preserve">0,6</w:t>
            </w:r>
          </w:p>
        </w:tc>
        <w:tc>
          <w:tcPr>
            <w:tcW w:type="dxa" w:w="1539"/>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51"/>
            <w:tcMar>
              <w:top w:type="dxa" w:w="40"/>
              <w:left w:type="dxa" w:w="80"/>
              <w:bottom w:type="dxa" w:w="40"/>
              <w:right w:type="dxa" w:w="80"/>
            </w:tcMar>
            <w:vAlign w:val="center"/>
          </w:tcPr>
          <w:p>
            <w:pPr>
              <w:pStyle w:val="TexteTableau"/>
              <w:jc w:val="center"/>
            </w:pPr>
            <w:r>
              <w:t xml:space="preserve">1,43</w:t>
            </w:r>
          </w:p>
        </w:tc>
        <w:tc>
          <w:tcPr>
            <w:tcW w:type="dxa" w:w="1283"/>
            <w:tcMar>
              <w:top w:type="dxa" w:w="40"/>
              <w:left w:type="dxa" w:w="80"/>
              <w:bottom w:type="dxa" w:w="40"/>
              <w:right w:type="dxa" w:w="80"/>
            </w:tcMar>
            <w:vAlign w:val="center"/>
          </w:tcPr>
          <w:p>
            <w:pPr>
              <w:pStyle w:val="TexteTableau"/>
              <w:jc w:val="center"/>
            </w:pPr>
            <w:r>
              <w:t xml:space="preserve">12,74</w:t>
            </w:r>
          </w:p>
        </w:tc>
        <w:tc>
          <w:tcPr>
            <w:tcW w:type="dxa" w:w="1609"/>
            <w:tcMar>
              <w:top w:type="dxa" w:w="40"/>
              <w:left w:type="dxa" w:w="80"/>
              <w:bottom w:type="dxa" w:w="40"/>
              <w:right w:type="dxa" w:w="80"/>
            </w:tcMar>
            <w:vAlign w:val="center"/>
          </w:tcPr>
          <w:p>
            <w:pPr>
              <w:pStyle w:val="TexteTableau"/>
              <w:jc w:val="center"/>
            </w:pPr>
            <w:r>
              <w:t xml:space="preserve">3,59</w:t>
            </w:r>
          </w:p>
        </w:tc>
        <w:tc>
          <w:tcPr>
            <w:tcW w:type="dxa" w:w="1539"/>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51"/>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3"/>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09"/>
            <w:tcMar>
              <w:top w:type="dxa" w:w="40"/>
              <w:left w:type="dxa" w:w="80"/>
              <w:bottom w:type="dxa" w:w="40"/>
              <w:right w:type="dxa" w:w="80"/>
            </w:tcMar>
            <w:vAlign w:val="center"/>
          </w:tcPr>
          <w:p>
            <w:pPr>
              <w:pStyle w:val="TexteTableau"/>
              <w:jc w:val="center"/>
            </w:pPr>
            <w:r>
              <w:t xml:space="preserve">réseau appris sur quatre enregistrements en boucle ouverte (15 s) ; ensemble de gains admissibles (181 s)</w:t>
            </w:r>
          </w:p>
        </w:tc>
        <w:tc>
          <w:tcPr>
            <w:tcW w:type="dxa" w:w="1539"/>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d'un facteur 2,6 pour l'ELM-PID et 28 pour le PINN-PID par rapport au PSO-PID.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le coût J des versions de mise au point des méthodes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la sensibilité de la tension de sortie au rapport cyclique, ∂</w:t>
      </w:r>
      <w:r>
        <w:rPr>
          <w:i/>
          <w:iCs/>
        </w:rPr>
        <w:t xml:space="preserve">v</w:t>
      </w:r>
      <w:r>
        <w:t xml:space="preserve">o/∂</w:t>
      </w:r>
      <w:r>
        <w:rPr>
          <w:i/>
          <w:iCs/>
        </w:rPr>
        <w:t xml:space="preserve">d</w:t>
      </w:r>
      <w:r>
        <w:t xml:space="preserve">. Il est en outre mis à jour en ligne par l'algorithme OS-ELM [Liang et al., 2006]. Pour mesurer ce que ces deux éléments apportent, nous avons comparé l'ELM-PID à deux variantes déjà définies lors de sa mise au point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la sensibilité vraie du convertisseur varie avec la charge, de 11,2 V par unité de rapport cyclique (médiane, 4 à 6 Ω) à 15,8 V (50 à 99 Ω). Celle du réseau reste autour de 11 V (médianes de 11,06 à 11,44 V selon la classe de charge), et sa corrélation avec la valeur vraie, en logarithme, est de −0,04. Avec les seules tensions et rapports cycliques passés, la charge n'est pas observable à l'échelle d'une fenêtre de 0,5 ms. Le réseau agit donc comme un identificateur qui donne à la boucle le signe et l'ordre de grandeur de ∂</w:t>
      </w:r>
      <w:r>
        <w:rPr>
          <w:i/>
          <w:iCs/>
        </w:rPr>
        <w:t xml:space="preserve">v</w:t>
      </w:r>
      <w:r>
        <w:t xml:space="preserve">o/∂</w:t>
      </w:r>
      <w:r>
        <w:rPr>
          <w:i/>
          <w:iCs/>
        </w:rPr>
        <w:t xml:space="preserve">d</w:t>
      </w:r>
      <w:r>
        <w:t xml:space="preserve"> ; ce n'est pas un estimateur de l'état du convertisseur.</w:t>
      </w:r>
    </w:p>
    <w:p>
      <w:r>
        <w:t xml:space="preserve">La forme de la loi d'adaptation explique pourquoi un jacobien aussi peu précis suffit. À la fin de chaque fenêtre </w:t>
      </w:r>
      <w:r>
        <w:rPr>
          <w:i/>
          <w:iCs/>
        </w:rPr>
        <w:t xml:space="preserve">n</w:t>
      </w:r>
      <w:r>
        <w:t xml:space="preserve">, le pas des gains suit un gradient normalisé, repris de [Lu et al., 2021] :</w:t>
      </w:r>
    </w:p>
    <w:p>
      <w:pPr>
        <w:pStyle w:val="Equation"/>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m:rPr>
            <m:nor/>
          </m:rPr>
          <w:rPr>
            <w:rFonts w:ascii="Times New Roman" w:hAnsi="Times New Roman"/>
          </w:rPr>
          <m:t xml:space="preserve">, avec </m:t>
        </m:r>
        <m:r>
          <w:rPr>
            <w:rFonts w:ascii="Cambria Math" w:hAnsi="Cambria Math"/>
          </w:rPr>
          <m:t xml:space="preserve">φ(n)=J(n)s(n)</m:t>
        </m:r>
        <m:r>
          <m:rPr>
            <m:nor/>
          </m:rPr>
          <w:rPr>
            <w:rFonts w:ascii="Times New Roman" w:hAnsi="Times New Roman"/>
          </w:rPr>
          <m:t xml:space="preserve">,</m:t>
        </m:r>
      </m:oMath>
      <w:r>
        <w:tab/>
        <w:t xml:space="preserve">(5.4)</w:t>
      </w:r>
    </w:p>
    <w:p>
      <w:r>
        <w:t xml:space="preserve">où </w:t>
      </w:r>
      <w:r>
        <w:rPr>
          <w:i/>
          <w:iCs/>
        </w:rPr>
        <w:t xml:space="preserve">x</w:t>
      </w:r>
      <w:r>
        <w:t xml:space="preserve"> est le vecteur des gains rapportés à ceux de Ziegler-Nichols, </w:t>
      </w:r>
      <w:r>
        <w:rPr>
          <w:i/>
          <w:iCs/>
        </w:rPr>
        <w:t xml:space="preserve">ē</w:t>
      </w:r>
      <w:r>
        <w:t xml:space="preserve"> l'erreur moyenne de la fenêtre, </w:t>
      </w:r>
      <w:r>
        <w:rPr>
          <w:i/>
          <w:iCs/>
        </w:rPr>
        <w:t xml:space="preserve">J</w:t>
      </w:r>
      <w:r>
        <w:t xml:space="preserve"> la sensibilité ∂</w:t>
      </w:r>
      <w:r>
        <w:rPr>
          <w:i/>
          <w:iCs/>
        </w:rPr>
        <w:t xml:space="preserve">v</w:t>
      </w:r>
      <w:r>
        <w:t xml:space="preserve">o/∂</w:t>
      </w:r>
      <w:r>
        <w:rPr>
          <w:i/>
          <w:iCs/>
        </w:rPr>
        <w:t xml:space="preserve">d</w:t>
      </w:r>
      <w:r>
        <w:t xml:space="preserve"> donnée par le réseau, </w:t>
      </w:r>
      <w:r>
        <w:rPr>
          <w:i/>
          <w:iCs/>
        </w:rPr>
        <w:t xml:space="preserve">s</w:t>
      </w:r>
      <w:r>
        <w:t xml:space="preserve"> la sensibilité de la commande aux gains sur la fenêtre, </w:t>
      </w:r>
      <w:r>
        <w:rPr>
          <w:i/>
          <w:iCs/>
        </w:rPr>
        <w:t xml:space="preserve">η</w:t>
      </w:r>
      <w:r>
        <w:t xml:space="preserve"> = 0,5 le pas et </w:t>
      </w:r>
      <w:r>
        <w:rPr>
          <w:i/>
          <w:iCs/>
        </w:rPr>
        <w:t xml:space="preserve">ε</w:t>
      </w:r>
      <w:r>
        <w:t xml:space="preserve"> = 10⁻³ une petite constante de régularisation. Quand </w:t>
      </w:r>
      <w:r>
        <w:rPr>
          <w:i/>
          <w:iCs/>
        </w:rPr>
        <w:t xml:space="preserve">ε</w:t>
      </w:r>
      <w:r>
        <w:t xml:space="preserve"> est négligeable, le pas vaut à peu près </w:t>
      </w:r>
      <w:r>
        <w:rPr>
          <w:i/>
          <w:iCs/>
        </w:rPr>
        <w:t xml:space="preserve">η</w:t>
      </w:r>
      <w:r>
        <w:t xml:space="preserve"> </w:t>
      </w:r>
      <w:r>
        <w:rPr>
          <w:i/>
          <w:iCs/>
        </w:rPr>
        <w:t xml:space="preserve">ē</w:t>
      </w:r>
      <w:r>
        <w:t xml:space="preserve"> </w:t>
      </w:r>
      <w:r>
        <w:rPr>
          <w:i/>
          <w:iCs/>
        </w:rPr>
        <w:t xml:space="preserve">s</w:t>
      </w:r>
      <w:r>
        <w:t xml:space="preserve"> / (</w:t>
      </w:r>
      <w:r>
        <w:rPr>
          <w:i/>
          <w:iCs/>
        </w:rPr>
        <w:t xml:space="preserve">J</w:t>
      </w:r>
      <w:r>
        <w:t xml:space="preserve"> |</w:t>
      </w:r>
      <w:r>
        <w:rPr>
          <w:i/>
          <w:iCs/>
        </w:rPr>
        <w:t xml:space="preserve">s</w:t>
      </w:r>
      <w:r>
        <w:t xml:space="preserve">|²) : le jacobien n'en fixe que le signe et la longueur. Une erreur de 30 % sur </w:t>
      </w:r>
      <w:r>
        <w:rPr>
          <w:i/>
          <w:iCs/>
        </w:rPr>
        <w:t xml:space="preserve">J</w:t>
      </w:r>
      <w:r>
        <w:t xml:space="preserve"> change la longueur du pas de 30 %, pas sa direction.</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que le PID rattrape en environ 1,5 ms.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2026-10-10T21:12:21.362Z</dcterms:created>
  <dcterms:modified xsi:type="dcterms:W3CDTF">2026-10-10T21:12:21.362Z</dcterms:modified>
</cp:coreProperties>
</file>

<file path=docProps/custom.xml><?xml version="1.0" encoding="utf-8"?>
<Properties xmlns="http://schemas.openxmlformats.org/officeDocument/2006/custom-properties" xmlns:vt="http://schemas.openxmlformats.org/officeDocument/2006/docPropsVTypes"/>
</file>