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BD77F" w14:textId="77777777" w:rsidR="004F3873" w:rsidRPr="00A96722" w:rsidRDefault="004F3873" w:rsidP="000231CC">
      <w:pPr>
        <w:spacing w:after="240" w:line="240" w:lineRule="auto"/>
        <w:jc w:val="both"/>
        <w:rPr>
          <w:rFonts w:ascii="Calibri" w:eastAsia="Times New Roman" w:hAnsi="Calibri" w:cs="Calibri"/>
          <w:lang w:eastAsia="es-CL"/>
        </w:rPr>
      </w:pPr>
    </w:p>
    <w:p w14:paraId="6D06F003" w14:textId="50CEAF48" w:rsidR="004F3873" w:rsidRPr="00A96722" w:rsidRDefault="004F3873" w:rsidP="000231CC">
      <w:pPr>
        <w:spacing w:after="0" w:line="240" w:lineRule="auto"/>
        <w:jc w:val="both"/>
        <w:rPr>
          <w:rFonts w:ascii="Calibri" w:eastAsia="Times New Roman" w:hAnsi="Calibri" w:cs="Calibri"/>
          <w:lang w:eastAsia="es-CL"/>
        </w:rPr>
      </w:pPr>
    </w:p>
    <w:p w14:paraId="3E328ADE" w14:textId="242744C9" w:rsidR="004F3873" w:rsidRPr="00A96722" w:rsidRDefault="00A96722" w:rsidP="000231CC">
      <w:pPr>
        <w:spacing w:after="240" w:line="240" w:lineRule="auto"/>
        <w:jc w:val="both"/>
        <w:rPr>
          <w:rFonts w:ascii="Calibri" w:eastAsia="Times New Roman" w:hAnsi="Calibri" w:cs="Calibri"/>
          <w:lang w:eastAsia="es-CL"/>
        </w:rPr>
      </w:pPr>
      <w:r w:rsidRPr="00A96722">
        <w:rPr>
          <w:rFonts w:ascii="Calibri" w:hAnsi="Calibri" w:cs="Calibri"/>
          <w:noProof/>
        </w:rPr>
        <w:drawing>
          <wp:anchor distT="0" distB="0" distL="114300" distR="114300" simplePos="0" relativeHeight="251659264" behindDoc="1" locked="0" layoutInCell="1" allowOverlap="1" wp14:anchorId="6C48F51C" wp14:editId="50323CCD">
            <wp:simplePos x="0" y="0"/>
            <wp:positionH relativeFrom="page">
              <wp:align>center</wp:align>
            </wp:positionH>
            <wp:positionV relativeFrom="paragraph">
              <wp:posOffset>9525</wp:posOffset>
            </wp:positionV>
            <wp:extent cx="1854200" cy="1304925"/>
            <wp:effectExtent l="0" t="0" r="0" b="9525"/>
            <wp:wrapThrough wrapText="bothSides">
              <wp:wrapPolygon edited="0">
                <wp:start x="0" y="0"/>
                <wp:lineTo x="0" y="21442"/>
                <wp:lineTo x="21304" y="21442"/>
                <wp:lineTo x="21304" y="0"/>
                <wp:lineTo x="0" y="0"/>
              </wp:wrapPolygon>
            </wp:wrapThrough>
            <wp:docPr id="33" name="Imagen 1" descr="prosegur_logo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rosegur_logo_2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304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8DC7CDF" w14:textId="77777777" w:rsidR="00A96722" w:rsidRPr="00A96722" w:rsidRDefault="00A96722" w:rsidP="000231CC">
      <w:pPr>
        <w:spacing w:after="240" w:line="240" w:lineRule="auto"/>
        <w:jc w:val="both"/>
        <w:rPr>
          <w:rFonts w:ascii="Calibri" w:eastAsia="Times New Roman" w:hAnsi="Calibri" w:cs="Calibri"/>
          <w:lang w:eastAsia="es-CL"/>
        </w:rPr>
      </w:pPr>
    </w:p>
    <w:p w14:paraId="3C03F17F" w14:textId="77777777" w:rsidR="00A96722" w:rsidRPr="00A96722" w:rsidRDefault="00A96722" w:rsidP="000231CC">
      <w:pPr>
        <w:spacing w:after="240" w:line="240" w:lineRule="auto"/>
        <w:jc w:val="both"/>
        <w:rPr>
          <w:rFonts w:ascii="Calibri" w:eastAsia="Times New Roman" w:hAnsi="Calibri" w:cs="Calibri"/>
          <w:lang w:eastAsia="es-CL"/>
        </w:rPr>
      </w:pPr>
    </w:p>
    <w:p w14:paraId="070FEB8F" w14:textId="77777777" w:rsidR="00A96722" w:rsidRPr="00A96722" w:rsidRDefault="00A96722" w:rsidP="000231CC">
      <w:pPr>
        <w:spacing w:after="240" w:line="240" w:lineRule="auto"/>
        <w:jc w:val="both"/>
        <w:rPr>
          <w:rFonts w:ascii="Calibri" w:eastAsia="Times New Roman" w:hAnsi="Calibri" w:cs="Calibri"/>
          <w:lang w:eastAsia="es-CL"/>
        </w:rPr>
      </w:pPr>
    </w:p>
    <w:p w14:paraId="277BF1E0" w14:textId="77777777" w:rsidR="00A96722" w:rsidRPr="00A96722" w:rsidRDefault="00A96722" w:rsidP="00C4387E">
      <w:pPr>
        <w:spacing w:after="240" w:line="240" w:lineRule="auto"/>
        <w:jc w:val="center"/>
        <w:rPr>
          <w:rFonts w:ascii="Calibri" w:eastAsia="Times New Roman" w:hAnsi="Calibri" w:cs="Calibri"/>
          <w:lang w:eastAsia="es-CL"/>
        </w:rPr>
      </w:pPr>
    </w:p>
    <w:p w14:paraId="34063027" w14:textId="2B9096CC" w:rsidR="004F3873" w:rsidRPr="00A96722" w:rsidRDefault="00B44CB9" w:rsidP="00C4387E">
      <w:pPr>
        <w:spacing w:after="0" w:line="240" w:lineRule="auto"/>
        <w:jc w:val="center"/>
        <w:rPr>
          <w:rFonts w:ascii="Calibri" w:eastAsia="Times New Roman" w:hAnsi="Calibri" w:cs="Calibri"/>
          <w:lang w:eastAsia="es-CL"/>
        </w:rPr>
      </w:pPr>
      <w:r w:rsidRPr="00A96722">
        <w:rPr>
          <w:rFonts w:ascii="Calibri" w:eastAsia="Times New Roman" w:hAnsi="Calibri" w:cs="Calibri"/>
          <w:b/>
          <w:bCs/>
          <w:color w:val="3D3D3D"/>
          <w:lang w:eastAsia="es-CL"/>
        </w:rPr>
        <w:t xml:space="preserve">Pre-Informe de </w:t>
      </w:r>
      <w:r w:rsidR="00A94AB5" w:rsidRPr="00A96722">
        <w:rPr>
          <w:rFonts w:ascii="Calibri" w:eastAsia="Times New Roman" w:hAnsi="Calibri" w:cs="Calibri"/>
          <w:b/>
          <w:bCs/>
          <w:color w:val="3D3D3D"/>
          <w:lang w:eastAsia="es-CL"/>
        </w:rPr>
        <w:t>Auditoría</w:t>
      </w:r>
      <w:r w:rsidR="00A96722" w:rsidRPr="00A96722">
        <w:rPr>
          <w:rFonts w:ascii="Calibri" w:eastAsia="Times New Roman" w:hAnsi="Calibri" w:cs="Calibri"/>
          <w:b/>
          <w:bCs/>
          <w:color w:val="3D3D3D"/>
          <w:lang w:eastAsia="es-CL"/>
        </w:rPr>
        <w:t xml:space="preserve"> Tributaria</w:t>
      </w:r>
    </w:p>
    <w:p w14:paraId="6C722946" w14:textId="640F644D" w:rsidR="004F3873" w:rsidRPr="00A96722" w:rsidRDefault="000E203B" w:rsidP="00C4387E">
      <w:pPr>
        <w:spacing w:after="0" w:line="240" w:lineRule="auto"/>
        <w:jc w:val="center"/>
        <w:rPr>
          <w:rFonts w:ascii="Calibri" w:eastAsia="Times New Roman" w:hAnsi="Calibri" w:cs="Calibri"/>
          <w:lang w:eastAsia="es-CL"/>
        </w:rPr>
      </w:pPr>
      <w:r w:rsidRPr="00A96722">
        <w:rPr>
          <w:rFonts w:ascii="Calibri" w:eastAsia="Times New Roman" w:hAnsi="Calibri" w:cs="Calibri"/>
          <w:b/>
          <w:bCs/>
          <w:color w:val="3D3D3D"/>
          <w:lang w:eastAsia="es-CL"/>
        </w:rPr>
        <w:t xml:space="preserve">Empresa </w:t>
      </w:r>
      <w:r w:rsidR="00A96722" w:rsidRPr="00A96722">
        <w:rPr>
          <w:rFonts w:ascii="Calibri" w:eastAsia="Times New Roman" w:hAnsi="Calibri" w:cs="Calibri"/>
          <w:b/>
          <w:bCs/>
          <w:color w:val="3D3D3D"/>
          <w:lang w:eastAsia="es-CL"/>
        </w:rPr>
        <w:t>de Seguridad</w:t>
      </w:r>
    </w:p>
    <w:p w14:paraId="72A64BDA" w14:textId="77777777" w:rsidR="004F3873" w:rsidRPr="00A96722" w:rsidRDefault="004F3873" w:rsidP="00C4387E">
      <w:pPr>
        <w:spacing w:after="240" w:line="240" w:lineRule="auto"/>
        <w:jc w:val="center"/>
        <w:rPr>
          <w:rFonts w:ascii="Calibri" w:eastAsia="Times New Roman" w:hAnsi="Calibri" w:cs="Calibri"/>
          <w:lang w:eastAsia="es-CL"/>
        </w:rPr>
      </w:pPr>
      <w:r w:rsidRPr="00A96722">
        <w:rPr>
          <w:rFonts w:ascii="Calibri" w:eastAsia="Times New Roman" w:hAnsi="Calibri" w:cs="Calibri"/>
          <w:lang w:eastAsia="es-CL"/>
        </w:rPr>
        <w:br/>
      </w:r>
    </w:p>
    <w:p w14:paraId="51A87A9D" w14:textId="77777777" w:rsidR="000E203B" w:rsidRPr="00A96722" w:rsidRDefault="000E203B" w:rsidP="000231CC">
      <w:pPr>
        <w:spacing w:line="240" w:lineRule="auto"/>
        <w:ind w:left="3540"/>
        <w:jc w:val="both"/>
        <w:rPr>
          <w:rFonts w:ascii="Calibri" w:eastAsia="Times New Roman" w:hAnsi="Calibri" w:cs="Calibri"/>
          <w:b/>
          <w:bCs/>
          <w:color w:val="000000"/>
          <w:lang w:eastAsia="es-CL"/>
        </w:rPr>
      </w:pPr>
    </w:p>
    <w:p w14:paraId="77977944" w14:textId="77777777" w:rsidR="000E203B" w:rsidRPr="00A96722" w:rsidRDefault="000E203B" w:rsidP="000231CC">
      <w:pPr>
        <w:spacing w:line="240" w:lineRule="auto"/>
        <w:jc w:val="both"/>
        <w:rPr>
          <w:rFonts w:ascii="Calibri" w:eastAsia="Times New Roman" w:hAnsi="Calibri" w:cs="Calibri"/>
          <w:b/>
          <w:bCs/>
          <w:color w:val="000000"/>
          <w:lang w:eastAsia="es-CL"/>
        </w:rPr>
      </w:pPr>
    </w:p>
    <w:p w14:paraId="1C1367AF"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78066C9D"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717F54AA"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75E851AA"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318A7D64"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7D8E9F91"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1C565A10"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53C504D7"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5F30984D"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1B26FD8D"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5A82DFDC"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5B104DCA"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60A7FEB5" w14:textId="77777777" w:rsidR="00A96722" w:rsidRPr="00A96722" w:rsidRDefault="00A96722" w:rsidP="000231CC">
      <w:pPr>
        <w:spacing w:line="240" w:lineRule="auto"/>
        <w:jc w:val="both"/>
        <w:rPr>
          <w:rFonts w:ascii="Calibri" w:eastAsia="Times New Roman" w:hAnsi="Calibri" w:cs="Calibri"/>
          <w:b/>
          <w:bCs/>
          <w:color w:val="000000"/>
          <w:lang w:eastAsia="es-CL"/>
        </w:rPr>
      </w:pPr>
    </w:p>
    <w:p w14:paraId="566440DC" w14:textId="77777777" w:rsidR="00A96722" w:rsidRDefault="00A96722" w:rsidP="000231CC">
      <w:pPr>
        <w:spacing w:line="240" w:lineRule="auto"/>
        <w:jc w:val="both"/>
        <w:rPr>
          <w:rFonts w:ascii="Calibri" w:eastAsia="Times New Roman" w:hAnsi="Calibri" w:cs="Calibri"/>
          <w:b/>
          <w:bCs/>
          <w:color w:val="000000"/>
          <w:lang w:eastAsia="es-CL"/>
        </w:rPr>
      </w:pPr>
    </w:p>
    <w:p w14:paraId="2AC9C751" w14:textId="77777777" w:rsidR="00A96722" w:rsidRDefault="00A96722" w:rsidP="000231CC">
      <w:pPr>
        <w:spacing w:line="240" w:lineRule="auto"/>
        <w:jc w:val="both"/>
        <w:rPr>
          <w:rFonts w:ascii="Calibri" w:eastAsia="Times New Roman" w:hAnsi="Calibri" w:cs="Calibri"/>
          <w:b/>
          <w:bCs/>
          <w:color w:val="000000"/>
          <w:lang w:eastAsia="es-CL"/>
        </w:rPr>
      </w:pPr>
    </w:p>
    <w:p w14:paraId="31399413" w14:textId="77777777" w:rsidR="00A96722" w:rsidRDefault="00A96722" w:rsidP="000231CC">
      <w:pPr>
        <w:spacing w:line="240" w:lineRule="auto"/>
        <w:jc w:val="both"/>
        <w:rPr>
          <w:rFonts w:ascii="Calibri" w:eastAsia="Times New Roman" w:hAnsi="Calibri" w:cs="Calibri"/>
          <w:b/>
          <w:bCs/>
          <w:color w:val="000000"/>
          <w:lang w:eastAsia="es-CL"/>
        </w:rPr>
      </w:pPr>
    </w:p>
    <w:p w14:paraId="7E607165" w14:textId="07DF9EB6" w:rsidR="004F3873" w:rsidRPr="00A96722" w:rsidRDefault="00A96722" w:rsidP="00C4387E">
      <w:pPr>
        <w:spacing w:line="240" w:lineRule="auto"/>
        <w:jc w:val="right"/>
        <w:rPr>
          <w:rFonts w:ascii="Calibri" w:eastAsia="Times New Roman" w:hAnsi="Calibri" w:cs="Calibri"/>
          <w:lang w:eastAsia="es-CL"/>
        </w:rPr>
      </w:pPr>
      <w:r>
        <w:rPr>
          <w:rFonts w:ascii="Calibri" w:eastAsia="Times New Roman" w:hAnsi="Calibri" w:cs="Calibri"/>
          <w:b/>
          <w:bCs/>
          <w:color w:val="000000"/>
          <w:lang w:eastAsia="es-CL"/>
        </w:rPr>
        <w:t>1</w:t>
      </w:r>
      <w:r w:rsidR="00B40200">
        <w:rPr>
          <w:rFonts w:ascii="Calibri" w:eastAsia="Times New Roman" w:hAnsi="Calibri" w:cs="Calibri"/>
          <w:b/>
          <w:bCs/>
          <w:color w:val="000000"/>
          <w:lang w:eastAsia="es-CL"/>
        </w:rPr>
        <w:t>3</w:t>
      </w:r>
      <w:r w:rsidR="000E203B" w:rsidRPr="00A96722">
        <w:rPr>
          <w:rFonts w:ascii="Calibri" w:eastAsia="Times New Roman" w:hAnsi="Calibri" w:cs="Calibri"/>
          <w:b/>
          <w:bCs/>
          <w:color w:val="000000"/>
          <w:lang w:eastAsia="es-CL"/>
        </w:rPr>
        <w:t xml:space="preserve"> de </w:t>
      </w:r>
      <w:r w:rsidR="00C4387E">
        <w:rPr>
          <w:rFonts w:ascii="Calibri" w:eastAsia="Times New Roman" w:hAnsi="Calibri" w:cs="Calibri"/>
          <w:b/>
          <w:bCs/>
          <w:color w:val="000000"/>
          <w:lang w:eastAsia="es-CL"/>
        </w:rPr>
        <w:t>junio</w:t>
      </w:r>
      <w:r w:rsidR="004F3873" w:rsidRPr="00A96722">
        <w:rPr>
          <w:rFonts w:ascii="Calibri" w:eastAsia="Times New Roman" w:hAnsi="Calibri" w:cs="Calibri"/>
          <w:b/>
          <w:bCs/>
          <w:color w:val="000000"/>
          <w:lang w:eastAsia="es-CL"/>
        </w:rPr>
        <w:t xml:space="preserve"> 202</w:t>
      </w:r>
      <w:r>
        <w:rPr>
          <w:rFonts w:ascii="Calibri" w:eastAsia="Times New Roman" w:hAnsi="Calibri" w:cs="Calibri"/>
          <w:b/>
          <w:bCs/>
          <w:color w:val="000000"/>
          <w:lang w:eastAsia="es-CL"/>
        </w:rPr>
        <w:t>5</w:t>
      </w:r>
    </w:p>
    <w:sdt>
      <w:sdtPr>
        <w:rPr>
          <w:rFonts w:asciiTheme="minorHAnsi" w:eastAsiaTheme="minorEastAsia" w:hAnsiTheme="minorHAnsi" w:cstheme="minorBidi"/>
          <w:color w:val="auto"/>
          <w:sz w:val="22"/>
          <w:szCs w:val="22"/>
          <w:lang w:val="es-ES"/>
        </w:rPr>
        <w:id w:val="-252505199"/>
        <w:docPartObj>
          <w:docPartGallery w:val="Table of Contents"/>
          <w:docPartUnique/>
        </w:docPartObj>
      </w:sdtPr>
      <w:sdtEndPr>
        <w:rPr>
          <w:b/>
          <w:bCs/>
        </w:rPr>
      </w:sdtEndPr>
      <w:sdtContent>
        <w:p w14:paraId="4D725235" w14:textId="22C4F1BB" w:rsidR="00C4387E" w:rsidRDefault="00C4387E">
          <w:pPr>
            <w:pStyle w:val="TtuloTDC"/>
          </w:pPr>
          <w:r>
            <w:rPr>
              <w:lang w:val="es-ES"/>
            </w:rPr>
            <w:t>Contenido</w:t>
          </w:r>
        </w:p>
        <w:p w14:paraId="615E6B61" w14:textId="2871799F" w:rsidR="005F4612" w:rsidRDefault="00C4387E">
          <w:pPr>
            <w:pStyle w:val="TDC1"/>
            <w:tabs>
              <w:tab w:val="right" w:leader="dot" w:pos="9111"/>
            </w:tabs>
            <w:rPr>
              <w:noProof/>
              <w:kern w:val="2"/>
              <w:sz w:val="24"/>
              <w:szCs w:val="24"/>
              <w:lang w:eastAsia="es-CL"/>
              <w14:ligatures w14:val="standardContextual"/>
            </w:rPr>
          </w:pPr>
          <w:r>
            <w:fldChar w:fldCharType="begin"/>
          </w:r>
          <w:r>
            <w:instrText xml:space="preserve"> TOC \o "1-3" \h \z \u </w:instrText>
          </w:r>
          <w:r>
            <w:fldChar w:fldCharType="separate"/>
          </w:r>
          <w:hyperlink w:anchor="_Toc200704662" w:history="1">
            <w:r w:rsidR="005F4612" w:rsidRPr="00C72120">
              <w:rPr>
                <w:rStyle w:val="Hipervnculo"/>
                <w:rFonts w:ascii="Calibri" w:hAnsi="Calibri" w:cs="Calibri"/>
                <w:b/>
                <w:bCs/>
                <w:noProof/>
              </w:rPr>
              <w:t>Antecedentes Generales</w:t>
            </w:r>
            <w:r w:rsidR="005F4612">
              <w:rPr>
                <w:noProof/>
                <w:webHidden/>
              </w:rPr>
              <w:tab/>
            </w:r>
            <w:r w:rsidR="005F4612">
              <w:rPr>
                <w:noProof/>
                <w:webHidden/>
              </w:rPr>
              <w:fldChar w:fldCharType="begin"/>
            </w:r>
            <w:r w:rsidR="005F4612">
              <w:rPr>
                <w:noProof/>
                <w:webHidden/>
              </w:rPr>
              <w:instrText xml:space="preserve"> PAGEREF _Toc200704662 \h </w:instrText>
            </w:r>
            <w:r w:rsidR="005F4612">
              <w:rPr>
                <w:noProof/>
                <w:webHidden/>
              </w:rPr>
            </w:r>
            <w:r w:rsidR="005F4612">
              <w:rPr>
                <w:noProof/>
                <w:webHidden/>
              </w:rPr>
              <w:fldChar w:fldCharType="separate"/>
            </w:r>
            <w:r w:rsidR="005F4612">
              <w:rPr>
                <w:noProof/>
                <w:webHidden/>
              </w:rPr>
              <w:t>3</w:t>
            </w:r>
            <w:r w:rsidR="005F4612">
              <w:rPr>
                <w:noProof/>
                <w:webHidden/>
              </w:rPr>
              <w:fldChar w:fldCharType="end"/>
            </w:r>
          </w:hyperlink>
        </w:p>
        <w:p w14:paraId="7E4A551B" w14:textId="32D62621" w:rsidR="005F4612" w:rsidRDefault="005F4612">
          <w:pPr>
            <w:pStyle w:val="TDC2"/>
            <w:tabs>
              <w:tab w:val="right" w:leader="dot" w:pos="9111"/>
            </w:tabs>
            <w:rPr>
              <w:rFonts w:cstheme="minorBidi"/>
              <w:noProof/>
              <w:kern w:val="2"/>
              <w:sz w:val="24"/>
              <w:szCs w:val="24"/>
              <w14:ligatures w14:val="standardContextual"/>
            </w:rPr>
          </w:pPr>
          <w:hyperlink w:anchor="_Toc200704663" w:history="1">
            <w:r w:rsidRPr="00C72120">
              <w:rPr>
                <w:rStyle w:val="Hipervnculo"/>
                <w:rFonts w:ascii="Calibri" w:hAnsi="Calibri" w:cs="Calibri"/>
                <w:noProof/>
              </w:rPr>
              <w:t>Objetivo General</w:t>
            </w:r>
            <w:r>
              <w:rPr>
                <w:noProof/>
                <w:webHidden/>
              </w:rPr>
              <w:tab/>
            </w:r>
            <w:r>
              <w:rPr>
                <w:noProof/>
                <w:webHidden/>
              </w:rPr>
              <w:fldChar w:fldCharType="begin"/>
            </w:r>
            <w:r>
              <w:rPr>
                <w:noProof/>
                <w:webHidden/>
              </w:rPr>
              <w:instrText xml:space="preserve"> PAGEREF _Toc200704663 \h </w:instrText>
            </w:r>
            <w:r>
              <w:rPr>
                <w:noProof/>
                <w:webHidden/>
              </w:rPr>
            </w:r>
            <w:r>
              <w:rPr>
                <w:noProof/>
                <w:webHidden/>
              </w:rPr>
              <w:fldChar w:fldCharType="separate"/>
            </w:r>
            <w:r>
              <w:rPr>
                <w:noProof/>
                <w:webHidden/>
              </w:rPr>
              <w:t>3</w:t>
            </w:r>
            <w:r>
              <w:rPr>
                <w:noProof/>
                <w:webHidden/>
              </w:rPr>
              <w:fldChar w:fldCharType="end"/>
            </w:r>
          </w:hyperlink>
        </w:p>
        <w:p w14:paraId="04AFEA18" w14:textId="719FAB24" w:rsidR="005F4612" w:rsidRDefault="005F4612">
          <w:pPr>
            <w:pStyle w:val="TDC2"/>
            <w:tabs>
              <w:tab w:val="right" w:leader="dot" w:pos="9111"/>
            </w:tabs>
            <w:rPr>
              <w:rFonts w:cstheme="minorBidi"/>
              <w:noProof/>
              <w:kern w:val="2"/>
              <w:sz w:val="24"/>
              <w:szCs w:val="24"/>
              <w14:ligatures w14:val="standardContextual"/>
            </w:rPr>
          </w:pPr>
          <w:hyperlink w:anchor="_Toc200704664" w:history="1">
            <w:r w:rsidRPr="00C72120">
              <w:rPr>
                <w:rStyle w:val="Hipervnculo"/>
                <w:rFonts w:ascii="Calibri" w:hAnsi="Calibri" w:cs="Calibri"/>
                <w:noProof/>
              </w:rPr>
              <w:t>Objetivos específicos</w:t>
            </w:r>
            <w:r>
              <w:rPr>
                <w:noProof/>
                <w:webHidden/>
              </w:rPr>
              <w:tab/>
            </w:r>
            <w:r>
              <w:rPr>
                <w:noProof/>
                <w:webHidden/>
              </w:rPr>
              <w:fldChar w:fldCharType="begin"/>
            </w:r>
            <w:r>
              <w:rPr>
                <w:noProof/>
                <w:webHidden/>
              </w:rPr>
              <w:instrText xml:space="preserve"> PAGEREF _Toc200704664 \h </w:instrText>
            </w:r>
            <w:r>
              <w:rPr>
                <w:noProof/>
                <w:webHidden/>
              </w:rPr>
            </w:r>
            <w:r>
              <w:rPr>
                <w:noProof/>
                <w:webHidden/>
              </w:rPr>
              <w:fldChar w:fldCharType="separate"/>
            </w:r>
            <w:r>
              <w:rPr>
                <w:noProof/>
                <w:webHidden/>
              </w:rPr>
              <w:t>3</w:t>
            </w:r>
            <w:r>
              <w:rPr>
                <w:noProof/>
                <w:webHidden/>
              </w:rPr>
              <w:fldChar w:fldCharType="end"/>
            </w:r>
          </w:hyperlink>
        </w:p>
        <w:p w14:paraId="6BB442CE" w14:textId="5480DC98" w:rsidR="005F4612" w:rsidRDefault="005F4612">
          <w:pPr>
            <w:pStyle w:val="TDC2"/>
            <w:tabs>
              <w:tab w:val="right" w:leader="dot" w:pos="9111"/>
            </w:tabs>
            <w:rPr>
              <w:rFonts w:cstheme="minorBidi"/>
              <w:noProof/>
              <w:kern w:val="2"/>
              <w:sz w:val="24"/>
              <w:szCs w:val="24"/>
              <w14:ligatures w14:val="standardContextual"/>
            </w:rPr>
          </w:pPr>
          <w:hyperlink w:anchor="_Toc200704665" w:history="1">
            <w:r w:rsidRPr="00C72120">
              <w:rPr>
                <w:rStyle w:val="Hipervnculo"/>
                <w:rFonts w:ascii="Calibri" w:hAnsi="Calibri" w:cs="Calibri"/>
                <w:noProof/>
              </w:rPr>
              <w:t>Alcance de la Auditoria</w:t>
            </w:r>
            <w:r>
              <w:rPr>
                <w:noProof/>
                <w:webHidden/>
              </w:rPr>
              <w:tab/>
            </w:r>
            <w:r>
              <w:rPr>
                <w:noProof/>
                <w:webHidden/>
              </w:rPr>
              <w:fldChar w:fldCharType="begin"/>
            </w:r>
            <w:r>
              <w:rPr>
                <w:noProof/>
                <w:webHidden/>
              </w:rPr>
              <w:instrText xml:space="preserve"> PAGEREF _Toc200704665 \h </w:instrText>
            </w:r>
            <w:r>
              <w:rPr>
                <w:noProof/>
                <w:webHidden/>
              </w:rPr>
            </w:r>
            <w:r>
              <w:rPr>
                <w:noProof/>
                <w:webHidden/>
              </w:rPr>
              <w:fldChar w:fldCharType="separate"/>
            </w:r>
            <w:r>
              <w:rPr>
                <w:noProof/>
                <w:webHidden/>
              </w:rPr>
              <w:t>3</w:t>
            </w:r>
            <w:r>
              <w:rPr>
                <w:noProof/>
                <w:webHidden/>
              </w:rPr>
              <w:fldChar w:fldCharType="end"/>
            </w:r>
          </w:hyperlink>
        </w:p>
        <w:p w14:paraId="7D73B97D" w14:textId="62DDCED5" w:rsidR="005F4612" w:rsidRDefault="005F4612">
          <w:pPr>
            <w:pStyle w:val="TDC2"/>
            <w:tabs>
              <w:tab w:val="right" w:leader="dot" w:pos="9111"/>
            </w:tabs>
            <w:rPr>
              <w:rFonts w:cstheme="minorBidi"/>
              <w:noProof/>
              <w:kern w:val="2"/>
              <w:sz w:val="24"/>
              <w:szCs w:val="24"/>
              <w14:ligatures w14:val="standardContextual"/>
            </w:rPr>
          </w:pPr>
          <w:hyperlink w:anchor="_Toc200704666" w:history="1">
            <w:r w:rsidRPr="00C72120">
              <w:rPr>
                <w:rStyle w:val="Hipervnculo"/>
                <w:rFonts w:ascii="Calibri" w:hAnsi="Calibri" w:cs="Calibri"/>
                <w:noProof/>
              </w:rPr>
              <w:t>Metodología</w:t>
            </w:r>
            <w:r>
              <w:rPr>
                <w:noProof/>
                <w:webHidden/>
              </w:rPr>
              <w:tab/>
            </w:r>
            <w:r>
              <w:rPr>
                <w:noProof/>
                <w:webHidden/>
              </w:rPr>
              <w:fldChar w:fldCharType="begin"/>
            </w:r>
            <w:r>
              <w:rPr>
                <w:noProof/>
                <w:webHidden/>
              </w:rPr>
              <w:instrText xml:space="preserve"> PAGEREF _Toc200704666 \h </w:instrText>
            </w:r>
            <w:r>
              <w:rPr>
                <w:noProof/>
                <w:webHidden/>
              </w:rPr>
            </w:r>
            <w:r>
              <w:rPr>
                <w:noProof/>
                <w:webHidden/>
              </w:rPr>
              <w:fldChar w:fldCharType="separate"/>
            </w:r>
            <w:r>
              <w:rPr>
                <w:noProof/>
                <w:webHidden/>
              </w:rPr>
              <w:t>4</w:t>
            </w:r>
            <w:r>
              <w:rPr>
                <w:noProof/>
                <w:webHidden/>
              </w:rPr>
              <w:fldChar w:fldCharType="end"/>
            </w:r>
          </w:hyperlink>
        </w:p>
        <w:p w14:paraId="5B9FFCE6" w14:textId="34B0AF8C" w:rsidR="005F4612" w:rsidRDefault="005F4612">
          <w:pPr>
            <w:pStyle w:val="TDC1"/>
            <w:tabs>
              <w:tab w:val="right" w:leader="dot" w:pos="9111"/>
            </w:tabs>
            <w:rPr>
              <w:noProof/>
              <w:kern w:val="2"/>
              <w:sz w:val="24"/>
              <w:szCs w:val="24"/>
              <w:lang w:eastAsia="es-CL"/>
              <w14:ligatures w14:val="standardContextual"/>
            </w:rPr>
          </w:pPr>
          <w:hyperlink w:anchor="_Toc200704667" w:history="1">
            <w:r w:rsidRPr="00C72120">
              <w:rPr>
                <w:rStyle w:val="Hipervnculo"/>
                <w:rFonts w:ascii="Calibri" w:hAnsi="Calibri" w:cs="Calibri"/>
                <w:b/>
                <w:bCs/>
                <w:noProof/>
              </w:rPr>
              <w:t>Opinión General</w:t>
            </w:r>
            <w:r>
              <w:rPr>
                <w:noProof/>
                <w:webHidden/>
              </w:rPr>
              <w:tab/>
            </w:r>
            <w:r>
              <w:rPr>
                <w:noProof/>
                <w:webHidden/>
              </w:rPr>
              <w:fldChar w:fldCharType="begin"/>
            </w:r>
            <w:r>
              <w:rPr>
                <w:noProof/>
                <w:webHidden/>
              </w:rPr>
              <w:instrText xml:space="preserve"> PAGEREF _Toc200704667 \h </w:instrText>
            </w:r>
            <w:r>
              <w:rPr>
                <w:noProof/>
                <w:webHidden/>
              </w:rPr>
            </w:r>
            <w:r>
              <w:rPr>
                <w:noProof/>
                <w:webHidden/>
              </w:rPr>
              <w:fldChar w:fldCharType="separate"/>
            </w:r>
            <w:r>
              <w:rPr>
                <w:noProof/>
                <w:webHidden/>
              </w:rPr>
              <w:t>4</w:t>
            </w:r>
            <w:r>
              <w:rPr>
                <w:noProof/>
                <w:webHidden/>
              </w:rPr>
              <w:fldChar w:fldCharType="end"/>
            </w:r>
          </w:hyperlink>
        </w:p>
        <w:p w14:paraId="23B5F393" w14:textId="5DBC055A" w:rsidR="005F4612" w:rsidRDefault="005F4612">
          <w:pPr>
            <w:pStyle w:val="TDC1"/>
            <w:tabs>
              <w:tab w:val="right" w:leader="dot" w:pos="9111"/>
            </w:tabs>
            <w:rPr>
              <w:noProof/>
              <w:kern w:val="2"/>
              <w:sz w:val="24"/>
              <w:szCs w:val="24"/>
              <w:lang w:eastAsia="es-CL"/>
              <w14:ligatures w14:val="standardContextual"/>
            </w:rPr>
          </w:pPr>
          <w:hyperlink w:anchor="_Toc200704668" w:history="1">
            <w:r w:rsidRPr="00C72120">
              <w:rPr>
                <w:rStyle w:val="Hipervnculo"/>
                <w:rFonts w:ascii="Calibri" w:hAnsi="Calibri" w:cs="Calibri"/>
                <w:b/>
                <w:bCs/>
                <w:noProof/>
              </w:rPr>
              <w:t>Análisis de evidencia.</w:t>
            </w:r>
            <w:r>
              <w:rPr>
                <w:noProof/>
                <w:webHidden/>
              </w:rPr>
              <w:tab/>
            </w:r>
            <w:r>
              <w:rPr>
                <w:noProof/>
                <w:webHidden/>
              </w:rPr>
              <w:fldChar w:fldCharType="begin"/>
            </w:r>
            <w:r>
              <w:rPr>
                <w:noProof/>
                <w:webHidden/>
              </w:rPr>
              <w:instrText xml:space="preserve"> PAGEREF _Toc200704668 \h </w:instrText>
            </w:r>
            <w:r>
              <w:rPr>
                <w:noProof/>
                <w:webHidden/>
              </w:rPr>
            </w:r>
            <w:r>
              <w:rPr>
                <w:noProof/>
                <w:webHidden/>
              </w:rPr>
              <w:fldChar w:fldCharType="separate"/>
            </w:r>
            <w:r>
              <w:rPr>
                <w:noProof/>
                <w:webHidden/>
              </w:rPr>
              <w:t>4</w:t>
            </w:r>
            <w:r>
              <w:rPr>
                <w:noProof/>
                <w:webHidden/>
              </w:rPr>
              <w:fldChar w:fldCharType="end"/>
            </w:r>
          </w:hyperlink>
        </w:p>
        <w:p w14:paraId="164E1716" w14:textId="0211EA10" w:rsidR="005F4612" w:rsidRDefault="005F4612">
          <w:pPr>
            <w:pStyle w:val="TDC2"/>
            <w:tabs>
              <w:tab w:val="right" w:leader="dot" w:pos="9111"/>
            </w:tabs>
            <w:rPr>
              <w:rFonts w:cstheme="minorBidi"/>
              <w:noProof/>
              <w:kern w:val="2"/>
              <w:sz w:val="24"/>
              <w:szCs w:val="24"/>
              <w14:ligatures w14:val="standardContextual"/>
            </w:rPr>
          </w:pPr>
          <w:hyperlink w:anchor="_Toc200704669" w:history="1">
            <w:r w:rsidRPr="00C72120">
              <w:rPr>
                <w:rStyle w:val="Hipervnculo"/>
                <w:rFonts w:ascii="Calibri" w:hAnsi="Calibri" w:cs="Calibri"/>
                <w:noProof/>
              </w:rPr>
              <w:t>Gratificaciones legales conforme a lo establecido en el artículo 50 del Código del Trabajo.</w:t>
            </w:r>
            <w:r>
              <w:rPr>
                <w:noProof/>
                <w:webHidden/>
              </w:rPr>
              <w:tab/>
            </w:r>
            <w:r>
              <w:rPr>
                <w:noProof/>
                <w:webHidden/>
              </w:rPr>
              <w:fldChar w:fldCharType="begin"/>
            </w:r>
            <w:r>
              <w:rPr>
                <w:noProof/>
                <w:webHidden/>
              </w:rPr>
              <w:instrText xml:space="preserve"> PAGEREF _Toc200704669 \h </w:instrText>
            </w:r>
            <w:r>
              <w:rPr>
                <w:noProof/>
                <w:webHidden/>
              </w:rPr>
            </w:r>
            <w:r>
              <w:rPr>
                <w:noProof/>
                <w:webHidden/>
              </w:rPr>
              <w:fldChar w:fldCharType="separate"/>
            </w:r>
            <w:r>
              <w:rPr>
                <w:noProof/>
                <w:webHidden/>
              </w:rPr>
              <w:t>4</w:t>
            </w:r>
            <w:r>
              <w:rPr>
                <w:noProof/>
                <w:webHidden/>
              </w:rPr>
              <w:fldChar w:fldCharType="end"/>
            </w:r>
          </w:hyperlink>
        </w:p>
        <w:p w14:paraId="4CD861CF" w14:textId="1D89F2A5" w:rsidR="005F4612" w:rsidRDefault="005F4612">
          <w:pPr>
            <w:pStyle w:val="TDC2"/>
            <w:tabs>
              <w:tab w:val="right" w:leader="dot" w:pos="9111"/>
            </w:tabs>
            <w:rPr>
              <w:rFonts w:cstheme="minorBidi"/>
              <w:noProof/>
              <w:kern w:val="2"/>
              <w:sz w:val="24"/>
              <w:szCs w:val="24"/>
              <w14:ligatures w14:val="standardContextual"/>
            </w:rPr>
          </w:pPr>
          <w:hyperlink w:anchor="_Toc200704670" w:history="1">
            <w:r w:rsidRPr="00C72120">
              <w:rPr>
                <w:rStyle w:val="Hipervnculo"/>
                <w:rFonts w:ascii="Calibri" w:hAnsi="Calibri" w:cs="Calibri"/>
                <w:noProof/>
              </w:rPr>
              <w:t>Determinación del 30% de la utilidad a repartir entre los trabajadores según el Artículo 47 del Código del Trabajo.</w:t>
            </w:r>
            <w:r>
              <w:rPr>
                <w:noProof/>
                <w:webHidden/>
              </w:rPr>
              <w:tab/>
            </w:r>
            <w:r>
              <w:rPr>
                <w:noProof/>
                <w:webHidden/>
              </w:rPr>
              <w:fldChar w:fldCharType="begin"/>
            </w:r>
            <w:r>
              <w:rPr>
                <w:noProof/>
                <w:webHidden/>
              </w:rPr>
              <w:instrText xml:space="preserve"> PAGEREF _Toc200704670 \h </w:instrText>
            </w:r>
            <w:r>
              <w:rPr>
                <w:noProof/>
                <w:webHidden/>
              </w:rPr>
            </w:r>
            <w:r>
              <w:rPr>
                <w:noProof/>
                <w:webHidden/>
              </w:rPr>
              <w:fldChar w:fldCharType="separate"/>
            </w:r>
            <w:r>
              <w:rPr>
                <w:noProof/>
                <w:webHidden/>
              </w:rPr>
              <w:t>5</w:t>
            </w:r>
            <w:r>
              <w:rPr>
                <w:noProof/>
                <w:webHidden/>
              </w:rPr>
              <w:fldChar w:fldCharType="end"/>
            </w:r>
          </w:hyperlink>
        </w:p>
        <w:p w14:paraId="242D3298" w14:textId="1FC49813" w:rsidR="005F4612" w:rsidRDefault="005F4612">
          <w:pPr>
            <w:pStyle w:val="TDC2"/>
            <w:tabs>
              <w:tab w:val="right" w:leader="dot" w:pos="9111"/>
            </w:tabs>
            <w:rPr>
              <w:rFonts w:cstheme="minorBidi"/>
              <w:noProof/>
              <w:kern w:val="2"/>
              <w:sz w:val="24"/>
              <w:szCs w:val="24"/>
              <w14:ligatures w14:val="standardContextual"/>
            </w:rPr>
          </w:pPr>
          <w:hyperlink w:anchor="_Toc200704671" w:history="1">
            <w:r w:rsidRPr="00C72120">
              <w:rPr>
                <w:rStyle w:val="Hipervnculo"/>
                <w:rFonts w:ascii="Calibri" w:hAnsi="Calibri" w:cs="Calibri"/>
                <w:noProof/>
              </w:rPr>
              <w:t>Distribución de las utilidades entre los trabajadores.</w:t>
            </w:r>
            <w:r>
              <w:rPr>
                <w:noProof/>
                <w:webHidden/>
              </w:rPr>
              <w:tab/>
            </w:r>
            <w:r>
              <w:rPr>
                <w:noProof/>
                <w:webHidden/>
              </w:rPr>
              <w:fldChar w:fldCharType="begin"/>
            </w:r>
            <w:r>
              <w:rPr>
                <w:noProof/>
                <w:webHidden/>
              </w:rPr>
              <w:instrText xml:space="preserve"> PAGEREF _Toc200704671 \h </w:instrText>
            </w:r>
            <w:r>
              <w:rPr>
                <w:noProof/>
                <w:webHidden/>
              </w:rPr>
            </w:r>
            <w:r>
              <w:rPr>
                <w:noProof/>
                <w:webHidden/>
              </w:rPr>
              <w:fldChar w:fldCharType="separate"/>
            </w:r>
            <w:r>
              <w:rPr>
                <w:noProof/>
                <w:webHidden/>
              </w:rPr>
              <w:t>6</w:t>
            </w:r>
            <w:r>
              <w:rPr>
                <w:noProof/>
                <w:webHidden/>
              </w:rPr>
              <w:fldChar w:fldCharType="end"/>
            </w:r>
          </w:hyperlink>
        </w:p>
        <w:p w14:paraId="74FAB660" w14:textId="4024807C" w:rsidR="005F4612" w:rsidRDefault="005F4612">
          <w:pPr>
            <w:pStyle w:val="TDC2"/>
            <w:tabs>
              <w:tab w:val="right" w:leader="dot" w:pos="9111"/>
            </w:tabs>
            <w:rPr>
              <w:rFonts w:cstheme="minorBidi"/>
              <w:noProof/>
              <w:kern w:val="2"/>
              <w:sz w:val="24"/>
              <w:szCs w:val="24"/>
              <w14:ligatures w14:val="standardContextual"/>
            </w:rPr>
          </w:pPr>
          <w:hyperlink w:anchor="_Toc200704672" w:history="1">
            <w:r w:rsidRPr="00C72120">
              <w:rPr>
                <w:rStyle w:val="Hipervnculo"/>
                <w:rFonts w:ascii="Calibri" w:hAnsi="Calibri" w:cs="Calibri"/>
                <w:noProof/>
              </w:rPr>
              <w:t>Anticipo de gratificación pagado durante el ejercicio comercial.</w:t>
            </w:r>
            <w:r>
              <w:rPr>
                <w:noProof/>
                <w:webHidden/>
              </w:rPr>
              <w:tab/>
            </w:r>
            <w:r>
              <w:rPr>
                <w:noProof/>
                <w:webHidden/>
              </w:rPr>
              <w:fldChar w:fldCharType="begin"/>
            </w:r>
            <w:r>
              <w:rPr>
                <w:noProof/>
                <w:webHidden/>
              </w:rPr>
              <w:instrText xml:space="preserve"> PAGEREF _Toc200704672 \h </w:instrText>
            </w:r>
            <w:r>
              <w:rPr>
                <w:noProof/>
                <w:webHidden/>
              </w:rPr>
            </w:r>
            <w:r>
              <w:rPr>
                <w:noProof/>
                <w:webHidden/>
              </w:rPr>
              <w:fldChar w:fldCharType="separate"/>
            </w:r>
            <w:r>
              <w:rPr>
                <w:noProof/>
                <w:webHidden/>
              </w:rPr>
              <w:t>7</w:t>
            </w:r>
            <w:r>
              <w:rPr>
                <w:noProof/>
                <w:webHidden/>
              </w:rPr>
              <w:fldChar w:fldCharType="end"/>
            </w:r>
          </w:hyperlink>
        </w:p>
        <w:p w14:paraId="513373D0" w14:textId="6BC65249" w:rsidR="005F4612" w:rsidRDefault="005F4612">
          <w:pPr>
            <w:pStyle w:val="TDC1"/>
            <w:tabs>
              <w:tab w:val="right" w:leader="dot" w:pos="9111"/>
            </w:tabs>
            <w:rPr>
              <w:noProof/>
              <w:kern w:val="2"/>
              <w:sz w:val="24"/>
              <w:szCs w:val="24"/>
              <w:lang w:eastAsia="es-CL"/>
              <w14:ligatures w14:val="standardContextual"/>
            </w:rPr>
          </w:pPr>
          <w:hyperlink w:anchor="_Toc200704673" w:history="1">
            <w:r w:rsidRPr="00C72120">
              <w:rPr>
                <w:rStyle w:val="Hipervnculo"/>
                <w:rFonts w:ascii="Calibri" w:hAnsi="Calibri" w:cs="Calibri"/>
                <w:b/>
                <w:bCs/>
                <w:noProof/>
              </w:rPr>
              <w:t>Conclusiones y Recomendaciones Finales</w:t>
            </w:r>
            <w:r>
              <w:rPr>
                <w:noProof/>
                <w:webHidden/>
              </w:rPr>
              <w:tab/>
            </w:r>
            <w:r>
              <w:rPr>
                <w:noProof/>
                <w:webHidden/>
              </w:rPr>
              <w:fldChar w:fldCharType="begin"/>
            </w:r>
            <w:r>
              <w:rPr>
                <w:noProof/>
                <w:webHidden/>
              </w:rPr>
              <w:instrText xml:space="preserve"> PAGEREF _Toc200704673 \h </w:instrText>
            </w:r>
            <w:r>
              <w:rPr>
                <w:noProof/>
                <w:webHidden/>
              </w:rPr>
            </w:r>
            <w:r>
              <w:rPr>
                <w:noProof/>
                <w:webHidden/>
              </w:rPr>
              <w:fldChar w:fldCharType="separate"/>
            </w:r>
            <w:r>
              <w:rPr>
                <w:noProof/>
                <w:webHidden/>
              </w:rPr>
              <w:t>7</w:t>
            </w:r>
            <w:r>
              <w:rPr>
                <w:noProof/>
                <w:webHidden/>
              </w:rPr>
              <w:fldChar w:fldCharType="end"/>
            </w:r>
          </w:hyperlink>
        </w:p>
        <w:p w14:paraId="35C8A31B" w14:textId="3DEEE4FA" w:rsidR="00C4387E" w:rsidRDefault="00C4387E">
          <w:r>
            <w:rPr>
              <w:b/>
              <w:bCs/>
              <w:lang w:val="es-ES"/>
            </w:rPr>
            <w:fldChar w:fldCharType="end"/>
          </w:r>
        </w:p>
      </w:sdtContent>
    </w:sdt>
    <w:p w14:paraId="1F9DB246" w14:textId="09C92F5B" w:rsidR="005066E8" w:rsidRPr="00A96722" w:rsidRDefault="005066E8" w:rsidP="000231CC">
      <w:pPr>
        <w:jc w:val="both"/>
        <w:rPr>
          <w:rFonts w:ascii="Calibri" w:hAnsi="Calibri" w:cs="Calibri"/>
        </w:rPr>
      </w:pPr>
    </w:p>
    <w:p w14:paraId="6F3D028B" w14:textId="77777777" w:rsidR="00A94AB5" w:rsidRDefault="00A94AB5" w:rsidP="000231CC">
      <w:pPr>
        <w:pStyle w:val="Ttulo1"/>
        <w:jc w:val="both"/>
        <w:rPr>
          <w:rFonts w:ascii="Calibri" w:hAnsi="Calibri" w:cs="Calibri"/>
          <w:sz w:val="22"/>
          <w:szCs w:val="22"/>
        </w:rPr>
      </w:pPr>
    </w:p>
    <w:p w14:paraId="592DD316" w14:textId="77777777" w:rsidR="00A94AB5" w:rsidRDefault="00A94AB5" w:rsidP="000231CC">
      <w:pPr>
        <w:pStyle w:val="Ttulo1"/>
        <w:jc w:val="both"/>
        <w:rPr>
          <w:rFonts w:ascii="Calibri" w:hAnsi="Calibri" w:cs="Calibri"/>
          <w:sz w:val="22"/>
          <w:szCs w:val="22"/>
        </w:rPr>
      </w:pPr>
    </w:p>
    <w:p w14:paraId="06743515" w14:textId="77777777" w:rsidR="00A94AB5" w:rsidRDefault="00A94AB5" w:rsidP="000231CC">
      <w:pPr>
        <w:pStyle w:val="Ttulo1"/>
        <w:jc w:val="both"/>
        <w:rPr>
          <w:rFonts w:ascii="Calibri" w:hAnsi="Calibri" w:cs="Calibri"/>
          <w:sz w:val="22"/>
          <w:szCs w:val="22"/>
        </w:rPr>
      </w:pPr>
    </w:p>
    <w:p w14:paraId="33A9157D" w14:textId="77777777" w:rsidR="00A94AB5" w:rsidRDefault="00A94AB5" w:rsidP="000231CC">
      <w:pPr>
        <w:pStyle w:val="Ttulo1"/>
        <w:jc w:val="both"/>
        <w:rPr>
          <w:rFonts w:ascii="Calibri" w:hAnsi="Calibri" w:cs="Calibri"/>
          <w:sz w:val="22"/>
          <w:szCs w:val="22"/>
        </w:rPr>
      </w:pPr>
    </w:p>
    <w:p w14:paraId="3177CEE2" w14:textId="77777777" w:rsidR="00A94AB5" w:rsidRDefault="00A94AB5" w:rsidP="000231CC">
      <w:pPr>
        <w:pStyle w:val="Ttulo1"/>
        <w:jc w:val="both"/>
        <w:rPr>
          <w:rFonts w:ascii="Calibri" w:hAnsi="Calibri" w:cs="Calibri"/>
          <w:sz w:val="22"/>
          <w:szCs w:val="22"/>
        </w:rPr>
      </w:pPr>
    </w:p>
    <w:p w14:paraId="5224BC5E" w14:textId="77777777" w:rsidR="00A94AB5" w:rsidRDefault="00A94AB5" w:rsidP="000231CC">
      <w:pPr>
        <w:pStyle w:val="Ttulo1"/>
        <w:jc w:val="both"/>
        <w:rPr>
          <w:rFonts w:ascii="Calibri" w:hAnsi="Calibri" w:cs="Calibri"/>
          <w:sz w:val="22"/>
          <w:szCs w:val="22"/>
        </w:rPr>
      </w:pPr>
    </w:p>
    <w:p w14:paraId="5BC1F417" w14:textId="77777777" w:rsidR="00A94AB5" w:rsidRPr="00A94AB5" w:rsidRDefault="00A94AB5" w:rsidP="000231CC">
      <w:pPr>
        <w:jc w:val="both"/>
      </w:pPr>
    </w:p>
    <w:p w14:paraId="7321C83F" w14:textId="77777777" w:rsidR="00A94AB5" w:rsidRDefault="00A94AB5" w:rsidP="000231CC">
      <w:pPr>
        <w:pStyle w:val="Ttulo1"/>
        <w:jc w:val="both"/>
        <w:rPr>
          <w:rFonts w:ascii="Calibri" w:hAnsi="Calibri" w:cs="Calibri"/>
          <w:sz w:val="22"/>
          <w:szCs w:val="22"/>
        </w:rPr>
      </w:pPr>
    </w:p>
    <w:p w14:paraId="541485B9" w14:textId="77777777" w:rsidR="00A94AB5" w:rsidRDefault="00A94AB5" w:rsidP="000231CC">
      <w:pPr>
        <w:jc w:val="both"/>
      </w:pPr>
    </w:p>
    <w:p w14:paraId="42506081" w14:textId="77777777" w:rsidR="00C4387E" w:rsidRDefault="00C4387E" w:rsidP="00C4387E">
      <w:pPr>
        <w:pStyle w:val="Ttulo1"/>
        <w:jc w:val="center"/>
        <w:rPr>
          <w:rFonts w:ascii="Calibri" w:hAnsi="Calibri" w:cs="Calibri"/>
          <w:b/>
          <w:bCs/>
          <w:sz w:val="22"/>
          <w:szCs w:val="22"/>
        </w:rPr>
      </w:pPr>
    </w:p>
    <w:p w14:paraId="52D5FB7E" w14:textId="3253577F" w:rsidR="004F3873" w:rsidRDefault="00B44CB9" w:rsidP="00C4387E">
      <w:pPr>
        <w:pStyle w:val="Ttulo1"/>
        <w:jc w:val="center"/>
        <w:rPr>
          <w:rFonts w:ascii="Calibri" w:hAnsi="Calibri" w:cs="Calibri"/>
          <w:b/>
          <w:bCs/>
          <w:sz w:val="22"/>
          <w:szCs w:val="22"/>
        </w:rPr>
      </w:pPr>
      <w:bookmarkStart w:id="0" w:name="_Toc200704662"/>
      <w:r w:rsidRPr="00A94AB5">
        <w:rPr>
          <w:rFonts w:ascii="Calibri" w:hAnsi="Calibri" w:cs="Calibri"/>
          <w:b/>
          <w:bCs/>
          <w:sz w:val="22"/>
          <w:szCs w:val="22"/>
        </w:rPr>
        <w:t>Antecedentes Generales</w:t>
      </w:r>
      <w:bookmarkEnd w:id="0"/>
    </w:p>
    <w:p w14:paraId="7C615403" w14:textId="77777777" w:rsidR="00B40200" w:rsidRPr="00B40200" w:rsidRDefault="00B40200" w:rsidP="000231CC">
      <w:pPr>
        <w:jc w:val="both"/>
      </w:pPr>
    </w:p>
    <w:p w14:paraId="08EFD72B" w14:textId="53B3A2BE" w:rsidR="004F3873" w:rsidRDefault="00E06055" w:rsidP="000231CC">
      <w:pPr>
        <w:pStyle w:val="Ttulo2"/>
        <w:spacing w:line="276" w:lineRule="auto"/>
        <w:jc w:val="both"/>
        <w:rPr>
          <w:rFonts w:ascii="Calibri" w:hAnsi="Calibri" w:cs="Calibri"/>
          <w:sz w:val="22"/>
          <w:szCs w:val="22"/>
          <w:u w:val="single"/>
        </w:rPr>
      </w:pPr>
      <w:bookmarkStart w:id="1" w:name="_Toc78727997"/>
      <w:bookmarkStart w:id="2" w:name="_Toc200704663"/>
      <w:r w:rsidRPr="00A96722">
        <w:rPr>
          <w:rFonts w:ascii="Calibri" w:hAnsi="Calibri" w:cs="Calibri"/>
          <w:sz w:val="22"/>
          <w:szCs w:val="22"/>
          <w:u w:val="single"/>
        </w:rPr>
        <w:t>Objetivo</w:t>
      </w:r>
      <w:r w:rsidR="00DE55E0">
        <w:rPr>
          <w:rFonts w:ascii="Calibri" w:hAnsi="Calibri" w:cs="Calibri"/>
          <w:sz w:val="22"/>
          <w:szCs w:val="22"/>
          <w:u w:val="single"/>
        </w:rPr>
        <w:t xml:space="preserve"> </w:t>
      </w:r>
      <w:r w:rsidRPr="00A96722">
        <w:rPr>
          <w:rFonts w:ascii="Calibri" w:hAnsi="Calibri" w:cs="Calibri"/>
          <w:sz w:val="22"/>
          <w:szCs w:val="22"/>
          <w:u w:val="single"/>
        </w:rPr>
        <w:t>General</w:t>
      </w:r>
      <w:bookmarkEnd w:id="1"/>
      <w:bookmarkEnd w:id="2"/>
    </w:p>
    <w:p w14:paraId="232AD937" w14:textId="77777777" w:rsidR="00C4387E" w:rsidRPr="00C4387E" w:rsidRDefault="00C4387E" w:rsidP="00C4387E"/>
    <w:p w14:paraId="264F78D4" w14:textId="68ACC8F0" w:rsidR="00A15BB0" w:rsidRPr="00A96722" w:rsidRDefault="00B40200" w:rsidP="000231CC">
      <w:pPr>
        <w:spacing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El presente informe tiene por objetivo la revisión y validación del sistema de gratificación aplicado por cada una de las entidades incluidas en el encargo, respecto al ejercicio comercial del año 2024, previo al pago con la remuneración correspondiente a mayo de 2025, asegurando conformidad con las normativas laborales y tributarias vigentes</w:t>
      </w:r>
      <w:r w:rsidR="001A5488" w:rsidRPr="00A96722">
        <w:rPr>
          <w:rFonts w:ascii="Calibri" w:eastAsia="Times New Roman" w:hAnsi="Calibri" w:cs="Calibri"/>
          <w:color w:val="000000"/>
          <w:lang w:eastAsia="es-CL"/>
        </w:rPr>
        <w:t>.</w:t>
      </w:r>
    </w:p>
    <w:p w14:paraId="35B2EA17" w14:textId="77777777" w:rsidR="00B40200" w:rsidRDefault="00B40200" w:rsidP="000231CC">
      <w:pPr>
        <w:pStyle w:val="Ttulo2"/>
        <w:spacing w:line="276" w:lineRule="auto"/>
        <w:jc w:val="both"/>
        <w:rPr>
          <w:rFonts w:ascii="Calibri" w:hAnsi="Calibri" w:cs="Calibri"/>
          <w:sz w:val="22"/>
          <w:szCs w:val="22"/>
          <w:u w:val="single"/>
        </w:rPr>
      </w:pPr>
      <w:bookmarkStart w:id="3" w:name="_Toc78727998"/>
    </w:p>
    <w:p w14:paraId="119C1B37" w14:textId="47A590DB" w:rsidR="004F3873" w:rsidRPr="00A96722" w:rsidRDefault="00A15BB0" w:rsidP="000231CC">
      <w:pPr>
        <w:pStyle w:val="Ttulo2"/>
        <w:spacing w:line="276" w:lineRule="auto"/>
        <w:jc w:val="both"/>
        <w:rPr>
          <w:rFonts w:ascii="Calibri" w:hAnsi="Calibri" w:cs="Calibri"/>
          <w:sz w:val="22"/>
          <w:szCs w:val="22"/>
          <w:u w:val="single"/>
        </w:rPr>
      </w:pPr>
      <w:bookmarkStart w:id="4" w:name="_Toc200704664"/>
      <w:r w:rsidRPr="00A96722">
        <w:rPr>
          <w:rFonts w:ascii="Calibri" w:hAnsi="Calibri" w:cs="Calibri"/>
          <w:sz w:val="22"/>
          <w:szCs w:val="22"/>
          <w:u w:val="single"/>
        </w:rPr>
        <w:t>Objetivos específicos</w:t>
      </w:r>
      <w:bookmarkEnd w:id="3"/>
      <w:bookmarkEnd w:id="4"/>
    </w:p>
    <w:p w14:paraId="5DAC01E8" w14:textId="77777777" w:rsidR="00391D7C" w:rsidRPr="00A96722" w:rsidRDefault="00391D7C" w:rsidP="000231CC">
      <w:pPr>
        <w:spacing w:line="276" w:lineRule="auto"/>
        <w:jc w:val="both"/>
        <w:rPr>
          <w:rFonts w:ascii="Calibri" w:eastAsia="Times New Roman" w:hAnsi="Calibri" w:cs="Calibri"/>
          <w:color w:val="000000"/>
          <w:lang w:eastAsia="es-CL"/>
        </w:rPr>
      </w:pPr>
    </w:p>
    <w:p w14:paraId="04A12AA4" w14:textId="46AB29D9" w:rsidR="009002F7" w:rsidRDefault="00A11863" w:rsidP="000231CC">
      <w:pPr>
        <w:spacing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El cumplimiento</w:t>
      </w:r>
      <w:r w:rsidR="00050C42" w:rsidRPr="00A96722">
        <w:rPr>
          <w:rFonts w:ascii="Calibri" w:eastAsia="Times New Roman" w:hAnsi="Calibri" w:cs="Calibri"/>
          <w:color w:val="000000"/>
          <w:lang w:eastAsia="es-CL"/>
        </w:rPr>
        <w:t xml:space="preserve"> del objetivo general</w:t>
      </w:r>
      <w:r w:rsidRPr="00A96722">
        <w:rPr>
          <w:rFonts w:ascii="Calibri" w:eastAsia="Times New Roman" w:hAnsi="Calibri" w:cs="Calibri"/>
          <w:color w:val="000000"/>
          <w:lang w:eastAsia="es-CL"/>
        </w:rPr>
        <w:t xml:space="preserve"> de este trabajo</w:t>
      </w:r>
      <w:r w:rsidR="00050C42" w:rsidRPr="00A96722">
        <w:rPr>
          <w:rFonts w:ascii="Calibri" w:eastAsia="Times New Roman" w:hAnsi="Calibri" w:cs="Calibri"/>
          <w:color w:val="000000"/>
          <w:lang w:eastAsia="es-CL"/>
        </w:rPr>
        <w:t xml:space="preserve"> </w:t>
      </w:r>
      <w:r w:rsidRPr="00A96722">
        <w:rPr>
          <w:rFonts w:ascii="Calibri" w:eastAsia="Times New Roman" w:hAnsi="Calibri" w:cs="Calibri"/>
          <w:color w:val="000000"/>
          <w:lang w:eastAsia="es-CL"/>
        </w:rPr>
        <w:t xml:space="preserve">consideró el logro de </w:t>
      </w:r>
      <w:r w:rsidR="00050C42" w:rsidRPr="00A96722">
        <w:rPr>
          <w:rFonts w:ascii="Calibri" w:eastAsia="Times New Roman" w:hAnsi="Calibri" w:cs="Calibri"/>
          <w:color w:val="000000"/>
          <w:lang w:eastAsia="es-CL"/>
        </w:rPr>
        <w:t>los siguientes objetivos específicos:</w:t>
      </w:r>
    </w:p>
    <w:p w14:paraId="354D71AD" w14:textId="77777777" w:rsidR="00C4387E" w:rsidRPr="00A96722" w:rsidRDefault="00C4387E" w:rsidP="000231CC">
      <w:pPr>
        <w:spacing w:line="276" w:lineRule="auto"/>
        <w:jc w:val="both"/>
        <w:rPr>
          <w:rFonts w:ascii="Calibri" w:eastAsia="Times New Roman" w:hAnsi="Calibri" w:cs="Calibri"/>
          <w:color w:val="000000"/>
          <w:lang w:eastAsia="es-CL"/>
        </w:rPr>
      </w:pPr>
    </w:p>
    <w:p w14:paraId="470D09F8" w14:textId="2103F357" w:rsidR="00A51C2D" w:rsidRPr="00A51C2D" w:rsidRDefault="00B40200" w:rsidP="000231CC">
      <w:pPr>
        <w:pStyle w:val="Prrafodelista"/>
        <w:numPr>
          <w:ilvl w:val="0"/>
          <w:numId w:val="8"/>
        </w:numPr>
        <w:spacing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Verificar la documentación y ajuste del sistema de gratificación conforme a los artículos 47 y 50 del Código del Trabajo</w:t>
      </w:r>
      <w:r w:rsidR="00A51C2D" w:rsidRPr="00A51C2D">
        <w:rPr>
          <w:rFonts w:ascii="Calibri" w:eastAsia="Times New Roman" w:hAnsi="Calibri" w:cs="Calibri"/>
          <w:color w:val="000000"/>
          <w:lang w:eastAsia="es-CL"/>
        </w:rPr>
        <w:t>.​</w:t>
      </w:r>
    </w:p>
    <w:p w14:paraId="5A444FC0" w14:textId="2702567A" w:rsidR="00A51C2D" w:rsidRPr="00A51C2D" w:rsidRDefault="00B40200" w:rsidP="000231CC">
      <w:pPr>
        <w:pStyle w:val="Prrafodelista"/>
        <w:numPr>
          <w:ilvl w:val="0"/>
          <w:numId w:val="8"/>
        </w:numPr>
        <w:spacing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Validar la exactitud aritmética y la adecuación legal en el cálculo individual y colectivo de las gratificaciones</w:t>
      </w:r>
      <w:r w:rsidR="00A51C2D" w:rsidRPr="00A51C2D">
        <w:rPr>
          <w:rFonts w:ascii="Calibri" w:eastAsia="Times New Roman" w:hAnsi="Calibri" w:cs="Calibri"/>
          <w:color w:val="000000"/>
          <w:lang w:eastAsia="es-CL"/>
        </w:rPr>
        <w:t>.​</w:t>
      </w:r>
    </w:p>
    <w:p w14:paraId="23F89166" w14:textId="15CFC5BE" w:rsidR="00A51C2D" w:rsidRPr="00A51C2D" w:rsidRDefault="00B40200" w:rsidP="000231CC">
      <w:pPr>
        <w:pStyle w:val="Prrafodelista"/>
        <w:numPr>
          <w:ilvl w:val="0"/>
          <w:numId w:val="8"/>
        </w:numPr>
        <w:spacing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Analizar la correcta determinación de la Renta Líquida Imponible Laboral, de acuerdo con el artículo 48 del Código del Trabajo</w:t>
      </w:r>
      <w:r w:rsidR="00A51C2D" w:rsidRPr="00A51C2D">
        <w:rPr>
          <w:rFonts w:ascii="Calibri" w:eastAsia="Times New Roman" w:hAnsi="Calibri" w:cs="Calibri"/>
          <w:color w:val="000000"/>
          <w:lang w:eastAsia="es-CL"/>
        </w:rPr>
        <w:t>.​</w:t>
      </w:r>
    </w:p>
    <w:p w14:paraId="41DCA84E" w14:textId="16DA0029" w:rsidR="00A15BB0" w:rsidRDefault="00A51C2D" w:rsidP="000231CC">
      <w:pPr>
        <w:pStyle w:val="Prrafodelista"/>
        <w:numPr>
          <w:ilvl w:val="0"/>
          <w:numId w:val="8"/>
        </w:numPr>
        <w:spacing w:line="276" w:lineRule="auto"/>
        <w:jc w:val="both"/>
        <w:rPr>
          <w:rFonts w:ascii="Calibri" w:eastAsia="Times New Roman" w:hAnsi="Calibri" w:cs="Calibri"/>
          <w:color w:val="000000"/>
          <w:lang w:eastAsia="es-CL"/>
        </w:rPr>
      </w:pPr>
      <w:r w:rsidRPr="00A51C2D">
        <w:rPr>
          <w:rFonts w:ascii="Calibri" w:eastAsia="Times New Roman" w:hAnsi="Calibri" w:cs="Calibri"/>
          <w:color w:val="000000"/>
          <w:lang w:eastAsia="es-CL"/>
        </w:rPr>
        <w:t xml:space="preserve">Evaluación </w:t>
      </w:r>
      <w:r w:rsidR="00B40200" w:rsidRPr="00B40200">
        <w:rPr>
          <w:rFonts w:ascii="Calibri" w:eastAsia="Times New Roman" w:hAnsi="Calibri" w:cs="Calibri"/>
          <w:color w:val="000000"/>
          <w:lang w:eastAsia="es-CL"/>
        </w:rPr>
        <w:t>la suficiencia y eficacia de controles internos y la documentación que respalda la política de gratificación frente a revisiones por parte de trabajadores, sindicatos y autoridades laborales y tributarias</w:t>
      </w:r>
      <w:r w:rsidRPr="00A51C2D">
        <w:rPr>
          <w:rFonts w:ascii="Calibri" w:eastAsia="Times New Roman" w:hAnsi="Calibri" w:cs="Calibri"/>
          <w:color w:val="000000"/>
          <w:lang w:eastAsia="es-CL"/>
        </w:rPr>
        <w:t>.​</w:t>
      </w:r>
    </w:p>
    <w:p w14:paraId="0AD1072C" w14:textId="77777777" w:rsidR="00C4387E" w:rsidRPr="00C4387E" w:rsidRDefault="00C4387E" w:rsidP="00C4387E">
      <w:pPr>
        <w:spacing w:line="276" w:lineRule="auto"/>
        <w:jc w:val="both"/>
        <w:rPr>
          <w:rFonts w:ascii="Calibri" w:eastAsia="Times New Roman" w:hAnsi="Calibri" w:cs="Calibri"/>
          <w:color w:val="000000"/>
          <w:lang w:eastAsia="es-CL"/>
        </w:rPr>
      </w:pPr>
    </w:p>
    <w:p w14:paraId="6C86952F" w14:textId="57F7F7B6" w:rsidR="004F3873" w:rsidRPr="00A96722" w:rsidRDefault="00050C42" w:rsidP="000231CC">
      <w:pPr>
        <w:pStyle w:val="Ttulo2"/>
        <w:spacing w:line="276" w:lineRule="auto"/>
        <w:jc w:val="both"/>
        <w:rPr>
          <w:rFonts w:ascii="Calibri" w:hAnsi="Calibri" w:cs="Calibri"/>
          <w:sz w:val="22"/>
          <w:szCs w:val="22"/>
          <w:u w:val="single"/>
        </w:rPr>
      </w:pPr>
      <w:bookmarkStart w:id="5" w:name="_Toc78727999"/>
      <w:bookmarkStart w:id="6" w:name="_Toc200704665"/>
      <w:r w:rsidRPr="00A96722">
        <w:rPr>
          <w:rFonts w:ascii="Calibri" w:hAnsi="Calibri" w:cs="Calibri"/>
          <w:sz w:val="22"/>
          <w:szCs w:val="22"/>
          <w:u w:val="single"/>
        </w:rPr>
        <w:t>Alcance de la Auditoria</w:t>
      </w:r>
      <w:bookmarkEnd w:id="5"/>
      <w:bookmarkEnd w:id="6"/>
    </w:p>
    <w:p w14:paraId="79064DD0" w14:textId="77777777" w:rsidR="00391D7C" w:rsidRPr="00A96722" w:rsidRDefault="00391D7C" w:rsidP="000231CC">
      <w:pPr>
        <w:spacing w:line="276" w:lineRule="auto"/>
        <w:jc w:val="both"/>
        <w:rPr>
          <w:rFonts w:ascii="Calibri" w:eastAsia="Times New Roman" w:hAnsi="Calibri" w:cs="Calibri"/>
          <w:color w:val="000000"/>
          <w:lang w:eastAsia="es-CL"/>
        </w:rPr>
      </w:pPr>
    </w:p>
    <w:p w14:paraId="4C7EB6DC" w14:textId="1B77806A" w:rsidR="00050C42" w:rsidRPr="00A96722" w:rsidRDefault="00B40200" w:rsidP="000231CC">
      <w:pPr>
        <w:spacing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Se revisaron documentos internos relacionados con la determinación tributaria y laboral del año 2024, incluyendo el capital propio tributario, Libros de Remuneraciones Electrónicos (LRE), declaraciones juradas (DJ 1887) y formularios tributarios (F29 y F22), abarcando desde el 1 de enero al 31 de diciembre de 2024</w:t>
      </w:r>
      <w:r w:rsidR="00050C42" w:rsidRPr="00A96722">
        <w:rPr>
          <w:rFonts w:ascii="Calibri" w:eastAsia="Times New Roman" w:hAnsi="Calibri" w:cs="Calibri"/>
          <w:color w:val="000000"/>
          <w:lang w:eastAsia="es-CL"/>
        </w:rPr>
        <w:t>.</w:t>
      </w:r>
    </w:p>
    <w:p w14:paraId="434C10B6" w14:textId="77777777" w:rsidR="00C4387E" w:rsidRDefault="00C4387E" w:rsidP="000231CC">
      <w:pPr>
        <w:pStyle w:val="Ttulo2"/>
        <w:spacing w:line="276" w:lineRule="auto"/>
        <w:jc w:val="both"/>
        <w:rPr>
          <w:rFonts w:ascii="Calibri" w:hAnsi="Calibri" w:cs="Calibri"/>
          <w:sz w:val="22"/>
          <w:szCs w:val="22"/>
          <w:u w:val="single"/>
        </w:rPr>
      </w:pPr>
      <w:bookmarkStart w:id="7" w:name="_Toc78728000"/>
    </w:p>
    <w:p w14:paraId="5BD33C94" w14:textId="77777777" w:rsidR="00C4387E" w:rsidRPr="00C4387E" w:rsidRDefault="00C4387E" w:rsidP="00C4387E"/>
    <w:p w14:paraId="1B75148F" w14:textId="209305A3" w:rsidR="004F3873" w:rsidRPr="00A96722" w:rsidRDefault="00050C42" w:rsidP="000231CC">
      <w:pPr>
        <w:pStyle w:val="Ttulo2"/>
        <w:spacing w:line="276" w:lineRule="auto"/>
        <w:jc w:val="both"/>
        <w:rPr>
          <w:rFonts w:ascii="Calibri" w:hAnsi="Calibri" w:cs="Calibri"/>
          <w:sz w:val="22"/>
          <w:szCs w:val="22"/>
          <w:u w:val="single"/>
        </w:rPr>
      </w:pPr>
      <w:bookmarkStart w:id="8" w:name="_Toc200704666"/>
      <w:r w:rsidRPr="00A96722">
        <w:rPr>
          <w:rFonts w:ascii="Calibri" w:hAnsi="Calibri" w:cs="Calibri"/>
          <w:sz w:val="22"/>
          <w:szCs w:val="22"/>
          <w:u w:val="single"/>
        </w:rPr>
        <w:lastRenderedPageBreak/>
        <w:t>Metodología</w:t>
      </w:r>
      <w:bookmarkEnd w:id="7"/>
      <w:bookmarkEnd w:id="8"/>
    </w:p>
    <w:p w14:paraId="39568C3A" w14:textId="77777777" w:rsidR="00A11863" w:rsidRPr="00A96722" w:rsidRDefault="00A11863" w:rsidP="000231CC">
      <w:pPr>
        <w:spacing w:after="0" w:line="276" w:lineRule="auto"/>
        <w:jc w:val="both"/>
        <w:rPr>
          <w:rFonts w:ascii="Calibri" w:eastAsia="Times New Roman" w:hAnsi="Calibri" w:cs="Calibri"/>
          <w:color w:val="000000"/>
          <w:lang w:eastAsia="es-CL"/>
        </w:rPr>
      </w:pPr>
    </w:p>
    <w:p w14:paraId="2E38F1FC" w14:textId="46825E99" w:rsidR="00153503" w:rsidRPr="00A96722" w:rsidRDefault="00050C42" w:rsidP="000231CC">
      <w:pPr>
        <w:spacing w:after="0"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La metodología </w:t>
      </w:r>
      <w:r w:rsidR="00A11863" w:rsidRPr="00A96722">
        <w:rPr>
          <w:rFonts w:ascii="Calibri" w:eastAsia="Times New Roman" w:hAnsi="Calibri" w:cs="Calibri"/>
          <w:color w:val="000000"/>
          <w:lang w:eastAsia="es-CL"/>
        </w:rPr>
        <w:t xml:space="preserve">que se empleó </w:t>
      </w:r>
      <w:r w:rsidRPr="00A96722">
        <w:rPr>
          <w:rFonts w:ascii="Calibri" w:eastAsia="Times New Roman" w:hAnsi="Calibri" w:cs="Calibri"/>
          <w:color w:val="000000"/>
          <w:lang w:eastAsia="es-CL"/>
        </w:rPr>
        <w:t>para el desarrollo de la auditoria</w:t>
      </w:r>
      <w:r w:rsidR="00153503" w:rsidRPr="00A96722">
        <w:rPr>
          <w:rFonts w:ascii="Calibri" w:eastAsia="Times New Roman" w:hAnsi="Calibri" w:cs="Calibri"/>
          <w:color w:val="000000"/>
          <w:lang w:eastAsia="es-CL"/>
        </w:rPr>
        <w:t>, a fin de conseguir los objetivos seleccionados, se realiz</w:t>
      </w:r>
      <w:r w:rsidR="00A11863" w:rsidRPr="00A96722">
        <w:rPr>
          <w:rFonts w:ascii="Calibri" w:eastAsia="Times New Roman" w:hAnsi="Calibri" w:cs="Calibri"/>
          <w:color w:val="000000"/>
          <w:lang w:eastAsia="es-CL"/>
        </w:rPr>
        <w:t>ó</w:t>
      </w:r>
      <w:r w:rsidR="00153503" w:rsidRPr="00A96722">
        <w:rPr>
          <w:rFonts w:ascii="Calibri" w:eastAsia="Times New Roman" w:hAnsi="Calibri" w:cs="Calibri"/>
          <w:color w:val="000000"/>
          <w:lang w:eastAsia="es-CL"/>
        </w:rPr>
        <w:t xml:space="preserve"> </w:t>
      </w:r>
      <w:r w:rsidRPr="00A96722">
        <w:rPr>
          <w:rFonts w:ascii="Calibri" w:eastAsia="Times New Roman" w:hAnsi="Calibri" w:cs="Calibri"/>
          <w:color w:val="000000"/>
          <w:lang w:eastAsia="es-CL"/>
        </w:rPr>
        <w:t xml:space="preserve">a través de la recopilación de </w:t>
      </w:r>
      <w:r w:rsidR="00153503" w:rsidRPr="00A96722">
        <w:rPr>
          <w:rFonts w:ascii="Calibri" w:eastAsia="Times New Roman" w:hAnsi="Calibri" w:cs="Calibri"/>
          <w:color w:val="000000"/>
          <w:lang w:eastAsia="es-CL"/>
        </w:rPr>
        <w:t>información</w:t>
      </w:r>
      <w:r w:rsidRPr="00A96722">
        <w:rPr>
          <w:rFonts w:ascii="Calibri" w:eastAsia="Times New Roman" w:hAnsi="Calibri" w:cs="Calibri"/>
          <w:color w:val="000000"/>
          <w:lang w:eastAsia="es-CL"/>
        </w:rPr>
        <w:t xml:space="preserve"> y evidencias</w:t>
      </w:r>
      <w:r w:rsidR="00153503" w:rsidRPr="00A96722">
        <w:rPr>
          <w:rFonts w:ascii="Calibri" w:eastAsia="Times New Roman" w:hAnsi="Calibri" w:cs="Calibri"/>
          <w:color w:val="000000"/>
          <w:lang w:eastAsia="es-CL"/>
        </w:rPr>
        <w:t>, aplicando para ello pruebas de cumplimiento, sustantivas y analíticas, utilizando los siguientes medios:</w:t>
      </w:r>
    </w:p>
    <w:p w14:paraId="1273FF1C" w14:textId="77777777" w:rsidR="00A11863" w:rsidRPr="00A96722" w:rsidRDefault="00A11863" w:rsidP="000231CC">
      <w:pPr>
        <w:spacing w:after="0" w:line="276" w:lineRule="auto"/>
        <w:jc w:val="both"/>
        <w:rPr>
          <w:rFonts w:ascii="Calibri" w:eastAsia="Times New Roman" w:hAnsi="Calibri" w:cs="Calibri"/>
          <w:color w:val="000000"/>
          <w:lang w:eastAsia="es-CL"/>
        </w:rPr>
      </w:pPr>
    </w:p>
    <w:p w14:paraId="65982A9C" w14:textId="77777777" w:rsidR="00B40200" w:rsidRPr="00B40200" w:rsidRDefault="00B40200" w:rsidP="000231CC">
      <w:pPr>
        <w:pStyle w:val="Prrafodelista"/>
        <w:numPr>
          <w:ilvl w:val="0"/>
          <w:numId w:val="2"/>
        </w:numPr>
        <w:spacing w:after="0"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Revisión conceptual y técnica de determinaciones tributarias (AT2025).</w:t>
      </w:r>
    </w:p>
    <w:p w14:paraId="19A791A5" w14:textId="77777777" w:rsidR="00B40200" w:rsidRPr="00B40200" w:rsidRDefault="00B40200" w:rsidP="000231CC">
      <w:pPr>
        <w:pStyle w:val="Prrafodelista"/>
        <w:numPr>
          <w:ilvl w:val="0"/>
          <w:numId w:val="2"/>
        </w:numPr>
        <w:spacing w:after="0"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Verificación y recálculo de liquidaciones salariales.</w:t>
      </w:r>
    </w:p>
    <w:p w14:paraId="4C8B1ACB" w14:textId="77777777" w:rsidR="00B40200" w:rsidRPr="00B40200" w:rsidRDefault="00B40200" w:rsidP="000231CC">
      <w:pPr>
        <w:pStyle w:val="Prrafodelista"/>
        <w:numPr>
          <w:ilvl w:val="0"/>
          <w:numId w:val="2"/>
        </w:numPr>
        <w:spacing w:after="0"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Validación del Impuesto Único de Segunda Categoría.</w:t>
      </w:r>
    </w:p>
    <w:p w14:paraId="0F8FABE6" w14:textId="77777777" w:rsidR="00B40200" w:rsidRPr="00B40200" w:rsidRDefault="00B40200" w:rsidP="000231CC">
      <w:pPr>
        <w:pStyle w:val="Prrafodelista"/>
        <w:numPr>
          <w:ilvl w:val="0"/>
          <w:numId w:val="2"/>
        </w:numPr>
        <w:spacing w:after="0"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Revisión de contratos laborales y políticas internas.</w:t>
      </w:r>
    </w:p>
    <w:p w14:paraId="11036356" w14:textId="15C25B57" w:rsidR="00153503" w:rsidRPr="00A96722" w:rsidRDefault="00B40200" w:rsidP="000231CC">
      <w:pPr>
        <w:pStyle w:val="Prrafodelista"/>
        <w:numPr>
          <w:ilvl w:val="0"/>
          <w:numId w:val="2"/>
        </w:numPr>
        <w:spacing w:after="0" w:line="276" w:lineRule="auto"/>
        <w:jc w:val="both"/>
        <w:rPr>
          <w:rFonts w:ascii="Calibri" w:eastAsia="Times New Roman" w:hAnsi="Calibri" w:cs="Calibri"/>
          <w:lang w:eastAsia="es-CL"/>
        </w:rPr>
      </w:pPr>
      <w:r w:rsidRPr="00B40200">
        <w:rPr>
          <w:rFonts w:ascii="Calibri" w:eastAsia="Times New Roman" w:hAnsi="Calibri" w:cs="Calibri"/>
          <w:color w:val="000000"/>
          <w:lang w:eastAsia="es-CL"/>
        </w:rPr>
        <w:t>Confirmación directa con el cliente sobre hallazgos</w:t>
      </w:r>
    </w:p>
    <w:p w14:paraId="71B055E5" w14:textId="75FC510E" w:rsidR="00A11863" w:rsidRPr="00A96722" w:rsidRDefault="00B965F6" w:rsidP="000231CC">
      <w:pPr>
        <w:pStyle w:val="Prrafodelista"/>
        <w:numPr>
          <w:ilvl w:val="0"/>
          <w:numId w:val="2"/>
        </w:numPr>
        <w:spacing w:after="0" w:line="276" w:lineRule="auto"/>
        <w:jc w:val="both"/>
        <w:rPr>
          <w:rFonts w:ascii="Calibri" w:eastAsia="Times New Roman" w:hAnsi="Calibri" w:cs="Calibri"/>
          <w:lang w:eastAsia="es-CL"/>
        </w:rPr>
      </w:pPr>
      <w:r>
        <w:rPr>
          <w:rFonts w:ascii="Calibri" w:eastAsia="Times New Roman" w:hAnsi="Calibri" w:cs="Calibri"/>
          <w:lang w:eastAsia="es-CL"/>
        </w:rPr>
        <w:t>Recalculo del monto a pagar por gratificación de la muestra de liquidaciones aportada.</w:t>
      </w:r>
    </w:p>
    <w:p w14:paraId="12A7BA49" w14:textId="08BB1B0D" w:rsidR="00A11863" w:rsidRPr="00A96722" w:rsidRDefault="00A11863" w:rsidP="000231CC">
      <w:pPr>
        <w:spacing w:after="0" w:line="276" w:lineRule="auto"/>
        <w:jc w:val="both"/>
        <w:rPr>
          <w:rFonts w:ascii="Calibri" w:eastAsia="Times New Roman" w:hAnsi="Calibri" w:cs="Calibri"/>
          <w:lang w:eastAsia="es-CL"/>
        </w:rPr>
      </w:pPr>
    </w:p>
    <w:p w14:paraId="61B47C7B" w14:textId="77777777" w:rsidR="003E7F66" w:rsidRDefault="00A11863" w:rsidP="000231CC">
      <w:pPr>
        <w:spacing w:after="0" w:line="276" w:lineRule="auto"/>
        <w:jc w:val="both"/>
        <w:rPr>
          <w:rFonts w:ascii="Calibri" w:eastAsia="Times New Roman" w:hAnsi="Calibri" w:cs="Calibri"/>
          <w:color w:val="000000"/>
          <w:lang w:eastAsia="es-CL"/>
        </w:rPr>
      </w:pPr>
      <w:r w:rsidRPr="00A96722">
        <w:rPr>
          <w:rFonts w:ascii="Calibri" w:eastAsia="Times New Roman" w:hAnsi="Calibri" w:cs="Calibri"/>
          <w:color w:val="000000"/>
          <w:lang w:eastAsia="es-CL"/>
        </w:rPr>
        <w:t xml:space="preserve">Adicionalmente, el </w:t>
      </w:r>
      <w:r w:rsidR="00461F3A" w:rsidRPr="00A96722">
        <w:rPr>
          <w:rFonts w:ascii="Calibri" w:eastAsia="Times New Roman" w:hAnsi="Calibri" w:cs="Calibri"/>
          <w:color w:val="000000"/>
          <w:lang w:eastAsia="es-CL"/>
        </w:rPr>
        <w:t>presente trabajo contemp</w:t>
      </w:r>
      <w:r w:rsidR="00B965F6">
        <w:rPr>
          <w:rFonts w:ascii="Calibri" w:eastAsia="Times New Roman" w:hAnsi="Calibri" w:cs="Calibri"/>
          <w:color w:val="000000"/>
          <w:lang w:eastAsia="es-CL"/>
        </w:rPr>
        <w:t>la una reunión con el cliente con el fin de confirmación de diferencias halladas en el presente informe</w:t>
      </w:r>
      <w:r w:rsidR="00461F3A" w:rsidRPr="00A96722">
        <w:rPr>
          <w:rFonts w:ascii="Calibri" w:eastAsia="Times New Roman" w:hAnsi="Calibri" w:cs="Calibri"/>
          <w:color w:val="000000"/>
          <w:lang w:eastAsia="es-CL"/>
        </w:rPr>
        <w:t>.</w:t>
      </w:r>
    </w:p>
    <w:p w14:paraId="17AB451C" w14:textId="77777777" w:rsidR="003E7F66" w:rsidRDefault="003E7F66" w:rsidP="000231CC">
      <w:pPr>
        <w:spacing w:after="0" w:line="276" w:lineRule="auto"/>
        <w:jc w:val="both"/>
        <w:rPr>
          <w:rFonts w:ascii="Calibri" w:eastAsia="Times New Roman" w:hAnsi="Calibri" w:cs="Calibri"/>
          <w:color w:val="000000"/>
          <w:lang w:eastAsia="es-CL"/>
        </w:rPr>
      </w:pPr>
    </w:p>
    <w:p w14:paraId="35B6213B" w14:textId="64186A1A" w:rsidR="00D9561E" w:rsidRPr="005F4612" w:rsidRDefault="00A11863" w:rsidP="005F4612">
      <w:pPr>
        <w:pStyle w:val="Ttulo1"/>
        <w:jc w:val="center"/>
        <w:rPr>
          <w:rFonts w:ascii="Calibri" w:hAnsi="Calibri" w:cs="Calibri"/>
          <w:b/>
          <w:bCs/>
          <w:sz w:val="22"/>
          <w:szCs w:val="22"/>
        </w:rPr>
      </w:pPr>
      <w:bookmarkStart w:id="9" w:name="_Toc200704667"/>
      <w:r w:rsidRPr="005F4612">
        <w:rPr>
          <w:rFonts w:ascii="Calibri" w:hAnsi="Calibri" w:cs="Calibri"/>
          <w:b/>
          <w:bCs/>
          <w:sz w:val="22"/>
          <w:szCs w:val="22"/>
        </w:rPr>
        <w:t>Opinión Genera</w:t>
      </w:r>
      <w:r w:rsidR="00D9561E" w:rsidRPr="005F4612">
        <w:rPr>
          <w:rFonts w:ascii="Calibri" w:hAnsi="Calibri" w:cs="Calibri"/>
          <w:b/>
          <w:bCs/>
          <w:sz w:val="22"/>
          <w:szCs w:val="22"/>
        </w:rPr>
        <w:t>l</w:t>
      </w:r>
      <w:bookmarkEnd w:id="9"/>
    </w:p>
    <w:p w14:paraId="44E15D23" w14:textId="77777777" w:rsidR="003E7F66" w:rsidRPr="003E7F66" w:rsidRDefault="003E7F66" w:rsidP="000231CC">
      <w:pPr>
        <w:jc w:val="both"/>
      </w:pPr>
    </w:p>
    <w:p w14:paraId="4E11C835" w14:textId="7C37FA8E" w:rsidR="00A94AB5" w:rsidRDefault="00B40200" w:rsidP="000231CC">
      <w:pPr>
        <w:spacing w:after="0" w:line="276" w:lineRule="auto"/>
        <w:jc w:val="both"/>
        <w:rPr>
          <w:rFonts w:ascii="Calibri" w:eastAsia="Times New Roman" w:hAnsi="Calibri" w:cs="Calibri"/>
          <w:color w:val="000000"/>
          <w:lang w:eastAsia="es-CL"/>
        </w:rPr>
      </w:pPr>
      <w:r w:rsidRPr="00B40200">
        <w:rPr>
          <w:rFonts w:ascii="Calibri" w:eastAsia="Times New Roman" w:hAnsi="Calibri" w:cs="Calibri"/>
          <w:color w:val="000000"/>
          <w:lang w:eastAsia="es-CL"/>
        </w:rPr>
        <w:t>Durante la auditoría se identificaron inconsistencias relevantes en la información tributaria y laboral utilizada para el cálculo de gratificaciones, particularmente diferencias significativas en bases de reparto, errores aritméticos en los cálculos realizados y ausencia de documentación contractual específica. Estas situaciones podrían generar incumplimientos significativos con la normativa aplicable</w:t>
      </w:r>
      <w:r w:rsidR="003028C6" w:rsidRPr="003028C6">
        <w:rPr>
          <w:rFonts w:ascii="Calibri" w:eastAsia="Times New Roman" w:hAnsi="Calibri" w:cs="Calibri"/>
          <w:color w:val="000000"/>
          <w:lang w:eastAsia="es-CL"/>
        </w:rPr>
        <w:t>.</w:t>
      </w:r>
    </w:p>
    <w:p w14:paraId="3563E734" w14:textId="53D405A7" w:rsidR="00D9561E" w:rsidRPr="005F4612" w:rsidRDefault="00D9561E" w:rsidP="005F4612">
      <w:pPr>
        <w:pStyle w:val="Ttulo1"/>
        <w:jc w:val="center"/>
        <w:rPr>
          <w:rFonts w:ascii="Calibri" w:hAnsi="Calibri" w:cs="Calibri"/>
          <w:b/>
          <w:bCs/>
          <w:sz w:val="22"/>
          <w:szCs w:val="22"/>
        </w:rPr>
      </w:pPr>
      <w:bookmarkStart w:id="10" w:name="_Toc200704668"/>
      <w:r w:rsidRPr="005F4612">
        <w:rPr>
          <w:rFonts w:ascii="Calibri" w:hAnsi="Calibri" w:cs="Calibri"/>
          <w:b/>
          <w:bCs/>
          <w:sz w:val="22"/>
          <w:szCs w:val="22"/>
        </w:rPr>
        <w:t>Análisis de evidencia</w:t>
      </w:r>
      <w:r w:rsidR="00A94AB5" w:rsidRPr="005F4612">
        <w:rPr>
          <w:rFonts w:ascii="Calibri" w:hAnsi="Calibri" w:cs="Calibri"/>
          <w:b/>
          <w:bCs/>
          <w:sz w:val="22"/>
          <w:szCs w:val="22"/>
        </w:rPr>
        <w:t>.</w:t>
      </w:r>
      <w:bookmarkEnd w:id="10"/>
    </w:p>
    <w:p w14:paraId="7F7A05F7" w14:textId="77777777" w:rsidR="00A94AB5" w:rsidRDefault="00A94AB5" w:rsidP="000231CC">
      <w:pPr>
        <w:spacing w:after="0" w:line="276" w:lineRule="auto"/>
        <w:jc w:val="both"/>
        <w:rPr>
          <w:rFonts w:ascii="Calibri" w:eastAsia="Times New Roman" w:hAnsi="Calibri" w:cs="Calibri"/>
          <w:color w:val="000000"/>
          <w:lang w:eastAsia="es-CL"/>
        </w:rPr>
      </w:pPr>
    </w:p>
    <w:p w14:paraId="54A9756E" w14:textId="659238DC" w:rsidR="00D9561E" w:rsidRDefault="00D9561E" w:rsidP="000231CC">
      <w:pPr>
        <w:spacing w:after="0" w:line="276" w:lineRule="auto"/>
        <w:jc w:val="both"/>
        <w:rPr>
          <w:rFonts w:ascii="Calibri" w:eastAsia="Times New Roman" w:hAnsi="Calibri" w:cs="Calibri"/>
          <w:color w:val="000000"/>
          <w:lang w:eastAsia="es-CL"/>
        </w:rPr>
      </w:pPr>
      <w:r w:rsidRPr="00D9561E">
        <w:rPr>
          <w:rFonts w:ascii="Calibri" w:eastAsia="Times New Roman" w:hAnsi="Calibri" w:cs="Calibri"/>
          <w:color w:val="000000"/>
          <w:lang w:eastAsia="es-CL"/>
        </w:rPr>
        <w:t xml:space="preserve">A continuación, presentamos clasificadas por tema y en detalle, aquellas observaciones y recomendaciones atingentes al tema de esta auditoría, surgidas durante el desarrollo de </w:t>
      </w:r>
      <w:r w:rsidR="00C4387E" w:rsidRPr="00D9561E">
        <w:rPr>
          <w:rFonts w:ascii="Calibri" w:eastAsia="Times New Roman" w:hAnsi="Calibri" w:cs="Calibri"/>
          <w:color w:val="000000"/>
          <w:lang w:eastAsia="es-CL"/>
        </w:rPr>
        <w:t>esta</w:t>
      </w:r>
      <w:r w:rsidRPr="00D9561E">
        <w:rPr>
          <w:rFonts w:ascii="Calibri" w:eastAsia="Times New Roman" w:hAnsi="Calibri" w:cs="Calibri"/>
          <w:color w:val="000000"/>
          <w:lang w:eastAsia="es-CL"/>
        </w:rPr>
        <w:t>.</w:t>
      </w:r>
    </w:p>
    <w:p w14:paraId="7AAF865A" w14:textId="77777777" w:rsidR="00A94AB5" w:rsidRDefault="00A94AB5" w:rsidP="000231CC">
      <w:pPr>
        <w:spacing w:after="0" w:line="276" w:lineRule="auto"/>
        <w:jc w:val="both"/>
        <w:rPr>
          <w:rFonts w:ascii="Calibri" w:eastAsia="Times New Roman" w:hAnsi="Calibri" w:cs="Calibri"/>
          <w:color w:val="000000"/>
          <w:lang w:eastAsia="es-CL"/>
        </w:rPr>
      </w:pPr>
    </w:p>
    <w:p w14:paraId="47D03060" w14:textId="77777777" w:rsidR="00C4387E" w:rsidRDefault="003E0705" w:rsidP="000231CC">
      <w:pPr>
        <w:spacing w:after="0" w:line="276" w:lineRule="auto"/>
        <w:jc w:val="both"/>
        <w:rPr>
          <w:rFonts w:ascii="Calibri" w:eastAsia="Times New Roman" w:hAnsi="Calibri" w:cs="Calibri"/>
          <w:color w:val="000000"/>
          <w:lang w:eastAsia="es-CL"/>
        </w:rPr>
      </w:pPr>
      <w:r w:rsidRPr="003E0705">
        <w:rPr>
          <w:rFonts w:ascii="Calibri" w:eastAsia="Times New Roman" w:hAnsi="Calibri" w:cs="Calibri"/>
          <w:color w:val="000000"/>
          <w:lang w:eastAsia="es-CL"/>
        </w:rPr>
        <w:t xml:space="preserve">El siguiente análisis corresponde a los resultados del recálculo realizado para las sociedades </w:t>
      </w:r>
      <w:r w:rsidRPr="003E0705">
        <w:rPr>
          <w:rFonts w:ascii="Calibri" w:eastAsia="Times New Roman" w:hAnsi="Calibri" w:cs="Calibri"/>
          <w:b/>
          <w:bCs/>
          <w:color w:val="000000"/>
          <w:lang w:eastAsia="es-CL"/>
        </w:rPr>
        <w:t>Servicios de Seguridad Prosegur Regiones Ltda</w:t>
      </w:r>
      <w:r w:rsidRPr="003E0705">
        <w:rPr>
          <w:rFonts w:ascii="Calibri" w:eastAsia="Times New Roman" w:hAnsi="Calibri" w:cs="Calibri"/>
          <w:color w:val="000000"/>
          <w:lang w:eastAsia="es-CL"/>
        </w:rPr>
        <w:t xml:space="preserve">. y </w:t>
      </w:r>
      <w:r w:rsidRPr="003E0705">
        <w:rPr>
          <w:rFonts w:ascii="Calibri" w:eastAsia="Times New Roman" w:hAnsi="Calibri" w:cs="Calibri"/>
          <w:b/>
          <w:bCs/>
          <w:color w:val="000000"/>
          <w:lang w:eastAsia="es-CL"/>
        </w:rPr>
        <w:t>Prosegur Chile S.A.</w:t>
      </w:r>
      <w:r w:rsidRPr="003E0705">
        <w:rPr>
          <w:rFonts w:ascii="Calibri" w:eastAsia="Times New Roman" w:hAnsi="Calibri" w:cs="Calibri"/>
          <w:color w:val="000000"/>
          <w:lang w:eastAsia="es-CL"/>
        </w:rPr>
        <w:t>, en relación con el pago anticipado de</w:t>
      </w:r>
      <w:r w:rsidR="00C4387E">
        <w:rPr>
          <w:rFonts w:ascii="Calibri" w:eastAsia="Times New Roman" w:hAnsi="Calibri" w:cs="Calibri"/>
          <w:color w:val="000000"/>
          <w:lang w:eastAsia="es-CL"/>
        </w:rPr>
        <w:t>:</w:t>
      </w:r>
    </w:p>
    <w:p w14:paraId="644540E0" w14:textId="77777777" w:rsidR="00C4387E" w:rsidRDefault="00C4387E" w:rsidP="000231CC">
      <w:pPr>
        <w:spacing w:after="0" w:line="276" w:lineRule="auto"/>
        <w:jc w:val="both"/>
        <w:rPr>
          <w:rFonts w:ascii="Calibri" w:eastAsia="Times New Roman" w:hAnsi="Calibri" w:cs="Calibri"/>
          <w:color w:val="000000"/>
          <w:lang w:eastAsia="es-CL"/>
        </w:rPr>
      </w:pPr>
    </w:p>
    <w:p w14:paraId="34717414" w14:textId="171AA75E" w:rsidR="00A2579B" w:rsidRPr="00C4387E" w:rsidRDefault="00C4387E" w:rsidP="00C4387E">
      <w:pPr>
        <w:pStyle w:val="Ttulo2"/>
        <w:spacing w:line="276" w:lineRule="auto"/>
        <w:jc w:val="both"/>
        <w:rPr>
          <w:rFonts w:ascii="Calibri" w:hAnsi="Calibri" w:cs="Calibri"/>
          <w:sz w:val="22"/>
          <w:szCs w:val="22"/>
          <w:u w:val="single"/>
        </w:rPr>
      </w:pPr>
      <w:bookmarkStart w:id="11" w:name="_Toc200704669"/>
      <w:r w:rsidRPr="00C4387E">
        <w:rPr>
          <w:rFonts w:ascii="Calibri" w:hAnsi="Calibri" w:cs="Calibri"/>
          <w:sz w:val="22"/>
          <w:szCs w:val="22"/>
          <w:u w:val="single"/>
        </w:rPr>
        <w:t>G</w:t>
      </w:r>
      <w:r w:rsidR="003E0705" w:rsidRPr="00C4387E">
        <w:rPr>
          <w:rFonts w:ascii="Calibri" w:hAnsi="Calibri" w:cs="Calibri"/>
          <w:sz w:val="22"/>
          <w:szCs w:val="22"/>
          <w:u w:val="single"/>
        </w:rPr>
        <w:t>ratificaciones legales conforme a lo establecido en el artículo 50 del Código del Trabajo</w:t>
      </w:r>
      <w:r w:rsidRPr="00C4387E">
        <w:rPr>
          <w:rFonts w:ascii="Calibri" w:hAnsi="Calibri" w:cs="Calibri"/>
          <w:sz w:val="22"/>
          <w:szCs w:val="22"/>
          <w:u w:val="single"/>
        </w:rPr>
        <w:t>.</w:t>
      </w:r>
      <w:bookmarkEnd w:id="11"/>
    </w:p>
    <w:p w14:paraId="2FBA447E" w14:textId="77777777" w:rsidR="003E0705" w:rsidRPr="00D9561E" w:rsidRDefault="003E0705" w:rsidP="000231CC">
      <w:pPr>
        <w:spacing w:after="0" w:line="276" w:lineRule="auto"/>
        <w:jc w:val="both"/>
        <w:rPr>
          <w:rFonts w:ascii="Calibri" w:eastAsia="Times New Roman" w:hAnsi="Calibri" w:cs="Calibri"/>
          <w:color w:val="000000"/>
          <w:lang w:eastAsia="es-CL"/>
        </w:rPr>
      </w:pPr>
    </w:p>
    <w:p w14:paraId="040AD801" w14:textId="5ECA0F60" w:rsidR="00D9561E" w:rsidRPr="00A94AB5" w:rsidRDefault="003E0705" w:rsidP="000231CC">
      <w:pPr>
        <w:pStyle w:val="Prrafodelista"/>
        <w:numPr>
          <w:ilvl w:val="0"/>
          <w:numId w:val="19"/>
        </w:num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D</w:t>
      </w:r>
      <w:r w:rsidRPr="003E0705">
        <w:rPr>
          <w:rFonts w:ascii="Calibri" w:eastAsia="Times New Roman" w:hAnsi="Calibri" w:cs="Calibri"/>
          <w:color w:val="000000"/>
          <w:lang w:eastAsia="es-CL"/>
        </w:rPr>
        <w:t xml:space="preserve">e acuerdo con el recálculo efectuado, no se observaron diferencias materiales respecto del papel de trabajo proporcionado por el cliente. Sin perjuicio de lo anterior, en el recálculo de la muestra se identificaron pagos en exceso al considerar el 25% del sueldo base sin tope, sin embargo, no se adjuntaron los contratos de trabajo de los colaboradores que permitan corroborar los pactos individuales correspondientes. Asimismo, no se aportó información </w:t>
      </w:r>
      <w:r w:rsidRPr="003E0705">
        <w:rPr>
          <w:rFonts w:ascii="Calibri" w:eastAsia="Times New Roman" w:hAnsi="Calibri" w:cs="Calibri"/>
          <w:color w:val="000000"/>
          <w:lang w:eastAsia="es-CL"/>
        </w:rPr>
        <w:lastRenderedPageBreak/>
        <w:t>relacionada con la existencia de controles internos específicos para la gestión de estos pactos, razón por la cual no es posible afirmar la correcta aplicación del cálculo sin tope de la gratificación</w:t>
      </w:r>
    </w:p>
    <w:p w14:paraId="2F0D4614" w14:textId="77777777" w:rsidR="00D9561E" w:rsidRPr="00D9561E" w:rsidRDefault="00D9561E" w:rsidP="000231CC">
      <w:pPr>
        <w:spacing w:after="0" w:line="276" w:lineRule="auto"/>
        <w:jc w:val="both"/>
        <w:rPr>
          <w:rFonts w:ascii="Calibri" w:eastAsia="Times New Roman" w:hAnsi="Calibri" w:cs="Calibri"/>
          <w:color w:val="000000"/>
          <w:lang w:eastAsia="es-CL"/>
        </w:rPr>
      </w:pPr>
    </w:p>
    <w:p w14:paraId="3DEF98D9" w14:textId="50BB6D4D" w:rsidR="00D9561E" w:rsidRPr="00A94AB5" w:rsidRDefault="003E0705" w:rsidP="000231CC">
      <w:pPr>
        <w:pStyle w:val="Prrafodelista"/>
        <w:numPr>
          <w:ilvl w:val="0"/>
          <w:numId w:val="19"/>
        </w:num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E</w:t>
      </w:r>
      <w:r w:rsidRPr="003E0705">
        <w:rPr>
          <w:rFonts w:ascii="Calibri" w:eastAsia="Times New Roman" w:hAnsi="Calibri" w:cs="Calibri"/>
          <w:color w:val="000000"/>
          <w:lang w:eastAsia="es-CL"/>
        </w:rPr>
        <w:t>sta situación evidencia una problemática general, ya que la ausencia de controles formales, responsables definidos y procedimientos estandarizados para el seguimiento de los pactos individuales, junto con la falta de los contratos de trabajo al momento del análisis, genera incertidumbre respecto al cumplimiento efectivo de los montos pagados como anticipos de gratificación y su concordancia con los acuerdos individuales</w:t>
      </w:r>
      <w:r w:rsidR="00D9561E" w:rsidRPr="00A94AB5">
        <w:rPr>
          <w:rFonts w:ascii="Calibri" w:eastAsia="Times New Roman" w:hAnsi="Calibri" w:cs="Calibri"/>
          <w:color w:val="000000"/>
          <w:lang w:eastAsia="es-CL"/>
        </w:rPr>
        <w:t>.</w:t>
      </w:r>
    </w:p>
    <w:p w14:paraId="2BC79CF7" w14:textId="77777777" w:rsidR="00D9561E" w:rsidRPr="00D9561E" w:rsidRDefault="00D9561E" w:rsidP="000231CC">
      <w:pPr>
        <w:spacing w:after="0" w:line="276" w:lineRule="auto"/>
        <w:jc w:val="both"/>
        <w:rPr>
          <w:rFonts w:ascii="Calibri" w:eastAsia="Times New Roman" w:hAnsi="Calibri" w:cs="Calibri"/>
          <w:color w:val="000000"/>
          <w:lang w:eastAsia="es-CL"/>
        </w:rPr>
      </w:pPr>
    </w:p>
    <w:p w14:paraId="6C09B25A" w14:textId="6908C231" w:rsidR="000D7D15" w:rsidRDefault="00A2579B" w:rsidP="000231CC">
      <w:pPr>
        <w:pStyle w:val="Prrafodelista"/>
        <w:numPr>
          <w:ilvl w:val="0"/>
          <w:numId w:val="19"/>
        </w:num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 xml:space="preserve">Con </w:t>
      </w:r>
      <w:r w:rsidR="003E0705" w:rsidRPr="003E0705">
        <w:rPr>
          <w:rFonts w:ascii="Calibri" w:eastAsia="Times New Roman" w:hAnsi="Calibri" w:cs="Calibri"/>
          <w:color w:val="000000"/>
          <w:lang w:eastAsia="es-CL"/>
        </w:rPr>
        <w:t>el objetivo de mitigar riesgos de incumplimiento en el pago de gratificaciones legales, se recomienda implementar la estandarización de los montos a pagar de forma transversal o bien establecer procedimientos de control interno robustos. Asimismo, se sugiere la realización de auditorías periódicas a las carpetas de los trabajadores, a fin de verificar la existencia y validez de los pactos individuales, confeccionando los anexos o ajustes correspondientes en caso de detectarse diferencias</w:t>
      </w:r>
      <w:r w:rsidR="00D9561E" w:rsidRPr="00A94AB5">
        <w:rPr>
          <w:rFonts w:ascii="Calibri" w:eastAsia="Times New Roman" w:hAnsi="Calibri" w:cs="Calibri"/>
          <w:color w:val="000000"/>
          <w:lang w:eastAsia="es-CL"/>
        </w:rPr>
        <w:t>.</w:t>
      </w:r>
    </w:p>
    <w:p w14:paraId="589D0148" w14:textId="77777777" w:rsidR="00A2579B" w:rsidRPr="00A2579B" w:rsidRDefault="00A2579B" w:rsidP="000231CC">
      <w:pPr>
        <w:pStyle w:val="Prrafodelista"/>
        <w:jc w:val="both"/>
        <w:rPr>
          <w:rFonts w:ascii="Calibri" w:eastAsia="Times New Roman" w:hAnsi="Calibri" w:cs="Calibri"/>
          <w:color w:val="000000"/>
          <w:lang w:eastAsia="es-CL"/>
        </w:rPr>
      </w:pPr>
    </w:p>
    <w:p w14:paraId="18101378" w14:textId="4790DA0C" w:rsidR="003E0705" w:rsidRPr="003E0705" w:rsidRDefault="003E0705" w:rsidP="000231CC">
      <w:pPr>
        <w:spacing w:after="0" w:line="276" w:lineRule="auto"/>
        <w:jc w:val="both"/>
        <w:rPr>
          <w:rFonts w:ascii="Calibri" w:eastAsia="Times New Roman" w:hAnsi="Calibri" w:cs="Calibri"/>
          <w:color w:val="000000"/>
          <w:lang w:eastAsia="es-CL"/>
        </w:rPr>
      </w:pPr>
      <w:r w:rsidRPr="003E0705">
        <w:rPr>
          <w:rFonts w:ascii="Calibri" w:eastAsia="Times New Roman" w:hAnsi="Calibri" w:cs="Calibri"/>
          <w:color w:val="000000"/>
          <w:lang w:eastAsia="es-CL"/>
        </w:rPr>
        <w:t xml:space="preserve">En el recálculo realizado para las sociedades </w:t>
      </w:r>
      <w:r w:rsidRPr="003E0705">
        <w:rPr>
          <w:rFonts w:ascii="Calibri" w:eastAsia="Times New Roman" w:hAnsi="Calibri" w:cs="Calibri"/>
          <w:b/>
          <w:bCs/>
          <w:color w:val="000000"/>
          <w:lang w:eastAsia="es-CL"/>
        </w:rPr>
        <w:t xml:space="preserve">Empresa de Transportes Compañía de Seguridad </w:t>
      </w:r>
      <w:r w:rsidRPr="003E0705">
        <w:rPr>
          <w:rFonts w:ascii="Calibri" w:eastAsia="Times New Roman" w:hAnsi="Calibri" w:cs="Calibri"/>
          <w:color w:val="000000"/>
          <w:lang w:eastAsia="es-CL"/>
        </w:rPr>
        <w:t>y</w:t>
      </w:r>
      <w:r w:rsidRPr="003E0705">
        <w:rPr>
          <w:rFonts w:ascii="Calibri" w:eastAsia="Times New Roman" w:hAnsi="Calibri" w:cs="Calibri"/>
          <w:b/>
          <w:bCs/>
          <w:color w:val="000000"/>
          <w:lang w:eastAsia="es-CL"/>
        </w:rPr>
        <w:t xml:space="preserve"> Servicios Prosegur Limitada</w:t>
      </w:r>
      <w:r w:rsidRPr="003E0705">
        <w:rPr>
          <w:rFonts w:ascii="Calibri" w:eastAsia="Times New Roman" w:hAnsi="Calibri" w:cs="Calibri"/>
          <w:color w:val="000000"/>
          <w:lang w:eastAsia="es-CL"/>
        </w:rPr>
        <w:t xml:space="preserve">, se detectaron diferencias en diversas etapas del proceso de verificación, tanto en la determinación del monto a distribuir, como en los valores utilizados para la remuneración total imponible y la actualización de los montos pagados como anticipo en las liquidaciones de sueldo mensuales. Considerando lo anterior, a </w:t>
      </w:r>
      <w:r w:rsidR="00C4387E" w:rsidRPr="003E0705">
        <w:rPr>
          <w:rFonts w:ascii="Calibri" w:eastAsia="Times New Roman" w:hAnsi="Calibri" w:cs="Calibri"/>
          <w:color w:val="000000"/>
          <w:lang w:eastAsia="es-CL"/>
        </w:rPr>
        <w:t>continuación,</w:t>
      </w:r>
      <w:r w:rsidRPr="003E0705">
        <w:rPr>
          <w:rFonts w:ascii="Calibri" w:eastAsia="Times New Roman" w:hAnsi="Calibri" w:cs="Calibri"/>
          <w:color w:val="000000"/>
          <w:lang w:eastAsia="es-CL"/>
        </w:rPr>
        <w:t xml:space="preserve"> se detalla cada uno de los puntos identificados, indicando el marco normativo aplicable y las validaciones pendientes que es necesario realizar para incrementar la certeza respecto del monto recalculado.</w:t>
      </w:r>
    </w:p>
    <w:p w14:paraId="3BC790AD" w14:textId="77777777" w:rsidR="003E0705" w:rsidRPr="003E0705" w:rsidRDefault="003E0705" w:rsidP="000231CC">
      <w:pPr>
        <w:spacing w:after="0" w:line="276" w:lineRule="auto"/>
        <w:jc w:val="both"/>
        <w:rPr>
          <w:rFonts w:ascii="Calibri" w:eastAsia="Times New Roman" w:hAnsi="Calibri" w:cs="Calibri"/>
          <w:color w:val="000000"/>
          <w:lang w:eastAsia="es-CL"/>
        </w:rPr>
      </w:pPr>
    </w:p>
    <w:p w14:paraId="56988F8F" w14:textId="72060B85" w:rsidR="009E58E5" w:rsidRPr="00C4387E" w:rsidRDefault="003E0705" w:rsidP="00C4387E">
      <w:pPr>
        <w:pStyle w:val="Ttulo2"/>
        <w:spacing w:line="276" w:lineRule="auto"/>
        <w:jc w:val="both"/>
        <w:rPr>
          <w:rFonts w:ascii="Calibri" w:hAnsi="Calibri" w:cs="Calibri"/>
          <w:sz w:val="22"/>
          <w:szCs w:val="22"/>
          <w:u w:val="single"/>
        </w:rPr>
      </w:pPr>
      <w:bookmarkStart w:id="12" w:name="_Toc200704670"/>
      <w:r w:rsidRPr="00C4387E">
        <w:rPr>
          <w:rFonts w:ascii="Calibri" w:hAnsi="Calibri" w:cs="Calibri"/>
          <w:sz w:val="22"/>
          <w:szCs w:val="22"/>
          <w:u w:val="single"/>
        </w:rPr>
        <w:t>Determinación del 30% de la utilidad a repartir entre los trabajadores según el Artículo 47 del Código del Trabajo</w:t>
      </w:r>
      <w:r w:rsidR="009E58E5" w:rsidRPr="00C4387E">
        <w:rPr>
          <w:rFonts w:ascii="Calibri" w:hAnsi="Calibri" w:cs="Calibri"/>
          <w:sz w:val="22"/>
          <w:szCs w:val="22"/>
          <w:u w:val="single"/>
        </w:rPr>
        <w:t>.</w:t>
      </w:r>
      <w:bookmarkEnd w:id="12"/>
    </w:p>
    <w:p w14:paraId="09B0AB6E" w14:textId="77777777" w:rsidR="003E0705" w:rsidRDefault="003E0705" w:rsidP="000231CC">
      <w:pPr>
        <w:spacing w:after="0" w:line="276" w:lineRule="auto"/>
        <w:jc w:val="both"/>
        <w:rPr>
          <w:rFonts w:ascii="Calibri" w:eastAsia="Times New Roman" w:hAnsi="Calibri" w:cs="Calibri"/>
          <w:color w:val="000000"/>
          <w:lang w:eastAsia="es-CL"/>
        </w:rPr>
      </w:pPr>
    </w:p>
    <w:p w14:paraId="76887A3F" w14:textId="77777777" w:rsidR="003E0705" w:rsidRDefault="009E58E5" w:rsidP="000231CC">
      <w:pPr>
        <w:pStyle w:val="Prrafodelista"/>
        <w:numPr>
          <w:ilvl w:val="0"/>
          <w:numId w:val="22"/>
        </w:num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En</w:t>
      </w:r>
      <w:r w:rsidR="003E0705" w:rsidRPr="003E0705">
        <w:t xml:space="preserve"> </w:t>
      </w:r>
      <w:r w:rsidR="003E0705" w:rsidRPr="003E0705">
        <w:rPr>
          <w:rFonts w:ascii="Calibri" w:eastAsia="Times New Roman" w:hAnsi="Calibri" w:cs="Calibri"/>
          <w:color w:val="000000"/>
          <w:lang w:eastAsia="es-CL"/>
        </w:rPr>
        <w:t>ambas sociedades, se identificó que el monto reincorporado al resultado del ejercicio por gratificación pagada durante el ejercicio comercial no coincide con el que se encuentra registrado en la contabilidad, ya que dentro de las cuentas de gasto se registran montos pagados por gratificación que deben incrementar la utilidad de la sociedad. Para ambos casos, se ha considerado como agregado el saldo de la cuenta contable 6407000, en concordancia con lo establecido en el párrafo 6(12)-92.06 del Manual del SII, dado que corresponde reponer a la renta imponible de Primera Categoría los emolumentos y beneficios indicados, en cuanto hayan disminuido dicha renta imponible.</w:t>
      </w:r>
    </w:p>
    <w:p w14:paraId="20651909" w14:textId="77777777" w:rsidR="003E0705" w:rsidRDefault="003E0705" w:rsidP="000231CC">
      <w:pPr>
        <w:pStyle w:val="Prrafodelista"/>
        <w:spacing w:after="0" w:line="276" w:lineRule="auto"/>
        <w:jc w:val="both"/>
        <w:rPr>
          <w:rFonts w:ascii="Calibri" w:eastAsia="Times New Roman" w:hAnsi="Calibri" w:cs="Calibri"/>
          <w:color w:val="000000"/>
          <w:lang w:eastAsia="es-CL"/>
        </w:rPr>
      </w:pPr>
    </w:p>
    <w:p w14:paraId="7171BF52" w14:textId="1B573BD2" w:rsidR="00974682" w:rsidRPr="003E0705" w:rsidRDefault="003E0705" w:rsidP="000231CC">
      <w:pPr>
        <w:pStyle w:val="Prrafodelista"/>
        <w:spacing w:after="0" w:line="276" w:lineRule="auto"/>
        <w:jc w:val="both"/>
        <w:rPr>
          <w:rFonts w:ascii="Calibri" w:eastAsia="Times New Roman" w:hAnsi="Calibri" w:cs="Calibri"/>
          <w:color w:val="000000"/>
          <w:lang w:eastAsia="es-CL"/>
        </w:rPr>
      </w:pPr>
      <w:r w:rsidRPr="003E0705">
        <w:rPr>
          <w:rFonts w:ascii="Calibri" w:eastAsia="Times New Roman" w:hAnsi="Calibri" w:cs="Calibri"/>
          <w:color w:val="000000"/>
          <w:lang w:eastAsia="es-CL"/>
        </w:rPr>
        <w:t xml:space="preserve">Adicionalmente, al igual que en el criterio señalado, en las determinaciones aportadas por las sociedades se identificó la omisión de la rebaja del crédito utilizado contra el impuesto de </w:t>
      </w:r>
      <w:r w:rsidRPr="003E0705">
        <w:rPr>
          <w:rFonts w:ascii="Calibri" w:eastAsia="Times New Roman" w:hAnsi="Calibri" w:cs="Calibri"/>
          <w:color w:val="000000"/>
          <w:lang w:eastAsia="es-CL"/>
        </w:rPr>
        <w:lastRenderedPageBreak/>
        <w:t>Primera Categoría. Por tanto, para ambas sociedades se han deducido los montos correspondientes al crédito CENSE utilizados</w:t>
      </w:r>
      <w:r w:rsidR="009A7CF7" w:rsidRPr="003E0705">
        <w:rPr>
          <w:rFonts w:ascii="Calibri" w:eastAsia="Times New Roman" w:hAnsi="Calibri" w:cs="Calibri"/>
          <w:color w:val="000000"/>
          <w:lang w:eastAsia="es-CL"/>
        </w:rPr>
        <w:t>.</w:t>
      </w:r>
    </w:p>
    <w:p w14:paraId="40B8B368" w14:textId="77777777" w:rsidR="009A7CF7" w:rsidRDefault="009A7CF7" w:rsidP="000231CC">
      <w:pPr>
        <w:pStyle w:val="Prrafodelista"/>
        <w:spacing w:after="0" w:line="276" w:lineRule="auto"/>
        <w:jc w:val="both"/>
        <w:rPr>
          <w:rFonts w:ascii="Calibri" w:eastAsia="Times New Roman" w:hAnsi="Calibri" w:cs="Calibri"/>
          <w:color w:val="000000"/>
          <w:lang w:eastAsia="es-CL"/>
        </w:rPr>
      </w:pPr>
    </w:p>
    <w:p w14:paraId="687773EA" w14:textId="138EA26D" w:rsidR="009A7CF7" w:rsidRDefault="009A7CF7" w:rsidP="000231CC">
      <w:pPr>
        <w:pStyle w:val="Prrafodelista"/>
        <w:numPr>
          <w:ilvl w:val="0"/>
          <w:numId w:val="22"/>
        </w:num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Las</w:t>
      </w:r>
      <w:r w:rsidR="000231CC">
        <w:rPr>
          <w:rFonts w:ascii="Calibri" w:eastAsia="Times New Roman" w:hAnsi="Calibri" w:cs="Calibri"/>
          <w:color w:val="000000"/>
          <w:lang w:eastAsia="es-CL"/>
        </w:rPr>
        <w:t xml:space="preserve"> d</w:t>
      </w:r>
      <w:r w:rsidR="000231CC" w:rsidRPr="000231CC">
        <w:rPr>
          <w:rFonts w:ascii="Calibri" w:eastAsia="Times New Roman" w:hAnsi="Calibri" w:cs="Calibri"/>
          <w:color w:val="000000"/>
          <w:lang w:eastAsia="es-CL"/>
        </w:rPr>
        <w:t>iferencias antes señaladas generan una variación en el monto determinado a distribuir entre los trabajadores. Para ambos casos, el monto determinado en el recálculo es inferior al reportado inicialmente por cada sociedad. Es relevante destacar que estos cálculos se han realizado en base a las determinaciones y antecedentes proporcionados por las compañías, y no han sido contrastados con las declaraciones presentadas ante los entes fiscalizadores. Por lo anterior, resulta esencial validar que los montos informados por las sociedades correspondan efectivamente a los declarados en los Formularios 22 de cada una, así como verificar el certificado emitido por concepto de crédito contra el impuesto de Primera Categoría</w:t>
      </w:r>
      <w:r w:rsidR="004A5BE2">
        <w:rPr>
          <w:rFonts w:ascii="Calibri" w:eastAsia="Times New Roman" w:hAnsi="Calibri" w:cs="Calibri"/>
          <w:color w:val="000000"/>
          <w:lang w:eastAsia="es-CL"/>
        </w:rPr>
        <w:t>.</w:t>
      </w:r>
    </w:p>
    <w:p w14:paraId="43079D72" w14:textId="77777777" w:rsidR="004A5BE2" w:rsidRDefault="004A5BE2" w:rsidP="000231CC">
      <w:pPr>
        <w:pStyle w:val="Prrafodelista"/>
        <w:spacing w:after="0" w:line="276" w:lineRule="auto"/>
        <w:jc w:val="both"/>
        <w:rPr>
          <w:rFonts w:ascii="Calibri" w:eastAsia="Times New Roman" w:hAnsi="Calibri" w:cs="Calibri"/>
          <w:color w:val="000000"/>
          <w:lang w:eastAsia="es-CL"/>
        </w:rPr>
      </w:pPr>
    </w:p>
    <w:p w14:paraId="3B11DBF4" w14:textId="75F35BB6" w:rsidR="004A5BE2" w:rsidRDefault="004A5BE2" w:rsidP="000231CC">
      <w:pPr>
        <w:pStyle w:val="Prrafodelista"/>
        <w:numPr>
          <w:ilvl w:val="0"/>
          <w:numId w:val="22"/>
        </w:numPr>
        <w:spacing w:after="0" w:line="276" w:lineRule="auto"/>
        <w:jc w:val="both"/>
        <w:rPr>
          <w:rFonts w:ascii="Calibri" w:eastAsia="Times New Roman" w:hAnsi="Calibri" w:cs="Calibri"/>
          <w:color w:val="000000"/>
          <w:lang w:eastAsia="es-CL"/>
        </w:rPr>
      </w:pPr>
      <w:r>
        <w:rPr>
          <w:rFonts w:ascii="Calibri" w:eastAsia="Times New Roman" w:hAnsi="Calibri" w:cs="Calibri"/>
          <w:color w:val="000000"/>
          <w:lang w:eastAsia="es-CL"/>
        </w:rPr>
        <w:t>Co</w:t>
      </w:r>
      <w:r w:rsidR="000231CC" w:rsidRPr="000231CC">
        <w:rPr>
          <w:rFonts w:ascii="Calibri" w:eastAsia="Times New Roman" w:hAnsi="Calibri" w:cs="Calibri"/>
          <w:color w:val="000000"/>
          <w:lang w:eastAsia="es-CL"/>
        </w:rPr>
        <w:t>n el fin de dar cumplimiento cabal a la normativa laboral y tributaria vigente, se recomienda validar exhaustivamente tanto las declaraciones de renta presentadas como los certificados emitidos respecto de los créditos contra el impuesto de Primera Categoría. Asimismo, resulta indispensable estructurar procedimientos internos, integrando en las políticas de la compañía una metodología formal para la correcta determinación de las gratificaciones. En caso de ser necesario, se sugiere contar con asesoría especializada para asegurar el pleno cumplimiento de las disposiciones legales y tributarias aplicables</w:t>
      </w:r>
      <w:r>
        <w:rPr>
          <w:rFonts w:ascii="Calibri" w:eastAsia="Times New Roman" w:hAnsi="Calibri" w:cs="Calibri"/>
          <w:color w:val="000000"/>
          <w:lang w:eastAsia="es-CL"/>
        </w:rPr>
        <w:t>.</w:t>
      </w:r>
    </w:p>
    <w:p w14:paraId="20EE4021" w14:textId="77777777" w:rsidR="004A5BE2" w:rsidRDefault="004A5BE2" w:rsidP="000231CC">
      <w:pPr>
        <w:jc w:val="both"/>
        <w:rPr>
          <w:rFonts w:ascii="Calibri" w:eastAsia="Times New Roman" w:hAnsi="Calibri" w:cs="Calibri"/>
          <w:color w:val="000000"/>
          <w:lang w:eastAsia="es-CL"/>
        </w:rPr>
      </w:pPr>
    </w:p>
    <w:p w14:paraId="487BADC2" w14:textId="50C5699E" w:rsidR="004A5BE2" w:rsidRPr="00C4387E" w:rsidRDefault="000231CC" w:rsidP="00C4387E">
      <w:pPr>
        <w:pStyle w:val="Ttulo2"/>
        <w:spacing w:line="276" w:lineRule="auto"/>
        <w:jc w:val="both"/>
        <w:rPr>
          <w:rFonts w:ascii="Calibri" w:hAnsi="Calibri" w:cs="Calibri"/>
          <w:sz w:val="22"/>
          <w:szCs w:val="22"/>
          <w:u w:val="single"/>
        </w:rPr>
      </w:pPr>
      <w:bookmarkStart w:id="13" w:name="_Toc200704671"/>
      <w:r w:rsidRPr="00C4387E">
        <w:rPr>
          <w:rFonts w:ascii="Calibri" w:hAnsi="Calibri" w:cs="Calibri"/>
          <w:sz w:val="22"/>
          <w:szCs w:val="22"/>
          <w:u w:val="single"/>
        </w:rPr>
        <w:t>Distribución de las utilidades entre los trabajadores</w:t>
      </w:r>
      <w:r w:rsidR="00FB4F26" w:rsidRPr="00C4387E">
        <w:rPr>
          <w:rFonts w:ascii="Calibri" w:hAnsi="Calibri" w:cs="Calibri"/>
          <w:sz w:val="22"/>
          <w:szCs w:val="22"/>
          <w:u w:val="single"/>
        </w:rPr>
        <w:t>.</w:t>
      </w:r>
      <w:bookmarkEnd w:id="13"/>
    </w:p>
    <w:p w14:paraId="10FB64A9" w14:textId="77777777" w:rsidR="00FB4F26" w:rsidRDefault="00FB4F26" w:rsidP="000231CC">
      <w:pPr>
        <w:jc w:val="both"/>
        <w:rPr>
          <w:rFonts w:ascii="Calibri" w:eastAsia="Times New Roman" w:hAnsi="Calibri" w:cs="Calibri"/>
          <w:color w:val="000000"/>
          <w:lang w:eastAsia="es-CL"/>
        </w:rPr>
      </w:pPr>
    </w:p>
    <w:p w14:paraId="284B80D9" w14:textId="362D2C32" w:rsidR="00FB4F26" w:rsidRDefault="00FB4F26" w:rsidP="000231CC">
      <w:pPr>
        <w:pStyle w:val="Prrafodelista"/>
        <w:numPr>
          <w:ilvl w:val="0"/>
          <w:numId w:val="23"/>
        </w:numPr>
        <w:jc w:val="both"/>
        <w:rPr>
          <w:rFonts w:ascii="Calibri" w:eastAsia="Times New Roman" w:hAnsi="Calibri" w:cs="Calibri"/>
          <w:color w:val="000000"/>
          <w:lang w:eastAsia="es-CL"/>
        </w:rPr>
      </w:pPr>
      <w:r>
        <w:rPr>
          <w:rFonts w:ascii="Calibri" w:eastAsia="Times New Roman" w:hAnsi="Calibri" w:cs="Calibri"/>
          <w:color w:val="000000"/>
          <w:lang w:eastAsia="es-CL"/>
        </w:rPr>
        <w:t>D</w:t>
      </w:r>
      <w:r w:rsidR="000231CC" w:rsidRPr="000231CC">
        <w:rPr>
          <w:rFonts w:ascii="Calibri" w:eastAsia="Times New Roman" w:hAnsi="Calibri" w:cs="Calibri"/>
          <w:color w:val="000000"/>
          <w:lang w:eastAsia="es-CL"/>
        </w:rPr>
        <w:t>urante el proceso de recálculo, se determinó un monto distinto al informado por las sociedades, lo que implica una variación en el factor de distribución utilizado. Asimismo, en las validaciones efectuadas con los Libros de Remuneraciones Electrónicos (LRE) proporcionados, se constató que el monto utilizado por la compañía como remuneración total imponible no concuerda con los registros de los LRE. Además, en los papeles de trabajo revisados, se observó que el factor de distribución fue aplicado sobre el total imponible del trabajador descontando la gratificación anticipada, lo cual constituye una práctica incorrecta, ya que, al proceder de esta manera, el monto total a repartir entre los colaboradores resulta inferior al 30% de la utilidad determinada en la etapa previa</w:t>
      </w:r>
      <w:r w:rsidR="00612AEA">
        <w:rPr>
          <w:rFonts w:ascii="Calibri" w:eastAsia="Times New Roman" w:hAnsi="Calibri" w:cs="Calibri"/>
          <w:color w:val="000000"/>
          <w:lang w:eastAsia="es-CL"/>
        </w:rPr>
        <w:t>.</w:t>
      </w:r>
    </w:p>
    <w:p w14:paraId="2A98ADF6" w14:textId="77777777" w:rsidR="00612AEA" w:rsidRDefault="00612AEA" w:rsidP="000231CC">
      <w:pPr>
        <w:pStyle w:val="Prrafodelista"/>
        <w:jc w:val="both"/>
        <w:rPr>
          <w:rFonts w:ascii="Calibri" w:eastAsia="Times New Roman" w:hAnsi="Calibri" w:cs="Calibri"/>
          <w:color w:val="000000"/>
          <w:lang w:eastAsia="es-CL"/>
        </w:rPr>
      </w:pPr>
    </w:p>
    <w:p w14:paraId="1F9A33FB" w14:textId="212DCD16" w:rsidR="00612AEA" w:rsidRDefault="000231CC" w:rsidP="000231CC">
      <w:pPr>
        <w:pStyle w:val="Prrafodelista"/>
        <w:numPr>
          <w:ilvl w:val="0"/>
          <w:numId w:val="23"/>
        </w:numPr>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Lo anteriormente expuesto genera diferencias significativas en el monto determinado como beneficio anual para cada trabajador. Asimismo, es relevante señalar que, a la fecha, no se ha tenido acceso a la información relativa a la Declaración Jurada 1887 correspondiente a sueldos, ni a los Formularios 29 declarados durante el ejercicio comercial, lo que impide verificar que los montos informados en los LRE correspondan efectivamente a los montos declarados ante la autoridad fiscal</w:t>
      </w:r>
      <w:r w:rsidR="00612AEA">
        <w:rPr>
          <w:rFonts w:ascii="Calibri" w:eastAsia="Times New Roman" w:hAnsi="Calibri" w:cs="Calibri"/>
          <w:color w:val="000000"/>
          <w:lang w:eastAsia="es-CL"/>
        </w:rPr>
        <w:t>.</w:t>
      </w:r>
    </w:p>
    <w:p w14:paraId="04177795" w14:textId="77777777" w:rsidR="00612AEA" w:rsidRPr="00612AEA" w:rsidRDefault="00612AEA" w:rsidP="000231CC">
      <w:pPr>
        <w:pStyle w:val="Prrafodelista"/>
        <w:jc w:val="both"/>
        <w:rPr>
          <w:rFonts w:ascii="Calibri" w:eastAsia="Times New Roman" w:hAnsi="Calibri" w:cs="Calibri"/>
          <w:color w:val="000000"/>
          <w:lang w:eastAsia="es-CL"/>
        </w:rPr>
      </w:pPr>
    </w:p>
    <w:p w14:paraId="0BFD00E1" w14:textId="4043CBA4" w:rsidR="00612AEA" w:rsidRDefault="000231CC" w:rsidP="000231CC">
      <w:pPr>
        <w:pStyle w:val="Prrafodelista"/>
        <w:numPr>
          <w:ilvl w:val="0"/>
          <w:numId w:val="23"/>
        </w:numPr>
        <w:jc w:val="both"/>
        <w:rPr>
          <w:rFonts w:ascii="Calibri" w:eastAsia="Times New Roman" w:hAnsi="Calibri" w:cs="Calibri"/>
          <w:color w:val="000000"/>
          <w:lang w:eastAsia="es-CL"/>
        </w:rPr>
      </w:pPr>
      <w:r>
        <w:rPr>
          <w:rFonts w:ascii="Calibri" w:eastAsia="Times New Roman" w:hAnsi="Calibri" w:cs="Calibri"/>
          <w:color w:val="000000"/>
          <w:lang w:eastAsia="es-CL"/>
        </w:rPr>
        <w:lastRenderedPageBreak/>
        <w:t>E</w:t>
      </w:r>
      <w:r w:rsidRPr="000231CC">
        <w:rPr>
          <w:rFonts w:ascii="Calibri" w:eastAsia="Times New Roman" w:hAnsi="Calibri" w:cs="Calibri"/>
          <w:color w:val="000000"/>
          <w:lang w:eastAsia="es-CL"/>
        </w:rPr>
        <w:t>s fundamental validar los montos declarados ante el Servicio de Impuestos Internos, con el fin de considerar los valores correctos en las determinaciones realizadas. Además, se recomienda establecer procesos internos de validación para evitar errores en la determinación y distribución de utilidades entre los trabajadores.</w:t>
      </w:r>
    </w:p>
    <w:p w14:paraId="3F71023C" w14:textId="77777777" w:rsidR="00612AEA" w:rsidRDefault="00612AEA" w:rsidP="000231CC">
      <w:pPr>
        <w:pStyle w:val="Prrafodelista"/>
        <w:jc w:val="both"/>
        <w:rPr>
          <w:rFonts w:ascii="Calibri" w:eastAsia="Times New Roman" w:hAnsi="Calibri" w:cs="Calibri"/>
          <w:color w:val="000000"/>
          <w:lang w:eastAsia="es-CL"/>
        </w:rPr>
      </w:pPr>
    </w:p>
    <w:p w14:paraId="6B949DA7" w14:textId="7536284F" w:rsidR="00612AEA" w:rsidRPr="00C4387E" w:rsidRDefault="000231CC" w:rsidP="00C4387E">
      <w:pPr>
        <w:pStyle w:val="Ttulo2"/>
        <w:spacing w:line="276" w:lineRule="auto"/>
        <w:jc w:val="both"/>
        <w:rPr>
          <w:rFonts w:ascii="Calibri" w:hAnsi="Calibri" w:cs="Calibri"/>
          <w:sz w:val="22"/>
          <w:szCs w:val="22"/>
          <w:u w:val="single"/>
        </w:rPr>
      </w:pPr>
      <w:bookmarkStart w:id="14" w:name="_Toc200704672"/>
      <w:r w:rsidRPr="00C4387E">
        <w:rPr>
          <w:rFonts w:ascii="Calibri" w:hAnsi="Calibri" w:cs="Calibri"/>
          <w:sz w:val="22"/>
          <w:szCs w:val="22"/>
          <w:u w:val="single"/>
        </w:rPr>
        <w:t>Anticipo de gratificación pagado durante el ejercicio comercial</w:t>
      </w:r>
      <w:r w:rsidR="00612AEA" w:rsidRPr="00C4387E">
        <w:rPr>
          <w:rFonts w:ascii="Calibri" w:hAnsi="Calibri" w:cs="Calibri"/>
          <w:sz w:val="22"/>
          <w:szCs w:val="22"/>
          <w:u w:val="single"/>
        </w:rPr>
        <w:t>.</w:t>
      </w:r>
      <w:bookmarkEnd w:id="14"/>
    </w:p>
    <w:p w14:paraId="5A5A2560" w14:textId="77777777" w:rsidR="00612AEA" w:rsidRDefault="00612AEA" w:rsidP="000231CC">
      <w:pPr>
        <w:jc w:val="both"/>
        <w:rPr>
          <w:rFonts w:ascii="Calibri" w:eastAsia="Times New Roman" w:hAnsi="Calibri" w:cs="Calibri"/>
          <w:color w:val="000000"/>
          <w:lang w:eastAsia="es-CL"/>
        </w:rPr>
      </w:pPr>
    </w:p>
    <w:p w14:paraId="1C5CE57E" w14:textId="28267456" w:rsidR="00612AEA" w:rsidRDefault="000231CC" w:rsidP="000231CC">
      <w:pPr>
        <w:pStyle w:val="Prrafodelista"/>
        <w:numPr>
          <w:ilvl w:val="0"/>
          <w:numId w:val="24"/>
        </w:numPr>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Debido a que no se tuvo acceso a los contratos de trabajo de los colaboradores considerados para el recálculo, no es posible asegurar que los pagos realizados durante el año correspondan efectivamente a lo pactado en cada caso. Adicionalmente, se observa una amplia diversidad en los montos pagados como anticipo, y para la presente auditoría no se aportó información que acredite la existencia de un control interno sobre los pactos individuales de cada trabajador. Asimismo, en el recálculo realizado para el colaborador Antileo Cayupi, Juan Camilo —de quien sí se aportaron sus liquidaciones— se identificó una diferencia no considerada en el papel de trabajo respecto al total anticipado durante el año. Específicamente, en los meses de agosto y septiembre de 2024, el colaborador percibió en su liquidación de sueldo, bajo el haber 1050 "Ant. Gratificación Leg.", un total de $40.000, monto que fue actualizado y contrastado contra el beneficio anual devengado por el trabajador. Sin embargo, al revisar la liquidación, se identificó además el pago bajo el haber 1051 "Aj. Ant. de Gratif." por $157.917, suma que, al adicionarse al otro concepto, alcanza el tope imponible del beneficio para dicho mes. Este último haber no fue considerado en el cálculo realizado por la sociedad, lo cual genera una diferencia de $335.646 pagados en exceso a este colaborador al comparar con nuestro recálculo</w:t>
      </w:r>
      <w:r w:rsidR="00A214CF">
        <w:rPr>
          <w:rFonts w:ascii="Calibri" w:eastAsia="Times New Roman" w:hAnsi="Calibri" w:cs="Calibri"/>
          <w:color w:val="000000"/>
          <w:lang w:eastAsia="es-CL"/>
        </w:rPr>
        <w:t>.</w:t>
      </w:r>
      <w:r w:rsidR="00AF5517">
        <w:rPr>
          <w:rFonts w:ascii="Calibri" w:eastAsia="Times New Roman" w:hAnsi="Calibri" w:cs="Calibri"/>
          <w:color w:val="000000"/>
          <w:lang w:eastAsia="es-CL"/>
        </w:rPr>
        <w:t xml:space="preserve"> </w:t>
      </w:r>
    </w:p>
    <w:p w14:paraId="5D0F17B8" w14:textId="77777777" w:rsidR="000231CC" w:rsidRDefault="000231CC" w:rsidP="000231CC">
      <w:pPr>
        <w:pStyle w:val="Prrafodelista"/>
        <w:jc w:val="both"/>
        <w:rPr>
          <w:rFonts w:ascii="Calibri" w:eastAsia="Times New Roman" w:hAnsi="Calibri" w:cs="Calibri"/>
          <w:color w:val="000000"/>
          <w:lang w:eastAsia="es-CL"/>
        </w:rPr>
      </w:pPr>
    </w:p>
    <w:p w14:paraId="4EF74132" w14:textId="6699F21A" w:rsidR="004A5BE2" w:rsidRPr="000231CC" w:rsidRDefault="000231CC" w:rsidP="000231CC">
      <w:pPr>
        <w:pStyle w:val="Prrafodelista"/>
        <w:numPr>
          <w:ilvl w:val="0"/>
          <w:numId w:val="24"/>
        </w:numPr>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Esta situación evidencia una problemática general, ya que la ausencia de controles internos y la falta de una estructura de validaciones con responsables y procedimientos estandarizados para el seguimiento de los pactos individuales, sumado a la inexistencia de los contratos de trabajo al momento del análisis, conlleva el riesgo de que los montos pagados como anticipo de gratificación no correspondan a lo efectivamente pactado</w:t>
      </w:r>
      <w:r w:rsidR="00A214CF" w:rsidRPr="000231CC">
        <w:rPr>
          <w:rFonts w:ascii="Calibri" w:eastAsia="Times New Roman" w:hAnsi="Calibri" w:cs="Calibri"/>
          <w:color w:val="000000"/>
          <w:lang w:eastAsia="es-CL"/>
        </w:rPr>
        <w:t>.</w:t>
      </w:r>
    </w:p>
    <w:p w14:paraId="165699A9" w14:textId="77777777" w:rsidR="000231CC" w:rsidRPr="005F4612" w:rsidRDefault="000231CC" w:rsidP="005F4612">
      <w:pPr>
        <w:pStyle w:val="Ttulo1"/>
        <w:jc w:val="center"/>
        <w:rPr>
          <w:rFonts w:ascii="Calibri" w:hAnsi="Calibri" w:cs="Calibri"/>
          <w:b/>
          <w:bCs/>
          <w:sz w:val="22"/>
          <w:szCs w:val="22"/>
        </w:rPr>
      </w:pPr>
      <w:bookmarkStart w:id="15" w:name="_Toc200704673"/>
      <w:r w:rsidRPr="005F4612">
        <w:rPr>
          <w:rFonts w:ascii="Calibri" w:hAnsi="Calibri" w:cs="Calibri"/>
          <w:b/>
          <w:bCs/>
          <w:sz w:val="22"/>
          <w:szCs w:val="22"/>
        </w:rPr>
        <w:t>Conclusiones y Recomendaciones Finales</w:t>
      </w:r>
      <w:bookmarkEnd w:id="15"/>
    </w:p>
    <w:p w14:paraId="7C1B0BB4" w14:textId="77777777" w:rsidR="000231CC" w:rsidRPr="000231CC" w:rsidRDefault="000231CC" w:rsidP="000231CC">
      <w:pPr>
        <w:spacing w:after="0" w:line="276" w:lineRule="auto"/>
        <w:jc w:val="both"/>
        <w:rPr>
          <w:rFonts w:ascii="Calibri" w:eastAsia="Times New Roman" w:hAnsi="Calibri" w:cs="Calibri"/>
          <w:b/>
          <w:bCs/>
          <w:color w:val="000000"/>
          <w:lang w:eastAsia="es-CL"/>
        </w:rPr>
      </w:pPr>
    </w:p>
    <w:p w14:paraId="1351A47D" w14:textId="77777777" w:rsidR="000231CC" w:rsidRDefault="000231CC" w:rsidP="000231CC">
      <w:pPr>
        <w:spacing w:after="0" w:line="276" w:lineRule="auto"/>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Para asegurar un cumplimiento normativo efectivo se recomienda:</w:t>
      </w:r>
    </w:p>
    <w:p w14:paraId="33C3D08D" w14:textId="77777777" w:rsidR="000231CC" w:rsidRPr="000231CC" w:rsidRDefault="000231CC" w:rsidP="000231CC">
      <w:pPr>
        <w:spacing w:after="0" w:line="276" w:lineRule="auto"/>
        <w:jc w:val="both"/>
        <w:rPr>
          <w:rFonts w:ascii="Calibri" w:eastAsia="Times New Roman" w:hAnsi="Calibri" w:cs="Calibri"/>
          <w:color w:val="000000"/>
          <w:lang w:eastAsia="es-CL"/>
        </w:rPr>
      </w:pPr>
    </w:p>
    <w:p w14:paraId="3E201CD0" w14:textId="77777777" w:rsidR="000231CC" w:rsidRPr="000231CC" w:rsidRDefault="000231CC" w:rsidP="000231CC">
      <w:pPr>
        <w:numPr>
          <w:ilvl w:val="0"/>
          <w:numId w:val="25"/>
        </w:numPr>
        <w:spacing w:after="0" w:line="276" w:lineRule="auto"/>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Implementar controles internos rigurosos y auditorías periódicas para asegurar la validez documental.</w:t>
      </w:r>
    </w:p>
    <w:p w14:paraId="70FE2363" w14:textId="2CA2E3B4" w:rsidR="000231CC" w:rsidRPr="000231CC" w:rsidRDefault="000231CC" w:rsidP="000231CC">
      <w:pPr>
        <w:numPr>
          <w:ilvl w:val="0"/>
          <w:numId w:val="25"/>
        </w:numPr>
        <w:spacing w:after="0" w:line="276" w:lineRule="auto"/>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 xml:space="preserve">Realizar </w:t>
      </w:r>
      <w:r w:rsidR="00C4387E" w:rsidRPr="000231CC">
        <w:rPr>
          <w:rFonts w:ascii="Calibri" w:eastAsia="Times New Roman" w:hAnsi="Calibri" w:cs="Calibri"/>
          <w:color w:val="000000"/>
          <w:lang w:eastAsia="es-CL"/>
        </w:rPr>
        <w:t>recálcul</w:t>
      </w:r>
      <w:r w:rsidR="00C4387E">
        <w:rPr>
          <w:rFonts w:ascii="Calibri" w:eastAsia="Times New Roman" w:hAnsi="Calibri" w:cs="Calibri"/>
          <w:color w:val="000000"/>
          <w:lang w:eastAsia="es-CL"/>
        </w:rPr>
        <w:t>os</w:t>
      </w:r>
      <w:r w:rsidRPr="000231CC">
        <w:rPr>
          <w:rFonts w:ascii="Calibri" w:eastAsia="Times New Roman" w:hAnsi="Calibri" w:cs="Calibri"/>
          <w:color w:val="000000"/>
          <w:lang w:eastAsia="es-CL"/>
        </w:rPr>
        <w:t xml:space="preserve"> y validaciones sistemáticas con documentación oficial.</w:t>
      </w:r>
    </w:p>
    <w:p w14:paraId="60A08646" w14:textId="77777777" w:rsidR="000231CC" w:rsidRDefault="000231CC" w:rsidP="000231CC">
      <w:pPr>
        <w:numPr>
          <w:ilvl w:val="0"/>
          <w:numId w:val="25"/>
        </w:numPr>
        <w:spacing w:after="0" w:line="276" w:lineRule="auto"/>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Estandarizar políticas internas claras para el tratamiento de gratificaciones laborales.</w:t>
      </w:r>
    </w:p>
    <w:p w14:paraId="6514CC36" w14:textId="77777777" w:rsidR="000231CC" w:rsidRPr="000231CC" w:rsidRDefault="000231CC" w:rsidP="000231CC">
      <w:pPr>
        <w:spacing w:after="0" w:line="276" w:lineRule="auto"/>
        <w:jc w:val="both"/>
        <w:rPr>
          <w:rFonts w:ascii="Calibri" w:eastAsia="Times New Roman" w:hAnsi="Calibri" w:cs="Calibri"/>
          <w:color w:val="000000"/>
          <w:lang w:eastAsia="es-CL"/>
        </w:rPr>
      </w:pPr>
    </w:p>
    <w:p w14:paraId="6218485D" w14:textId="0C406A38" w:rsidR="00A2579B" w:rsidRPr="00A2579B" w:rsidRDefault="000231CC" w:rsidP="000231CC">
      <w:pPr>
        <w:spacing w:after="0" w:line="276" w:lineRule="auto"/>
        <w:jc w:val="both"/>
        <w:rPr>
          <w:rFonts w:ascii="Calibri" w:eastAsia="Times New Roman" w:hAnsi="Calibri" w:cs="Calibri"/>
          <w:color w:val="000000"/>
          <w:lang w:eastAsia="es-CL"/>
        </w:rPr>
      </w:pPr>
      <w:r w:rsidRPr="000231CC">
        <w:rPr>
          <w:rFonts w:ascii="Calibri" w:eastAsia="Times New Roman" w:hAnsi="Calibri" w:cs="Calibri"/>
          <w:color w:val="000000"/>
          <w:lang w:eastAsia="es-CL"/>
        </w:rPr>
        <w:t>Estas acciones permitirán mitigar riesgos financieros y normativos sustanciales identificados en la presente auditoría</w:t>
      </w:r>
      <w:r w:rsidR="00C4387E">
        <w:rPr>
          <w:rFonts w:ascii="Calibri" w:eastAsia="Times New Roman" w:hAnsi="Calibri" w:cs="Calibri"/>
          <w:color w:val="000000"/>
          <w:lang w:eastAsia="es-CL"/>
        </w:rPr>
        <w:t>.</w:t>
      </w:r>
    </w:p>
    <w:sectPr w:rsidR="00A2579B" w:rsidRPr="00A2579B" w:rsidSect="004F3873">
      <w:headerReference w:type="default" r:id="rId9"/>
      <w:footerReference w:type="even" r:id="rId10"/>
      <w:footerReference w:type="default" r:id="rId11"/>
      <w:footerReference w:type="first" r:id="rId12"/>
      <w:pgSz w:w="12240" w:h="15840"/>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0CB98" w14:textId="77777777" w:rsidR="00A641B3" w:rsidRDefault="00A641B3" w:rsidP="002706EC">
      <w:pPr>
        <w:spacing w:after="0" w:line="240" w:lineRule="auto"/>
      </w:pPr>
      <w:r>
        <w:separator/>
      </w:r>
    </w:p>
  </w:endnote>
  <w:endnote w:type="continuationSeparator" w:id="0">
    <w:p w14:paraId="4D294A87" w14:textId="77777777" w:rsidR="00A641B3" w:rsidRDefault="00A641B3" w:rsidP="0027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D6A8" w14:textId="2E71DD8F" w:rsidR="0086711D" w:rsidRDefault="0086711D">
    <w:pPr>
      <w:pStyle w:val="Piedepgina"/>
    </w:pPr>
    <w:r>
      <w:rPr>
        <w:noProof/>
      </w:rPr>
      <mc:AlternateContent>
        <mc:Choice Requires="wps">
          <w:drawing>
            <wp:anchor distT="0" distB="0" distL="0" distR="0" simplePos="0" relativeHeight="251659264" behindDoc="0" locked="0" layoutInCell="1" allowOverlap="1" wp14:anchorId="614D8D91" wp14:editId="3F6A724C">
              <wp:simplePos x="635" y="635"/>
              <wp:positionH relativeFrom="page">
                <wp:align>center</wp:align>
              </wp:positionH>
              <wp:positionV relativeFrom="page">
                <wp:align>bottom</wp:align>
              </wp:positionV>
              <wp:extent cx="1337310" cy="357505"/>
              <wp:effectExtent l="0" t="0" r="15240" b="0"/>
              <wp:wrapNone/>
              <wp:docPr id="44040688" name="Cuadro de texto 2" descr="Clasificación: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310" cy="357505"/>
                      </a:xfrm>
                      <a:prstGeom prst="rect">
                        <a:avLst/>
                      </a:prstGeom>
                      <a:noFill/>
                      <a:ln>
                        <a:noFill/>
                      </a:ln>
                    </wps:spPr>
                    <wps:txbx>
                      <w:txbxContent>
                        <w:p w14:paraId="167B66FB" w14:textId="172A5C90"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4D8D91" id="_x0000_t202" coordsize="21600,21600" o:spt="202" path="m,l,21600r21600,l21600,xe">
              <v:stroke joinstyle="miter"/>
              <v:path gradientshapeok="t" o:connecttype="rect"/>
            </v:shapetype>
            <v:shape id="Cuadro de texto 2" o:spid="_x0000_s1026" type="#_x0000_t202" alt="Clasificación: Confidencial" style="position:absolute;margin-left:0;margin-top:0;width:105.3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" filled="f" stroked="f">
              <v:textbox style="mso-fit-shape-to-text:t" inset="0,0,0,15pt">
                <w:txbxContent>
                  <w:p w14:paraId="167B66FB" w14:textId="172A5C90"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7E003" w14:textId="77777777" w:rsidR="00A96722" w:rsidRPr="00A96722" w:rsidRDefault="0086711D" w:rsidP="00A96722">
    <w:pPr>
      <w:pStyle w:val="Piedepgina"/>
      <w:rPr>
        <w:rFonts w:ascii="Calibri" w:eastAsiaTheme="minorHAnsi" w:hAnsi="Calibri" w:cs="Calibri"/>
      </w:rPr>
    </w:pPr>
    <w:r w:rsidRPr="00A96722">
      <w:rPr>
        <w:rFonts w:ascii="Calibri" w:hAnsi="Calibri" w:cs="Calibri"/>
        <w:noProof/>
      </w:rPr>
      <mc:AlternateContent>
        <mc:Choice Requires="wps">
          <w:drawing>
            <wp:anchor distT="0" distB="0" distL="0" distR="0" simplePos="0" relativeHeight="251660288" behindDoc="0" locked="0" layoutInCell="1" allowOverlap="1" wp14:anchorId="719C5F40" wp14:editId="798F4CD4">
              <wp:simplePos x="904875" y="9277350"/>
              <wp:positionH relativeFrom="page">
                <wp:align>center</wp:align>
              </wp:positionH>
              <wp:positionV relativeFrom="page">
                <wp:align>bottom</wp:align>
              </wp:positionV>
              <wp:extent cx="1337310" cy="357505"/>
              <wp:effectExtent l="0" t="0" r="15240" b="0"/>
              <wp:wrapNone/>
              <wp:docPr id="1374706996" name="Cuadro de texto 3" descr="Clasificación: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310" cy="357505"/>
                      </a:xfrm>
                      <a:prstGeom prst="rect">
                        <a:avLst/>
                      </a:prstGeom>
                      <a:noFill/>
                      <a:ln>
                        <a:noFill/>
                      </a:ln>
                    </wps:spPr>
                    <wps:txbx>
                      <w:txbxContent>
                        <w:p w14:paraId="6CB4ED21" w14:textId="73F9ED5E"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9C5F40" id="_x0000_t202" coordsize="21600,21600" o:spt="202" path="m,l,21600r21600,l21600,xe">
              <v:stroke joinstyle="miter"/>
              <v:path gradientshapeok="t" o:connecttype="rect"/>
            </v:shapetype>
            <v:shape id="Cuadro de texto 3" o:spid="_x0000_s1027" type="#_x0000_t202" alt="Clasificación: Confidencial" style="position:absolute;margin-left:0;margin-top:0;width:105.3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" filled="f" stroked="f">
              <v:textbox style="mso-fit-shape-to-text:t" inset="0,0,0,15pt">
                <w:txbxContent>
                  <w:p w14:paraId="6CB4ED21" w14:textId="73F9ED5E"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v:textbox>
              <w10:wrap anchorx="page" anchory="page"/>
            </v:shape>
          </w:pict>
        </mc:Fallback>
      </mc:AlternateContent>
    </w:r>
    <w:r w:rsidR="00A96722" w:rsidRPr="00A96722">
      <w:rPr>
        <w:rFonts w:ascii="Calibri" w:eastAsiaTheme="minorHAnsi" w:hAnsi="Calibri" w:cs="Calibri"/>
        <w:b/>
        <w:bCs/>
      </w:rPr>
      <w:t>RSM Chile SpA.</w:t>
    </w:r>
    <w:r w:rsidR="00A96722" w:rsidRPr="00A96722">
      <w:rPr>
        <w:rFonts w:ascii="Calibri" w:eastAsiaTheme="minorHAnsi" w:hAnsi="Calibri" w:cs="Calibri"/>
        <w:b/>
        <w:bCs/>
      </w:rPr>
      <w:br/>
    </w:r>
    <w:r w:rsidR="00A96722" w:rsidRPr="00A96722">
      <w:rPr>
        <w:rFonts w:ascii="Calibri" w:eastAsiaTheme="minorHAnsi" w:hAnsi="Calibri" w:cs="Calibri"/>
      </w:rPr>
      <w:t>Cruz del Sur 133, 4to Piso Las Condes, Santiago-Chile</w:t>
    </w:r>
  </w:p>
  <w:p w14:paraId="2228A11D" w14:textId="3CF9BBB1" w:rsidR="00F44D4E" w:rsidRDefault="00F44D4E" w:rsidP="00F44D4E">
    <w:pPr>
      <w:pStyle w:val="Piedepgina"/>
      <w:rPr>
        <w:rFonts w:ascii="Arial" w:hAnsi="Arial" w:cs="Arial"/>
      </w:rPr>
    </w:pPr>
  </w:p>
  <w:p w14:paraId="7606AB7E" w14:textId="77777777" w:rsidR="00F44D4E" w:rsidRDefault="00F44D4E" w:rsidP="00F44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435E4" w14:textId="30E7A156" w:rsidR="0086711D" w:rsidRDefault="0086711D">
    <w:pPr>
      <w:pStyle w:val="Piedepgina"/>
    </w:pPr>
    <w:r>
      <w:rPr>
        <w:noProof/>
      </w:rPr>
      <mc:AlternateContent>
        <mc:Choice Requires="wps">
          <w:drawing>
            <wp:anchor distT="0" distB="0" distL="0" distR="0" simplePos="0" relativeHeight="251658240" behindDoc="0" locked="0" layoutInCell="1" allowOverlap="1" wp14:anchorId="41253AD5" wp14:editId="4F105A71">
              <wp:simplePos x="635" y="635"/>
              <wp:positionH relativeFrom="page">
                <wp:align>center</wp:align>
              </wp:positionH>
              <wp:positionV relativeFrom="page">
                <wp:align>bottom</wp:align>
              </wp:positionV>
              <wp:extent cx="1337310" cy="357505"/>
              <wp:effectExtent l="0" t="0" r="15240" b="0"/>
              <wp:wrapNone/>
              <wp:docPr id="169233646" name="Cuadro de texto 1" descr="Clasificación: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7310" cy="357505"/>
                      </a:xfrm>
                      <a:prstGeom prst="rect">
                        <a:avLst/>
                      </a:prstGeom>
                      <a:noFill/>
                      <a:ln>
                        <a:noFill/>
                      </a:ln>
                    </wps:spPr>
                    <wps:txbx>
                      <w:txbxContent>
                        <w:p w14:paraId="2D91E80A" w14:textId="517F9688"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253AD5" id="_x0000_t202" coordsize="21600,21600" o:spt="202" path="m,l,21600r21600,l21600,xe">
              <v:stroke joinstyle="miter"/>
              <v:path gradientshapeok="t" o:connecttype="rect"/>
            </v:shapetype>
            <v:shape id="Cuadro de texto 1" o:spid="_x0000_s1028" type="#_x0000_t202" alt="Clasificación: Confidencial" style="position:absolute;margin-left:0;margin-top:0;width:105.3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" filled="f" stroked="f">
              <v:textbox style="mso-fit-shape-to-text:t" inset="0,0,0,15pt">
                <w:txbxContent>
                  <w:p w14:paraId="2D91E80A" w14:textId="517F9688" w:rsidR="0086711D" w:rsidRPr="0086711D" w:rsidRDefault="0086711D" w:rsidP="0086711D">
                    <w:pPr>
                      <w:spacing w:after="0"/>
                      <w:rPr>
                        <w:rFonts w:ascii="Calibri" w:eastAsia="Calibri" w:hAnsi="Calibri" w:cs="Calibri"/>
                        <w:noProof/>
                        <w:color w:val="000000"/>
                        <w:sz w:val="20"/>
                        <w:szCs w:val="20"/>
                      </w:rPr>
                    </w:pPr>
                    <w:r w:rsidRPr="0086711D">
                      <w:rPr>
                        <w:rFonts w:ascii="Calibri" w:eastAsia="Calibri" w:hAnsi="Calibri" w:cs="Calibri"/>
                        <w:noProof/>
                        <w:color w:val="000000"/>
                        <w:sz w:val="20"/>
                        <w:szCs w:val="20"/>
                      </w:rPr>
                      <w:t>Clasificación: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BFA07" w14:textId="77777777" w:rsidR="00A641B3" w:rsidRDefault="00A641B3" w:rsidP="002706EC">
      <w:pPr>
        <w:spacing w:after="0" w:line="240" w:lineRule="auto"/>
      </w:pPr>
      <w:r>
        <w:separator/>
      </w:r>
    </w:p>
  </w:footnote>
  <w:footnote w:type="continuationSeparator" w:id="0">
    <w:p w14:paraId="75DF3E42" w14:textId="77777777" w:rsidR="00A641B3" w:rsidRDefault="00A641B3" w:rsidP="00270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69675" w14:textId="095F37F6" w:rsidR="000F5285" w:rsidRDefault="00A96722">
    <w:pPr>
      <w:pStyle w:val="Encabezado"/>
    </w:pPr>
    <w:r>
      <w:rPr>
        <w:noProof/>
        <w:lang w:eastAsia="es-CL"/>
      </w:rPr>
      <w:drawing>
        <wp:inline distT="0" distB="0" distL="0" distR="0" wp14:anchorId="24F29762" wp14:editId="5B7CF6D3">
          <wp:extent cx="798394" cy="361284"/>
          <wp:effectExtent l="0" t="0" r="1905" b="1270"/>
          <wp:docPr id="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El contenido generado por IA puede ser incorrecto."/>
                  <pic:cNvPicPr/>
                </pic:nvPicPr>
                <pic:blipFill>
                  <a:blip r:embed="rId1"/>
                  <a:stretch>
                    <a:fillRect/>
                  </a:stretch>
                </pic:blipFill>
                <pic:spPr>
                  <a:xfrm>
                    <a:off x="0" y="0"/>
                    <a:ext cx="823197" cy="3725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E7D"/>
    <w:multiLevelType w:val="multilevel"/>
    <w:tmpl w:val="C1B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48C"/>
    <w:multiLevelType w:val="hybridMultilevel"/>
    <w:tmpl w:val="EA86CA1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BB009E"/>
    <w:multiLevelType w:val="multilevel"/>
    <w:tmpl w:val="C87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0770D"/>
    <w:multiLevelType w:val="hybridMultilevel"/>
    <w:tmpl w:val="AB881988"/>
    <w:lvl w:ilvl="0" w:tplc="A9BE8946">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F46EAE"/>
    <w:multiLevelType w:val="hybridMultilevel"/>
    <w:tmpl w:val="D19A823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376451"/>
    <w:multiLevelType w:val="multilevel"/>
    <w:tmpl w:val="AD9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655A7"/>
    <w:multiLevelType w:val="multilevel"/>
    <w:tmpl w:val="54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55B75"/>
    <w:multiLevelType w:val="hybridMultilevel"/>
    <w:tmpl w:val="61E85C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90D7790"/>
    <w:multiLevelType w:val="multilevel"/>
    <w:tmpl w:val="5A0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370F2"/>
    <w:multiLevelType w:val="hybridMultilevel"/>
    <w:tmpl w:val="A29A601C"/>
    <w:lvl w:ilvl="0" w:tplc="34027A6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AD06FD2"/>
    <w:multiLevelType w:val="hybridMultilevel"/>
    <w:tmpl w:val="3CC81D8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0251FB2"/>
    <w:multiLevelType w:val="hybridMultilevel"/>
    <w:tmpl w:val="5BE6F09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1C909F3"/>
    <w:multiLevelType w:val="multilevel"/>
    <w:tmpl w:val="CCFE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E11D0"/>
    <w:multiLevelType w:val="hybridMultilevel"/>
    <w:tmpl w:val="B2E6AE3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B681743"/>
    <w:multiLevelType w:val="hybridMultilevel"/>
    <w:tmpl w:val="2F9262C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CD959C9"/>
    <w:multiLevelType w:val="multilevel"/>
    <w:tmpl w:val="8B0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E2A2E"/>
    <w:multiLevelType w:val="hybridMultilevel"/>
    <w:tmpl w:val="81842DDC"/>
    <w:lvl w:ilvl="0" w:tplc="E3E429F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0B01447"/>
    <w:multiLevelType w:val="hybridMultilevel"/>
    <w:tmpl w:val="724E74C0"/>
    <w:lvl w:ilvl="0" w:tplc="2F52E9F2">
      <w:start w:val="8"/>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61151D2B"/>
    <w:multiLevelType w:val="hybridMultilevel"/>
    <w:tmpl w:val="FCD4E13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632D7B5A"/>
    <w:multiLevelType w:val="hybridMultilevel"/>
    <w:tmpl w:val="DC8A167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35A2D4F"/>
    <w:multiLevelType w:val="hybridMultilevel"/>
    <w:tmpl w:val="CC06AF2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40678FD"/>
    <w:multiLevelType w:val="hybridMultilevel"/>
    <w:tmpl w:val="9E361B8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6BC6751"/>
    <w:multiLevelType w:val="hybridMultilevel"/>
    <w:tmpl w:val="D08C11C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8CB5821"/>
    <w:multiLevelType w:val="hybridMultilevel"/>
    <w:tmpl w:val="9E5845E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E416129"/>
    <w:multiLevelType w:val="hybridMultilevel"/>
    <w:tmpl w:val="3EBC3A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87443507">
    <w:abstractNumId w:val="0"/>
  </w:num>
  <w:num w:numId="2" w16cid:durableId="1322924935">
    <w:abstractNumId w:val="5"/>
  </w:num>
  <w:num w:numId="3" w16cid:durableId="1727292876">
    <w:abstractNumId w:val="6"/>
  </w:num>
  <w:num w:numId="4" w16cid:durableId="2126801238">
    <w:abstractNumId w:val="15"/>
  </w:num>
  <w:num w:numId="5" w16cid:durableId="96946232">
    <w:abstractNumId w:val="12"/>
  </w:num>
  <w:num w:numId="6" w16cid:durableId="1966815208">
    <w:abstractNumId w:val="2"/>
  </w:num>
  <w:num w:numId="7" w16cid:durableId="801460897">
    <w:abstractNumId w:val="17"/>
  </w:num>
  <w:num w:numId="8" w16cid:durableId="832449560">
    <w:abstractNumId w:val="3"/>
  </w:num>
  <w:num w:numId="9" w16cid:durableId="108816623">
    <w:abstractNumId w:val="18"/>
  </w:num>
  <w:num w:numId="10" w16cid:durableId="1740982922">
    <w:abstractNumId w:val="13"/>
  </w:num>
  <w:num w:numId="11" w16cid:durableId="1597011916">
    <w:abstractNumId w:val="7"/>
  </w:num>
  <w:num w:numId="12" w16cid:durableId="878590017">
    <w:abstractNumId w:val="1"/>
  </w:num>
  <w:num w:numId="13" w16cid:durableId="991567906">
    <w:abstractNumId w:val="4"/>
  </w:num>
  <w:num w:numId="14" w16cid:durableId="1784837959">
    <w:abstractNumId w:val="23"/>
  </w:num>
  <w:num w:numId="15" w16cid:durableId="426972303">
    <w:abstractNumId w:val="24"/>
  </w:num>
  <w:num w:numId="16" w16cid:durableId="1946767937">
    <w:abstractNumId w:val="9"/>
  </w:num>
  <w:num w:numId="17" w16cid:durableId="989166957">
    <w:abstractNumId w:val="10"/>
  </w:num>
  <w:num w:numId="18" w16cid:durableId="908270375">
    <w:abstractNumId w:val="20"/>
  </w:num>
  <w:num w:numId="19" w16cid:durableId="888880203">
    <w:abstractNumId w:val="11"/>
  </w:num>
  <w:num w:numId="20" w16cid:durableId="517276934">
    <w:abstractNumId w:val="16"/>
  </w:num>
  <w:num w:numId="21" w16cid:durableId="960652844">
    <w:abstractNumId w:val="22"/>
  </w:num>
  <w:num w:numId="22" w16cid:durableId="415248949">
    <w:abstractNumId w:val="21"/>
  </w:num>
  <w:num w:numId="23" w16cid:durableId="2063675073">
    <w:abstractNumId w:val="14"/>
  </w:num>
  <w:num w:numId="24" w16cid:durableId="2093041564">
    <w:abstractNumId w:val="19"/>
  </w:num>
  <w:num w:numId="25" w16cid:durableId="467554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73"/>
    <w:rsid w:val="00011AFD"/>
    <w:rsid w:val="00017800"/>
    <w:rsid w:val="000231CC"/>
    <w:rsid w:val="00050C42"/>
    <w:rsid w:val="00062EC2"/>
    <w:rsid w:val="00072200"/>
    <w:rsid w:val="00094AA7"/>
    <w:rsid w:val="000A3160"/>
    <w:rsid w:val="000B3098"/>
    <w:rsid w:val="000C6036"/>
    <w:rsid w:val="000D7D15"/>
    <w:rsid w:val="000E203B"/>
    <w:rsid w:val="000F5285"/>
    <w:rsid w:val="00133BFA"/>
    <w:rsid w:val="00153503"/>
    <w:rsid w:val="001A5488"/>
    <w:rsid w:val="00243F3B"/>
    <w:rsid w:val="002466A4"/>
    <w:rsid w:val="00247365"/>
    <w:rsid w:val="002706EC"/>
    <w:rsid w:val="002C7F20"/>
    <w:rsid w:val="003028C6"/>
    <w:rsid w:val="0030796B"/>
    <w:rsid w:val="00333BC1"/>
    <w:rsid w:val="00361EF3"/>
    <w:rsid w:val="00391D7C"/>
    <w:rsid w:val="003A0212"/>
    <w:rsid w:val="003B1451"/>
    <w:rsid w:val="003E0705"/>
    <w:rsid w:val="003E7F66"/>
    <w:rsid w:val="00413957"/>
    <w:rsid w:val="004467DE"/>
    <w:rsid w:val="00461F3A"/>
    <w:rsid w:val="004A5BE2"/>
    <w:rsid w:val="004B1CAB"/>
    <w:rsid w:val="004C3B7E"/>
    <w:rsid w:val="004F3873"/>
    <w:rsid w:val="005056A1"/>
    <w:rsid w:val="005066E8"/>
    <w:rsid w:val="00513C84"/>
    <w:rsid w:val="00524B4F"/>
    <w:rsid w:val="0053641D"/>
    <w:rsid w:val="00543F40"/>
    <w:rsid w:val="00573BF0"/>
    <w:rsid w:val="00592B6B"/>
    <w:rsid w:val="005B6409"/>
    <w:rsid w:val="005D3D94"/>
    <w:rsid w:val="005F3F7A"/>
    <w:rsid w:val="005F4612"/>
    <w:rsid w:val="00600E7E"/>
    <w:rsid w:val="00612AEA"/>
    <w:rsid w:val="00641219"/>
    <w:rsid w:val="00646B95"/>
    <w:rsid w:val="006A2F39"/>
    <w:rsid w:val="006C4E2B"/>
    <w:rsid w:val="00700CC7"/>
    <w:rsid w:val="007C16DA"/>
    <w:rsid w:val="007D1CEF"/>
    <w:rsid w:val="00803820"/>
    <w:rsid w:val="0081598D"/>
    <w:rsid w:val="00832384"/>
    <w:rsid w:val="0084571E"/>
    <w:rsid w:val="00863690"/>
    <w:rsid w:val="0086711D"/>
    <w:rsid w:val="00876218"/>
    <w:rsid w:val="009002F7"/>
    <w:rsid w:val="00907126"/>
    <w:rsid w:val="00952FC9"/>
    <w:rsid w:val="00972D06"/>
    <w:rsid w:val="00974682"/>
    <w:rsid w:val="00976064"/>
    <w:rsid w:val="00983FBD"/>
    <w:rsid w:val="009A4E09"/>
    <w:rsid w:val="009A7CF7"/>
    <w:rsid w:val="009C1012"/>
    <w:rsid w:val="009D5DB0"/>
    <w:rsid w:val="009E08F0"/>
    <w:rsid w:val="009E58E5"/>
    <w:rsid w:val="00A0187D"/>
    <w:rsid w:val="00A11863"/>
    <w:rsid w:val="00A15BB0"/>
    <w:rsid w:val="00A214CF"/>
    <w:rsid w:val="00A2579B"/>
    <w:rsid w:val="00A35C0D"/>
    <w:rsid w:val="00A41EA9"/>
    <w:rsid w:val="00A51C2D"/>
    <w:rsid w:val="00A51E2D"/>
    <w:rsid w:val="00A56728"/>
    <w:rsid w:val="00A641B3"/>
    <w:rsid w:val="00A70976"/>
    <w:rsid w:val="00A94AB5"/>
    <w:rsid w:val="00A96722"/>
    <w:rsid w:val="00AF5517"/>
    <w:rsid w:val="00B00BD5"/>
    <w:rsid w:val="00B14D35"/>
    <w:rsid w:val="00B16C02"/>
    <w:rsid w:val="00B21BC2"/>
    <w:rsid w:val="00B40200"/>
    <w:rsid w:val="00B44CB9"/>
    <w:rsid w:val="00B67638"/>
    <w:rsid w:val="00B7487A"/>
    <w:rsid w:val="00B93BA2"/>
    <w:rsid w:val="00B945D1"/>
    <w:rsid w:val="00B965F6"/>
    <w:rsid w:val="00C01AC2"/>
    <w:rsid w:val="00C1447F"/>
    <w:rsid w:val="00C244FD"/>
    <w:rsid w:val="00C4387E"/>
    <w:rsid w:val="00C43C0A"/>
    <w:rsid w:val="00C65B9F"/>
    <w:rsid w:val="00C91EF8"/>
    <w:rsid w:val="00CB4858"/>
    <w:rsid w:val="00CF57BE"/>
    <w:rsid w:val="00CF79A6"/>
    <w:rsid w:val="00D1603F"/>
    <w:rsid w:val="00D448C4"/>
    <w:rsid w:val="00D9561E"/>
    <w:rsid w:val="00DD6BEE"/>
    <w:rsid w:val="00DD78DC"/>
    <w:rsid w:val="00DE55E0"/>
    <w:rsid w:val="00E06055"/>
    <w:rsid w:val="00F43372"/>
    <w:rsid w:val="00F43D1F"/>
    <w:rsid w:val="00F44D4E"/>
    <w:rsid w:val="00F70955"/>
    <w:rsid w:val="00F86AC5"/>
    <w:rsid w:val="00F940C6"/>
    <w:rsid w:val="00FB4F26"/>
    <w:rsid w:val="00FC065D"/>
    <w:rsid w:val="00FC1A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7D1A"/>
  <w15:chartTrackingRefBased/>
  <w15:docId w15:val="{231F0C35-2A8B-4C70-84CC-92DCE2AA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7E"/>
  </w:style>
  <w:style w:type="paragraph" w:styleId="Ttulo1">
    <w:name w:val="heading 1"/>
    <w:basedOn w:val="Normal"/>
    <w:next w:val="Normal"/>
    <w:link w:val="Ttulo1Car"/>
    <w:uiPriority w:val="9"/>
    <w:qFormat/>
    <w:rsid w:val="00C4387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C4387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4387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C4387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C4387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C4387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C4387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C4387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C4387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87E"/>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4F387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4F3873"/>
  </w:style>
  <w:style w:type="character" w:styleId="Hipervnculo">
    <w:name w:val="Hyperlink"/>
    <w:basedOn w:val="Fuentedeprrafopredeter"/>
    <w:uiPriority w:val="99"/>
    <w:unhideWhenUsed/>
    <w:rsid w:val="004F3873"/>
    <w:rPr>
      <w:color w:val="0000FF"/>
      <w:u w:val="single"/>
    </w:rPr>
  </w:style>
  <w:style w:type="paragraph" w:styleId="TtuloTDC">
    <w:name w:val="TOC Heading"/>
    <w:basedOn w:val="Ttulo1"/>
    <w:next w:val="Normal"/>
    <w:uiPriority w:val="39"/>
    <w:unhideWhenUsed/>
    <w:qFormat/>
    <w:rsid w:val="00C4387E"/>
    <w:pPr>
      <w:outlineLvl w:val="9"/>
    </w:pPr>
  </w:style>
  <w:style w:type="paragraph" w:styleId="TDC1">
    <w:name w:val="toc 1"/>
    <w:basedOn w:val="Normal"/>
    <w:next w:val="Normal"/>
    <w:autoRedefine/>
    <w:uiPriority w:val="39"/>
    <w:unhideWhenUsed/>
    <w:rsid w:val="004F3873"/>
    <w:pPr>
      <w:spacing w:after="100"/>
    </w:pPr>
  </w:style>
  <w:style w:type="paragraph" w:styleId="TDC2">
    <w:name w:val="toc 2"/>
    <w:basedOn w:val="Normal"/>
    <w:next w:val="Normal"/>
    <w:autoRedefine/>
    <w:uiPriority w:val="39"/>
    <w:unhideWhenUsed/>
    <w:rsid w:val="006C4E2B"/>
    <w:pPr>
      <w:spacing w:after="100"/>
      <w:ind w:left="220"/>
    </w:pPr>
    <w:rPr>
      <w:rFonts w:cs="Times New Roman"/>
      <w:lang w:eastAsia="es-CL"/>
    </w:rPr>
  </w:style>
  <w:style w:type="paragraph" w:styleId="TDC3">
    <w:name w:val="toc 3"/>
    <w:basedOn w:val="Normal"/>
    <w:next w:val="Normal"/>
    <w:autoRedefine/>
    <w:uiPriority w:val="39"/>
    <w:unhideWhenUsed/>
    <w:rsid w:val="006C4E2B"/>
    <w:pPr>
      <w:spacing w:after="100"/>
      <w:ind w:left="440"/>
    </w:pPr>
    <w:rPr>
      <w:rFonts w:cs="Times New Roman"/>
      <w:lang w:eastAsia="es-CL"/>
    </w:rPr>
  </w:style>
  <w:style w:type="paragraph" w:customStyle="1" w:styleId="Estilo1">
    <w:name w:val="Estilo1"/>
    <w:basedOn w:val="Normal"/>
    <w:link w:val="Estilo1Car"/>
    <w:autoRedefine/>
    <w:rsid w:val="00A41EA9"/>
    <w:pPr>
      <w:spacing w:after="240" w:line="360" w:lineRule="auto"/>
      <w:jc w:val="center"/>
    </w:pPr>
    <w:rPr>
      <w:rFonts w:ascii="Arial" w:eastAsia="Times New Roman" w:hAnsi="Arial" w:cs="Arial"/>
      <w:b/>
      <w:bCs/>
      <w:color w:val="000000"/>
      <w:kern w:val="36"/>
      <w:sz w:val="24"/>
      <w:szCs w:val="24"/>
      <w:u w:val="single"/>
      <w:lang w:eastAsia="es-CL"/>
    </w:rPr>
  </w:style>
  <w:style w:type="character" w:customStyle="1" w:styleId="Estilo1Car">
    <w:name w:val="Estilo1 Car"/>
    <w:basedOn w:val="Fuentedeprrafopredeter"/>
    <w:link w:val="Estilo1"/>
    <w:rsid w:val="00A41EA9"/>
    <w:rPr>
      <w:rFonts w:ascii="Arial" w:eastAsia="Times New Roman" w:hAnsi="Arial" w:cs="Arial"/>
      <w:b/>
      <w:bCs/>
      <w:color w:val="000000"/>
      <w:kern w:val="36"/>
      <w:sz w:val="24"/>
      <w:szCs w:val="24"/>
      <w:u w:val="single"/>
      <w:lang w:eastAsia="es-CL"/>
    </w:rPr>
  </w:style>
  <w:style w:type="paragraph" w:styleId="Subttulo">
    <w:name w:val="Subtitle"/>
    <w:basedOn w:val="Normal"/>
    <w:next w:val="Normal"/>
    <w:link w:val="SubttuloCar"/>
    <w:uiPriority w:val="11"/>
    <w:qFormat/>
    <w:rsid w:val="00C4387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C4387E"/>
    <w:rPr>
      <w:rFonts w:asciiTheme="majorHAnsi" w:eastAsiaTheme="majorEastAsia" w:hAnsiTheme="majorHAnsi" w:cstheme="majorBidi"/>
      <w:color w:val="4472C4" w:themeColor="accent1"/>
      <w:sz w:val="28"/>
      <w:szCs w:val="28"/>
    </w:rPr>
  </w:style>
  <w:style w:type="character" w:customStyle="1" w:styleId="Ttulo2Car">
    <w:name w:val="Título 2 Car"/>
    <w:basedOn w:val="Fuentedeprrafopredeter"/>
    <w:link w:val="Ttulo2"/>
    <w:uiPriority w:val="9"/>
    <w:rsid w:val="00C4387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4387E"/>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C4387E"/>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C4387E"/>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C4387E"/>
    <w:rPr>
      <w:rFonts w:asciiTheme="majorHAnsi" w:eastAsiaTheme="majorEastAsia" w:hAnsiTheme="majorHAnsi" w:cstheme="majorBidi"/>
      <w:i/>
      <w:iCs/>
      <w:caps/>
      <w:color w:val="1F3864" w:themeColor="accent1" w:themeShade="80"/>
    </w:rPr>
  </w:style>
  <w:style w:type="paragraph" w:styleId="Ttulo">
    <w:name w:val="Title"/>
    <w:basedOn w:val="Normal"/>
    <w:next w:val="Normal"/>
    <w:link w:val="TtuloCar"/>
    <w:uiPriority w:val="10"/>
    <w:qFormat/>
    <w:rsid w:val="00C4387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C4387E"/>
    <w:rPr>
      <w:rFonts w:asciiTheme="majorHAnsi" w:eastAsiaTheme="majorEastAsia" w:hAnsiTheme="majorHAnsi" w:cstheme="majorBidi"/>
      <w:caps/>
      <w:color w:val="44546A" w:themeColor="text2"/>
      <w:spacing w:val="-15"/>
      <w:sz w:val="72"/>
      <w:szCs w:val="72"/>
    </w:rPr>
  </w:style>
  <w:style w:type="paragraph" w:styleId="Encabezado">
    <w:name w:val="header"/>
    <w:basedOn w:val="Normal"/>
    <w:link w:val="EncabezadoCar"/>
    <w:uiPriority w:val="99"/>
    <w:unhideWhenUsed/>
    <w:rsid w:val="002706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06EC"/>
  </w:style>
  <w:style w:type="paragraph" w:styleId="Piedepgina">
    <w:name w:val="footer"/>
    <w:basedOn w:val="Normal"/>
    <w:link w:val="PiedepginaCar"/>
    <w:uiPriority w:val="99"/>
    <w:unhideWhenUsed/>
    <w:rsid w:val="002706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06EC"/>
  </w:style>
  <w:style w:type="character" w:styleId="Refdecomentario">
    <w:name w:val="annotation reference"/>
    <w:basedOn w:val="Fuentedeprrafopredeter"/>
    <w:uiPriority w:val="99"/>
    <w:semiHidden/>
    <w:unhideWhenUsed/>
    <w:rsid w:val="009A4E09"/>
    <w:rPr>
      <w:sz w:val="16"/>
      <w:szCs w:val="16"/>
    </w:rPr>
  </w:style>
  <w:style w:type="paragraph" w:styleId="Textocomentario">
    <w:name w:val="annotation text"/>
    <w:basedOn w:val="Normal"/>
    <w:link w:val="TextocomentarioCar"/>
    <w:uiPriority w:val="99"/>
    <w:semiHidden/>
    <w:unhideWhenUsed/>
    <w:rsid w:val="009A4E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4E09"/>
    <w:rPr>
      <w:sz w:val="20"/>
      <w:szCs w:val="20"/>
    </w:rPr>
  </w:style>
  <w:style w:type="paragraph" w:styleId="Asuntodelcomentario">
    <w:name w:val="annotation subject"/>
    <w:basedOn w:val="Textocomentario"/>
    <w:next w:val="Textocomentario"/>
    <w:link w:val="AsuntodelcomentarioCar"/>
    <w:uiPriority w:val="99"/>
    <w:semiHidden/>
    <w:unhideWhenUsed/>
    <w:rsid w:val="009A4E09"/>
    <w:rPr>
      <w:b/>
      <w:bCs/>
    </w:rPr>
  </w:style>
  <w:style w:type="character" w:customStyle="1" w:styleId="AsuntodelcomentarioCar">
    <w:name w:val="Asunto del comentario Car"/>
    <w:basedOn w:val="TextocomentarioCar"/>
    <w:link w:val="Asuntodelcomentario"/>
    <w:uiPriority w:val="99"/>
    <w:semiHidden/>
    <w:rsid w:val="009A4E09"/>
    <w:rPr>
      <w:b/>
      <w:bCs/>
      <w:sz w:val="20"/>
      <w:szCs w:val="20"/>
    </w:rPr>
  </w:style>
  <w:style w:type="character" w:styleId="Mencinsinresolver">
    <w:name w:val="Unresolved Mention"/>
    <w:basedOn w:val="Fuentedeprrafopredeter"/>
    <w:uiPriority w:val="99"/>
    <w:semiHidden/>
    <w:unhideWhenUsed/>
    <w:rsid w:val="00A35C0D"/>
    <w:rPr>
      <w:color w:val="605E5C"/>
      <w:shd w:val="clear" w:color="auto" w:fill="E1DFDD"/>
    </w:rPr>
  </w:style>
  <w:style w:type="paragraph" w:styleId="Bibliografa">
    <w:name w:val="Bibliography"/>
    <w:basedOn w:val="Normal"/>
    <w:next w:val="Normal"/>
    <w:uiPriority w:val="37"/>
    <w:unhideWhenUsed/>
    <w:rsid w:val="00A35C0D"/>
  </w:style>
  <w:style w:type="paragraph" w:styleId="Prrafodelista">
    <w:name w:val="List Paragraph"/>
    <w:basedOn w:val="Normal"/>
    <w:uiPriority w:val="34"/>
    <w:qFormat/>
    <w:rsid w:val="00B14D35"/>
    <w:pPr>
      <w:ind w:left="720"/>
      <w:contextualSpacing/>
    </w:pPr>
  </w:style>
  <w:style w:type="table" w:styleId="Tablaconcuadrcula">
    <w:name w:val="Table Grid"/>
    <w:basedOn w:val="Tablanormal"/>
    <w:uiPriority w:val="39"/>
    <w:rsid w:val="00C6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B44CB9"/>
    <w:pPr>
      <w:spacing w:after="100"/>
      <w:ind w:left="660"/>
    </w:pPr>
    <w:rPr>
      <w:lang w:eastAsia="es-CL"/>
    </w:rPr>
  </w:style>
  <w:style w:type="paragraph" w:styleId="TDC5">
    <w:name w:val="toc 5"/>
    <w:basedOn w:val="Normal"/>
    <w:next w:val="Normal"/>
    <w:autoRedefine/>
    <w:uiPriority w:val="39"/>
    <w:unhideWhenUsed/>
    <w:rsid w:val="00B44CB9"/>
    <w:pPr>
      <w:spacing w:after="100"/>
      <w:ind w:left="880"/>
    </w:pPr>
    <w:rPr>
      <w:lang w:eastAsia="es-CL"/>
    </w:rPr>
  </w:style>
  <w:style w:type="paragraph" w:styleId="TDC6">
    <w:name w:val="toc 6"/>
    <w:basedOn w:val="Normal"/>
    <w:next w:val="Normal"/>
    <w:autoRedefine/>
    <w:uiPriority w:val="39"/>
    <w:unhideWhenUsed/>
    <w:rsid w:val="00B44CB9"/>
    <w:pPr>
      <w:spacing w:after="100"/>
      <w:ind w:left="1100"/>
    </w:pPr>
    <w:rPr>
      <w:lang w:eastAsia="es-CL"/>
    </w:rPr>
  </w:style>
  <w:style w:type="paragraph" w:styleId="TDC7">
    <w:name w:val="toc 7"/>
    <w:basedOn w:val="Normal"/>
    <w:next w:val="Normal"/>
    <w:autoRedefine/>
    <w:uiPriority w:val="39"/>
    <w:unhideWhenUsed/>
    <w:rsid w:val="00B44CB9"/>
    <w:pPr>
      <w:spacing w:after="100"/>
      <w:ind w:left="1320"/>
    </w:pPr>
    <w:rPr>
      <w:lang w:eastAsia="es-CL"/>
    </w:rPr>
  </w:style>
  <w:style w:type="paragraph" w:styleId="TDC8">
    <w:name w:val="toc 8"/>
    <w:basedOn w:val="Normal"/>
    <w:next w:val="Normal"/>
    <w:autoRedefine/>
    <w:uiPriority w:val="39"/>
    <w:unhideWhenUsed/>
    <w:rsid w:val="00B44CB9"/>
    <w:pPr>
      <w:spacing w:after="100"/>
      <w:ind w:left="1540"/>
    </w:pPr>
    <w:rPr>
      <w:lang w:eastAsia="es-CL"/>
    </w:rPr>
  </w:style>
  <w:style w:type="paragraph" w:styleId="TDC9">
    <w:name w:val="toc 9"/>
    <w:basedOn w:val="Normal"/>
    <w:next w:val="Normal"/>
    <w:autoRedefine/>
    <w:uiPriority w:val="39"/>
    <w:unhideWhenUsed/>
    <w:rsid w:val="00B44CB9"/>
    <w:pPr>
      <w:spacing w:after="100"/>
      <w:ind w:left="1760"/>
    </w:pPr>
    <w:rPr>
      <w:lang w:eastAsia="es-CL"/>
    </w:rPr>
  </w:style>
  <w:style w:type="character" w:customStyle="1" w:styleId="Ttulo7Car">
    <w:name w:val="Título 7 Car"/>
    <w:basedOn w:val="Fuentedeprrafopredeter"/>
    <w:link w:val="Ttulo7"/>
    <w:uiPriority w:val="9"/>
    <w:semiHidden/>
    <w:rsid w:val="00C4387E"/>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C4387E"/>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C4387E"/>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C4387E"/>
    <w:pPr>
      <w:spacing w:line="240" w:lineRule="auto"/>
    </w:pPr>
    <w:rPr>
      <w:b/>
      <w:bCs/>
      <w:smallCaps/>
      <w:color w:val="44546A" w:themeColor="text2"/>
    </w:rPr>
  </w:style>
  <w:style w:type="character" w:styleId="Textoennegrita">
    <w:name w:val="Strong"/>
    <w:basedOn w:val="Fuentedeprrafopredeter"/>
    <w:uiPriority w:val="22"/>
    <w:qFormat/>
    <w:rsid w:val="00C4387E"/>
    <w:rPr>
      <w:b/>
      <w:bCs/>
    </w:rPr>
  </w:style>
  <w:style w:type="character" w:styleId="nfasis">
    <w:name w:val="Emphasis"/>
    <w:basedOn w:val="Fuentedeprrafopredeter"/>
    <w:uiPriority w:val="20"/>
    <w:qFormat/>
    <w:rsid w:val="00C4387E"/>
    <w:rPr>
      <w:i/>
      <w:iCs/>
    </w:rPr>
  </w:style>
  <w:style w:type="paragraph" w:styleId="Sinespaciado">
    <w:name w:val="No Spacing"/>
    <w:uiPriority w:val="1"/>
    <w:qFormat/>
    <w:rsid w:val="00C4387E"/>
    <w:pPr>
      <w:spacing w:after="0" w:line="240" w:lineRule="auto"/>
    </w:pPr>
  </w:style>
  <w:style w:type="paragraph" w:styleId="Cita">
    <w:name w:val="Quote"/>
    <w:basedOn w:val="Normal"/>
    <w:next w:val="Normal"/>
    <w:link w:val="CitaCar"/>
    <w:uiPriority w:val="29"/>
    <w:qFormat/>
    <w:rsid w:val="00C4387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C4387E"/>
    <w:rPr>
      <w:color w:val="44546A" w:themeColor="text2"/>
      <w:sz w:val="24"/>
      <w:szCs w:val="24"/>
    </w:rPr>
  </w:style>
  <w:style w:type="paragraph" w:styleId="Citadestacada">
    <w:name w:val="Intense Quote"/>
    <w:basedOn w:val="Normal"/>
    <w:next w:val="Normal"/>
    <w:link w:val="CitadestacadaCar"/>
    <w:uiPriority w:val="30"/>
    <w:qFormat/>
    <w:rsid w:val="00C4387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C4387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C4387E"/>
    <w:rPr>
      <w:i/>
      <w:iCs/>
      <w:color w:val="595959" w:themeColor="text1" w:themeTint="A6"/>
    </w:rPr>
  </w:style>
  <w:style w:type="character" w:styleId="nfasisintenso">
    <w:name w:val="Intense Emphasis"/>
    <w:basedOn w:val="Fuentedeprrafopredeter"/>
    <w:uiPriority w:val="21"/>
    <w:qFormat/>
    <w:rsid w:val="00C4387E"/>
    <w:rPr>
      <w:b/>
      <w:bCs/>
      <w:i/>
      <w:iCs/>
    </w:rPr>
  </w:style>
  <w:style w:type="character" w:styleId="Referenciasutil">
    <w:name w:val="Subtle Reference"/>
    <w:basedOn w:val="Fuentedeprrafopredeter"/>
    <w:uiPriority w:val="31"/>
    <w:qFormat/>
    <w:rsid w:val="00C4387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4387E"/>
    <w:rPr>
      <w:b/>
      <w:bCs/>
      <w:smallCaps/>
      <w:color w:val="44546A" w:themeColor="text2"/>
      <w:u w:val="single"/>
    </w:rPr>
  </w:style>
  <w:style w:type="character" w:styleId="Ttulodellibro">
    <w:name w:val="Book Title"/>
    <w:basedOn w:val="Fuentedeprrafopredeter"/>
    <w:uiPriority w:val="33"/>
    <w:qFormat/>
    <w:rsid w:val="00C4387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3485">
      <w:bodyDiv w:val="1"/>
      <w:marLeft w:val="0"/>
      <w:marRight w:val="0"/>
      <w:marTop w:val="0"/>
      <w:marBottom w:val="0"/>
      <w:divBdr>
        <w:top w:val="none" w:sz="0" w:space="0" w:color="auto"/>
        <w:left w:val="none" w:sz="0" w:space="0" w:color="auto"/>
        <w:bottom w:val="none" w:sz="0" w:space="0" w:color="auto"/>
        <w:right w:val="none" w:sz="0" w:space="0" w:color="auto"/>
      </w:divBdr>
    </w:div>
    <w:div w:id="53167259">
      <w:bodyDiv w:val="1"/>
      <w:marLeft w:val="0"/>
      <w:marRight w:val="0"/>
      <w:marTop w:val="0"/>
      <w:marBottom w:val="0"/>
      <w:divBdr>
        <w:top w:val="none" w:sz="0" w:space="0" w:color="auto"/>
        <w:left w:val="none" w:sz="0" w:space="0" w:color="auto"/>
        <w:bottom w:val="none" w:sz="0" w:space="0" w:color="auto"/>
        <w:right w:val="none" w:sz="0" w:space="0" w:color="auto"/>
      </w:divBdr>
    </w:div>
    <w:div w:id="113208738">
      <w:bodyDiv w:val="1"/>
      <w:marLeft w:val="0"/>
      <w:marRight w:val="0"/>
      <w:marTop w:val="0"/>
      <w:marBottom w:val="0"/>
      <w:divBdr>
        <w:top w:val="none" w:sz="0" w:space="0" w:color="auto"/>
        <w:left w:val="none" w:sz="0" w:space="0" w:color="auto"/>
        <w:bottom w:val="none" w:sz="0" w:space="0" w:color="auto"/>
        <w:right w:val="none" w:sz="0" w:space="0" w:color="auto"/>
      </w:divBdr>
    </w:div>
    <w:div w:id="161939824">
      <w:bodyDiv w:val="1"/>
      <w:marLeft w:val="0"/>
      <w:marRight w:val="0"/>
      <w:marTop w:val="0"/>
      <w:marBottom w:val="0"/>
      <w:divBdr>
        <w:top w:val="none" w:sz="0" w:space="0" w:color="auto"/>
        <w:left w:val="none" w:sz="0" w:space="0" w:color="auto"/>
        <w:bottom w:val="none" w:sz="0" w:space="0" w:color="auto"/>
        <w:right w:val="none" w:sz="0" w:space="0" w:color="auto"/>
      </w:divBdr>
    </w:div>
    <w:div w:id="198251876">
      <w:bodyDiv w:val="1"/>
      <w:marLeft w:val="0"/>
      <w:marRight w:val="0"/>
      <w:marTop w:val="0"/>
      <w:marBottom w:val="0"/>
      <w:divBdr>
        <w:top w:val="none" w:sz="0" w:space="0" w:color="auto"/>
        <w:left w:val="none" w:sz="0" w:space="0" w:color="auto"/>
        <w:bottom w:val="none" w:sz="0" w:space="0" w:color="auto"/>
        <w:right w:val="none" w:sz="0" w:space="0" w:color="auto"/>
      </w:divBdr>
    </w:div>
    <w:div w:id="214389901">
      <w:bodyDiv w:val="1"/>
      <w:marLeft w:val="0"/>
      <w:marRight w:val="0"/>
      <w:marTop w:val="0"/>
      <w:marBottom w:val="0"/>
      <w:divBdr>
        <w:top w:val="none" w:sz="0" w:space="0" w:color="auto"/>
        <w:left w:val="none" w:sz="0" w:space="0" w:color="auto"/>
        <w:bottom w:val="none" w:sz="0" w:space="0" w:color="auto"/>
        <w:right w:val="none" w:sz="0" w:space="0" w:color="auto"/>
      </w:divBdr>
    </w:div>
    <w:div w:id="216361467">
      <w:bodyDiv w:val="1"/>
      <w:marLeft w:val="0"/>
      <w:marRight w:val="0"/>
      <w:marTop w:val="0"/>
      <w:marBottom w:val="0"/>
      <w:divBdr>
        <w:top w:val="none" w:sz="0" w:space="0" w:color="auto"/>
        <w:left w:val="none" w:sz="0" w:space="0" w:color="auto"/>
        <w:bottom w:val="none" w:sz="0" w:space="0" w:color="auto"/>
        <w:right w:val="none" w:sz="0" w:space="0" w:color="auto"/>
      </w:divBdr>
    </w:div>
    <w:div w:id="335421053">
      <w:bodyDiv w:val="1"/>
      <w:marLeft w:val="0"/>
      <w:marRight w:val="0"/>
      <w:marTop w:val="0"/>
      <w:marBottom w:val="0"/>
      <w:divBdr>
        <w:top w:val="none" w:sz="0" w:space="0" w:color="auto"/>
        <w:left w:val="none" w:sz="0" w:space="0" w:color="auto"/>
        <w:bottom w:val="none" w:sz="0" w:space="0" w:color="auto"/>
        <w:right w:val="none" w:sz="0" w:space="0" w:color="auto"/>
      </w:divBdr>
    </w:div>
    <w:div w:id="362554408">
      <w:bodyDiv w:val="1"/>
      <w:marLeft w:val="0"/>
      <w:marRight w:val="0"/>
      <w:marTop w:val="0"/>
      <w:marBottom w:val="0"/>
      <w:divBdr>
        <w:top w:val="none" w:sz="0" w:space="0" w:color="auto"/>
        <w:left w:val="none" w:sz="0" w:space="0" w:color="auto"/>
        <w:bottom w:val="none" w:sz="0" w:space="0" w:color="auto"/>
        <w:right w:val="none" w:sz="0" w:space="0" w:color="auto"/>
      </w:divBdr>
    </w:div>
    <w:div w:id="424959260">
      <w:bodyDiv w:val="1"/>
      <w:marLeft w:val="0"/>
      <w:marRight w:val="0"/>
      <w:marTop w:val="0"/>
      <w:marBottom w:val="0"/>
      <w:divBdr>
        <w:top w:val="none" w:sz="0" w:space="0" w:color="auto"/>
        <w:left w:val="none" w:sz="0" w:space="0" w:color="auto"/>
        <w:bottom w:val="none" w:sz="0" w:space="0" w:color="auto"/>
        <w:right w:val="none" w:sz="0" w:space="0" w:color="auto"/>
      </w:divBdr>
    </w:div>
    <w:div w:id="456720909">
      <w:bodyDiv w:val="1"/>
      <w:marLeft w:val="0"/>
      <w:marRight w:val="0"/>
      <w:marTop w:val="0"/>
      <w:marBottom w:val="0"/>
      <w:divBdr>
        <w:top w:val="none" w:sz="0" w:space="0" w:color="auto"/>
        <w:left w:val="none" w:sz="0" w:space="0" w:color="auto"/>
        <w:bottom w:val="none" w:sz="0" w:space="0" w:color="auto"/>
        <w:right w:val="none" w:sz="0" w:space="0" w:color="auto"/>
      </w:divBdr>
    </w:div>
    <w:div w:id="491796158">
      <w:bodyDiv w:val="1"/>
      <w:marLeft w:val="0"/>
      <w:marRight w:val="0"/>
      <w:marTop w:val="0"/>
      <w:marBottom w:val="0"/>
      <w:divBdr>
        <w:top w:val="none" w:sz="0" w:space="0" w:color="auto"/>
        <w:left w:val="none" w:sz="0" w:space="0" w:color="auto"/>
        <w:bottom w:val="none" w:sz="0" w:space="0" w:color="auto"/>
        <w:right w:val="none" w:sz="0" w:space="0" w:color="auto"/>
      </w:divBdr>
    </w:div>
    <w:div w:id="500970409">
      <w:bodyDiv w:val="1"/>
      <w:marLeft w:val="0"/>
      <w:marRight w:val="0"/>
      <w:marTop w:val="0"/>
      <w:marBottom w:val="0"/>
      <w:divBdr>
        <w:top w:val="none" w:sz="0" w:space="0" w:color="auto"/>
        <w:left w:val="none" w:sz="0" w:space="0" w:color="auto"/>
        <w:bottom w:val="none" w:sz="0" w:space="0" w:color="auto"/>
        <w:right w:val="none" w:sz="0" w:space="0" w:color="auto"/>
      </w:divBdr>
    </w:div>
    <w:div w:id="639311672">
      <w:bodyDiv w:val="1"/>
      <w:marLeft w:val="0"/>
      <w:marRight w:val="0"/>
      <w:marTop w:val="0"/>
      <w:marBottom w:val="0"/>
      <w:divBdr>
        <w:top w:val="none" w:sz="0" w:space="0" w:color="auto"/>
        <w:left w:val="none" w:sz="0" w:space="0" w:color="auto"/>
        <w:bottom w:val="none" w:sz="0" w:space="0" w:color="auto"/>
        <w:right w:val="none" w:sz="0" w:space="0" w:color="auto"/>
      </w:divBdr>
    </w:div>
    <w:div w:id="687370555">
      <w:bodyDiv w:val="1"/>
      <w:marLeft w:val="0"/>
      <w:marRight w:val="0"/>
      <w:marTop w:val="0"/>
      <w:marBottom w:val="0"/>
      <w:divBdr>
        <w:top w:val="none" w:sz="0" w:space="0" w:color="auto"/>
        <w:left w:val="none" w:sz="0" w:space="0" w:color="auto"/>
        <w:bottom w:val="none" w:sz="0" w:space="0" w:color="auto"/>
        <w:right w:val="none" w:sz="0" w:space="0" w:color="auto"/>
      </w:divBdr>
    </w:div>
    <w:div w:id="724597990">
      <w:bodyDiv w:val="1"/>
      <w:marLeft w:val="0"/>
      <w:marRight w:val="0"/>
      <w:marTop w:val="0"/>
      <w:marBottom w:val="0"/>
      <w:divBdr>
        <w:top w:val="none" w:sz="0" w:space="0" w:color="auto"/>
        <w:left w:val="none" w:sz="0" w:space="0" w:color="auto"/>
        <w:bottom w:val="none" w:sz="0" w:space="0" w:color="auto"/>
        <w:right w:val="none" w:sz="0" w:space="0" w:color="auto"/>
      </w:divBdr>
    </w:div>
    <w:div w:id="758257626">
      <w:bodyDiv w:val="1"/>
      <w:marLeft w:val="0"/>
      <w:marRight w:val="0"/>
      <w:marTop w:val="0"/>
      <w:marBottom w:val="0"/>
      <w:divBdr>
        <w:top w:val="none" w:sz="0" w:space="0" w:color="auto"/>
        <w:left w:val="none" w:sz="0" w:space="0" w:color="auto"/>
        <w:bottom w:val="none" w:sz="0" w:space="0" w:color="auto"/>
        <w:right w:val="none" w:sz="0" w:space="0" w:color="auto"/>
      </w:divBdr>
    </w:div>
    <w:div w:id="803276915">
      <w:bodyDiv w:val="1"/>
      <w:marLeft w:val="0"/>
      <w:marRight w:val="0"/>
      <w:marTop w:val="0"/>
      <w:marBottom w:val="0"/>
      <w:divBdr>
        <w:top w:val="none" w:sz="0" w:space="0" w:color="auto"/>
        <w:left w:val="none" w:sz="0" w:space="0" w:color="auto"/>
        <w:bottom w:val="none" w:sz="0" w:space="0" w:color="auto"/>
        <w:right w:val="none" w:sz="0" w:space="0" w:color="auto"/>
      </w:divBdr>
    </w:div>
    <w:div w:id="831067766">
      <w:bodyDiv w:val="1"/>
      <w:marLeft w:val="0"/>
      <w:marRight w:val="0"/>
      <w:marTop w:val="0"/>
      <w:marBottom w:val="0"/>
      <w:divBdr>
        <w:top w:val="none" w:sz="0" w:space="0" w:color="auto"/>
        <w:left w:val="none" w:sz="0" w:space="0" w:color="auto"/>
        <w:bottom w:val="none" w:sz="0" w:space="0" w:color="auto"/>
        <w:right w:val="none" w:sz="0" w:space="0" w:color="auto"/>
      </w:divBdr>
    </w:div>
    <w:div w:id="867178623">
      <w:bodyDiv w:val="1"/>
      <w:marLeft w:val="0"/>
      <w:marRight w:val="0"/>
      <w:marTop w:val="0"/>
      <w:marBottom w:val="0"/>
      <w:divBdr>
        <w:top w:val="none" w:sz="0" w:space="0" w:color="auto"/>
        <w:left w:val="none" w:sz="0" w:space="0" w:color="auto"/>
        <w:bottom w:val="none" w:sz="0" w:space="0" w:color="auto"/>
        <w:right w:val="none" w:sz="0" w:space="0" w:color="auto"/>
      </w:divBdr>
    </w:div>
    <w:div w:id="906887651">
      <w:bodyDiv w:val="1"/>
      <w:marLeft w:val="0"/>
      <w:marRight w:val="0"/>
      <w:marTop w:val="0"/>
      <w:marBottom w:val="0"/>
      <w:divBdr>
        <w:top w:val="none" w:sz="0" w:space="0" w:color="auto"/>
        <w:left w:val="none" w:sz="0" w:space="0" w:color="auto"/>
        <w:bottom w:val="none" w:sz="0" w:space="0" w:color="auto"/>
        <w:right w:val="none" w:sz="0" w:space="0" w:color="auto"/>
      </w:divBdr>
    </w:div>
    <w:div w:id="912542435">
      <w:bodyDiv w:val="1"/>
      <w:marLeft w:val="0"/>
      <w:marRight w:val="0"/>
      <w:marTop w:val="0"/>
      <w:marBottom w:val="0"/>
      <w:divBdr>
        <w:top w:val="none" w:sz="0" w:space="0" w:color="auto"/>
        <w:left w:val="none" w:sz="0" w:space="0" w:color="auto"/>
        <w:bottom w:val="none" w:sz="0" w:space="0" w:color="auto"/>
        <w:right w:val="none" w:sz="0" w:space="0" w:color="auto"/>
      </w:divBdr>
    </w:div>
    <w:div w:id="916482424">
      <w:bodyDiv w:val="1"/>
      <w:marLeft w:val="0"/>
      <w:marRight w:val="0"/>
      <w:marTop w:val="0"/>
      <w:marBottom w:val="0"/>
      <w:divBdr>
        <w:top w:val="none" w:sz="0" w:space="0" w:color="auto"/>
        <w:left w:val="none" w:sz="0" w:space="0" w:color="auto"/>
        <w:bottom w:val="none" w:sz="0" w:space="0" w:color="auto"/>
        <w:right w:val="none" w:sz="0" w:space="0" w:color="auto"/>
      </w:divBdr>
    </w:div>
    <w:div w:id="927498037">
      <w:bodyDiv w:val="1"/>
      <w:marLeft w:val="0"/>
      <w:marRight w:val="0"/>
      <w:marTop w:val="0"/>
      <w:marBottom w:val="0"/>
      <w:divBdr>
        <w:top w:val="none" w:sz="0" w:space="0" w:color="auto"/>
        <w:left w:val="none" w:sz="0" w:space="0" w:color="auto"/>
        <w:bottom w:val="none" w:sz="0" w:space="0" w:color="auto"/>
        <w:right w:val="none" w:sz="0" w:space="0" w:color="auto"/>
      </w:divBdr>
    </w:div>
    <w:div w:id="989552477">
      <w:bodyDiv w:val="1"/>
      <w:marLeft w:val="0"/>
      <w:marRight w:val="0"/>
      <w:marTop w:val="0"/>
      <w:marBottom w:val="0"/>
      <w:divBdr>
        <w:top w:val="none" w:sz="0" w:space="0" w:color="auto"/>
        <w:left w:val="none" w:sz="0" w:space="0" w:color="auto"/>
        <w:bottom w:val="none" w:sz="0" w:space="0" w:color="auto"/>
        <w:right w:val="none" w:sz="0" w:space="0" w:color="auto"/>
      </w:divBdr>
    </w:div>
    <w:div w:id="1021008817">
      <w:bodyDiv w:val="1"/>
      <w:marLeft w:val="0"/>
      <w:marRight w:val="0"/>
      <w:marTop w:val="0"/>
      <w:marBottom w:val="0"/>
      <w:divBdr>
        <w:top w:val="none" w:sz="0" w:space="0" w:color="auto"/>
        <w:left w:val="none" w:sz="0" w:space="0" w:color="auto"/>
        <w:bottom w:val="none" w:sz="0" w:space="0" w:color="auto"/>
        <w:right w:val="none" w:sz="0" w:space="0" w:color="auto"/>
      </w:divBdr>
    </w:div>
    <w:div w:id="1036660358">
      <w:bodyDiv w:val="1"/>
      <w:marLeft w:val="0"/>
      <w:marRight w:val="0"/>
      <w:marTop w:val="0"/>
      <w:marBottom w:val="0"/>
      <w:divBdr>
        <w:top w:val="none" w:sz="0" w:space="0" w:color="auto"/>
        <w:left w:val="none" w:sz="0" w:space="0" w:color="auto"/>
        <w:bottom w:val="none" w:sz="0" w:space="0" w:color="auto"/>
        <w:right w:val="none" w:sz="0" w:space="0" w:color="auto"/>
      </w:divBdr>
    </w:div>
    <w:div w:id="1039017402">
      <w:bodyDiv w:val="1"/>
      <w:marLeft w:val="0"/>
      <w:marRight w:val="0"/>
      <w:marTop w:val="0"/>
      <w:marBottom w:val="0"/>
      <w:divBdr>
        <w:top w:val="none" w:sz="0" w:space="0" w:color="auto"/>
        <w:left w:val="none" w:sz="0" w:space="0" w:color="auto"/>
        <w:bottom w:val="none" w:sz="0" w:space="0" w:color="auto"/>
        <w:right w:val="none" w:sz="0" w:space="0" w:color="auto"/>
      </w:divBdr>
    </w:div>
    <w:div w:id="1056391035">
      <w:bodyDiv w:val="1"/>
      <w:marLeft w:val="0"/>
      <w:marRight w:val="0"/>
      <w:marTop w:val="0"/>
      <w:marBottom w:val="0"/>
      <w:divBdr>
        <w:top w:val="none" w:sz="0" w:space="0" w:color="auto"/>
        <w:left w:val="none" w:sz="0" w:space="0" w:color="auto"/>
        <w:bottom w:val="none" w:sz="0" w:space="0" w:color="auto"/>
        <w:right w:val="none" w:sz="0" w:space="0" w:color="auto"/>
      </w:divBdr>
    </w:div>
    <w:div w:id="1077821423">
      <w:bodyDiv w:val="1"/>
      <w:marLeft w:val="0"/>
      <w:marRight w:val="0"/>
      <w:marTop w:val="0"/>
      <w:marBottom w:val="0"/>
      <w:divBdr>
        <w:top w:val="none" w:sz="0" w:space="0" w:color="auto"/>
        <w:left w:val="none" w:sz="0" w:space="0" w:color="auto"/>
        <w:bottom w:val="none" w:sz="0" w:space="0" w:color="auto"/>
        <w:right w:val="none" w:sz="0" w:space="0" w:color="auto"/>
      </w:divBdr>
    </w:div>
    <w:div w:id="1185703324">
      <w:bodyDiv w:val="1"/>
      <w:marLeft w:val="0"/>
      <w:marRight w:val="0"/>
      <w:marTop w:val="0"/>
      <w:marBottom w:val="0"/>
      <w:divBdr>
        <w:top w:val="none" w:sz="0" w:space="0" w:color="auto"/>
        <w:left w:val="none" w:sz="0" w:space="0" w:color="auto"/>
        <w:bottom w:val="none" w:sz="0" w:space="0" w:color="auto"/>
        <w:right w:val="none" w:sz="0" w:space="0" w:color="auto"/>
      </w:divBdr>
    </w:div>
    <w:div w:id="1196308358">
      <w:bodyDiv w:val="1"/>
      <w:marLeft w:val="0"/>
      <w:marRight w:val="0"/>
      <w:marTop w:val="0"/>
      <w:marBottom w:val="0"/>
      <w:divBdr>
        <w:top w:val="none" w:sz="0" w:space="0" w:color="auto"/>
        <w:left w:val="none" w:sz="0" w:space="0" w:color="auto"/>
        <w:bottom w:val="none" w:sz="0" w:space="0" w:color="auto"/>
        <w:right w:val="none" w:sz="0" w:space="0" w:color="auto"/>
      </w:divBdr>
    </w:div>
    <w:div w:id="1218711448">
      <w:bodyDiv w:val="1"/>
      <w:marLeft w:val="0"/>
      <w:marRight w:val="0"/>
      <w:marTop w:val="0"/>
      <w:marBottom w:val="0"/>
      <w:divBdr>
        <w:top w:val="none" w:sz="0" w:space="0" w:color="auto"/>
        <w:left w:val="none" w:sz="0" w:space="0" w:color="auto"/>
        <w:bottom w:val="none" w:sz="0" w:space="0" w:color="auto"/>
        <w:right w:val="none" w:sz="0" w:space="0" w:color="auto"/>
      </w:divBdr>
    </w:div>
    <w:div w:id="1288852702">
      <w:bodyDiv w:val="1"/>
      <w:marLeft w:val="0"/>
      <w:marRight w:val="0"/>
      <w:marTop w:val="0"/>
      <w:marBottom w:val="0"/>
      <w:divBdr>
        <w:top w:val="none" w:sz="0" w:space="0" w:color="auto"/>
        <w:left w:val="none" w:sz="0" w:space="0" w:color="auto"/>
        <w:bottom w:val="none" w:sz="0" w:space="0" w:color="auto"/>
        <w:right w:val="none" w:sz="0" w:space="0" w:color="auto"/>
      </w:divBdr>
    </w:div>
    <w:div w:id="1330983204">
      <w:bodyDiv w:val="1"/>
      <w:marLeft w:val="0"/>
      <w:marRight w:val="0"/>
      <w:marTop w:val="0"/>
      <w:marBottom w:val="0"/>
      <w:divBdr>
        <w:top w:val="none" w:sz="0" w:space="0" w:color="auto"/>
        <w:left w:val="none" w:sz="0" w:space="0" w:color="auto"/>
        <w:bottom w:val="none" w:sz="0" w:space="0" w:color="auto"/>
        <w:right w:val="none" w:sz="0" w:space="0" w:color="auto"/>
      </w:divBdr>
    </w:div>
    <w:div w:id="1398818766">
      <w:bodyDiv w:val="1"/>
      <w:marLeft w:val="0"/>
      <w:marRight w:val="0"/>
      <w:marTop w:val="0"/>
      <w:marBottom w:val="0"/>
      <w:divBdr>
        <w:top w:val="none" w:sz="0" w:space="0" w:color="auto"/>
        <w:left w:val="none" w:sz="0" w:space="0" w:color="auto"/>
        <w:bottom w:val="none" w:sz="0" w:space="0" w:color="auto"/>
        <w:right w:val="none" w:sz="0" w:space="0" w:color="auto"/>
      </w:divBdr>
    </w:div>
    <w:div w:id="1456827045">
      <w:bodyDiv w:val="1"/>
      <w:marLeft w:val="0"/>
      <w:marRight w:val="0"/>
      <w:marTop w:val="0"/>
      <w:marBottom w:val="0"/>
      <w:divBdr>
        <w:top w:val="none" w:sz="0" w:space="0" w:color="auto"/>
        <w:left w:val="none" w:sz="0" w:space="0" w:color="auto"/>
        <w:bottom w:val="none" w:sz="0" w:space="0" w:color="auto"/>
        <w:right w:val="none" w:sz="0" w:space="0" w:color="auto"/>
      </w:divBdr>
    </w:div>
    <w:div w:id="1492214517">
      <w:bodyDiv w:val="1"/>
      <w:marLeft w:val="0"/>
      <w:marRight w:val="0"/>
      <w:marTop w:val="0"/>
      <w:marBottom w:val="0"/>
      <w:divBdr>
        <w:top w:val="none" w:sz="0" w:space="0" w:color="auto"/>
        <w:left w:val="none" w:sz="0" w:space="0" w:color="auto"/>
        <w:bottom w:val="none" w:sz="0" w:space="0" w:color="auto"/>
        <w:right w:val="none" w:sz="0" w:space="0" w:color="auto"/>
      </w:divBdr>
    </w:div>
    <w:div w:id="1495141229">
      <w:bodyDiv w:val="1"/>
      <w:marLeft w:val="0"/>
      <w:marRight w:val="0"/>
      <w:marTop w:val="0"/>
      <w:marBottom w:val="0"/>
      <w:divBdr>
        <w:top w:val="none" w:sz="0" w:space="0" w:color="auto"/>
        <w:left w:val="none" w:sz="0" w:space="0" w:color="auto"/>
        <w:bottom w:val="none" w:sz="0" w:space="0" w:color="auto"/>
        <w:right w:val="none" w:sz="0" w:space="0" w:color="auto"/>
      </w:divBdr>
    </w:div>
    <w:div w:id="1499465126">
      <w:bodyDiv w:val="1"/>
      <w:marLeft w:val="0"/>
      <w:marRight w:val="0"/>
      <w:marTop w:val="0"/>
      <w:marBottom w:val="0"/>
      <w:divBdr>
        <w:top w:val="none" w:sz="0" w:space="0" w:color="auto"/>
        <w:left w:val="none" w:sz="0" w:space="0" w:color="auto"/>
        <w:bottom w:val="none" w:sz="0" w:space="0" w:color="auto"/>
        <w:right w:val="none" w:sz="0" w:space="0" w:color="auto"/>
      </w:divBdr>
    </w:div>
    <w:div w:id="1554466171">
      <w:bodyDiv w:val="1"/>
      <w:marLeft w:val="0"/>
      <w:marRight w:val="0"/>
      <w:marTop w:val="0"/>
      <w:marBottom w:val="0"/>
      <w:divBdr>
        <w:top w:val="none" w:sz="0" w:space="0" w:color="auto"/>
        <w:left w:val="none" w:sz="0" w:space="0" w:color="auto"/>
        <w:bottom w:val="none" w:sz="0" w:space="0" w:color="auto"/>
        <w:right w:val="none" w:sz="0" w:space="0" w:color="auto"/>
      </w:divBdr>
    </w:div>
    <w:div w:id="1582568665">
      <w:bodyDiv w:val="1"/>
      <w:marLeft w:val="0"/>
      <w:marRight w:val="0"/>
      <w:marTop w:val="0"/>
      <w:marBottom w:val="0"/>
      <w:divBdr>
        <w:top w:val="none" w:sz="0" w:space="0" w:color="auto"/>
        <w:left w:val="none" w:sz="0" w:space="0" w:color="auto"/>
        <w:bottom w:val="none" w:sz="0" w:space="0" w:color="auto"/>
        <w:right w:val="none" w:sz="0" w:space="0" w:color="auto"/>
      </w:divBdr>
    </w:div>
    <w:div w:id="1590626269">
      <w:bodyDiv w:val="1"/>
      <w:marLeft w:val="0"/>
      <w:marRight w:val="0"/>
      <w:marTop w:val="0"/>
      <w:marBottom w:val="0"/>
      <w:divBdr>
        <w:top w:val="none" w:sz="0" w:space="0" w:color="auto"/>
        <w:left w:val="none" w:sz="0" w:space="0" w:color="auto"/>
        <w:bottom w:val="none" w:sz="0" w:space="0" w:color="auto"/>
        <w:right w:val="none" w:sz="0" w:space="0" w:color="auto"/>
      </w:divBdr>
    </w:div>
    <w:div w:id="1626275846">
      <w:bodyDiv w:val="1"/>
      <w:marLeft w:val="0"/>
      <w:marRight w:val="0"/>
      <w:marTop w:val="0"/>
      <w:marBottom w:val="0"/>
      <w:divBdr>
        <w:top w:val="none" w:sz="0" w:space="0" w:color="auto"/>
        <w:left w:val="none" w:sz="0" w:space="0" w:color="auto"/>
        <w:bottom w:val="none" w:sz="0" w:space="0" w:color="auto"/>
        <w:right w:val="none" w:sz="0" w:space="0" w:color="auto"/>
      </w:divBdr>
    </w:div>
    <w:div w:id="1685084597">
      <w:bodyDiv w:val="1"/>
      <w:marLeft w:val="0"/>
      <w:marRight w:val="0"/>
      <w:marTop w:val="0"/>
      <w:marBottom w:val="0"/>
      <w:divBdr>
        <w:top w:val="none" w:sz="0" w:space="0" w:color="auto"/>
        <w:left w:val="none" w:sz="0" w:space="0" w:color="auto"/>
        <w:bottom w:val="none" w:sz="0" w:space="0" w:color="auto"/>
        <w:right w:val="none" w:sz="0" w:space="0" w:color="auto"/>
      </w:divBdr>
    </w:div>
    <w:div w:id="1794399412">
      <w:bodyDiv w:val="1"/>
      <w:marLeft w:val="0"/>
      <w:marRight w:val="0"/>
      <w:marTop w:val="0"/>
      <w:marBottom w:val="0"/>
      <w:divBdr>
        <w:top w:val="none" w:sz="0" w:space="0" w:color="auto"/>
        <w:left w:val="none" w:sz="0" w:space="0" w:color="auto"/>
        <w:bottom w:val="none" w:sz="0" w:space="0" w:color="auto"/>
        <w:right w:val="none" w:sz="0" w:space="0" w:color="auto"/>
      </w:divBdr>
    </w:div>
    <w:div w:id="1856116651">
      <w:bodyDiv w:val="1"/>
      <w:marLeft w:val="0"/>
      <w:marRight w:val="0"/>
      <w:marTop w:val="0"/>
      <w:marBottom w:val="0"/>
      <w:divBdr>
        <w:top w:val="none" w:sz="0" w:space="0" w:color="auto"/>
        <w:left w:val="none" w:sz="0" w:space="0" w:color="auto"/>
        <w:bottom w:val="none" w:sz="0" w:space="0" w:color="auto"/>
        <w:right w:val="none" w:sz="0" w:space="0" w:color="auto"/>
      </w:divBdr>
    </w:div>
    <w:div w:id="1949850975">
      <w:bodyDiv w:val="1"/>
      <w:marLeft w:val="0"/>
      <w:marRight w:val="0"/>
      <w:marTop w:val="0"/>
      <w:marBottom w:val="0"/>
      <w:divBdr>
        <w:top w:val="none" w:sz="0" w:space="0" w:color="auto"/>
        <w:left w:val="none" w:sz="0" w:space="0" w:color="auto"/>
        <w:bottom w:val="none" w:sz="0" w:space="0" w:color="auto"/>
        <w:right w:val="none" w:sz="0" w:space="0" w:color="auto"/>
      </w:divBdr>
    </w:div>
    <w:div w:id="214161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htt4</b:Tag>
    <b:SourceType>InternetSite</b:SourceType>
    <b:Guid>{1B415A6C-6BEC-4303-B41B-E50FDBC01BF4}</b:Guid>
    <b:Title>https://www.lavanguardia.com/comer/materia-prima/20180709/45716664292/uvas-frutas-propiedades-beneficios.html</b:Title>
    <b:RefOrder>6</b:RefOrder>
  </b:Source>
  <b:Source>
    <b:Tag>htt5</b:Tag>
    <b:SourceType>InternetSite</b:SourceType>
    <b:Guid>{7A451841-62E9-40BB-85BD-C6CDD7E6154B}</b:Guid>
    <b:Title>https://www.cristoro.cl/contenido/por-que-elegir-el-vidrio-como-parte-de-un-estilo-de-vida-saludable</b:Title>
    <b:RefOrder>7</b:RefOrder>
  </b:Source>
  <b:Source>
    <b:Tag>htt7</b:Tag>
    <b:SourceType>InternetSite</b:SourceType>
    <b:Guid>{E0484A8E-18CB-4507-98A1-2B7556C1E3C4}</b:Guid>
    <b:Title>(https://www.vsptinvestor.com/wp/wp-content/uploads/2020/03/VSPT-Memoria-Anual-2019.pdf</b:Title>
    <b:RefOrder>2</b:RefOrder>
  </b:Source>
  <b:Source>
    <b:Tag>htt6</b:Tag>
    <b:SourceType>InternetSite</b:SourceType>
    <b:Guid>{DB248D27-4135-46B5-BD0C-79794EDEFBFE}</b:Guid>
    <b:Title>(https://www.vsptinvestor.com/wp/wp-content/uploads/2020/03/VSPT-Memoria-Anual-2019.pdf</b:Title>
    <b:RefOrder>1</b:RefOrder>
  </b:Source>
  <b:Source>
    <b:Tag>htt8</b:Tag>
    <b:SourceType>InternetSite</b:SourceType>
    <b:Guid>{2B0E4B79-5FC0-4897-B3EB-CDC4610307A4}</b:Guid>
    <b:Title>(https://www.vsptinvestor.com/estados-financieros/</b:Title>
    <b:RefOrder>3</b:RefOrder>
  </b:Source>
  <b:Source>
    <b:Tag>htt9</b:Tag>
    <b:SourceType>InternetSite</b:SourceType>
    <b:Guid>{AE3DB3D5-8884-4A6D-B7FF-63A976D98C18}</b:Guid>
    <b:Title>(https://www.odepa.gob.cl/odepaweb/publicaciones/doc/9195.pdf</b:Title>
    <b:RefOrder>4</b:RefOrder>
  </b:Source>
  <b:Source>
    <b:Tag>htt10</b:Tag>
    <b:SourceType>InternetSite</b:SourceType>
    <b:Guid>{20B2FE65-CE35-4513-9EC3-740217E87EE3}</b:Guid>
    <b:Title>(https://www.vsptinvestor.com/wp/wp-content/uploads/2020/03/VSPT-Memoria-Anual-2019.pdf</b:Title>
    <b:RefOrder>5</b:RefOrder>
  </b:Source>
  <b:Source>
    <b:Tag>htt12</b:Tag>
    <b:SourceType>InternetSite</b:SourceType>
    <b:Guid>{5DE9CFD1-ED12-4C6B-9CAA-9711D8E28705}</b:Guid>
    <b:Title>(https://zeus.sii.cl/cvc_cgi/stc/getstc</b:Title>
    <b:RefOrder>8</b:RefOrder>
  </b:Source>
  <b:Source>
    <b:Tag>htt13</b:Tag>
    <b:SourceType>InternetSite</b:SourceType>
    <b:Guid>{C94AC3E1-BB01-48F1-AE79-02DAA42593EE}</b:Guid>
    <b:Title>(https://www.chileatiende.gob.cl/fichas/1633-registro-de-marcas-comerciales#:~:text=Dir%C3%ADjase%20al%20Instituto%20Nacional%20de,visita%3A%20registrar%20una%20marca%20comercial.</b:Title>
    <b:RefOrder>9</b:RefOrder>
  </b:Source>
  <b:Source>
    <b:Tag>htt16</b:Tag>
    <b:SourceType>InternetSite</b:SourceType>
    <b:Guid>{44B8BA89-A958-41F0-AFD7-E33C9BACBB9B}</b:Guid>
    <b:Title>(https://www.inapi.cl/docs/default-source/default-document-library/ii_anexo_tasas.pdf?sfvrsn=513178fd_0</b:Title>
    <b:RefOrder>10</b:RefOrder>
  </b:Source>
  <b:Source>
    <b:Tag>htt17</b:Tag>
    <b:SourceType>InternetSite</b:SourceType>
    <b:Guid>{EE61A064-A7F3-4E25-979D-784238A72922}</b:Guid>
    <b:Title>(https://www.fynsa.cl/wp-content/uploads/2020/12/VSPT-3.pdf</b:Title>
    <b:RefOrder>11</b:RefOrder>
  </b:Source>
  <b:Source>
    <b:Tag>htt20</b:Tag>
    <b:SourceType>InternetSite</b:SourceType>
    <b:Guid>{908E59CB-6478-4626-91CB-454B6994A2CF}</b:Guid>
    <b:Title>(https://sanpedro.cl/wp-content/uploads/2020/05/report_es_2017-2018.pdf</b:Title>
    <b:RefOrder>12</b:RefOrder>
  </b:Source>
</b:Sources>
</file>

<file path=customXml/itemProps1.xml><?xml version="1.0" encoding="utf-8"?>
<ds:datastoreItem xmlns:ds="http://schemas.openxmlformats.org/officeDocument/2006/customXml" ds:itemID="{27690157-051D-4CA6-A8EF-F43CD12346BF}">
  <ds:schemaRefs>
    <ds:schemaRef ds:uri="http://schemas.openxmlformats.org/officeDocument/2006/bibliography"/>
  </ds:schemaRefs>
</ds:datastoreItem>
</file>

<file path=docMetadata/LabelInfo.xml><?xml version="1.0" encoding="utf-8"?>
<clbl:labelList xmlns:clbl="http://schemas.microsoft.com/office/2020/mipLabelMetadata">
  <clbl:label id="{006f45df-088f-4365-900b-21d873817b2f}" enabled="1" method="Privileged" siteId="{ad9dc499-26eb-41de-90c1-2c7cfce752f9}" contentBits="2"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7</Pages>
  <Words>2060</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ANDREA CARRASCO HEREDIA</dc:creator>
  <cp:keywords/>
  <dc:description/>
  <cp:lastModifiedBy>Jean Soto</cp:lastModifiedBy>
  <cp:revision>4</cp:revision>
  <dcterms:created xsi:type="dcterms:W3CDTF">2025-06-13T05:27:00Z</dcterms:created>
  <dcterms:modified xsi:type="dcterms:W3CDTF">2025-06-13T14:58:00Z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a164cee,2a001f0,51f05d34</vt:lpwstr>
  </property>
  <property fmtid="{D5CDD505-2E9C-101B-9397-08002B2CF9AE}" pid="4" name="ClassificationContentMarkingFooterFontProps">
    <vt:lpwstr>#000000,10,Calibri</vt:lpwstr>
  </property>
  <property fmtid="{D5CDD505-2E9C-101B-9397-08002B2CF9AE}" pid="5" name="ClassificationContentMarkingFooterText">
    <vt:lpwstr>Clasificación: Confidencial</vt:lpwstr>
  </property>
</Properties>
</file>