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 xml:space="preserve">Un développement récent illustre cette dynamique d’escalade graduée : le 20 juillet 2026, un garde-côte chinois a frappé à la tête un marin philippin lors d’une confrontation près du BRP Sierra Madre à Second Thomas Shoal (Ayungin), dans l’archipel des Spratleys — premier contact physique documenté après plusieurs mois de coercition non létale (canons à eau, pointeurs laser). Pékin conteste cette version et affirme que des embarcations philippines ont manœuvré dangereusement à l’origine de l’incident ; Manille et Pékin ont convoqué réciproquement leurs ambassadeurs le 21 juillet, et Washington comme Canberra ont qualifié l’action chinoise de « dangereuse ». Ce passage documenté à un contact physique direct doit être lu comme une évolution tactique au sein de l’architecture de coercition graduée décrite ci-dessus, plutôt que comme un indicateur de rupture vers un engagement armé : aucun indicateur convergent (mobilisation logistique, restrictions de navigation, rupture diplomatique durable) ne permettait, à la date du 21 juillet 2026, d’établir une intention d’escalade soutenue au-delà de la posture de coercition déjà établie.</w:t>
      </w:r>
    </w:p>
    <w:p>
      <w:pPr>
        <w:spacing w:after="220"/>
      </w:pPr>
      <w:r>
        <w:rPr>
          <w:i/>
          <w:iCs/>
          <w:color w:val="595959"/>
          <w:sz w:val="18"/>
          <w:szCs w:val="18"/>
        </w:rPr>
        <w:t xml:space="preserve">SOURCE : autorités philippines/État-major [B2] ; Département d’État américain, communiqué du 21/07/2026 [A2] ; South China Morning Post, 20-21/07/2026 [B2] ; Philstar, 21/07/2026 [B2] — cf. bulletin INTSUM du 21/07/2026 pour le détail du sourcing et les points de contradiction non tranchés</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