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spacing w:after="160"/>
        <w:jc w:val="both"/>
      </w:pPr>
      <w:r>
        <w:t>Fin septembre 2026, le remaniement au sommet de la CMC s’est amplifié : l’expulsion du parti et de l’armée du vice-président de la CMC Zhang Youxia et du chef d’état-major interarmées Liu Zhenli, actée le 21 septembre, laisserait la CMC avec seulement deux membres actifs identifiés (Xi Jinping, Zhang Shengmin) sur sept habituellement [Reuters via US News/Japan Times/ThePrint, B2]. Il est très probable (80-95%) que ce remaniement pèse sur la coordination opérationnelle de haut niveau à court terme ; il est à peu près autant de chances que non (45-55%) qu’il dégrade durablement la capacité de combat de l’APL, compte tenu des redondances institutionnelles. Biais à surveiller : ne pas prêter à l’APL les réactions d’une armée occidentale (mirror-imaging) ni conclure à une inflexion de posture sans indicateur comportemental corroborant.</w:t>
      </w:r>
    </w:p>
    <w:p>
      <w:pPr>
        <w:spacing w:after="220"/>
      </w:pPr>
      <w:r>
        <w:rPr>
          <w:i/>
          <w:iCs/>
          <w:color w:val="595959"/>
          <w:sz w:val="18"/>
          <w:szCs w:val="18"/>
        </w:rPr>
        <w:t>SOURCE : Reuters (relayé par US News), « Analysis-China’s purges of top military commanders spur questions about war-waging ability », 23/09/2026 [B2] ; bulletin INTSUM 2026-09-25</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Le 24-25 septembre 2026, une mission philippine de rotation/ravitaillement vers Ayungin (BRP Sierra Madre, Spratleys) a été bloquée à environ 60 milles nautiques de l’objectif par une quinzaine de bâtiments chinois (garde-côtes, milice maritime et trois bâtiments de la PLAN, dont deux vedettes lance-missiles type 022) ; il s’agit du premier blocage empêchant une mission d’atteindre Ayungin depuis l’arrangement tacite de 2024 [USNI News, Bloomberg, Philstar, B2]. Cet épisode, survenu une semaine après la collision du 18 septembre au large de Palawan [USNI News, Al Jazeera, B2] et dans les heures suivant le sommet Trump-Xi, est à rapprocher de l’incident du 20 juillet : il est probable (55-80%) qu’il traduise un durcissement délibéré de la coercition, et non un incident isolé. Point de vigilance (biais de confirmation) : la présence de bâtiments PLAN aux côtés des garde-côtes déplace vers le niveau 1 (Marine) une partie de la pression, ce qui nuance la description d’une coercition cantonnée aux niveaux 2 et 3. Le lien causal avec le calendrier diplomatique reste une inférence, non un fait établi ; aucun indicateur ne permet d’évaluer une volonté d’empêcher durablement tout ravitaillement — distinction capacité/intention à maintenir.</w:t>
      </w:r>
    </w:p>
    <w:p>
      <w:pPr>
        <w:spacing w:after="220"/>
      </w:pPr>
      <w:r>
        <w:rPr>
          <w:i/>
          <w:iCs/>
          <w:color w:val="595959"/>
          <w:sz w:val="18"/>
          <w:szCs w:val="18"/>
        </w:rPr>
        <w:t>SOURCE : USNI News, 25/09/2026 [B2] ; Bloomberg, « Philippines Says China Blocked Sea Mission, First Since 2024 », 25/09/2026 [B2] ; Philstar, 26/09/2026 [B2] ; bulletin INTSUM 2026-09-26</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