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Un développement du 20-21 juillet 2026 illustre concrètement cette dynamique d'escalade graduée : lors d'une confrontation près du BRP Sierra Madre à Second Thomas Shoal (Ayungin, Spratleys), un garde-côte chinois a frappé à la tête un marin philippin, le blessant — premier contact physique direct documenté après plusieurs mois de coercition non létale (canons à eau, lasers). Pékin conteste cette version et impute l'incident à une manœuvre philippine jugée illégale — version contestée, non tranchée à ce stade. Conformément à la distinction capacité/intention, cet épisode ponctuel ne permet pas, à lui seul, d'établir une inflexion durable de la posture chinoise vers une coercition physique systématique ; il constitue néanmoins un point de vigilance concret à intégrer au suivi de l'architecture à trois niveaux décrite ci-dessus.</w:t>
      </w:r>
    </w:p>
    <w:p>
      <w:pPr>
        <w:spacing w:after="220"/>
      </w:pPr>
      <w:r>
        <w:rPr>
          <w:i/>
          <w:iCs/>
          <w:color w:val="595959"/>
          <w:sz w:val="18"/>
          <w:szCs w:val="18"/>
        </w:rPr>
        <w:t>SOURCE : autorités philippines/État-major, Département d'État américain (A2), South China Morning Post (B2), Philstar (B2), 20-21/07/2026 — synthétisé dans le bulletin quotidien du 21/07/2026 (bulletins/2026-07-21.md)</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