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3864"/>
          <w:sz w:val="32"/>
          <w:szCs w:val="32"/>
        </w:rPr>
        <w:t xml:space="preserve">NOTE DE RENSEIGNEMENT</w:t>
      </w:r>
    </w:p>
    <w:p>
      <w:pPr>
        <w:spacing w:after="400" w:before="200"/>
        <w:jc w:val="center"/>
      </w:pPr>
      <w:r>
        <w:rPr>
          <w:b/>
          <w:bCs/>
          <w:color w:val="1F3864"/>
          <w:sz w:val="28"/>
          <w:szCs w:val="28"/>
        </w:rPr>
        <w:t xml:space="preserve">ESTIMATE — CAPACITÉS MILITAIRES</w:t>
      </w:r>
    </w:p>
    <w:p>
      <w:pPr>
        <w:spacing w:after="800"/>
        <w:jc w:val="center"/>
      </w:pPr>
      <w:r>
        <w:rPr>
          <w:b/>
          <w:bCs/>
          <w:color w:val="1F3864"/>
          <w:sz w:val="28"/>
          <w:szCs w:val="28"/>
        </w:rPr>
        <w:t xml:space="preserve">DE LA RÉPUBLIQUE POPULAIRE DE CHINE</w:t>
      </w:r>
    </w:p>
    <w:p>
      <w:pPr>
        <w:spacing w:after="200"/>
        <w:jc w:val="center"/>
      </w:pPr>
      <w:r>
        <w:rPr>
          <w:i/>
          <w:iCs/>
          <w:sz w:val="22"/>
          <w:szCs w:val="22"/>
        </w:rPr>
        <w:t xml:space="preserve">Structuration des forces, base industrielle et technologique de défense,</w:t>
      </w:r>
    </w:p>
    <w:p>
      <w:pPr>
        <w:spacing w:after="800"/>
        <w:jc w:val="center"/>
      </w:pPr>
      <w:r>
        <w:rPr>
          <w:i/>
          <w:iCs/>
          <w:sz w:val="22"/>
          <w:szCs w:val="22"/>
        </w:rPr>
        <w:t xml:space="preserve">objectifs tactiques et stratégiques (2026)</w:t>
      </w:r>
    </w:p>
    <w:p>
      <w:pPr>
        <w:spacing w:after="100" w:before="1200"/>
        <w:jc w:val="center"/>
      </w:pPr>
      <w:r>
        <w:rPr>
          <w:sz w:val="20"/>
          <w:szCs w:val="20"/>
        </w:rPr>
        <w:t xml:space="preserve">Document d'appui analytique au recensement capacitaire (Excel)</w:t>
      </w:r>
    </w:p>
    <w:p>
      <w:pPr>
        <w:spacing w:after="100"/>
        <w:jc w:val="center"/>
      </w:pPr>
      <w:r>
        <w:rPr>
          <w:sz w:val="20"/>
          <w:szCs w:val="20"/>
        </w:rPr>
        <w:t xml:space="preserve">PIR/EEI : Comment se structurent les capacités militaires chinoises et quels objectifs tactiques/stratégiques servent-elles ?</w:t>
      </w:r>
    </w:p>
    <w:p>
      <w:pPr>
        <w:spacing w:after="100"/>
        <w:jc w:val="center"/>
      </w:pPr>
      <w:r>
        <w:rPr>
          <w:sz w:val="20"/>
          <w:szCs w:val="20"/>
        </w:rPr>
        <w:t xml:space="preserve">NIVEAU DE CONFIANCE GLOBAL : Modéré à élevé — fondé sur sources ouvertes multi-disciplines (OSINT), recoupées avec le rapport IISS The Military Balance 2026</w:t>
      </w:r>
    </w:p>
    <w:p>
      <w:pPr>
        <w:spacing w:before="400"/>
        <w:jc w:val="center"/>
      </w:pPr>
      <w:r>
        <w:rPr>
          <w:color w:val="595959"/>
          <w:sz w:val="20"/>
          <w:szCs w:val="20"/>
        </w:rPr>
        <w:t xml:space="preserve">Juillet 2026</w:t>
      </w:r>
    </w:p>
    <w:p>
      <w:r>
        <w:br w:type="page"/>
      </w:r>
    </w:p>
    <w:p>
      <w:pPr>
        <w:pStyle w:val="Heading1"/>
        <w:spacing w:after="200" w:before="400"/>
      </w:pPr>
      <w:r>
        <w:t xml:space="preserve">Avertissement méthodologique</w:t>
      </w:r>
    </w:p>
    <w:p>
      <w:pPr>
        <w:spacing w:after="160"/>
        <w:jc w:val="both"/>
      </w:pPr>
      <w:r>
        <w:t xml:space="preserve">Ce document constitue le support analytique du recensement capacitaire présenté dans le classeur Excel joint (« Capacités militaires chinoises »). Il est rédigé selon les standards OTAN d'analyse du renseignement (AJP-2.1), le code d'évaluation des sources STANAG 2511 et le langage de probabilité standardisé de l'Intelligence Community américaine (ICD 203).</w:t>
      </w:r>
    </w:p>
    <w:p>
      <w:pPr>
        <w:spacing w:after="160"/>
        <w:jc w:val="both"/>
      </w:pPr>
      <w:r>
        <w:t xml:space="preserve">Discipline de collecte mobilisée : très majoritairement OSINT (rapport IISS The Military Balance 2026, presse spécialisée défense, rapports gouvernementaux publics tels que le rapport annuel du Pentagone au Congrès sur la puissance militaire chinoise). Aucune donnée HUMINT, SIGINT, IMINT ou MASINT n'a été mobilisée : il s'agit d'un angle mort structurel de cette analyse, qui limite la capacité à corroborer certains chiffres d'inventaire et à évaluer la disponibilité opérationnelle réelle des équipements recensés.</w:t>
      </w:r>
    </w:p>
    <w:p>
      <w:pPr>
        <w:spacing w:after="160"/>
        <w:jc w:val="both"/>
      </w:pPr>
      <w:r>
        <w:t xml:space="preserve">Cadre d'usage : cette analyse sert la compréhension de la posture et de la trajectoire capacitaire chinoise à des fins d'étude et d'appréciation de situation. Elle ne fournit aucune donnée à finalité de ciblage, de guidage ou d'aide à l'action offensive.</w:t>
      </w:r>
    </w:p>
    <w:p>
      <w:pPr>
        <w:spacing w:after="160"/>
        <w:jc w:val="both"/>
      </w:pPr>
      <w:r>
        <w:t xml:space="preserve">Biais à surveiller explicitement dans la lecture de ce document : le mirror-imaging (prêter à l'APL une rationalité et des contraintes occidentales alors que sa culture stratégique, sa structure politique et son expérience opérationnelle diffèrent significativement), la sous-estimation de la surprise stratégique (le rythme de modernisation observé sur la période 2020-2026 a systématiquement dépassé les projections occidentales antérieures) et le biais de confirmation dans l'interprétation des objectifs de l'échéance 2027.</w:t>
      </w:r>
    </w:p>
    <w:p>
      <w:pPr>
        <w:pStyle w:val="Heading1"/>
        <w:spacing w:after="200" w:before="400"/>
      </w:pPr>
      <w:r>
        <w:t xml:space="preserve">1. Synthèse exécutive — Jugements clés</w:t>
      </w:r>
    </w:p>
    <w:p>
      <w:pPr>
        <w:pStyle w:val="ListParagraph"/>
        <w:numPr>
          <w:ilvl w:val="0"/>
          <w:numId w:val="2"/>
        </w:numPr>
        <w:spacing w:after="100"/>
      </w:pPr>
      <w:r>
        <w:t xml:space="preserve">La modernisation militaire chinoise n'est pas un simple accroissement quantitatif : elle traduit une transformation qualitative et doctrinale cohérente, organisée autour de trois échéances calendaires explicites (2027, 2035, 2049) qui structurent l'ensemble des priorités d'acquisition. Confiance : Élevée.</w:t>
      </w:r>
    </w:p>
    <w:p>
      <w:pPr>
        <w:pStyle w:val="ListParagraph"/>
        <w:numPr>
          <w:ilvl w:val="0"/>
          <w:numId w:val="2"/>
        </w:numPr>
        <w:spacing w:after="100"/>
      </w:pPr>
      <w:r>
        <w:t xml:space="preserve">Il est très probable (80-95%) que l'objectif du « centenaire de l'APL » en 2027 corresponde à un jalon de capacité — la possibilité de fournir des options militaires crédibles vis-à-vis de Taïwan — plutôt qu'à une décision d'emploi de la force déjà arrêtée. La distinction entre capacité et intention doit être maintenue avec rigueur.</w:t>
      </w:r>
    </w:p>
    <w:p>
      <w:pPr>
        <w:pStyle w:val="ListParagraph"/>
        <w:numPr>
          <w:ilvl w:val="0"/>
          <w:numId w:val="2"/>
        </w:numPr>
        <w:spacing w:after="100"/>
      </w:pPr>
      <w:r>
        <w:t xml:space="preserve">La base industrielle et technologique de défense (BITD) chinoise, structurée autour de dix conglomérats publics sous tutelle de la SASAC, permet une production de série à un rythme qu'aucune économie de défense occidentale ne peut actuellement égaler, en particulier pour les plateformes navales et les systèmes de missiles. Confiance : Élevée.</w:t>
      </w:r>
    </w:p>
    <w:p>
      <w:pPr>
        <w:pStyle w:val="ListParagraph"/>
        <w:numPr>
          <w:ilvl w:val="0"/>
          <w:numId w:val="2"/>
        </w:numPr>
        <w:spacing w:after="100"/>
      </w:pPr>
      <w:r>
        <w:t xml:space="preserve">La fusion militaro-civile (军民融合, junmin ronghe) constitue le principal levier structurel de rattrapage technologique chinois, mais son efficacité réelle en matière d'intégration combattante reste incertaine, l'APL manquant d'expérience de combat récente. Confiance : Modérée.</w:t>
      </w:r>
    </w:p>
    <w:p>
      <w:pPr>
        <w:pStyle w:val="ListParagraph"/>
        <w:numPr>
          <w:ilvl w:val="0"/>
          <w:numId w:val="2"/>
        </w:numPr>
        <w:spacing w:after="100"/>
      </w:pPr>
      <w:r>
        <w:t xml:space="preserve">Le rayonnement international de l'outil de défense chinois (exports d'armement, base de Djibouti, exercices conjoints avec la Russie et l'Iran) sert une stratégie de diversification des partenariats plutôt que la constitution d'un réseau d'alliances formelles comparable à celui des États-Unis. Confiance : Élevée.</w:t>
      </w:r>
    </w:p>
    <w:p>
      <w:pPr>
        <w:pStyle w:val="ListParagraph"/>
        <w:numPr>
          <w:ilvl w:val="0"/>
          <w:numId w:val="2"/>
        </w:numPr>
        <w:spacing w:after="100"/>
      </w:pPr>
      <w:r>
        <w:t xml:space="preserve">La principale lacune de renseignement concerne l'efficacité opérationnelle réelle des nouvelles structures interarmées (théâtres de commandement, nouvelles branches issues de la dissolution de la Force de soutien stratégique) : les inventaires matériels sont mieux documentés que la capacité de l'APL à les employer en engagement de haute intensité.</w:t>
      </w:r>
    </w:p>
    <w:p>
      <w:pPr>
        <w:pStyle w:val="Heading1"/>
        <w:spacing w:after="200" w:before="400"/>
      </w:pPr>
      <w:r>
        <w:t xml:space="preserve">2. Contexte stratégique et budgétaire</w:t>
      </w:r>
    </w:p>
    <w:p>
      <w:pPr>
        <w:spacing w:after="160"/>
        <w:jc w:val="both"/>
      </w:pPr>
      <w:r>
        <w:t xml:space="preserve">En 2025, la Chine a annoncé un budget de défense central de 1 780 milliards CNY (247,6 milliards USD), en hausse nominale de 7,2 %, marquant la dixième année consécutive de croissance à un chiffre. En intégrant le financement des milices locales, la dépense de défense de référence atteint environ 251,3 milliards USD ; en intégrant les dépenses compatibles avec la méthodologie de l'OTAN (recherche-développement, achats d'armement à l'étranger, budget de la police armée populaire), la dépense militaire totale estimée atteint 340,8 milliards USD en 2025.</w:t>
      </w:r>
    </w:p>
    <w:p>
      <w:pPr>
        <w:spacing w:after="220"/>
      </w:pPr>
      <w:r>
        <w:rPr>
          <w:i/>
          <w:iCs/>
          <w:color w:val="595959"/>
          <w:sz w:val="18"/>
          <w:szCs w:val="18"/>
        </w:rPr>
        <w:t xml:space="preserve">SOURCE : IISS, The Military Balance 2026, p.232</w:t>
      </w:r>
    </w:p>
    <w:p>
      <w:pPr>
        <w:spacing w:after="160"/>
        <w:jc w:val="both"/>
      </w:pPr>
      <w:r>
        <w:t xml:space="preserve">Cette dépense demeure toutefois modeste en proportion du PIB : environ 1,3 % pour le budget central et 1,8 % pour la dépense totale élargie, très en-deçà des 3 % consacrés par les États-Unis en 2025 ou de l'objectif de 3,5 % fixé par l'OTAN à l'horizon 2035. L'implication analytique centrale est que la Chine dispose d'une marge de manœuvre budgétaire considérable pour poursuivre, voire accélérer, sa modernisation sans contrainte macroéconomique immédiate.</w:t>
      </w:r>
    </w:p>
    <w:p>
      <w:pPr>
        <w:spacing w:after="220"/>
      </w:pPr>
      <w:r>
        <w:rPr>
          <w:i/>
          <w:iCs/>
          <w:color w:val="595959"/>
          <w:sz w:val="18"/>
          <w:szCs w:val="18"/>
        </w:rPr>
        <w:t xml:space="preserve">SOURCE : IISS, The Military Balance 2026, p.232</w:t>
      </w:r>
    </w:p>
    <w:p>
      <w:pPr>
        <w:pStyle w:val="Heading2"/>
        <w:spacing w:after="150" w:before="300"/>
      </w:pPr>
      <w:r>
        <w:t xml:space="preserve">2.1 Les trois échéances de la modernisation</w:t>
      </w:r>
    </w:p>
    <w:p>
      <w:pPr>
        <w:spacing w:after="160"/>
        <w:jc w:val="both"/>
      </w:pPr>
      <w:r>
        <w:t xml:space="preserve">La trajectoire de modernisation de l'APL est structurée par trois jalons calendaires annoncés publiquement par Pékin, qui constituent la grille de lecture la plus fiable pour interpréter le rythme et la nature des acquisitions recensées dans le tableau Excel joint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800"/>
            <w:shd w:fill="1F3864" w:val="clear"/>
            <w:vAlign w:val="center"/>
          </w:tcPr>
          <w:p>
            <w:r>
              <w:rPr>
                <w:b/>
                <w:bCs/>
                <w:color w:val="FFFFFF"/>
                <w:sz w:val="20"/>
                <w:szCs w:val="20"/>
              </w:rPr>
              <w:t xml:space="preserve">Échéance</w:t>
            </w:r>
          </w:p>
        </w:tc>
        <w:tc>
          <w:tcPr>
            <w:tcW w:type="dxa" w:w="4000"/>
            <w:shd w:fill="1F3864" w:val="clear"/>
            <w:vAlign w:val="center"/>
          </w:tcPr>
          <w:p>
            <w:r>
              <w:rPr>
                <w:b/>
                <w:bCs/>
                <w:color w:val="FFFFFF"/>
                <w:sz w:val="20"/>
                <w:szCs w:val="20"/>
              </w:rPr>
              <w:t xml:space="preserve">Objectif déclaré</w:t>
            </w:r>
          </w:p>
        </w:tc>
        <w:tc>
          <w:tcPr>
            <w:tcW w:type="dxa" w:w="3550"/>
            <w:shd w:fill="1F3864" w:val="clear"/>
            <w:vAlign w:val="center"/>
          </w:tcPr>
          <w:p>
            <w:r>
              <w:rPr>
                <w:b/>
                <w:bCs/>
                <w:color w:val="FFFFFF"/>
                <w:sz w:val="20"/>
                <w:szCs w:val="20"/>
              </w:rPr>
              <w:t xml:space="preserve">Signification analytique</w:t>
            </w:r>
          </w:p>
        </w:tc>
      </w:tr>
      <w:tr>
        <w:tc>
          <w:tcPr>
            <w:tcW w:type="dxa" w:w="1800"/>
            <w:vAlign w:val="center"/>
          </w:tcPr>
          <w:p>
            <w:r>
              <w:rPr>
                <w:b w:val="false"/>
                <w:bCs w:val="false"/>
                <w:color w:val="000000"/>
                <w:sz w:val="20"/>
                <w:szCs w:val="20"/>
              </w:rPr>
              <w:t xml:space="preserve">2027</w:t>
            </w:r>
          </w:p>
        </w:tc>
        <w:tc>
          <w:tcPr>
            <w:tcW w:type="dxa" w:w="4000"/>
            <w:vAlign w:val="center"/>
          </w:tcPr>
          <w:p>
            <w:r>
              <w:rPr>
                <w:b w:val="false"/>
                <w:bCs w:val="false"/>
                <w:color w:val="000000"/>
                <w:sz w:val="20"/>
                <w:szCs w:val="20"/>
              </w:rPr>
              <w:t xml:space="preserve">« Centenaire de l'APL » — capacité à fournir des options militaires crédibles</w:t>
            </w:r>
          </w:p>
        </w:tc>
        <w:tc>
          <w:tcPr>
            <w:tcW w:type="dxa" w:w="3550"/>
            <w:vAlign w:val="center"/>
          </w:tcPr>
          <w:p>
            <w:r>
              <w:rPr>
                <w:b w:val="false"/>
                <w:bCs w:val="false"/>
                <w:color w:val="000000"/>
                <w:sz w:val="20"/>
                <w:szCs w:val="20"/>
              </w:rPr>
              <w:t xml:space="preserve">Jalon de capacité à court terme, dont l'invasion de Taïwan constitue le scénario dimensionnant selon les responsables américains cités par l'IISS</w:t>
            </w:r>
          </w:p>
        </w:tc>
      </w:tr>
      <w:tr>
        <w:tc>
          <w:tcPr>
            <w:tcW w:type="dxa" w:w="1800"/>
            <w:vAlign w:val="center"/>
          </w:tcPr>
          <w:p>
            <w:r>
              <w:rPr>
                <w:b w:val="false"/>
                <w:bCs w:val="false"/>
                <w:color w:val="000000"/>
                <w:sz w:val="20"/>
                <w:szCs w:val="20"/>
              </w:rPr>
              <w:t xml:space="preserve">2035</w:t>
            </w:r>
          </w:p>
        </w:tc>
        <w:tc>
          <w:tcPr>
            <w:tcW w:type="dxa" w:w="4000"/>
            <w:vAlign w:val="center"/>
          </w:tcPr>
          <w:p>
            <w:r>
              <w:rPr>
                <w:b w:val="false"/>
                <w:bCs w:val="false"/>
                <w:color w:val="000000"/>
                <w:sz w:val="20"/>
                <w:szCs w:val="20"/>
              </w:rPr>
              <w:t xml:space="preserve">« Modernisation de la défense nationale »</w:t>
            </w:r>
          </w:p>
        </w:tc>
        <w:tc>
          <w:tcPr>
            <w:tcW w:type="dxa" w:w="3550"/>
            <w:vAlign w:val="center"/>
          </w:tcPr>
          <w:p>
            <w:r>
              <w:rPr>
                <w:b w:val="false"/>
                <w:bCs w:val="false"/>
                <w:color w:val="000000"/>
                <w:sz w:val="20"/>
                <w:szCs w:val="20"/>
              </w:rPr>
              <w:t xml:space="preserve">Parité technologique visée avec les forces occidentales de premier rang sur l'ensemble des domaines</w:t>
            </w:r>
          </w:p>
        </w:tc>
      </w:tr>
      <w:tr>
        <w:tc>
          <w:tcPr>
            <w:tcW w:type="dxa" w:w="1800"/>
            <w:vAlign w:val="center"/>
          </w:tcPr>
          <w:p>
            <w:r>
              <w:rPr>
                <w:b w:val="false"/>
                <w:bCs w:val="false"/>
                <w:color w:val="000000"/>
                <w:sz w:val="20"/>
                <w:szCs w:val="20"/>
              </w:rPr>
              <w:t xml:space="preserve">2049</w:t>
            </w:r>
          </w:p>
        </w:tc>
        <w:tc>
          <w:tcPr>
            <w:tcW w:type="dxa" w:w="4000"/>
            <w:vAlign w:val="center"/>
          </w:tcPr>
          <w:p>
            <w:r>
              <w:rPr>
                <w:b w:val="false"/>
                <w:bCs w:val="false"/>
                <w:color w:val="000000"/>
                <w:sz w:val="20"/>
                <w:szCs w:val="20"/>
              </w:rPr>
              <w:t xml:space="preserve">« Armée de rang mondial » (centenaire de la RPC)</w:t>
            </w:r>
          </w:p>
        </w:tc>
        <w:tc>
          <w:tcPr>
            <w:tcW w:type="dxa" w:w="3550"/>
            <w:vAlign w:val="center"/>
          </w:tcPr>
          <w:p>
            <w:r>
              <w:rPr>
                <w:b w:val="false"/>
                <w:bCs w:val="false"/>
                <w:color w:val="000000"/>
                <w:sz w:val="20"/>
                <w:szCs w:val="20"/>
              </w:rPr>
              <w:t xml:space="preserve">Horizon de projection de puissance globale, au-delà du seul théâtre indo-pacifique</w:t>
            </w:r>
          </w:p>
        </w:tc>
      </w:tr>
    </w:tbl>
    <w:p>
      <w:pPr>
        <w:spacing w:after="220"/>
      </w:pPr>
      <w:r>
        <w:rPr>
          <w:i/>
          <w:iCs/>
          <w:color w:val="595959"/>
          <w:sz w:val="18"/>
          <w:szCs w:val="18"/>
        </w:rPr>
        <w:t xml:space="preserve">SOURCE : IISS, The Military Balance 2026, p.232</w:t>
      </w:r>
    </w:p>
    <w:p>
      <w:pPr>
        <w:spacing w:after="160"/>
        <w:jc w:val="both"/>
      </w:pPr>
      <w:r>
        <w:t xml:space="preserve">Le 15e plan quinquennal (2026-2030), dont le communiqué a été publié fin 2025, reconduit une « stratégie en trois étapes » pour la modernisation de la défense nationale : renforcement de la loyauté politique au sein de l'armée, modernisation par la réforme et les avancées scientifiques et technologiques, et « gestion de l'armée conformément à la loi ». Cette continuité, plutôt qu'une rupture, doit être lue comme un signal de confiance de la direction chinoise dans la trajectoire actuelle plutôt que comme une accélération délibérée.</w:t>
      </w:r>
    </w:p>
    <w:p>
      <w:pPr>
        <w:spacing w:after="220"/>
      </w:pPr>
      <w:r>
        <w:rPr>
          <w:i/>
          <w:iCs/>
          <w:color w:val="595959"/>
          <w:sz w:val="18"/>
          <w:szCs w:val="18"/>
        </w:rPr>
        <w:t xml:space="preserve">SOURCE : IISS, The Military Balance 2026, p.226</w:t>
      </w:r>
    </w:p>
    <w:p>
      <w:pPr>
        <w:pStyle w:val="Heading2"/>
        <w:spacing w:after="150" w:before="300"/>
      </w:pPr>
      <w:r>
        <w:t xml:space="preserve">2.2 La réforme organisationnelle de 2024 : vers l'intégration multi-domaines</w:t>
      </w:r>
    </w:p>
    <w:p>
      <w:pPr>
        <w:spacing w:after="160"/>
        <w:jc w:val="both"/>
      </w:pPr>
      <w:r>
        <w:t xml:space="preserve">En avril 2024, la Commission militaire centrale (CMC) a dissous la Force de soutien stratégique (SSF), créée en 2015, et réparti ses composantes en trois nouvelles branches indépendantes : la Force aérospatiale (espace), la Force cyberespace (cyber) et la Force de soutien à l'information (réseau d'information interarmées). Cette réforme traduit une volonté de rationaliser le commandement des capacités multi-domaines (espace, cyber, information) en les séparant institutionnellement plutôt qu'en les regroupant sous une structure unique, à rebours du modèle initial de 2015.</w:t>
      </w:r>
    </w:p>
    <w:p>
      <w:pPr>
        <w:spacing w:after="220"/>
      </w:pPr>
      <w:r>
        <w:rPr>
          <w:i/>
          <w:iCs/>
          <w:color w:val="595959"/>
          <w:sz w:val="18"/>
          <w:szCs w:val="18"/>
        </w:rPr>
        <w:t xml:space="preserve">SOURCE : IISS, The Military Balance 2026, p.226, 255-256</w:t>
      </w:r>
    </w:p>
    <w:p>
      <w:pPr>
        <w:spacing w:after="160"/>
        <w:jc w:val="both"/>
      </w:pPr>
      <w:r>
        <w:t xml:space="preserve">Analyse (Key Assumptions Check) : cette réorganisation suppose implicitement que la fragmentation institutionnelle améliore le contrôle politique et la spécialisation technique de chaque domaine. L'hypothèse inverse — que cette fragmentation complique l'intégration interarmées au moment même où la doctrine chinoise met l'accent sur les opérations « informatisées » et « intelligentisées » — ne peut être écartée et constitue une lacune de renseignement majeure : l'efficacité de cette nouvelle architecture n'a pas été testée en engagement réel.</w:t>
      </w:r>
    </w:p>
    <w:p>
      <w:pPr>
        <w:pStyle w:val="Heading1"/>
        <w:spacing w:after="200" w:before="400"/>
      </w:pPr>
      <w:r>
        <w:t xml:space="preserve">3. Architecture d'ensemble des forces armées chinoises</w:t>
      </w:r>
    </w:p>
    <w:p>
      <w:pPr>
        <w:spacing w:after="160"/>
        <w:jc w:val="both"/>
      </w:pPr>
      <w:r>
        <w:t xml:space="preserve">L'Armée populaire de libération (APL) est la plus grande force armée du monde avec 2 035 000 personnels d'active, complétés par 500 000 personnels de la Police armée populaire (gendarmerie/paramilitaire) et une réserve estimée à 510 000 personnels. La conscription sélective s'applique à l'ensemble des services pour une durée de 24 mois.</w:t>
      </w:r>
    </w:p>
    <w:p>
      <w:pPr>
        <w:spacing w:after="220"/>
      </w:pPr>
      <w:r>
        <w:rPr>
          <w:i/>
          <w:iCs/>
          <w:color w:val="595959"/>
          <w:sz w:val="18"/>
          <w:szCs w:val="18"/>
        </w:rPr>
        <w:t xml:space="preserve">SOURCE : IISS, The Military Balance 2026, p.249</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4000"/>
            <w:shd w:fill="1F3864" w:val="clear"/>
            <w:vAlign w:val="center"/>
          </w:tcPr>
          <w:p>
            <w:r>
              <w:rPr>
                <w:b/>
                <w:bCs/>
                <w:color w:val="FFFFFF"/>
                <w:sz w:val="20"/>
                <w:szCs w:val="20"/>
              </w:rPr>
              <w:t xml:space="preserve">Composante</w:t>
            </w:r>
          </w:p>
        </w:tc>
        <w:tc>
          <w:tcPr>
            <w:tcW w:type="dxa" w:w="2500"/>
            <w:shd w:fill="1F3864" w:val="clear"/>
            <w:vAlign w:val="center"/>
          </w:tcPr>
          <w:p>
            <w:r>
              <w:rPr>
                <w:b/>
                <w:bCs/>
                <w:color w:val="FFFFFF"/>
                <w:sz w:val="20"/>
                <w:szCs w:val="20"/>
              </w:rPr>
              <w:t xml:space="preserve">Effectifs</w:t>
            </w:r>
          </w:p>
        </w:tc>
        <w:tc>
          <w:tcPr>
            <w:tcW w:type="dxa" w:w="2850"/>
            <w:shd w:fill="1F3864" w:val="clear"/>
            <w:vAlign w:val="center"/>
          </w:tcPr>
          <w:p>
            <w:r>
              <w:rPr>
                <w:b/>
                <w:bCs/>
                <w:color w:val="FFFFFF"/>
                <w:sz w:val="20"/>
                <w:szCs w:val="20"/>
              </w:rPr>
              <w:t xml:space="preserve">Part du total actif</w:t>
            </w:r>
          </w:p>
        </w:tc>
      </w:tr>
      <w:tr>
        <w:tc>
          <w:tcPr>
            <w:tcW w:type="dxa" w:w="4000"/>
            <w:vAlign w:val="center"/>
          </w:tcPr>
          <w:p>
            <w:r>
              <w:rPr>
                <w:b w:val="false"/>
                <w:bCs w:val="false"/>
                <w:color w:val="000000"/>
                <w:sz w:val="20"/>
                <w:szCs w:val="20"/>
              </w:rPr>
              <w:t xml:space="preserve">Forces terrestres (Armée)</w:t>
            </w:r>
          </w:p>
        </w:tc>
        <w:tc>
          <w:tcPr>
            <w:tcW w:type="dxa" w:w="2500"/>
            <w:vAlign w:val="center"/>
          </w:tcPr>
          <w:p>
            <w:r>
              <w:rPr>
                <w:b w:val="false"/>
                <w:bCs w:val="false"/>
                <w:color w:val="000000"/>
                <w:sz w:val="20"/>
                <w:szCs w:val="20"/>
              </w:rPr>
              <w:t xml:space="preserve">950 000</w:t>
            </w:r>
          </w:p>
        </w:tc>
        <w:tc>
          <w:tcPr>
            <w:tcW w:type="dxa" w:w="2850"/>
            <w:vAlign w:val="center"/>
          </w:tcPr>
          <w:p>
            <w:r>
              <w:rPr>
                <w:b w:val="false"/>
                <w:bCs w:val="false"/>
                <w:color w:val="000000"/>
                <w:sz w:val="20"/>
                <w:szCs w:val="20"/>
              </w:rPr>
              <w:t xml:space="preserve">46,7 %</w:t>
            </w:r>
          </w:p>
        </w:tc>
      </w:tr>
      <w:tr>
        <w:tc>
          <w:tcPr>
            <w:tcW w:type="dxa" w:w="4000"/>
            <w:vAlign w:val="center"/>
          </w:tcPr>
          <w:p>
            <w:r>
              <w:rPr>
                <w:b w:val="false"/>
                <w:bCs w:val="false"/>
                <w:color w:val="000000"/>
                <w:sz w:val="20"/>
                <w:szCs w:val="20"/>
              </w:rPr>
              <w:t xml:space="preserve">Marine (PLAN)</w:t>
            </w:r>
          </w:p>
        </w:tc>
        <w:tc>
          <w:tcPr>
            <w:tcW w:type="dxa" w:w="2500"/>
            <w:vAlign w:val="center"/>
          </w:tcPr>
          <w:p>
            <w:r>
              <w:rPr>
                <w:b w:val="false"/>
                <w:bCs w:val="false"/>
                <w:color w:val="000000"/>
                <w:sz w:val="20"/>
                <w:szCs w:val="20"/>
              </w:rPr>
              <w:t xml:space="preserve">262 000</w:t>
            </w:r>
          </w:p>
        </w:tc>
        <w:tc>
          <w:tcPr>
            <w:tcW w:type="dxa" w:w="2850"/>
            <w:vAlign w:val="center"/>
          </w:tcPr>
          <w:p>
            <w:r>
              <w:rPr>
                <w:b w:val="false"/>
                <w:bCs w:val="false"/>
                <w:color w:val="000000"/>
                <w:sz w:val="20"/>
                <w:szCs w:val="20"/>
              </w:rPr>
              <w:t xml:space="preserve">12,9 %</w:t>
            </w:r>
          </w:p>
        </w:tc>
      </w:tr>
      <w:tr>
        <w:tc>
          <w:tcPr>
            <w:tcW w:type="dxa" w:w="4000"/>
            <w:vAlign w:val="center"/>
          </w:tcPr>
          <w:p>
            <w:r>
              <w:rPr>
                <w:b w:val="false"/>
                <w:bCs w:val="false"/>
                <w:color w:val="000000"/>
                <w:sz w:val="20"/>
                <w:szCs w:val="20"/>
              </w:rPr>
              <w:t xml:space="preserve">Force aérienne (PLAAF)</w:t>
            </w:r>
          </w:p>
        </w:tc>
        <w:tc>
          <w:tcPr>
            <w:tcW w:type="dxa" w:w="2500"/>
            <w:vAlign w:val="center"/>
          </w:tcPr>
          <w:p>
            <w:r>
              <w:rPr>
                <w:b w:val="false"/>
                <w:bCs w:val="false"/>
                <w:color w:val="000000"/>
                <w:sz w:val="20"/>
                <w:szCs w:val="20"/>
              </w:rPr>
              <w:t xml:space="preserve">403 000</w:t>
            </w:r>
          </w:p>
        </w:tc>
        <w:tc>
          <w:tcPr>
            <w:tcW w:type="dxa" w:w="2850"/>
            <w:vAlign w:val="center"/>
          </w:tcPr>
          <w:p>
            <w:r>
              <w:rPr>
                <w:b w:val="false"/>
                <w:bCs w:val="false"/>
                <w:color w:val="000000"/>
                <w:sz w:val="20"/>
                <w:szCs w:val="20"/>
              </w:rPr>
              <w:t xml:space="preserve">19,8 %</w:t>
            </w:r>
          </w:p>
        </w:tc>
      </w:tr>
      <w:tr>
        <w:tc>
          <w:tcPr>
            <w:tcW w:type="dxa" w:w="4000"/>
            <w:vAlign w:val="center"/>
          </w:tcPr>
          <w:p>
            <w:r>
              <w:rPr>
                <w:b w:val="false"/>
                <w:bCs w:val="false"/>
                <w:color w:val="000000"/>
                <w:sz w:val="20"/>
                <w:szCs w:val="20"/>
              </w:rPr>
              <w:t xml:space="preserve">Force des roquettes stratégiques (PLARF)</w:t>
            </w:r>
          </w:p>
        </w:tc>
        <w:tc>
          <w:tcPr>
            <w:tcW w:type="dxa" w:w="2500"/>
            <w:vAlign w:val="center"/>
          </w:tcPr>
          <w:p>
            <w:r>
              <w:rPr>
                <w:b w:val="false"/>
                <w:bCs w:val="false"/>
                <w:color w:val="000000"/>
                <w:sz w:val="20"/>
                <w:szCs w:val="20"/>
              </w:rPr>
              <w:t xml:space="preserve">125 000</w:t>
            </w:r>
          </w:p>
        </w:tc>
        <w:tc>
          <w:tcPr>
            <w:tcW w:type="dxa" w:w="2850"/>
            <w:vAlign w:val="center"/>
          </w:tcPr>
          <w:p>
            <w:r>
              <w:rPr>
                <w:b w:val="false"/>
                <w:bCs w:val="false"/>
                <w:color w:val="000000"/>
                <w:sz w:val="20"/>
                <w:szCs w:val="20"/>
              </w:rPr>
              <w:t xml:space="preserve">6,1 %</w:t>
            </w:r>
          </w:p>
        </w:tc>
      </w:tr>
      <w:tr>
        <w:tc>
          <w:tcPr>
            <w:tcW w:type="dxa" w:w="4000"/>
            <w:vAlign w:val="center"/>
          </w:tcPr>
          <w:p>
            <w:r>
              <w:rPr>
                <w:b w:val="false"/>
                <w:bCs w:val="false"/>
                <w:color w:val="000000"/>
                <w:sz w:val="20"/>
                <w:szCs w:val="20"/>
              </w:rPr>
              <w:t xml:space="preserve">Autres (dont branches issues de l'ex-SSF)</w:t>
            </w:r>
          </w:p>
        </w:tc>
        <w:tc>
          <w:tcPr>
            <w:tcW w:type="dxa" w:w="2500"/>
            <w:vAlign w:val="center"/>
          </w:tcPr>
          <w:p>
            <w:r>
              <w:rPr>
                <w:b w:val="false"/>
                <w:bCs w:val="false"/>
                <w:color w:val="000000"/>
                <w:sz w:val="20"/>
                <w:szCs w:val="20"/>
              </w:rPr>
              <w:t xml:space="preserve">295 000</w:t>
            </w:r>
          </w:p>
        </w:tc>
        <w:tc>
          <w:tcPr>
            <w:tcW w:type="dxa" w:w="2850"/>
            <w:vAlign w:val="center"/>
          </w:tcPr>
          <w:p>
            <w:r>
              <w:rPr>
                <w:b w:val="false"/>
                <w:bCs w:val="false"/>
                <w:color w:val="000000"/>
                <w:sz w:val="20"/>
                <w:szCs w:val="20"/>
              </w:rPr>
              <w:t xml:space="preserve">14,5 %</w:t>
            </w:r>
          </w:p>
        </w:tc>
      </w:tr>
    </w:tbl>
    <w:p>
      <w:pPr>
        <w:spacing w:after="220"/>
      </w:pPr>
      <w:r>
        <w:rPr>
          <w:i/>
          <w:iCs/>
          <w:color w:val="595959"/>
          <w:sz w:val="18"/>
          <w:szCs w:val="18"/>
        </w:rPr>
        <w:t xml:space="preserve">SOURCE : IISS, The Military Balance 2026, p.249</w:t>
      </w:r>
    </w:p>
    <w:p>
      <w:pPr>
        <w:spacing w:after="160"/>
        <w:jc w:val="both"/>
      </w:pPr>
      <w:r>
        <w:t xml:space="preserve">Un trait structurant, souvent sous-estimé par mirror-imaging, mérite d'être souligné : l'APL ne dispose d'aucune expérience de combat significative et récente, et son entraînement a été affecté par des exercices jugés trop scénarisés et peu réalistes. La seule composante ayant l'expérience de déploiements prolongés hors zone est la Marine, via sa base de soutien à Djibouti. Cette absence d'aguerrissement constitue une variable critique pour toute appréciation de la capacité réelle de l'APL à mener des opérations interarmées de haute intensité, indépendamment de la modernité de son parc matériel.</w:t>
      </w:r>
    </w:p>
    <w:p>
      <w:pPr>
        <w:spacing w:after="220"/>
      </w:pPr>
      <w:r>
        <w:rPr>
          <w:i/>
          <w:iCs/>
          <w:color w:val="595959"/>
          <w:sz w:val="18"/>
          <w:szCs w:val="18"/>
        </w:rPr>
        <w:t xml:space="preserve">SOURCE : IISS, The Military Balance 2026, p.249</w:t>
      </w:r>
    </w:p>
    <w:p>
      <w:pPr>
        <w:pStyle w:val="Heading2"/>
        <w:spacing w:after="150" w:before="300"/>
      </w:pPr>
      <w:r>
        <w:t xml:space="preserve">3.1 Les cinq théâtres de commandement</w:t>
      </w:r>
    </w:p>
    <w:p>
      <w:pPr>
        <w:spacing w:after="160"/>
        <w:jc w:val="both"/>
      </w:pPr>
      <w:r>
        <w:t xml:space="preserve">Depuis la réforme de 2016, l'APL est organisée en cinq théâtres de commandement interarmées (Est, Sud, Ouest, Nord, Centre), chacun disposant de composantes Armée, Marine (sauf Théâtre Centre, enclavé) et Force aérienne dédiées. Cette architecture territorialise la doctrine de « défense active » chinoise et permet une répartition capacitaire cohérente avec les priorités géographiques :</w:t>
      </w:r>
    </w:p>
    <w:p>
      <w:pPr>
        <w:pStyle w:val="ListParagraph"/>
        <w:numPr>
          <w:ilvl w:val="0"/>
          <w:numId w:val="2"/>
        </w:numPr>
        <w:spacing w:after="100"/>
      </w:pPr>
      <w:r>
        <w:t xml:space="preserve">Théâtre Est : orienté vers Taïwan — concentre plusieurs des divisions de bombardiers et de chasseurs les plus modernes, ainsi que la majorité des brigades amphibies.</w:t>
      </w:r>
    </w:p>
    <w:p>
      <w:pPr>
        <w:pStyle w:val="ListParagraph"/>
        <w:numPr>
          <w:ilvl w:val="0"/>
          <w:numId w:val="2"/>
        </w:numPr>
        <w:spacing w:after="100"/>
      </w:pPr>
      <w:r>
        <w:t xml:space="preserve">Théâtre Sud : orienté vers la mer de Chine méridionale — héberge la totalité des SNLE (base de Hainan/Yulin) et une part disproportionnée des porte-avions et sous-marins d'attaque.</w:t>
      </w:r>
    </w:p>
    <w:p>
      <w:pPr>
        <w:pStyle w:val="ListParagraph"/>
        <w:numPr>
          <w:ilvl w:val="0"/>
          <w:numId w:val="2"/>
        </w:numPr>
        <w:spacing w:after="100"/>
      </w:pPr>
      <w:r>
        <w:t xml:space="preserve">Théâtre Ouest : orienté vers l'Inde et l'Asie centrale — concentre les divisions d'infanterie et blindées adaptées à la haute altitude (ZTQ-15).</w:t>
      </w:r>
    </w:p>
    <w:p>
      <w:pPr>
        <w:pStyle w:val="ListParagraph"/>
        <w:numPr>
          <w:ilvl w:val="0"/>
          <w:numId w:val="2"/>
        </w:numPr>
        <w:spacing w:after="100"/>
      </w:pPr>
      <w:r>
        <w:t xml:space="preserve">Théâtre Nord : orienté vers la péninsule coréenne et la Russie — dispose de la plus ancienne tradition industrielle navale (Dalian).</w:t>
      </w:r>
    </w:p>
    <w:p>
      <w:pPr>
        <w:pStyle w:val="ListParagraph"/>
        <w:numPr>
          <w:ilvl w:val="0"/>
          <w:numId w:val="2"/>
        </w:numPr>
        <w:spacing w:after="100"/>
      </w:pPr>
      <w:r>
        <w:t xml:space="preserve">Théâtre Centre : réserve stratégique et défense de la capitale — concentre les divisions de la garde de Pékin et une part importante du Corps aéroporté.</w:t>
      </w:r>
    </w:p>
    <w:p>
      <w:pPr>
        <w:spacing w:after="220"/>
      </w:pPr>
      <w:r>
        <w:rPr>
          <w:i/>
          <w:iCs/>
          <w:color w:val="595959"/>
          <w:sz w:val="18"/>
          <w:szCs w:val="18"/>
        </w:rPr>
        <w:t xml:space="preserve">SOURCE : IISS, The Military Balance 2026, p.256-258</w:t>
      </w:r>
    </w:p>
    <w:p>
      <w:pPr>
        <w:pStyle w:val="Heading1"/>
        <w:spacing w:after="200" w:before="400"/>
      </w:pPr>
      <w:r>
        <w:t xml:space="preserve">4. Analyse capacitaire par composante</w:t>
      </w:r>
    </w:p>
    <w:p>
      <w:pPr>
        <w:pStyle w:val="Heading2"/>
        <w:spacing w:after="150" w:before="300"/>
      </w:pPr>
      <w:r>
        <w:t xml:space="preserve">4.1 Armée de Terre (PLA Ground Forces) — de la masse à la précision</w:t>
      </w:r>
    </w:p>
    <w:p>
      <w:pPr>
        <w:spacing w:after="160"/>
        <w:jc w:val="both"/>
      </w:pPr>
      <w:r>
        <w:t xml:space="preserve">La modernisation de la composante terrestre chinoise illustre une transition en cours entre trois générations de matériel coexistantes : un premier tiers hérité de conception soviétique (ZTZ-59, artillerie tractée D-30/D-20) en voie de retrait ou de mise en réserve, un second tiers de deuxième génération numérisée (ZTZ-96/96A, environ 2 500 unités) constituant le socle actuel de la force blindée, et un troisième tiers de pointe (ZTZ-99A/B et le nouveau Type-100 dévoilé au défilé du 3 septembre 2025) qui matérialise le saut technologique visé.</w:t>
      </w:r>
    </w:p>
    <w:p>
      <w:pPr>
        <w:spacing w:after="220"/>
      </w:pPr>
      <w:r>
        <w:rPr>
          <w:i/>
          <w:iCs/>
          <w:color w:val="595959"/>
          <w:sz w:val="18"/>
          <w:szCs w:val="18"/>
        </w:rPr>
        <w:t xml:space="preserve">SOURCE : Classeur Excel joint, onglet PLA ; IISS, The Military Balance 2026, p.250</w:t>
      </w:r>
    </w:p>
    <w:p>
      <w:pPr>
        <w:spacing w:after="160"/>
        <w:jc w:val="both"/>
      </w:pPr>
      <w:r>
        <w:t xml:space="preserve">Le Type-100 constitue à cet égard un cas d'étude significatif : sa tourelle inhabitée, son blindage allégé, son système de protection active et son assistance en réalité augmentée pour l'équipage traduisent une doctrine d'engagement à distance et de percée assistée par la robotique, plutôt qu'une doctrine de choc blindé classique. Sa présentation conjointe avec quatre familles de véhicules terrestres et aériens sans pilote (UGV/UAV) lors du même défilé signale une transition affichée de l'expérimentation vers la mise en service en série, avec une disponibilité en nombre significatif anticipée à l'horizon 2030.</w:t>
      </w:r>
    </w:p>
    <w:p>
      <w:pPr>
        <w:spacing w:after="220"/>
      </w:pPr>
      <w:r>
        <w:rPr>
          <w:i/>
          <w:iCs/>
          <w:color w:val="595959"/>
          <w:sz w:val="18"/>
          <w:szCs w:val="18"/>
        </w:rPr>
        <w:t xml:space="preserve">SOURCE : IISS, The Military Balance 2026, p.226</w:t>
      </w:r>
    </w:p>
    <w:p>
      <w:pPr>
        <w:spacing w:after="160"/>
        <w:jc w:val="both"/>
      </w:pPr>
      <w:r>
        <w:t xml:space="preserve">Le second axe de modernisation notable concerne l'artillerie longue portée : le lance-roquettes multiple PCH-191 (370mm), capable de tirer le missile sol-sol conventionnel Fire Dragon-480, brouille délibérément la frontière entre artillerie de théâtre et frappe de précision profonde, offrant à l'APL une capacité fonctionnellement comparable au système HIMARS américain mais intégrée à la chaîne de commandement de l'Armée de Terre plutôt qu'à celle de la Force des roquettes.</w:t>
      </w:r>
    </w:p>
    <w:p>
      <w:pPr>
        <w:spacing w:after="220"/>
      </w:pPr>
      <w:r>
        <w:rPr>
          <w:i/>
          <w:iCs/>
          <w:color w:val="595959"/>
          <w:sz w:val="18"/>
          <w:szCs w:val="18"/>
        </w:rPr>
        <w:t xml:space="preserve">SOURCE : IISS, The Military Balance 2026, p.250</w:t>
      </w:r>
    </w:p>
    <w:p>
      <w:pPr>
        <w:pStyle w:val="Heading2"/>
        <w:spacing w:after="150" w:before="300"/>
      </w:pPr>
      <w:r>
        <w:t xml:space="preserve">4.2 Marine (PLAN) — la priorité capacitaire numéro un</w:t>
      </w:r>
    </w:p>
    <w:p>
      <w:pPr>
        <w:spacing w:after="160"/>
        <w:jc w:val="both"/>
      </w:pPr>
      <w:r>
        <w:t xml:space="preserve">La Marine chinoise constitue, de l'avis convergent des analyses OSINT consultées, la priorité de modernisation la plus visible de la décennie. Trois développements structurants ont marqué l'année 2025 :</w:t>
      </w:r>
    </w:p>
    <w:p>
      <w:pPr>
        <w:pStyle w:val="ListParagraph"/>
        <w:numPr>
          <w:ilvl w:val="0"/>
          <w:numId w:val="2"/>
        </w:numPr>
        <w:spacing w:after="100"/>
      </w:pPr>
      <w:r>
        <w:t xml:space="preserve">La maturation de la capacité porte-avions, avec le déploiement simultané pour la première fois en juin 2025 de deux groupes aéronavals (Liaoning et Shandong) au-delà de la première chaîne d'îles dans le Pacifique occidental, et la poursuite des essais du Fujian (catapultes électromagnétiques), dont le commissionnement était prévu début novembre 2025.</w:t>
      </w:r>
    </w:p>
    <w:p>
      <w:pPr>
        <w:pStyle w:val="ListParagraph"/>
        <w:numPr>
          <w:ilvl w:val="0"/>
          <w:numId w:val="2"/>
        </w:numPr>
        <w:spacing w:after="100"/>
      </w:pPr>
      <w:r>
        <w:t xml:space="preserve">La construction rapportée d'un quatrième porte-avions, potentiellement à propulsion nucléaire, qui marquerait un changement d'échelle par rapport aux trois unités actuelles.</w:t>
      </w:r>
    </w:p>
    <w:p>
      <w:pPr>
        <w:pStyle w:val="ListParagraph"/>
        <w:numPr>
          <w:ilvl w:val="0"/>
          <w:numId w:val="2"/>
        </w:numPr>
        <w:spacing w:after="100"/>
      </w:pPr>
      <w:r>
        <w:t xml:space="preserve">L'élargissement du rayon d'action opérationnel, illustré par la circumnavigation de l'Australie par un groupe d'action de surface mené par un croiseur Type-055 en février 2025, incluant un exercice à tir réel dans la mer de Tasman.</w:t>
      </w:r>
    </w:p>
    <w:p>
      <w:pPr>
        <w:spacing w:after="220"/>
      </w:pPr>
      <w:r>
        <w:rPr>
          <w:i/>
          <w:iCs/>
          <w:color w:val="595959"/>
          <w:sz w:val="18"/>
          <w:szCs w:val="18"/>
        </w:rPr>
        <w:t xml:space="preserve">SOURCE : IISS, The Military Balance 2026, p.227</w:t>
      </w:r>
    </w:p>
    <w:p>
      <w:pPr>
        <w:spacing w:after="160"/>
        <w:jc w:val="both"/>
      </w:pPr>
      <w:r>
        <w:t xml:space="preserve">Sur le plan sous-marin, la flotte de 62 unités reste dominée numériquement par les submersibles conventionnels (46 SSK, dont la majorité de type Yuan à propulsion anaérobie), la composante nucléaire (6 SSBN, 9 SSN/SSGN) demeurant proportionnellement plus réduite que celle de la Marine américaine mais en expansion constante. La dissuasion navale repose sur les SNLE Type-094 basés à Hainan, seuls capables d'assurer une posture de patrouille continue en second échelon.</w:t>
      </w:r>
    </w:p>
    <w:p>
      <w:pPr>
        <w:spacing w:after="220"/>
      </w:pPr>
      <w:r>
        <w:rPr>
          <w:i/>
          <w:iCs/>
          <w:color w:val="595959"/>
          <w:sz w:val="18"/>
          <w:szCs w:val="18"/>
        </w:rPr>
        <w:t xml:space="preserve">SOURCE : IISS, The Military Balance 2026, p.252</w:t>
      </w:r>
    </w:p>
    <w:p>
      <w:pPr>
        <w:spacing w:after="160"/>
        <w:jc w:val="both"/>
      </w:pPr>
      <w:r>
        <w:t xml:space="preserve">Analyse structurée (Analysis of Competing Hypotheses) — pourquoi la Chine construit-elle une force porte-avions aussi coûteuse alors que sa doctrine A2/AD repose historiquement sur le déni d'accès plutôt que sur la projection de puissance ?</w:t>
      </w:r>
    </w:p>
    <w:p>
      <w:pPr>
        <w:pStyle w:val="ListParagraph"/>
        <w:numPr>
          <w:ilvl w:val="0"/>
          <w:numId w:val="2"/>
        </w:numPr>
        <w:spacing w:after="100"/>
      </w:pPr>
      <w:r>
        <w:t xml:space="preserve">Hypothèse 1 (probable, 60-80%) : les porte-avions servent une fonction de projection de puissance hors de la zone A2/AD elle-même (protection des routes commerciales, contestation d'influence dans le Pacifique et l'océan Indien), complémentaire et non substituable à la posture de déni d'accès portée par les missiles côtiers et la Force des roquettes.</w:t>
      </w:r>
    </w:p>
    <w:p>
      <w:pPr>
        <w:pStyle w:val="ListParagraph"/>
        <w:numPr>
          <w:ilvl w:val="0"/>
          <w:numId w:val="2"/>
        </w:numPr>
        <w:spacing w:after="100"/>
      </w:pPr>
      <w:r>
        <w:t xml:space="preserve">Hypothèse 2 (improbable, 20-40%) : les porte-avions constituent principalement un instrument de prestige politique et de légitimation interne, avec une valeur opérationnelle secondaire par rapport à leur valeur symbolique.</w:t>
      </w:r>
    </w:p>
    <w:p>
      <w:pPr>
        <w:pStyle w:val="ListParagraph"/>
        <w:numPr>
          <w:ilvl w:val="0"/>
          <w:numId w:val="2"/>
        </w:numPr>
        <w:spacing w:after="100"/>
      </w:pPr>
      <w:r>
        <w:t xml:space="preserve">Indicateur discriminant à surveiller : la constitution d'un groupe aérien intégré et cohérent sur le Fujian (J-15T, J-35, KJ-600) conditionnerait la validation de l'hypothèse 1 ; sa lenteur ou son enlisement renforcerait l'hypothèse 2.</w:t>
      </w:r>
    </w:p>
    <w:p>
      <w:pPr>
        <w:spacing w:after="220"/>
      </w:pPr>
      <w:r>
        <w:rPr>
          <w:i/>
          <w:iCs/>
          <w:color w:val="595959"/>
          <w:sz w:val="18"/>
          <w:szCs w:val="18"/>
        </w:rPr>
        <w:t xml:space="preserve">SOURCE : Analyse de l'auteur à partir de IISS, The Military Balance 2026, p.227</w:t>
      </w:r>
    </w:p>
    <w:p>
      <w:pPr>
        <w:pStyle w:val="Heading2"/>
        <w:spacing w:after="150" w:before="300"/>
      </w:pPr>
      <w:r>
        <w:t xml:space="preserve">4.3 Force aérienne (PLAAF) — la course à la 5e génération et l'allongement du rayon d'action</w:t>
      </w:r>
    </w:p>
    <w:p>
      <w:pPr>
        <w:spacing w:after="160"/>
        <w:jc w:val="both"/>
      </w:pPr>
      <w:r>
        <w:t xml:space="preserve">La flotte de combat de la PLAAF (2 880 aéronefs de combat) est marquée par une transition accélérée vers la 5e génération : plus de 300 J-20 sont désormais en service actif, répartis sur 12 brigades couvrant l'ensemble des théâtres, tandis que le J-35A (dérivé du FC-31) entame son entrée en service, avec une première implantation identifiée à la base de Dalian (Théâtre Nord). Cette montée en puissance s'accompagne d'un doublement de capacité en missiles air-air longue portée (PL-15, PL-17 en entrée en service), dont la portée domestique estimée (250-300km) excède significativement celle des versions export (environ 150km) livrées au Pakistan.</w:t>
      </w:r>
    </w:p>
    <w:p>
      <w:pPr>
        <w:spacing w:after="220"/>
      </w:pPr>
      <w:r>
        <w:rPr>
          <w:i/>
          <w:iCs/>
          <w:color w:val="595959"/>
          <w:sz w:val="18"/>
          <w:szCs w:val="18"/>
        </w:rPr>
        <w:t xml:space="preserve">SOURCE : IISS, The Military Balance 2026, p.255</w:t>
      </w:r>
    </w:p>
    <w:p>
      <w:pPr>
        <w:spacing w:after="160"/>
        <w:jc w:val="both"/>
      </w:pPr>
      <w:r>
        <w:t xml:space="preserve">Le second axe capacitaire majeur concerne le ravitaillement en vol et le transport stratégique : le Y-20 (75 unités lourdes, dont des variantes ravitailleuses YY-20A/B) réduit la dépendance historique de la PLAAF envers les importations russes (Il-76/Il-78) et constitue la condition matérielle d'une projection de puissance aérienne au-delà de la première chaîne d'îles — condition nécessaire mais non suffisante pour soutenir une campagne aérienne de haute intensité prolongée face à Taïwan.</w:t>
      </w:r>
    </w:p>
    <w:p>
      <w:pPr>
        <w:spacing w:after="220"/>
      </w:pPr>
      <w:r>
        <w:rPr>
          <w:i/>
          <w:iCs/>
          <w:color w:val="595959"/>
          <w:sz w:val="18"/>
          <w:szCs w:val="18"/>
        </w:rPr>
        <w:t xml:space="preserve">SOURCE : IISS, The Military Balance 2026, p.255</w:t>
      </w:r>
    </w:p>
    <w:p>
      <w:pPr>
        <w:pStyle w:val="Heading2"/>
        <w:spacing w:after="150" w:before="300"/>
      </w:pPr>
      <w:r>
        <w:t xml:space="preserve">4.4 Force des roquettes (PLARF) — l'expansion la plus documentée par l'OSINT satellite</w:t>
      </w:r>
    </w:p>
    <w:p>
      <w:pPr>
        <w:spacing w:after="160"/>
        <w:jc w:val="both"/>
      </w:pPr>
      <w:r>
        <w:t xml:space="preserve">La PLARF illustre le cas le mieux documenté par les capacités OSINT occidentales (imagerie satellite commerciale), du fait de la construction, identifiée dès 2021 par des centres de recherche américains, de plusieurs centaines de nouveaux silos de missiles intercontinentaux dans le nord-ouest de la Chine (régions de Yumen, Hami, Ordos). Le tableau Excel joint recense 298 vecteurs ICBM nucléaires, incluant désormais 150 DF-31BJ en silo — soit la plus importante composante en silo de l'arsenal chinois, contre une dépendance historique aux lanceurs mobiles routiers.</w:t>
      </w:r>
    </w:p>
    <w:p>
      <w:pPr>
        <w:spacing w:after="220"/>
      </w:pPr>
      <w:r>
        <w:rPr>
          <w:i/>
          <w:iCs/>
          <w:color w:val="595959"/>
          <w:sz w:val="18"/>
          <w:szCs w:val="18"/>
        </w:rPr>
        <w:t xml:space="preserve">SOURCE : IISS, The Military Balance 2026, p.249 ; OSINT : Federation of American Scientists, Nuclear Notebook - China, https://fas.org/</w:t>
      </w:r>
    </w:p>
    <w:p>
      <w:pPr>
        <w:spacing w:after="160"/>
        <w:jc w:val="both"/>
      </w:pPr>
      <w:r>
        <w:t xml:space="preserve">Le défilé militaire du 3 septembre 2025 a permis la première présentation publique du DF-61, nouvel ICBM à capacité de planeur hypersonique (HGV) dont les similitudes de lanceur avec le DF-41 suggèrent une possible parenté de plateforme. À l'inverse, deux systèmes attendus par les observateurs — le DF-27 (planeur hypersonique de portée intermédiaire, mentionné dans une évaluation américaine de 2023) et de nouveaux missiles à courte portée destinés à succéder aux DF-11/DF-15 — étaient notablement absents du défilé, ce qui constitue en soi une donnée analytique : soit ces systèmes ne sont pas encore mûrs, soit leur dévoilement a été délibérément différé.</w:t>
      </w:r>
    </w:p>
    <w:p>
      <w:pPr>
        <w:spacing w:after="220"/>
      </w:pPr>
      <w:r>
        <w:rPr>
          <w:i/>
          <w:iCs/>
          <w:color w:val="595959"/>
          <w:sz w:val="18"/>
          <w:szCs w:val="18"/>
        </w:rPr>
        <w:t xml:space="preserve">SOURCE : IISS, The Military Balance 2026, p.231</w:t>
      </w:r>
    </w:p>
    <w:p>
      <w:pPr>
        <w:spacing w:after="160"/>
        <w:jc w:val="both"/>
      </w:pPr>
      <w:r>
        <w:t xml:space="preserve">Cette dynamique confirme l'évaluation, désormais consensuelle parmi les instituts occidentaux, d'un changement d'échelle de l'arsenal nucléaire chinois : la Chine construit un arsenal comparable en nombre de vecteurs à ceux des États-Unis et de la Russie, rompant avec sa doctrine historique de dissuasion minimale. Il s'agit, très probablement (80-95%), d'une évolution vers une posture de dissuasion élargie visant à sécuriser une option de second échelon crédible face à toute frappe de décapitation, plutôt que d'une préparation à une frappe en premier — la doctrine officielle de non-emploi en premier n'ayant pas été révoquée publiquement à ce jour.</w:t>
      </w:r>
    </w:p>
    <w:p>
      <w:pPr>
        <w:pStyle w:val="Heading1"/>
        <w:spacing w:after="200" w:before="400"/>
      </w:pPr>
      <w:r>
        <w:t xml:space="preserve">5. Structuration de la base industrielle et technologique de défense (BITD)</w:t>
      </w:r>
    </w:p>
    <w:p>
      <w:pPr>
        <w:spacing w:after="160"/>
        <w:jc w:val="both"/>
      </w:pPr>
      <w:r>
        <w:t xml:space="preserve">La BITD chinoise se distingue fondamentalement des modèles occidentaux par sa structuration autour d'un petit nombre de conglomérats publics (« State-Owned Enterprises », SOE) placés sous la tutelle directe de la Commission de supervision et d'administration des actifs publics (SASAC), rattachée au Conseil des affaires d'État. Cette architecture centralisée permet une planification industrielle de long terme et une mobilisation de ressources difficilement réplicable par des industries de défense fragmentées en de multiples fournisseurs concurrents.</w:t>
      </w:r>
    </w:p>
    <w:p>
      <w:pPr>
        <w:pStyle w:val="Heading2"/>
        <w:spacing w:after="150" w:before="300"/>
      </w:pPr>
      <w:r>
        <w:t xml:space="preserve">5.1 Cartographie des principaux conglomérats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600"/>
            <w:shd w:fill="1F3864" w:val="clear"/>
            <w:vAlign w:val="center"/>
          </w:tcPr>
          <w:p>
            <w:r>
              <w:rPr>
                <w:b/>
                <w:bCs/>
                <w:color w:val="FFFFFF"/>
                <w:sz w:val="20"/>
                <w:szCs w:val="20"/>
              </w:rPr>
              <w:t xml:space="preserve">Conglomérat</w:t>
            </w:r>
          </w:p>
        </w:tc>
        <w:tc>
          <w:tcPr>
            <w:tcW w:type="dxa" w:w="3200"/>
            <w:shd w:fill="1F3864" w:val="clear"/>
            <w:vAlign w:val="center"/>
          </w:tcPr>
          <w:p>
            <w:r>
              <w:rPr>
                <w:b/>
                <w:bCs/>
                <w:color w:val="FFFFFF"/>
                <w:sz w:val="20"/>
                <w:szCs w:val="20"/>
              </w:rPr>
              <w:t xml:space="preserve">Domaine principal</w:t>
            </w:r>
          </w:p>
        </w:tc>
        <w:tc>
          <w:tcPr>
            <w:tcW w:type="dxa" w:w="3550"/>
            <w:shd w:fill="1F3864" w:val="clear"/>
            <w:vAlign w:val="center"/>
          </w:tcPr>
          <w:p>
            <w:r>
              <w:rPr>
                <w:b/>
                <w:bCs/>
                <w:color w:val="FFFFFF"/>
                <w:sz w:val="20"/>
                <w:szCs w:val="20"/>
              </w:rPr>
              <w:t xml:space="preserve">Systèmes recensés dans le classeur Excel</w:t>
            </w:r>
          </w:p>
        </w:tc>
      </w:tr>
      <w:tr>
        <w:tc>
          <w:tcPr>
            <w:tcW w:type="dxa" w:w="2600"/>
            <w:vAlign w:val="center"/>
          </w:tcPr>
          <w:p>
            <w:r>
              <w:rPr>
                <w:b w:val="false"/>
                <w:bCs w:val="false"/>
                <w:color w:val="000000"/>
                <w:sz w:val="20"/>
                <w:szCs w:val="20"/>
              </w:rPr>
              <w:t xml:space="preserve">NORINCO (China North Industries Corp.)</w:t>
            </w:r>
          </w:p>
        </w:tc>
        <w:tc>
          <w:tcPr>
            <w:tcW w:type="dxa" w:w="3200"/>
            <w:vAlign w:val="center"/>
          </w:tcPr>
          <w:p>
            <w:r>
              <w:rPr>
                <w:b w:val="false"/>
                <w:bCs w:val="false"/>
                <w:color w:val="000000"/>
                <w:sz w:val="20"/>
                <w:szCs w:val="20"/>
              </w:rPr>
              <w:t xml:space="preserve">Systèmes terrestres : blindés, artillerie, munitions, missiles antichars</w:t>
            </w:r>
          </w:p>
        </w:tc>
        <w:tc>
          <w:tcPr>
            <w:tcW w:type="dxa" w:w="3550"/>
            <w:vAlign w:val="center"/>
          </w:tcPr>
          <w:p>
            <w:r>
              <w:rPr>
                <w:b w:val="false"/>
                <w:bCs w:val="false"/>
                <w:color w:val="000000"/>
                <w:sz w:val="20"/>
                <w:szCs w:val="20"/>
              </w:rPr>
              <w:t xml:space="preserve">ZTZ-99, Type-100, ZBD/ZBL, HJ-12, PCL-181, PHL-03/PCH-191</w:t>
            </w:r>
          </w:p>
        </w:tc>
      </w:tr>
      <w:tr>
        <w:tc>
          <w:tcPr>
            <w:tcW w:type="dxa" w:w="2600"/>
            <w:vAlign w:val="center"/>
          </w:tcPr>
          <w:p>
            <w:r>
              <w:rPr>
                <w:b w:val="false"/>
                <w:bCs w:val="false"/>
                <w:color w:val="000000"/>
                <w:sz w:val="20"/>
                <w:szCs w:val="20"/>
              </w:rPr>
              <w:t xml:space="preserve">CSSC (China State Shipbuilding Corp.)</w:t>
            </w:r>
          </w:p>
        </w:tc>
        <w:tc>
          <w:tcPr>
            <w:tcW w:type="dxa" w:w="3200"/>
            <w:vAlign w:val="center"/>
          </w:tcPr>
          <w:p>
            <w:r>
              <w:rPr>
                <w:b w:val="false"/>
                <w:bCs w:val="false"/>
                <w:color w:val="000000"/>
                <w:sz w:val="20"/>
                <w:szCs w:val="20"/>
              </w:rPr>
              <w:t xml:space="preserve">Construction navale militaire et civile (fusion 2019 des ex-CSSC/CSIC)</w:t>
            </w:r>
          </w:p>
        </w:tc>
        <w:tc>
          <w:tcPr>
            <w:tcW w:type="dxa" w:w="3550"/>
            <w:vAlign w:val="center"/>
          </w:tcPr>
          <w:p>
            <w:r>
              <w:rPr>
                <w:b w:val="false"/>
                <w:bCs w:val="false"/>
                <w:color w:val="000000"/>
                <w:sz w:val="20"/>
                <w:szCs w:val="20"/>
              </w:rPr>
              <w:t xml:space="preserve">Porte-avions, Type-055, Type-052D, Type-054A, sous-marins Yuan/Song</w:t>
            </w:r>
          </w:p>
        </w:tc>
      </w:tr>
      <w:tr>
        <w:tc>
          <w:tcPr>
            <w:tcW w:type="dxa" w:w="2600"/>
            <w:vAlign w:val="center"/>
          </w:tcPr>
          <w:p>
            <w:r>
              <w:rPr>
                <w:b w:val="false"/>
                <w:bCs w:val="false"/>
                <w:color w:val="000000"/>
                <w:sz w:val="20"/>
                <w:szCs w:val="20"/>
              </w:rPr>
              <w:t xml:space="preserve">AVIC (Aviation Industry Corp. of China)</w:t>
            </w:r>
          </w:p>
        </w:tc>
        <w:tc>
          <w:tcPr>
            <w:tcW w:type="dxa" w:w="3200"/>
            <w:vAlign w:val="center"/>
          </w:tcPr>
          <w:p>
            <w:r>
              <w:rPr>
                <w:b w:val="false"/>
                <w:bCs w:val="false"/>
                <w:color w:val="000000"/>
                <w:sz w:val="20"/>
                <w:szCs w:val="20"/>
              </w:rPr>
              <w:t xml:space="preserve">Aéronefs militaires (chasse, transport, hélicoptères) via ses filiales Chengdu, Shenyang, Xi'an, Hongdu, Shaanxi</w:t>
            </w:r>
          </w:p>
        </w:tc>
        <w:tc>
          <w:tcPr>
            <w:tcW w:type="dxa" w:w="3550"/>
            <w:vAlign w:val="center"/>
          </w:tcPr>
          <w:p>
            <w:r>
              <w:rPr>
                <w:b w:val="false"/>
                <w:bCs w:val="false"/>
                <w:color w:val="000000"/>
                <w:sz w:val="20"/>
                <w:szCs w:val="20"/>
              </w:rPr>
              <w:t xml:space="preserve">J-10C, J-16, J-20, J-35, Y-20, Z-10, Z-20, drones Wing Loong</w:t>
            </w:r>
          </w:p>
        </w:tc>
      </w:tr>
      <w:tr>
        <w:tc>
          <w:tcPr>
            <w:tcW w:type="dxa" w:w="2600"/>
            <w:vAlign w:val="center"/>
          </w:tcPr>
          <w:p>
            <w:r>
              <w:rPr>
                <w:b w:val="false"/>
                <w:bCs w:val="false"/>
                <w:color w:val="000000"/>
                <w:sz w:val="20"/>
                <w:szCs w:val="20"/>
              </w:rPr>
              <w:t xml:space="preserve">CASC (China Aerospace Science &amp; Technology Corp.)</w:t>
            </w:r>
          </w:p>
        </w:tc>
        <w:tc>
          <w:tcPr>
            <w:tcW w:type="dxa" w:w="3200"/>
            <w:vAlign w:val="center"/>
          </w:tcPr>
          <w:p>
            <w:r>
              <w:rPr>
                <w:b w:val="false"/>
                <w:bCs w:val="false"/>
                <w:color w:val="000000"/>
                <w:sz w:val="20"/>
                <w:szCs w:val="20"/>
              </w:rPr>
              <w:t xml:space="preserve">Missiles balistiques stratégiques, lanceurs spatiaux, satellites</w:t>
            </w:r>
          </w:p>
        </w:tc>
        <w:tc>
          <w:tcPr>
            <w:tcW w:type="dxa" w:w="3550"/>
            <w:vAlign w:val="center"/>
          </w:tcPr>
          <w:p>
            <w:r>
              <w:rPr>
                <w:b w:val="false"/>
                <w:bCs w:val="false"/>
                <w:color w:val="000000"/>
                <w:sz w:val="20"/>
                <w:szCs w:val="20"/>
              </w:rPr>
              <w:t xml:space="preserve">Famille DF (ICBM/IRBM/MRBM), CJ (croisière), SLBM JL, constellations satellitaires</w:t>
            </w:r>
          </w:p>
        </w:tc>
      </w:tr>
      <w:tr>
        <w:tc>
          <w:tcPr>
            <w:tcW w:type="dxa" w:w="2600"/>
            <w:vAlign w:val="center"/>
          </w:tcPr>
          <w:p>
            <w:r>
              <w:rPr>
                <w:b w:val="false"/>
                <w:bCs w:val="false"/>
                <w:color w:val="000000"/>
                <w:sz w:val="20"/>
                <w:szCs w:val="20"/>
              </w:rPr>
              <w:t xml:space="preserve">CASIC (China Aerospace Science &amp; Industry Corp.)</w:t>
            </w:r>
          </w:p>
        </w:tc>
        <w:tc>
          <w:tcPr>
            <w:tcW w:type="dxa" w:w="3200"/>
            <w:vAlign w:val="center"/>
          </w:tcPr>
          <w:p>
            <w:r>
              <w:rPr>
                <w:b w:val="false"/>
                <w:bCs w:val="false"/>
                <w:color w:val="000000"/>
                <w:sz w:val="20"/>
                <w:szCs w:val="20"/>
              </w:rPr>
              <w:t xml:space="preserve">Missiles tactiques, défense sol-air, missiles antinavires</w:t>
            </w:r>
          </w:p>
        </w:tc>
        <w:tc>
          <w:tcPr>
            <w:tcW w:type="dxa" w:w="3550"/>
            <w:vAlign w:val="center"/>
          </w:tcPr>
          <w:p>
            <w:r>
              <w:rPr>
                <w:b w:val="false"/>
                <w:bCs w:val="false"/>
                <w:color w:val="000000"/>
                <w:sz w:val="20"/>
                <w:szCs w:val="20"/>
              </w:rPr>
              <w:t xml:space="preserve">HQ-9/HQ-22 (SAM), DF-11/DF-15/DF-16 (SRBM), missiles antinavires côtiers</w:t>
            </w:r>
          </w:p>
        </w:tc>
      </w:tr>
      <w:tr>
        <w:tc>
          <w:tcPr>
            <w:tcW w:type="dxa" w:w="2600"/>
            <w:vAlign w:val="center"/>
          </w:tcPr>
          <w:p>
            <w:r>
              <w:rPr>
                <w:b w:val="false"/>
                <w:bCs w:val="false"/>
                <w:color w:val="000000"/>
                <w:sz w:val="20"/>
                <w:szCs w:val="20"/>
              </w:rPr>
              <w:t xml:space="preserve">CETC (China Electronics Technology Group Corp.)</w:t>
            </w:r>
          </w:p>
        </w:tc>
        <w:tc>
          <w:tcPr>
            <w:tcW w:type="dxa" w:w="3200"/>
            <w:vAlign w:val="center"/>
          </w:tcPr>
          <w:p>
            <w:r>
              <w:rPr>
                <w:b w:val="false"/>
                <w:bCs w:val="false"/>
                <w:color w:val="000000"/>
                <w:sz w:val="20"/>
                <w:szCs w:val="20"/>
              </w:rPr>
              <w:t xml:space="preserve">Radars, guerre électronique, systèmes C4ISR</w:t>
            </w:r>
          </w:p>
        </w:tc>
        <w:tc>
          <w:tcPr>
            <w:tcW w:type="dxa" w:w="3550"/>
            <w:vAlign w:val="center"/>
          </w:tcPr>
          <w:p>
            <w:r>
              <w:rPr>
                <w:b w:val="false"/>
                <w:bCs w:val="false"/>
                <w:color w:val="000000"/>
                <w:sz w:val="20"/>
                <w:szCs w:val="20"/>
              </w:rPr>
              <w:t xml:space="preserve">Radars à réseau phasé stratégiques, systèmes de guerre électronique aéroportés</w:t>
            </w:r>
          </w:p>
        </w:tc>
      </w:tr>
      <w:tr>
        <w:tc>
          <w:tcPr>
            <w:tcW w:type="dxa" w:w="2600"/>
            <w:vAlign w:val="center"/>
          </w:tcPr>
          <w:p>
            <w:r>
              <w:rPr>
                <w:b w:val="false"/>
                <w:bCs w:val="false"/>
                <w:color w:val="000000"/>
                <w:sz w:val="20"/>
                <w:szCs w:val="20"/>
              </w:rPr>
              <w:t xml:space="preserve">Dongfeng Motor Corporation</w:t>
            </w:r>
          </w:p>
        </w:tc>
        <w:tc>
          <w:tcPr>
            <w:tcW w:type="dxa" w:w="3200"/>
            <w:vAlign w:val="center"/>
          </w:tcPr>
          <w:p>
            <w:r>
              <w:rPr>
                <w:b w:val="false"/>
                <w:bCs w:val="false"/>
                <w:color w:val="000000"/>
                <w:sz w:val="20"/>
                <w:szCs w:val="20"/>
              </w:rPr>
              <w:t xml:space="preserve">Véhicules militaires à usage dual</w:t>
            </w:r>
          </w:p>
        </w:tc>
        <w:tc>
          <w:tcPr>
            <w:tcW w:type="dxa" w:w="3550"/>
            <w:vAlign w:val="center"/>
          </w:tcPr>
          <w:p>
            <w:r>
              <w:rPr>
                <w:b w:val="false"/>
                <w:bCs w:val="false"/>
                <w:color w:val="000000"/>
                <w:sz w:val="20"/>
                <w:szCs w:val="20"/>
              </w:rPr>
              <w:t xml:space="preserve">Véhicules blindés utilitaires (Mengshi, Tiger 4x4)</w:t>
            </w:r>
          </w:p>
        </w:tc>
      </w:tr>
    </w:tbl>
    <w:p>
      <w:pPr>
        <w:spacing w:after="220"/>
      </w:pPr>
      <w:r>
        <w:rPr>
          <w:i/>
          <w:iCs/>
          <w:color w:val="595959"/>
          <w:sz w:val="18"/>
          <w:szCs w:val="18"/>
        </w:rPr>
        <w:t xml:space="preserve">SOURCE : Analyse de l'auteur à partir des attributions de fabricants figurant dans le classeur Excel joint et de connaissances générales en sources ouvertes sur la structuration de la SASAC — niveau de confiance modéré à élevé, non vérifié système par système auprès d'une source primaire unique</w:t>
      </w:r>
    </w:p>
    <w:p>
      <w:pPr>
        <w:pStyle w:val="Heading2"/>
        <w:spacing w:after="150" w:before="300"/>
      </w:pPr>
      <w:r>
        <w:t xml:space="preserve">5.2 La fusion militaro-civile comme moteur structurel</w:t>
      </w:r>
    </w:p>
    <w:p>
      <w:pPr>
        <w:spacing w:after="160"/>
        <w:jc w:val="both"/>
      </w:pPr>
      <w:r>
        <w:t xml:space="preserve">Depuis son inscription comme stratégie nationale en 2015, la politique de « fusion militaro-civile » (军民融合发展战略) vise à effacer la frontière institutionnelle entre recherche civile et recherche militaire, en mobilisant l'écosystème d'innovation des grandes entreprises technologiques privées et des universités au service des besoins de l'APL. Cette approche diffère significativement du modèle occidental de « spin-off » technologique (où l'innovation militaire irrigue ensuite le civil) : elle organise un flux inverse et bidirectionnel, où les avancées du secteur privé chinois (intelligence artificielle, semi-conducteurs, drones commerciaux, batteries) sont captées par appropriation réglementaire et incitation financière au bénéfice de la BITD.</w:t>
      </w:r>
    </w:p>
    <w:p>
      <w:pPr>
        <w:spacing w:after="160"/>
        <w:jc w:val="both"/>
      </w:pPr>
      <w:r>
        <w:t xml:space="preserve">L'accent mis par le Parti communiste chinois sur le recrutement de conscrits diplômés de l'enseignement supérieur, en particulier dans les spécialités cyber et spatiales, illustre concrètement cette politique au niveau des ressources humaines de l'APL elle-même, au-delà du seul tissu industriel.</w:t>
      </w:r>
    </w:p>
    <w:p>
      <w:pPr>
        <w:spacing w:after="220"/>
      </w:pPr>
      <w:r>
        <w:rPr>
          <w:i/>
          <w:iCs/>
          <w:color w:val="595959"/>
          <w:sz w:val="18"/>
          <w:szCs w:val="18"/>
        </w:rPr>
        <w:t xml:space="preserve">SOURCE : IISS, The Military Balance 2026, p.249</w:t>
      </w:r>
    </w:p>
    <w:p>
      <w:pPr>
        <w:spacing w:after="160"/>
        <w:jc w:val="both"/>
      </w:pPr>
      <w:r>
        <w:t xml:space="preserve">Limite analytique à souligner (Devil's Advocacy) : la fusion militaro-civile, souvent présentée comme un multiplicateur de force sans équivalent occidental, se heurte à des obstacles documentés par l'IISS lui-même — persistance de « questions sur la qualité et la fiabilité » de l'équipement produit, malgré l'extension de la base industrielle à l'ensemble des domaines. La capacité de production de masse ne doit donc pas être confondue avec une garantie de supériorité qualitative systématique.</w:t>
      </w:r>
    </w:p>
    <w:p>
      <w:pPr>
        <w:spacing w:after="220"/>
      </w:pPr>
      <w:r>
        <w:rPr>
          <w:i/>
          <w:iCs/>
          <w:color w:val="595959"/>
          <w:sz w:val="18"/>
          <w:szCs w:val="18"/>
        </w:rPr>
        <w:t xml:space="preserve">SOURCE : IISS, The Military Balance 2026, p.249</w:t>
      </w:r>
    </w:p>
    <w:p>
      <w:pPr>
        <w:pStyle w:val="Heading2"/>
        <w:spacing w:after="150" w:before="300"/>
      </w:pPr>
      <w:r>
        <w:t xml:space="preserve">5.3 Anti-corruption et fiabilité du commandement industriel</w:t>
      </w:r>
    </w:p>
    <w:p>
      <w:pPr>
        <w:spacing w:after="160"/>
        <w:jc w:val="both"/>
      </w:pPr>
      <w:r>
        <w:t xml:space="preserve">Les enquêtes anti-corruption menées au sein de l'APL se sont poursuivies en 2024 et 2025, touchant notamment des responsables liés aux programmes d'acquisition. Si le président Xi Jinping semble avoir consolidé son autorité à l'issue de cette campagne, celle-ci introduit une incertitude structurelle sur la fiabilité de la chaîne de contrôle qualité et sur le rythme réel de certains programmes, en particulier ceux gérés par la Force des roquettes, plusieurs fois citée dans les enquêtes rapportées en sources ouvertes occidentales au cours des années précédentes.</w:t>
      </w:r>
    </w:p>
    <w:p>
      <w:pPr>
        <w:spacing w:after="220"/>
      </w:pPr>
      <w:r>
        <w:rPr>
          <w:i/>
          <w:iCs/>
          <w:color w:val="595959"/>
          <w:sz w:val="18"/>
          <w:szCs w:val="18"/>
        </w:rPr>
        <w:t xml:space="preserve">SOURCE : IISS, The Military Balance 2026, p.226</w:t>
      </w:r>
    </w:p>
    <w:p>
      <w:pPr>
        <w:pStyle w:val="Heading1"/>
        <w:spacing w:after="200" w:before="400"/>
      </w:pPr>
      <w:r>
        <w:t xml:space="preserve">6. Objectifs tactiques et stratégiques</w:t>
      </w:r>
    </w:p>
    <w:p>
      <w:pPr>
        <w:pStyle w:val="Heading2"/>
        <w:spacing w:after="150" w:before="300"/>
      </w:pPr>
      <w:r>
        <w:t xml:space="preserve">6.1 Taïwan : le scénario dimensionnant</w:t>
      </w:r>
    </w:p>
    <w:p>
      <w:pPr>
        <w:spacing w:after="160"/>
        <w:jc w:val="both"/>
      </w:pPr>
      <w:r>
        <w:t xml:space="preserve">L'ensemble des capacités recensées converge vers un scénario dimensionnant explicitement identifié par les responsables américains cités par l'IISS : la capacité, pour l'APL, de mener une invasion de Taïwan à l'horizon 2027. Cette échéance ne doit pas être interprétée comme une date de déclenchement programmée, mais comme un objectif de disponibilité capacitaire fixé par Xi Jinping à l'APL — distinction cruciale entre capacité et intention que l'analyste doit maintenir strictement.</w:t>
      </w:r>
    </w:p>
    <w:p>
      <w:pPr>
        <w:spacing w:after="220"/>
      </w:pPr>
      <w:r>
        <w:rPr>
          <w:i/>
          <w:iCs/>
          <w:color w:val="595959"/>
          <w:sz w:val="18"/>
          <w:szCs w:val="18"/>
        </w:rPr>
        <w:t xml:space="preserve">SOURCE : IISS, The Military Balance 2026, p.226</w:t>
      </w:r>
    </w:p>
    <w:p>
      <w:pPr>
        <w:spacing w:after="160"/>
        <w:jc w:val="both"/>
      </w:pPr>
      <w:r>
        <w:t xml:space="preserve">Les indicateurs matériels cohérents avec ce scénario, recensés dans le classeur Excel, incluent : la concentration de brigades amphibies et de chars légers amphibies (ZTD-05) dans les Théâtres Est et Sud ; l'expansion continue des porte-hélicoptères d'assaut Type-075 et bâtiments de transport Type-071 ; le maintien d'un volume élevé de missiles à courte portée (DF-11A, DF-15B, DF-16) dédiés à la saturation des défenses taïwanaises ; et l'intensification rapportée des activités navales et aériennes autour de Taïwan tout au long de 2025.</w:t>
      </w:r>
    </w:p>
    <w:p>
      <w:pPr>
        <w:spacing w:after="220"/>
      </w:pPr>
      <w:r>
        <w:rPr>
          <w:i/>
          <w:iCs/>
          <w:color w:val="595959"/>
          <w:sz w:val="18"/>
          <w:szCs w:val="18"/>
        </w:rPr>
        <w:t xml:space="preserve">SOURCE : IISS, The Military Balance 2026, p.227, 250</w:t>
      </w:r>
    </w:p>
    <w:p>
      <w:pPr>
        <w:pStyle w:val="Heading3"/>
        <w:spacing w:after="100" w:before="200"/>
      </w:pPr>
      <w:r>
        <w:t xml:space="preserve">Indicateurs et alerte précoce (Indicators &amp; Warnings)</w:t>
      </w:r>
    </w:p>
    <w:p>
      <w:pPr>
        <w:pStyle w:val="ListParagraph"/>
        <w:numPr>
          <w:ilvl w:val="0"/>
          <w:numId w:val="2"/>
        </w:numPr>
        <w:spacing w:after="100"/>
      </w:pPr>
      <w:r>
        <w:t xml:space="preserve">Indicateurs de routine (ne signalent pas de rupture) : exercices navals/aériens périodiques autour de Taïwan, rotations de patrouille, essais de nouveaux systèmes présentés lors de défilés.</w:t>
      </w:r>
    </w:p>
    <w:p>
      <w:pPr>
        <w:pStyle w:val="ListParagraph"/>
        <w:numPr>
          <w:ilvl w:val="0"/>
          <w:numId w:val="2"/>
        </w:numPr>
        <w:spacing w:after="100"/>
      </w:pPr>
      <w:r>
        <w:t xml:space="preserve">Indicateurs de rupture potentielle à surveiller : mobilisation logistique civile à grande échelle (rappel de navires marchands/ferries pour un usage amphibie), constitution de stocks de munitions au-delà des standards d'entraînement, restrictions inhabituelles de navigation aérienne/maritime en mer de Chine orientale, signalement diplomatique de rupture (rappel d'ambassadeurs, fermeture de canaux de communication militaire), ou déclaration officielle rompant avec la doctrine actuelle de patience stratégique.</w:t>
      </w:r>
    </w:p>
    <w:p>
      <w:pPr>
        <w:spacing w:after="160"/>
        <w:jc w:val="both"/>
      </w:pPr>
      <w:r>
        <w:t xml:space="preserve">Aucun de ces indicateurs de rupture n'est documenté dans les sources consultées à la date de rédaction ; l'appréciation de situation demeure donc celle d'une préparation capacitaire de long terme plutôt que d'une préparation opérationnelle imminente.</w:t>
      </w:r>
    </w:p>
    <w:p>
      <w:pPr>
        <w:pStyle w:val="Heading2"/>
        <w:spacing w:after="150" w:before="300"/>
      </w:pPr>
      <w:r>
        <w:t xml:space="preserve">6.2 Doctrine A2/AD (anti-accès / déni de zone) et premières chaînes d'îles</w:t>
      </w:r>
    </w:p>
    <w:p>
      <w:pPr>
        <w:spacing w:after="160"/>
        <w:jc w:val="both"/>
      </w:pPr>
      <w:r>
        <w:t xml:space="preserve">La doctrine chinoise de « défense active » articule ses capacités autour du concept occidental d'A2/AD : empêcher ou retarder l'intervention de forces extérieures (en priorité américaines) dans un conflit régional en rendant l'approche des théâtres proches de la Chine coûteuse et risquée. Cette doctrine repose sur une architecture en couches recensée dans le classeur Excel : missiles antinavires côtiers et embarqués (YJ-18, YJ-12, DF-21D dit « carrier killer », DF-26 dit « tueur de Guam »), défense aérienne de zone dense (HQ-9B, HQ-22, S-400 importé), et flotte sous-marine conventionnelle nombreuse.</w:t>
      </w:r>
    </w:p>
    <w:p>
      <w:pPr>
        <w:spacing w:after="220"/>
      </w:pPr>
      <w:r>
        <w:rPr>
          <w:i/>
          <w:iCs/>
          <w:color w:val="595959"/>
          <w:sz w:val="18"/>
          <w:szCs w:val="18"/>
        </w:rPr>
        <w:t xml:space="preserve">SOURCE : IISS, The Military Balance 2026, p.249-251</w:t>
      </w:r>
    </w:p>
    <w:p>
      <w:pPr>
        <w:spacing w:after="160"/>
        <w:jc w:val="both"/>
      </w:pPr>
      <w:r>
        <w:t xml:space="preserve">Le développement simultané de capacités de projection de puissance (porte-avions, Y-20, base de Djibouti) traduit une évolution progressive de cette doctrine vers ce que plusieurs analystes occidentaux qualifient de « far seas defense » (防御远海) — une extension de la zone d'intérêt stratégique chinoise au-delà de la seconde chaîne d'îles, sans pour autant abandonner le socle A2/AD historique centré sur la première chaîne d'îles.</w:t>
      </w:r>
    </w:p>
    <w:p>
      <w:pPr>
        <w:pStyle w:val="Heading2"/>
        <w:spacing w:after="150" w:before="300"/>
      </w:pPr>
      <w:r>
        <w:t xml:space="preserve">6.3 Stratégie de « zone grise » et coercition sous le seuil du conflit armé</w:t>
      </w:r>
    </w:p>
    <w:p>
      <w:pPr>
        <w:spacing w:after="160"/>
        <w:jc w:val="both"/>
      </w:pPr>
      <w:r>
        <w:t xml:space="preserve">La Garde-côtière chinoise (686 bâtiments recensés) et la milice maritime constituent les instruments privilégiés d'une stratégie de coercition graduée en mer de Chine méridionale et orientale, permettant d'affirmer des revendications de souveraineté (îles Spratleys, Paracels, mer de Chine orientale) sans franchir le seuil d'un conflit armé formel impliquant la Marine militaire elle-même. Cette architecture à trois niveaux (Marine, Garde-côtière, Milice maritime) permet une escalade et une désescalade graduées, difficiles à contrer par des moyens strictement militaires.</w:t>
      </w:r>
    </w:p>
    <w:p>
      <w:pPr>
        <w:spacing w:after="220"/>
      </w:pPr>
      <w:r>
        <w:rPr>
          <w:i/>
          <w:iCs/>
          <w:color w:val="595959"/>
          <w:sz w:val="18"/>
          <w:szCs w:val="18"/>
        </w:rPr>
        <w:t xml:space="preserve">SOURCE : IISS, The Military Balance 2026, p.258-259</w:t>
      </w:r>
    </w:p>
    <w:p>
      <w:pPr>
        <w:pStyle w:val="Heading2"/>
        <w:spacing w:after="150" w:before="300"/>
      </w:pPr>
      <w:r>
        <w:t xml:space="preserve">6.4 Le partenariat sino-russe : approfondissement sans alliance formelle</w:t>
      </w:r>
    </w:p>
    <w:p>
      <w:pPr>
        <w:spacing w:after="160"/>
        <w:jc w:val="both"/>
      </w:pPr>
      <w:r>
        <w:t xml:space="preserve">Depuis l'annonce d'une amitié « sans limites » en février 2022, la relation sino-russe s'est traduite par des indicateurs concrets recensés en 2025 : premier exercice conjoint de patrouille sous-marine (classe Kilo) en août 2025, nouvel exercice naval trilatéral avec l'Iran dans le golfe d'Oman en mars 2025, et assistance technique russe rapportée en contrepartie d'une aide chinoise à l'effort de guerre russe en Ukraine par la fourniture de composants. Ce partenariat, bien que substantiel, demeure en-deçà d'une alliance formelle avec obligation de défense mutuelle — la Chine n'a pris aucun engagement de ce type.</w:t>
      </w:r>
    </w:p>
    <w:p>
      <w:pPr>
        <w:spacing w:after="220"/>
      </w:pPr>
      <w:r>
        <w:rPr>
          <w:i/>
          <w:iCs/>
          <w:color w:val="595959"/>
          <w:sz w:val="18"/>
          <w:szCs w:val="18"/>
        </w:rPr>
        <w:t xml:space="preserve">SOURCE : IISS, The Military Balance 2026, p.226-227</w:t>
      </w:r>
    </w:p>
    <w:p>
      <w:pPr>
        <w:pStyle w:val="Heading1"/>
        <w:spacing w:after="200" w:before="400"/>
      </w:pPr>
      <w:r>
        <w:t xml:space="preserve">7. Rayonnement international de l'outil de défense chinois</w:t>
      </w:r>
    </w:p>
    <w:p>
      <w:pPr>
        <w:spacing w:after="160"/>
        <w:jc w:val="both"/>
      </w:pPr>
      <w:r>
        <w:t xml:space="preserve">Le rayonnement international de la puissance militaire chinoise se déploie selon trois canaux distincts et complémentaires, détaillés dans l'onglet « Etranger » du classeur Excel joint.</w:t>
      </w:r>
    </w:p>
    <w:p>
      <w:pPr>
        <w:pStyle w:val="Heading2"/>
        <w:spacing w:after="150" w:before="300"/>
      </w:pPr>
      <w:r>
        <w:t xml:space="preserve">7.1 Exportation d'armement : un instrument de diplomatie économique</w:t>
      </w:r>
    </w:p>
    <w:p>
      <w:pPr>
        <w:spacing w:after="160"/>
        <w:jc w:val="both"/>
      </w:pPr>
      <w:r>
        <w:t xml:space="preserve">Le rapport annuel 2025 du Département de la Défense américain au Congrès, rendu public en décembre 2025, confirme que la Chine demeure le quatrième exportateur mondial d'armement, s'appuyant sur des conditions financières flexibles et l'absence de conditionnalité politique pour séduire une clientèle de pays en développement, en cohérence avec l'initiative des Nouvelles Routes de la Soie.</w:t>
      </w:r>
    </w:p>
    <w:p>
      <w:pPr>
        <w:spacing w:after="220"/>
      </w:pPr>
      <w:r>
        <w:rPr>
          <w:i/>
          <w:iCs/>
          <w:color w:val="595959"/>
          <w:sz w:val="18"/>
          <w:szCs w:val="18"/>
        </w:rPr>
        <w:t xml:space="preserve">SOURCE : OSINT : Pentagon, Annual Report to Congress on PRC Military Power 2025, décembre 2025, cité par Dawn.com, https://www.dawn.com/news/1963311</w:t>
      </w:r>
    </w:p>
    <w:p>
      <w:pPr>
        <w:spacing w:after="160"/>
        <w:jc w:val="both"/>
      </w:pPr>
      <w:r>
        <w:t xml:space="preserve">Le Pakistan constitue de loin le partenaire le plus intégré : seul client export du chasseur J-10C (36 unités commandées, 20 livrées à mai 2025), destinataire de quatre frégates Type-054A/P, et co-producteur du chasseur léger JF-17 également exporté vers le Myanmar et le Nigeria. L'engagement aérien indo-pakistanais de mai 2025 (« opération Sindoor ») a constitué le premier emploi au combat documenté de technologie de chasse chinoise (J-10C armé de missiles PL-15) contre du matériel occidental (Rafale), un évènement dont la valeur de démonstration commerciale pour Pékin ne doit pas être sous-estimée, au-delà de son impact tactique local.</w:t>
      </w:r>
    </w:p>
    <w:p>
      <w:pPr>
        <w:spacing w:after="220"/>
      </w:pPr>
      <w:r>
        <w:rPr>
          <w:i/>
          <w:iCs/>
          <w:color w:val="595959"/>
          <w:sz w:val="18"/>
          <w:szCs w:val="18"/>
        </w:rPr>
        <w:t xml:space="preserve">SOURCE : OSINT : ThePrint, https://theprint.in/defence/us-report-says-china-has-delivered-36-j-10s-to-pakistan-as-many-as-the-rafale-jets-operated-by-india/2812068/ ; Defence Security Asia, https://defencesecurityasia.com/en/pentagon-report-china-j10c-fighters-pakistan-air-force-operation-sindoor/</w:t>
      </w:r>
    </w:p>
    <w:p>
      <w:pPr>
        <w:spacing w:after="160"/>
        <w:jc w:val="both"/>
      </w:pPr>
      <w:r>
        <w:t xml:space="preserve">Le second vecteur d'export significatif concerne les drones armés de moyenne altitude longue endurance (Wing Loong, CH-4/CH-5), diffusés largement au Moyen-Orient et en Afrique (Algérie, Égypte, Éthiopie, Irak, Maroc, Émirats arabes unis, entre autres selon le rapport du Pentagone), où ils constituent une alternative moins coûteuse et sans conditionnalité aux drones américains de type MQ-9 Reaper.</w:t>
      </w:r>
    </w:p>
    <w:p>
      <w:pPr>
        <w:spacing w:after="220"/>
      </w:pPr>
      <w:r>
        <w:rPr>
          <w:i/>
          <w:iCs/>
          <w:color w:val="595959"/>
          <w:sz w:val="18"/>
          <w:szCs w:val="18"/>
        </w:rPr>
        <w:t xml:space="preserve">SOURCE : OSINT : rapport Pentagone 2025 cité par India.com, https://www.india.com/news/world/36-j-10c-fighter-jets-four-frigates-why-is-china-delivering-deadly-weapons-to-close-ally-pakistan-us-report-reveals-alarming-details-acquired-jets-as-many-as-rafale-jets-operated-by-india-8244257/</w:t>
      </w:r>
    </w:p>
    <w:p>
      <w:pPr>
        <w:spacing w:after="160"/>
        <w:jc w:val="both"/>
      </w:pPr>
      <w:r>
        <w:t xml:space="preserve">Le troisième vecteur, naval, illustre à la fois le potentiel et les limites de cette diplomatie économique : le contrat d'export du sous-marin S26T à la Thaïlande, signé en 2017, a connu des retards de plus de sept ans du fait de l'embargo allemand sur les moteurs diesel MTU396, résolu en août 2025 par la substitution d'un moteur chinois CHD620 et un report de livraison à fin 2028. La Chine a simultanément proposé une version comparable à l'Indonésie, témoignant d'une stratégie de diversification de la clientèle sous-marine malgré les déboires thaïlandais.</w:t>
      </w:r>
    </w:p>
    <w:p>
      <w:pPr>
        <w:spacing w:after="220"/>
      </w:pPr>
      <w:r>
        <w:rPr>
          <w:i/>
          <w:iCs/>
          <w:color w:val="595959"/>
          <w:sz w:val="18"/>
          <w:szCs w:val="18"/>
        </w:rPr>
        <w:t xml:space="preserve">SOURCE : OSINT : Defense News, https://www.defensenews.com/naval/2025/08/20/after-dillydallying-thailand-proceeds-with-chinese-built-submarine/ ; Janes, https://www.janes.com/osint-insights/defence-news/industry/china-again-offers-thailand-ordered-s26t-submarine-to-indonesia</w:t>
      </w:r>
    </w:p>
    <w:p>
      <w:pPr>
        <w:pStyle w:val="Heading2"/>
        <w:spacing w:after="150" w:before="300"/>
      </w:pPr>
      <w:r>
        <w:t xml:space="preserve">7.2 Présence militaire directe : la base de Djibouti</w:t>
      </w:r>
    </w:p>
    <w:p>
      <w:pPr>
        <w:spacing w:after="160"/>
        <w:jc w:val="both"/>
      </w:pPr>
      <w:r>
        <w:t xml:space="preserve">Ouverte en 2017, la base logistique de Djibouti demeure à ce jour l'unique base militaire chinoise formellement établie à l'étranger. Avec environ 400 personnels (compagnie d'opérations spéciales, compagnie de fusiliers marins, unité médicale, véhicules blindés ZTL-11/ZBL-08), elle soutient les déploiements navals chinois dans l'océan Indien et au large de la Corne de l'Afrique, notamment le détachement permanent de lutte anti-piraterie dans le golfe d'Aden.</w:t>
      </w:r>
    </w:p>
    <w:p>
      <w:pPr>
        <w:spacing w:after="220"/>
      </w:pPr>
      <w:r>
        <w:rPr>
          <w:i/>
          <w:iCs/>
          <w:color w:val="595959"/>
          <w:sz w:val="18"/>
          <w:szCs w:val="18"/>
        </w:rPr>
        <w:t xml:space="preserve">SOURCE : IISS, The Military Balance 2026, p.259</w:t>
      </w:r>
    </w:p>
    <w:p>
      <w:pPr>
        <w:spacing w:after="160"/>
        <w:jc w:val="both"/>
      </w:pPr>
      <w:r>
        <w:t xml:space="preserve">La présence navale chinoise à la base cambodgienne de Ream, bien que ne constituant pas formellement une base chinoise, est identifiée par l'IISS comme une composante notable de la présence avancée chinoise en Asie du Sud-Est, avec un détachement permanent de deux corvettes lance-missiles FSGM et 120 personnels.</w:t>
      </w:r>
    </w:p>
    <w:p>
      <w:pPr>
        <w:spacing w:after="220"/>
      </w:pPr>
      <w:r>
        <w:rPr>
          <w:i/>
          <w:iCs/>
          <w:color w:val="595959"/>
          <w:sz w:val="18"/>
          <w:szCs w:val="18"/>
        </w:rPr>
        <w:t xml:space="preserve">SOURCE : IISS, The Military Balance 2026, p.259</w:t>
      </w:r>
    </w:p>
    <w:p>
      <w:pPr>
        <w:pStyle w:val="Heading2"/>
        <w:spacing w:after="150" w:before="300"/>
      </w:pPr>
      <w:r>
        <w:t xml:space="preserve">7.3 Diplomatie du maintien de la paix onusien</w:t>
      </w:r>
    </w:p>
    <w:p>
      <w:pPr>
        <w:spacing w:after="160"/>
        <w:jc w:val="both"/>
      </w:pPr>
      <w:r>
        <w:t xml:space="preserve">Avec environ 1 850 personnels déployés cumulativement dans les missions de l'ONU (RD Congo, Liban, Soudan du Sud, Soudan, Sahara occidental, Centrafrique), la Chine se positionne comme le principal contributeur de troupes parmi les membres permanents du Conseil de sécurité et l'un des principaux contributeurs financiers de l'ONU. Cette contribution sert une fonction de légitimation diplomatique multilatérale, complémentaire et largement dissociée des logiques de projection de puissance décrites plus haut.</w:t>
      </w:r>
    </w:p>
    <w:p>
      <w:pPr>
        <w:spacing w:after="220"/>
      </w:pPr>
      <w:r>
        <w:rPr>
          <w:i/>
          <w:iCs/>
          <w:color w:val="595959"/>
          <w:sz w:val="18"/>
          <w:szCs w:val="18"/>
        </w:rPr>
        <w:t xml:space="preserve">SOURCE : IISS, The Military Balance 2026, p.259</w:t>
      </w:r>
    </w:p>
    <w:p>
      <w:pPr>
        <w:pStyle w:val="Heading1"/>
        <w:spacing w:after="200" w:before="400"/>
      </w:pPr>
      <w:r>
        <w:t xml:space="preserve">8. Évaluation des sources et lacunes de renseignement</w:t>
      </w:r>
    </w:p>
    <w:p>
      <w:pPr>
        <w:pStyle w:val="Heading2"/>
        <w:spacing w:after="150" w:before="300"/>
      </w:pPr>
      <w:r>
        <w:t xml:space="preserve">8.1 Synthèse de l'évaluation des sources (code OTAN)</w:t>
      </w:r>
    </w:p>
    <w:p>
      <w:pPr>
        <w:spacing w:after="160"/>
        <w:jc w:val="both"/>
      </w:pPr>
      <w:r>
        <w:t xml:space="preserve">La très grande majorité des données factuelles de ce document et du classeur Excel associé reposent sur le rapport IISS The Military Balance 2026 (chapitre Asie, section Chine), une source institutionnelle de référence en matière d'ordre de bataille et d'inventaire matériel, évaluée B2 (habituellement fiable ; information probablement vraie) — l'IISS recoupant lui-même ses données auprès de multiples sources gouvernementales et privées, sans toutefois disposer d'un accès direct aux données classifiées chinoises.</w:t>
      </w:r>
    </w:p>
    <w:p>
      <w:pPr>
        <w:spacing w:after="160"/>
        <w:jc w:val="both"/>
      </w:pPr>
      <w:r>
        <w:t xml:space="preserve">Les compléments en sources ouvertes (rapport annuel du Pentagone au Congrès, presse spécialisée défense telle que Defense News, Janes, Newsweek) sont évalués B2 à C3 selon les cas (habituellement à assez fiable ; probablement à possiblement vrai), en particulier pour les chiffres d'exportation d'armement et les développements les plus récents (survenus après la période de rédaction principale du rapport IISS), qui n'ont pu être recoupés que par un nombre limité de sources indépendantes.</w:t>
      </w:r>
    </w:p>
    <w:p>
      <w:pPr>
        <w:pStyle w:val="Heading2"/>
        <w:spacing w:after="150" w:before="300"/>
      </w:pPr>
      <w:r>
        <w:t xml:space="preserve">8.2 Lacunes de renseignement identifiées</w:t>
      </w:r>
    </w:p>
    <w:p>
      <w:pPr>
        <w:pStyle w:val="ListParagraph"/>
        <w:numPr>
          <w:ilvl w:val="0"/>
          <w:numId w:val="2"/>
        </w:numPr>
        <w:spacing w:after="100"/>
      </w:pPr>
      <w:r>
        <w:t xml:space="preserve">Disponibilité opérationnelle réelle : les inventaires recensés (nombre d'unités déclarées) ne renseignent pas sur le taux de disponibilité technique réel des équipements, en particulier pour les plateformes anciennes maintenues en réserve.</w:t>
      </w:r>
    </w:p>
    <w:p>
      <w:pPr>
        <w:pStyle w:val="ListParagraph"/>
        <w:numPr>
          <w:ilvl w:val="0"/>
          <w:numId w:val="2"/>
        </w:numPr>
        <w:spacing w:after="100"/>
      </w:pPr>
      <w:r>
        <w:t xml:space="preserve">Efficacité de l'intégration interarmées : l'absence d'expérience de combat récente de l'APL rend impossible toute évaluation fiable de sa capacité à synchroniser les nouvelles capacités multi-domaines (espace, cyber, information) recensées dans ce document.</w:t>
      </w:r>
    </w:p>
    <w:p>
      <w:pPr>
        <w:pStyle w:val="ListParagraph"/>
        <w:numPr>
          <w:ilvl w:val="0"/>
          <w:numId w:val="2"/>
        </w:numPr>
        <w:spacing w:after="100"/>
      </w:pPr>
      <w:r>
        <w:t xml:space="preserve">Statut réel des programmes les plus récents : les caractéristiques précises et le calendrier de mise en service du DF-61, du DF-27, du Type-100 et du J-35A demeurent partiellement incertains, ces systèmes n'ayant été révélés que très récemment (défilé de septembre 2025).</w:t>
      </w:r>
    </w:p>
    <w:p>
      <w:pPr>
        <w:pStyle w:val="ListParagraph"/>
        <w:numPr>
          <w:ilvl w:val="0"/>
          <w:numId w:val="2"/>
        </w:numPr>
        <w:spacing w:after="100"/>
      </w:pPr>
      <w:r>
        <w:t xml:space="preserve">Impact de la campagne anti-corruption sur les programmes d'acquisition de la Force des roquettes, qui a fait l'objet d'enquêtes répétées ces dernières années sans que leur effet sur les délais et la fiabilité des programmes ne soit documenté en source ouverte fiable.</w:t>
      </w:r>
    </w:p>
    <w:p>
      <w:pPr>
        <w:pStyle w:val="ListParagraph"/>
        <w:numPr>
          <w:ilvl w:val="0"/>
          <w:numId w:val="2"/>
        </w:numPr>
        <w:spacing w:after="100"/>
      </w:pPr>
      <w:r>
        <w:t xml:space="preserve">Volume et destination exacts des exportations d'armement en dehors des cas les mieux documentés (Pakistan) : les chiffres portant sur les drones et les plateformes navales exportées vers l'Afrique et l'Asie du Sud-Est demeurent agrégés et peu détaillés par pays dans les sources consultées.</w:t>
      </w:r>
    </w:p>
    <w:p>
      <w:pPr>
        <w:pStyle w:val="Heading1"/>
        <w:spacing w:after="200" w:before="400"/>
      </w:pPr>
      <w:r>
        <w:t xml:space="preserve">9. Implications</w:t>
      </w:r>
    </w:p>
    <w:p>
      <w:pPr>
        <w:spacing w:after="160"/>
        <w:jc w:val="both"/>
      </w:pPr>
      <w:r>
        <w:t xml:space="preserve">Le rythme et la cohérence de la modernisation militaire chinoise recensée dans ce document et le classeur Excel associé confirment une trajectoire de constitution d'une force de rang mondial, structurée autour d'échéances calendaires explicites et soutenue par une base industrielle capable d'une production de série difficilement égalable. Cette trajectoire ne préjuge cependant pas d'une décision d'emploi de la force, la distinction entre capacité et intention devant être maintenue avec constance dans toute appréciation ultérieure.</w:t>
      </w:r>
    </w:p>
    <w:p>
      <w:pPr>
        <w:spacing w:after="160"/>
        <w:jc w:val="both"/>
      </w:pPr>
      <w:r>
        <w:t xml:space="preserve">Pour un décideur ou un analyste sécurité/défense, les points de vigilance prioritaires à faire évoluer dans le temps sont : (i) la constitution effective d'un groupe aérien intégré sur le porte-avions Fujian, indicateur de la maturité réelle de la capacité de projection navale ; (ii) l'évolution du nombre de silos ICBM actifs, mesurable par imagerie satellite commerciale ; (iii) tout indicateur de rupture dans la posture autour de Taïwan tel que défini en section 6.1 ; et (iv) la matérialisation ou non de l'offre d'export du J-35 au Pakistan, qui constituerait un précédent significatif de diffusion internationale de capacité furtive de 5e génération par la Chine.</w:t>
      </w:r>
    </w:p>
    <w:p>
      <w:pPr>
        <w:spacing w:after="160"/>
        <w:jc w:val="both"/>
      </w:pPr>
      <w:r>
        <w:t xml:space="preserve">Ce document doit être lu en complément, et non en substitution, du classeur Excel joint qui en constitue le support factuel détaillé, système par système.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CONFIDENTIEL — USAGE ANALYTIQUE — Capacités militaires chinoises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200" w:before="400"/>
    </w:pPr>
    <w:rPr>
      <w:rFonts w:ascii="Arial" w:cs="Arial" w:eastAsia="Arial" w:hAnsi="Arial"/>
      <w:b/>
      <w:bCs/>
      <w:color w:val="1F3864"/>
      <w:sz w:val="30"/>
      <w:szCs w:val="30"/>
    </w:rPr>
  </w:style>
  <w:style w:type="paragraph" w:styleId="Heading2">
    <w:name w:val="Heading 2"/>
    <w:basedOn w:val="Normal"/>
    <w:next w:val="Normal"/>
    <w:qFormat/>
    <w:pPr>
      <w:spacing w:after="150" w:before="300"/>
    </w:pPr>
    <w:rPr>
      <w:rFonts w:ascii="Arial" w:cs="Arial" w:eastAsia="Arial" w:hAnsi="Arial"/>
      <w:b/>
      <w:bCs/>
      <w:color w:val="1F3864"/>
      <w:sz w:val="25"/>
      <w:szCs w:val="25"/>
    </w:rPr>
  </w:style>
  <w:style w:type="paragraph" w:styleId="Heading3">
    <w:name w:val="Heading 3"/>
    <w:basedOn w:val="Normal"/>
    <w:next w:val="Normal"/>
    <w:qFormat/>
    <w:pPr>
      <w:spacing w:after="100" w:before="200"/>
    </w:pPr>
    <w:rPr>
      <w:rFonts w:ascii="Arial" w:cs="Arial" w:eastAsia="Arial" w:hAnsi="Arial"/>
      <w:b/>
      <w:bCs/>
      <w:i/>
      <w:iCs/>
      <w:color w:val="B8860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2026-07-09T07:58:23.148Z</dcterms:created>
  <dcterms:modified xsi:type="dcterms:W3CDTF">2026-07-09T07:58:23.171Z</dcterms:modified>
</cp:coreProperties>
</file>

<file path=docProps/custom.xml><?xml version="1.0" encoding="utf-8"?>
<Properties xmlns="http://schemas.openxmlformats.org/officeDocument/2006/custom-properties" xmlns:vt="http://schemas.openxmlformats.org/officeDocument/2006/docPropsVTypes"/>
</file>