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240"/>
        <w:jc w:val="center"/>
      </w:pPr>
      <w:r>
        <w:rPr>
          <w:b/>
          <w:color w:val="1A365D"/>
          <w:sz w:val="44"/>
        </w:rPr>
        <w:t>MANUAL DE OPERAÇÃO E GOVERNANÇA DE CONHECIMENTO</w:t>
      </w:r>
    </w:p>
    <w:p>
      <w:pPr>
        <w:spacing w:before="0" w:after="800"/>
        <w:jc w:val="center"/>
      </w:pPr>
      <w:r>
        <w:rPr>
          <w:color w:val="4A5568"/>
          <w:sz w:val="26"/>
        </w:rPr>
        <w:t>Arquitetura de Informação, Metodologia de Síntese SAGAH e Gestão de Vault no Obsidian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Repositório / Projeto: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Estudos-feito-de-atividades-do-sagah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Autor Principal: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Jean Vitor Da Silva Lopes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Engenharia de Documentação: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Google DeepMind / Antigravity Assistant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Versão do Documento: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v1.2.0 (Edição Oficial Outubro/2026)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</w:rPr>
              <w:t>Classificação: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t>Documento Técnico e Operacional Interno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365D"/>
        </w:rPr>
        <w:t>1. Visão Geral e Propósito do Sistema</w:t>
      </w:r>
    </w:p>
    <w:p>
      <w:r>
        <w:t>Este manual descreve a governança de engenharia de conhecimento aplicada ao repositório de estudos acadêmicos do estudante Jean Vitor Da Silva Lopes. O sistema foi projetado para atuar como um Segundo Cérebro (PKM - Personal Knowledge Management), convertendo os conteúdos programáticos densos e Unidades de Aprendizagem (UAs) da plataforma SAGAH em notas atômicas, estruturadas, hiperconectadas e otimizadas para retenção de longo prazo e revisão para exames.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left w:val="single" w:sz="24" w:space="0" w:color="1A365D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A365D"/>
                <w:sz w:val="20"/>
              </w:rPr>
              <w:t xml:space="preserve">DIRETRIZ ESTRATÉGICA: </w:t>
            </w:r>
            <w:r>
              <w:rPr>
                <w:color w:val="2D3748"/>
                <w:sz w:val="20"/>
              </w:rPr>
              <w:t>A governança estabelece que nenhuma nota deve ser criada sem o bloco padronizado de metadados YAML na linha 1, e todos os conteúdos devem seguir a metodologia Golden Standard para garantir escaneabilidade e Active Recall.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A365D"/>
        </w:rPr>
        <w:t>2. Arquitetura da Informação e Estrutura de Pastas</w:t>
      </w:r>
    </w:p>
    <w:p>
      <w:r>
        <w:t>A taxonomia de diretórios adota um modelo Crono-Temático modular, segmentando os materiais por ano letivo e disciplinas formais. Recentemente, foi padronizada a criação de subpastas por Unidade de Aprendizagem (AU01 a AU06) para abrigar arquivos de entrada brutos (PDFs e textos) junto aos seus respectivos resumos gerados.</w:t>
      </w:r>
    </w:p>
    <w:p>
      <w:r>
        <w:rPr>
          <w:rFonts w:ascii="Courier New" w:hAnsi="Courier New"/>
          <w:color w:val="2C3E50"/>
          <w:sz w:val="17"/>
        </w:rPr>
        <w:t>.</w:t>
        <w:br/>
        <w:t>├── .obsidian/                       # Configurações do vault</w:t>
        <w:br/>
        <w:t>├── doc/                             # Manuais e documentações executivas</w:t>
        <w:br/>
        <w:t>│   ├── README.md                    # Documentação técnica em Markdown</w:t>
        <w:br/>
        <w:t>│   ├── GUIA_PADRONIZACAO.md         # Guia rápido de regras e checklist</w:t>
        <w:br/>
        <w:t>│   ├── PROMPT_CRIACAO_RESUMOS.md    # Template de prompt mestre para IA</w:t>
        <w:br/>
        <w:t>│   └── DOCUMENTACAO_SISTEMA_ESTUDOS.docx # Este documento formal</w:t>
        <w:br/>
        <w:t>├── 2025/                            # Ciclos letivos anteriores</w:t>
        <w:br/>
        <w:t>│   ├── Banco-de-Dados/</w:t>
        <w:br/>
        <w:t>│   ├── Desenvolvimento-Mobile/</w:t>
        <w:br/>
        <w:t>│   └── Metodologia-Agil/</w:t>
        <w:br/>
        <w:t>└── 2026/                            # Ciclos acadêmicos vigentes</w:t>
        <w:br/>
        <w:t xml:space="preserve">    ├── Algoritmos-e-Complexidade/   # Modelos teóricos, paralelismo e ordenação</w:t>
        <w:br/>
        <w:t xml:space="preserve">    │   ├── UA01 - Modelos de Computação e Eficiência de Algoritmos/</w:t>
        <w:br/>
        <w:t xml:space="preserve">    │   ├── UA02 - Divisão e Conquista em Programação Paralela/</w:t>
        <w:br/>
        <w:t xml:space="preserve">    │   └── UA03 - Métodos de Ordenação Interna de Dados/</w:t>
        <w:br/>
        <w:t xml:space="preserve">    ├── Inteligencia-Artificial/     # Ecossistema Python, ML clássico, clustering e PDI</w:t>
        <w:br/>
        <w:t xml:space="preserve">    │   ├── UA01 - Introdução ao Python e Ambiente de Desenvolvimento/</w:t>
        <w:br/>
        <w:t xml:space="preserve">    │   ├── UA02 - Funções e Programação Orientada a Objetos em Python/</w:t>
        <w:br/>
        <w:t xml:space="preserve">    │   ├── UA03 - Conceitos Básicos de Aprendizado de Máquina/</w:t>
        <w:br/>
        <w:t xml:space="preserve">    │   ├── UA04 - Árvores de Decisão e Regressão com Scikit-Learn/</w:t>
        <w:br/>
        <w:t xml:space="preserve">    │   ├── UA05 - Agrupamento e Métricas de Validação de Clusters/</w:t>
        <w:br/>
        <w:t xml:space="preserve">    │   └── UA06 - Fundamentos do Processamento Digital de Imagens/</w:t>
        <w:br/>
        <w:t xml:space="preserve">    ├── Governança-de-TI/            # Governança corporativa e alinhamento</w:t>
        <w:br/>
        <w:t xml:space="preserve">    │   ├── assets/                  # Imagens e infográficos locais</w:t>
        <w:br/>
        <w:t xml:space="preserve">    │   ├── UA01 - Fatores Motivadores da Governança de TI/</w:t>
        <w:br/>
        <w:t xml:space="preserve">    │   ├── UA02 - Mecanismos de Decisão em TI/</w:t>
        <w:br/>
        <w:t xml:space="preserve">    │   ├── UA03 - Objetivos Normas e Boas Práticas/</w:t>
        <w:br/>
        <w:t xml:space="preserve">    │   ├── UA04 - Alinhamento Estratégico e Planejamento de TI/</w:t>
        <w:br/>
        <w:t xml:space="preserve">    │   ├── UA05 - Projeto de Governança de TI/</w:t>
        <w:br/>
        <w:t xml:space="preserve">    │   └── UA06 - Regulamentações da Governança em TI/</w:t>
        <w:br/>
        <w:t xml:space="preserve">    ├── Desenvolvimento-de-Games/</w:t>
        <w:br/>
        <w:t xml:space="preserve">    └── IoT Rafael/                  # Sistemas embarcados e RTOS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0F4F8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left w:val="single" w:sz="24" w:space="0" w:color="1A365D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b/>
                <w:color w:val="1A365D"/>
                <w:sz w:val="20"/>
              </w:rPr>
              <w:t xml:space="preserve">REGRA DE NOMENCLATURA DE MÓDULOS: </w:t>
            </w:r>
            <w:r>
              <w:rPr>
                <w:color w:val="2D3748"/>
                <w:sz w:val="20"/>
              </w:rPr>
              <w:t>Subpastas e arquivos de módulos NÃO devem utilizar prefixos genéricos como 'AU01' ou 'AU02'. É obrigatório nomear cada subpasta com o identificador 'UA{NN}' acompanhado do nome da matéria/tópico (exemplo: 'UA02 - Mecanismos de Decisão em TI'). Isso viabiliza busca global e indexação rápida no Obsidian.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A365D"/>
        </w:rPr>
        <w:t>3. Especificação de Metadados e Frontmatter YAML</w:t>
      </w:r>
    </w:p>
    <w:p>
      <w:r>
        <w:t>Toda nota técnica deve conter o cabeçalho padronizado em formato YAML. Este esquema garante que ferramentas analíticas, como o plugin Dataview do Obsidian, consigam indexar, filtrar e criar painéis dinâmicos de estudo.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2340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340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Obrigatoriedade</w:t>
            </w:r>
          </w:p>
        </w:tc>
        <w:tc>
          <w:tcPr>
            <w:tcW w:type="dxa" w:w="2340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Descrição e Propósito</w:t>
            </w:r>
          </w:p>
        </w:tc>
      </w:tr>
      <w:tr>
        <w:tc>
          <w:tcPr>
            <w:tcW w:type="dxa" w:w="2340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disciplina</w:t>
            </w:r>
          </w:p>
        </w:tc>
        <w:tc>
          <w:tcPr>
            <w:tcW w:type="dxa" w:w="2340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String</w:t>
            </w:r>
          </w:p>
        </w:tc>
        <w:tc>
          <w:tcPr>
            <w:tcW w:type="dxa" w:w="2340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Obrigatório</w:t>
            </w:r>
          </w:p>
        </w:tc>
        <w:tc>
          <w:tcPr>
            <w:tcW w:type="dxa" w:w="2340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Nome institucional padronizado da matéria.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ciclo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String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Obrigatório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Ciclo ou semestre letivo (ex: '1° Ciclo').</w:t>
            </w:r>
          </w:p>
        </w:tc>
      </w:tr>
      <w:tr>
        <w:tc>
          <w:tcPr>
            <w:tcW w:type="dxa" w:w="2340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ano</w:t>
            </w:r>
          </w:p>
        </w:tc>
        <w:tc>
          <w:tcPr>
            <w:tcW w:type="dxa" w:w="2340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Integer</w:t>
            </w:r>
          </w:p>
        </w:tc>
        <w:tc>
          <w:tcPr>
            <w:tcW w:type="dxa" w:w="2340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Obrigatório</w:t>
            </w:r>
          </w:p>
        </w:tc>
        <w:tc>
          <w:tcPr>
            <w:tcW w:type="dxa" w:w="2340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Ano cronológico de realização (ex: 2026).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unidade_sagah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Integer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Recomendado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Número identificador da UA do SAGAH (ex: 1, 2).</w:t>
            </w:r>
          </w:p>
        </w:tc>
      </w:tr>
      <w:tr>
        <w:tc>
          <w:tcPr>
            <w:tcW w:type="dxa" w:w="2340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titulo</w:t>
            </w:r>
          </w:p>
        </w:tc>
        <w:tc>
          <w:tcPr>
            <w:tcW w:type="dxa" w:w="2340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String</w:t>
            </w:r>
          </w:p>
        </w:tc>
        <w:tc>
          <w:tcPr>
            <w:tcW w:type="dxa" w:w="2340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Obrigatório</w:t>
            </w:r>
          </w:p>
        </w:tc>
        <w:tc>
          <w:tcPr>
            <w:tcW w:type="dxa" w:w="2340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Nome completo do tema central da nota.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status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Enum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Obrigatório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Estado da nota: 'Rascunho', 'Revisão' ou 'Concluído'.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color w:val="1A365D"/>
        </w:rPr>
        <w:t>4. Metodologia Pedagógica: Golden Standard</w:t>
      </w:r>
    </w:p>
    <w:p>
      <w:r>
        <w:t>Para combater a ilusão de competência gerada por resumos meramente descritivos, o modelo adota quatro princípios pedagógicos:</w:t>
      </w:r>
    </w:p>
    <w:p>
      <w:r>
        <w:t>• Técnica Feynman: Tradução de jargões técnicos complexos em metáforas do mundo real (ex: o carro como sistema de informação, onde hardware é chassi/motor, software é injeção eletrônica e dados são combustível).</w:t>
        <w:br/>
        <w:t>• Síntese Visual e Contraste: Inclusão obrigatória de tabelas de comparação lado a lado (ex: QuickSort vs MergeSort, K-Means vs DBSCAN).</w:t>
        <w:br/>
        <w:t>• Foco em Avaliações (Dica do Professor): Destaque explícito para armadilhas conceituais e tópicos de alta frequência em provas.</w:t>
        <w:br/>
        <w:t>• Recordação Ativa (Active Recall): Resolução comentada das 5 questões oficiais da UA, fornecendo a justificativa do gabarito e explicando por que as alternativas falsas foram desconsideradas.</w:t>
      </w:r>
    </w:p>
    <w:p>
      <w:pPr>
        <w:pStyle w:val="Heading1"/>
      </w:pPr>
      <w:r>
        <w:rPr>
          <w:color w:val="1A365D"/>
        </w:rPr>
        <w:t>5. Disciplinas e Estudos de Caso Implementados (Ciclo 2026)</w:t>
      </w:r>
    </w:p>
    <w:p>
      <w:r>
        <w:t>Todas as matérias ativas de 2026 foram sintetizadas integralmente no padrão Golden Standard, abrangendo:</w:t>
      </w:r>
    </w:p>
    <w:p>
      <w:r>
        <w:t>1. Governança de TI: Fatores motivadores (SI, Applegate), mecanismos de decisão, COBIT/ITIL, alinhamento estratégico e LGPD.</w:t>
        <w:br/>
        <w:t>2. Algoritmos e Complexidade (UAs 01 a 03): Modelos computacionais (RAM, Turing), classes P/NP, Teorema Mestre e paralelismo PRAM, além de análise detalhada de ordenação interna (QuickSort, MergeSort, HeapSort, ShellSort).</w:t>
        <w:br/>
        <w:t>3. Inteligência Artificial (UAs 01 a 06): Do ambiente Python e POO até Machine Learning supervisionado (Árvores de Decisão, Regressão Linear/Logística, Overfitting), não-supervisionado (k-Means, Silhueta, Calinski-Harabasz) e Processamento Digital de Imagens (Bartlane, JPL/NASA, convoluções espaciais e segmentação HSV).</w:t>
      </w:r>
    </w:p>
    <w:p>
      <w:pPr>
        <w:pStyle w:val="Heading1"/>
      </w:pPr>
      <w:r>
        <w:rPr>
          <w:color w:val="1A365D"/>
        </w:rPr>
        <w:t>6. Controle de Versões e Histórico de Mudanças (Changelog)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Versão</w:t>
            </w:r>
          </w:p>
        </w:tc>
        <w:tc>
          <w:tcPr>
            <w:tcW w:type="dxa" w:w="2340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2340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type="dxa" w:w="2340"/>
            <w:shd w:val="clear" w:color="auto"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Resumo das Alterações</w:t>
            </w:r>
          </w:p>
        </w:tc>
      </w:tr>
      <w:tr>
        <w:tc>
          <w:tcPr>
            <w:tcW w:type="dxa" w:w="2340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v1.0.0</w:t>
            </w:r>
          </w:p>
        </w:tc>
        <w:tc>
          <w:tcPr>
            <w:tcW w:type="dxa" w:w="2340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12/10/2026</w:t>
            </w:r>
          </w:p>
        </w:tc>
        <w:tc>
          <w:tcPr>
            <w:tcW w:type="dxa" w:w="2340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Jean Vitor &amp; Antigravity</w:t>
            </w:r>
          </w:p>
        </w:tc>
        <w:tc>
          <w:tcPr>
            <w:tcW w:type="dxa" w:w="2340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Auditoria do repositório, criação do GUIA_PADRONIZACAO.md e Golden Standard.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v1.1.0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12/10/2026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Jean Vitor &amp; Antigravity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Inclusão de Governança de TI, criação da UA01 e PROMPT_CRIACAO_RESUMOS.md.</w:t>
            </w:r>
          </w:p>
        </w:tc>
      </w:tr>
      <w:tr>
        <w:tc>
          <w:tcPr>
            <w:tcW w:type="dxa" w:w="2340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v1.2.0</w:t>
            </w:r>
          </w:p>
        </w:tc>
        <w:tc>
          <w:tcPr>
            <w:tcW w:type="dxa" w:w="2340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12/10/2026</w:t>
            </w:r>
          </w:p>
        </w:tc>
        <w:tc>
          <w:tcPr>
            <w:tcW w:type="dxa" w:w="2340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Jean Vitor &amp; Antigravity</w:t>
            </w:r>
          </w:p>
        </w:tc>
        <w:tc>
          <w:tcPr>
            <w:tcW w:type="dxa" w:w="2340"/>
            <w:shd w:val="clear" w:color="auto" w:fill="F7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Subpastas AU01-AU06, doc/ centralizada, README raiz e script DOCX.</w:t>
            </w:r>
          </w:p>
        </w:tc>
      </w:tr>
      <w:tr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v1.3.0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13/10/2026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Jean Vitor &amp; Antigravity</w:t>
            </w:r>
          </w:p>
        </w:tc>
        <w:tc>
          <w:tcPr>
            <w:tcW w:type="dxa" w:w="2340"/>
            <w:shd w:val="clear" w:color="auto"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color w:val="2D3748"/>
                <w:sz w:val="19"/>
              </w:rPr>
              <w:t>Expansão de Algoritmos e Complexidade (UAs 1-3) e IA (UAs 1-6); eliminação de prefixos AU0X; sincronização MD e DOCX.</w:t>
            </w:r>
          </w:p>
        </w:tc>
      </w:tr>
    </w:tbl>
    <w:p>
      <w:pPr>
        <w:spacing w:after="40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