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6bw41w7inhs" w:id="0"/>
      <w:bookmarkEnd w:id="0"/>
      <w:r w:rsidDel="00000000" w:rsidR="00000000" w:rsidRPr="00000000">
        <w:rPr>
          <w:rtl w:val="0"/>
        </w:rPr>
        <w:t xml:space="preserve">Modelamiento Arquitectónico y Diagrama Entidad-Relación (DER)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siguiente Diagrama Entidad-Relación (DER) modela la estructura de la base de datos relacional (PostgreSQL) para la plataforma "Huellita Segura". El diseño ha sido construido estratégicamente para soportar una arquitectura Multi-Tenant y dar cumplimiento estricto a los requerimientos normativos vigentes en Chile.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-1276349</wp:posOffset>
            </wp:positionH>
            <wp:positionV relativeFrom="paragraph">
              <wp:posOffset>238125</wp:posOffset>
            </wp:positionV>
            <wp:extent cx="7739063" cy="57054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-111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9063" cy="570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detallan las principales decisiones de diseño del modelo: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Arquitectura Multi-Tenant (Aislamiento de Datos):</w:t>
      </w:r>
      <w:r w:rsidDel="00000000" w:rsidR="00000000" w:rsidRPr="00000000">
        <w:rPr>
          <w:rtl w:val="0"/>
        </w:rPr>
        <w:t xml:space="preserve"> La tabla central del sistema 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Refugios</w:t>
      </w:r>
      <w:r w:rsidDel="00000000" w:rsidR="00000000" w:rsidRPr="00000000">
        <w:rPr>
          <w:rtl w:val="0"/>
        </w:rPr>
        <w:t xml:space="preserve">. Las tablas operativas críticas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Fichas_Clinicas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Contratos_Adopcion</w:t>
      </w:r>
      <w:r w:rsidDel="00000000" w:rsidR="00000000" w:rsidRPr="00000000">
        <w:rPr>
          <w:rtl w:val="0"/>
        </w:rPr>
        <w:t xml:space="preserve"> poseen una relación directa mediante una llave foránea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refugio_id</w:t>
      </w:r>
      <w:r w:rsidDel="00000000" w:rsidR="00000000" w:rsidRPr="00000000">
        <w:rPr>
          <w:rtl w:val="0"/>
        </w:rPr>
        <w:t xml:space="preserve">). Esto garantiza que cada organización interactúe exclusivamente con su propia información, asegurando el aislamiento y la privacidad de los datos entre los distintos inquilinos del sistema.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 Animal (Cumplimiento Ley 21.020):</w:t>
      </w:r>
      <w:r w:rsidDel="00000000" w:rsidR="00000000" w:rsidRPr="00000000">
        <w:rPr>
          <w:rtl w:val="0"/>
        </w:rPr>
        <w:t xml:space="preserve"> La 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Animales</w:t>
      </w:r>
      <w:r w:rsidDel="00000000" w:rsidR="00000000" w:rsidRPr="00000000">
        <w:rPr>
          <w:rtl w:val="0"/>
        </w:rPr>
        <w:t xml:space="preserve"> fue diseñada para registrar de manera obligatoria la fecha de ingreso y el estado del animal (Art. 23). Paralelamente, la 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Fichas_Clinicas</w:t>
      </w:r>
      <w:r w:rsidDel="00000000" w:rsidR="00000000" w:rsidRPr="00000000">
        <w:rPr>
          <w:rtl w:val="0"/>
        </w:rPr>
        <w:t xml:space="preserve"> se vincula al animal para gestionar y actualizar todos sus antecedentes sanitarios (vacunas, peso, esterilización), cubriendo la exigencia de entrega de historial médico estipulada en el Art. 24.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Respaldo Jurídico y Firma Electrónica (Cumplimiento Ley 19.799):</w:t>
      </w:r>
      <w:r w:rsidDel="00000000" w:rsidR="00000000" w:rsidRPr="00000000">
        <w:rPr>
          <w:rtl w:val="0"/>
        </w:rPr>
        <w:t xml:space="preserve"> Para formalizar los procesos, la 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Contratos_Adopcion</w:t>
      </w:r>
      <w:r w:rsidDel="00000000" w:rsidR="00000000" w:rsidRPr="00000000">
        <w:rPr>
          <w:rtl w:val="0"/>
        </w:rPr>
        <w:t xml:space="preserve"> conecta el ecosistema vinculado al Refugio, al Animal y al Adoptante. Para otorgar validez probatoria a la Firma Electrónica Simple (FES), esta tabla no solo almacena la URL del documento, sino que recopila evidencias digitales inmutables: el código de verificación de un solo uso (OTP), la dirección IP y la estampa de tiempo de la firma.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Seguridad y Validación (KYC Ligero):</w:t>
      </w:r>
      <w:r w:rsidDel="00000000" w:rsidR="00000000" w:rsidRPr="00000000">
        <w:rPr>
          <w:rtl w:val="0"/>
        </w:rPr>
        <w:t xml:space="preserve"> La tabla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Adoptantes</w:t>
      </w:r>
      <w:r w:rsidDel="00000000" w:rsidR="00000000" w:rsidRPr="00000000">
        <w:rPr>
          <w:rtl w:val="0"/>
        </w:rPr>
        <w:t xml:space="preserve"> centraliza los datos de los ciudadanos e incluye un estado booleano de verificación de contacto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estado_verificacion_contacto</w:t>
      </w:r>
      <w:r w:rsidDel="00000000" w:rsidR="00000000" w:rsidRPr="00000000">
        <w:rPr>
          <w:rtl w:val="0"/>
        </w:rPr>
        <w:t xml:space="preserve">), lo que permite a la plataforma asegurar la existencia real de los postulantes mediante doble factor (SMS/Email) antes de proceder con un contrato.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