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Chapter 5 Exercise</w:t>
      </w:r>
    </w:p>
    <w:p>
      <w:pPr>
        <w:spacing w:after="80"/>
        <w:jc w:val="center"/>
      </w:pPr>
      <w:r>
        <w:rPr>
          <w:i/>
          <w:iCs/>
          <w:sz w:val="26"/>
          <w:szCs w:val="26"/>
        </w:rPr>
        <w:t xml:space="preserve">Digital Certificates and International Online Payments</w:t>
      </w:r>
    </w:p>
    <w:p>
      <w:pPr>
        <w:pBdr>
          <w:bottom w:val="single" w:color="1F3864" w:sz="8" w:space="8"/>
        </w:pBdr>
        <w:spacing w:after="320"/>
        <w:jc w:val="center"/>
      </w:pPr>
      <w:r>
        <w:rPr>
          <w:sz w:val="22"/>
          <w:szCs w:val="22"/>
        </w:rPr>
        <w:t xml:space="preserve">Name: ____________________     Course: E-Commerce     Date: ____________</w:t>
      </w:r>
    </w:p>
    <w:p>
      <w:pPr>
        <w:pStyle w:val="Heading1"/>
        <w:spacing w:after="160" w:before="240"/>
      </w:pPr>
      <w:r>
        <w:t xml:space="preserve">Part A: Comparing Three Certification Authorities</w:t>
      </w:r>
    </w:p>
    <w:p>
      <w:pPr>
        <w:spacing w:after="160" w:line="300"/>
      </w:pPr>
      <w:r>
        <w:rPr>
          <w:rFonts w:ascii="Calibri" w:cs="Calibri" w:eastAsia="Calibri" w:hAnsi="Calibri"/>
          <w:sz w:val="24"/>
          <w:szCs w:val="24"/>
        </w:rPr>
        <w:t xml:space="preserve">Every time I see the little padlock next to a web address, a certification authority (CA) is working in the background. A CA is a trusted company that checks who owns a website and then issues a digital certificate proving it. That certificate lets the browser and the server set up an encrypted connection, so things like credit card numbers can't be read by someone snooping on the network. For this exercise I looked at three of the best-known CAs: DigiCert, Sectigo, and GlobalSign.</w:t>
      </w:r>
    </w:p>
    <w:p>
      <w:pPr>
        <w:pStyle w:val="Heading2"/>
        <w:spacing w:after="120" w:before="200"/>
      </w:pPr>
      <w:r>
        <w:t xml:space="preserve">1. DigiCert</w:t>
      </w:r>
    </w:p>
    <w:p>
      <w:pPr>
        <w:spacing w:after="160" w:line="300"/>
      </w:pPr>
      <w:r>
        <w:rPr>
          <w:rFonts w:ascii="Calibri" w:cs="Calibri" w:eastAsia="Calibri" w:hAnsi="Calibri"/>
          <w:sz w:val="24"/>
          <w:szCs w:val="24"/>
        </w:rPr>
        <w:t xml:space="preserve">DigiCert is based in Lehi, Utah, and was started in 2003. It grew a lot by buying other companies, most notably Symantec's website security business in 2017, which also brought in brands like GeoTrust, Thawte, and RapidSSL. Today DigiCert is usually considered the biggest name in high-assurance certificates. The company says it serves more than 100,000 customers, including most of the Fortune 500 and a large share of the world's top banks.</w:t>
      </w:r>
    </w:p>
    <w:p>
      <w:pPr>
        <w:pStyle w:val="ListParagraph"/>
        <w:numPr>
          <w:ilvl w:val="0"/>
          <w:numId w:val="2"/>
        </w:numPr>
        <w:spacing w:after="100" w:line="288"/>
      </w:pPr>
      <w:r>
        <w:rPr>
          <w:b/>
          <w:bCs/>
          <w:sz w:val="24"/>
          <w:szCs w:val="24"/>
        </w:rPr>
        <w:t xml:space="preserve">What stands out: </w:t>
      </w:r>
      <w:r>
        <w:rPr>
          <w:sz w:val="24"/>
          <w:szCs w:val="24"/>
        </w:rPr>
        <w:t xml:space="preserve">DigiCert is known for strict identity checks and fast customer support. Its CertCentral dashboard helps big companies keep track of thousands of certificates so none of them expire by surprise.</w:t>
      </w:r>
    </w:p>
    <w:p>
      <w:pPr>
        <w:pStyle w:val="ListParagraph"/>
        <w:numPr>
          <w:ilvl w:val="0"/>
          <w:numId w:val="2"/>
        </w:numPr>
        <w:spacing w:after="100" w:line="288"/>
      </w:pPr>
      <w:r>
        <w:rPr>
          <w:b/>
          <w:bCs/>
          <w:sz w:val="24"/>
          <w:szCs w:val="24"/>
        </w:rPr>
        <w:t xml:space="preserve">Downside: </w:t>
      </w:r>
      <w:r>
        <w:rPr>
          <w:sz w:val="24"/>
          <w:szCs w:val="24"/>
        </w:rPr>
        <w:t xml:space="preserve">It is the most expensive of the three, which can be a lot for a small online store.</w:t>
      </w:r>
    </w:p>
    <w:p>
      <w:pPr>
        <w:pStyle w:val="Heading2"/>
        <w:spacing w:after="120" w:before="200"/>
      </w:pPr>
      <w:r>
        <w:t xml:space="preserve">2. Sectigo</w:t>
      </w:r>
    </w:p>
    <w:p>
      <w:pPr>
        <w:spacing w:after="160" w:line="300"/>
      </w:pPr>
      <w:r>
        <w:rPr>
          <w:rFonts w:ascii="Calibri" w:cs="Calibri" w:eastAsia="Calibri" w:hAnsi="Calibri"/>
          <w:sz w:val="24"/>
          <w:szCs w:val="24"/>
        </w:rPr>
        <w:t xml:space="preserve">Sectigo used to be called Comodo CA and changed its name in 2018. It is headquartered in Roseland, New Jersey. Sectigo has historically issued a huge number of certificates because its prices are low and it sells through a large network of web hosts and resellers. The company says it works with hundreds of thousands of businesses around the world, so if you have bought a cheap SSL certificate from a hosting company, there is a good chance it came from Sectigo.</w:t>
      </w:r>
    </w:p>
    <w:p>
      <w:pPr>
        <w:pStyle w:val="ListParagraph"/>
        <w:numPr>
          <w:ilvl w:val="0"/>
          <w:numId w:val="2"/>
        </w:numPr>
        <w:spacing w:after="100" w:line="288"/>
      </w:pPr>
      <w:r>
        <w:rPr>
          <w:b/>
          <w:bCs/>
          <w:sz w:val="24"/>
          <w:szCs w:val="24"/>
        </w:rPr>
        <w:t xml:space="preserve">What stands out: </w:t>
      </w:r>
      <w:r>
        <w:rPr>
          <w:sz w:val="24"/>
          <w:szCs w:val="24"/>
        </w:rPr>
        <w:t xml:space="preserve">Affordable prices, a wide product range (wildcard and multi-domain certificates), and good tools for automating renewals.</w:t>
      </w:r>
    </w:p>
    <w:p>
      <w:pPr>
        <w:pStyle w:val="ListParagraph"/>
        <w:numPr>
          <w:ilvl w:val="0"/>
          <w:numId w:val="2"/>
        </w:numPr>
        <w:spacing w:after="100" w:line="288"/>
      </w:pPr>
      <w:r>
        <w:rPr>
          <w:b/>
          <w:bCs/>
          <w:sz w:val="24"/>
          <w:szCs w:val="24"/>
        </w:rPr>
        <w:t xml:space="preserve">Downside: </w:t>
      </w:r>
      <w:r>
        <w:rPr>
          <w:sz w:val="24"/>
          <w:szCs w:val="24"/>
        </w:rPr>
        <w:t xml:space="preserve">Support can feel less personal than DigiCert, and its brand is less familiar to large enterprises.</w:t>
      </w:r>
    </w:p>
    <w:p>
      <w:pPr>
        <w:pStyle w:val="Heading2"/>
        <w:spacing w:after="120" w:before="200"/>
      </w:pPr>
      <w:r>
        <w:t xml:space="preserve">3. GlobalSign</w:t>
      </w:r>
    </w:p>
    <w:p>
      <w:pPr>
        <w:spacing w:after="160" w:line="300"/>
      </w:pPr>
      <w:r>
        <w:rPr>
          <w:rFonts w:ascii="Calibri" w:cs="Calibri" w:eastAsia="Calibri" w:hAnsi="Calibri"/>
          <w:sz w:val="24"/>
          <w:szCs w:val="24"/>
        </w:rPr>
        <w:t xml:space="preserve">GlobalSign was founded in Belgium in 1996, which makes it one of the oldest CAs still around. Since 2007 it has been owned by GMO Internet Group in Japan. It has offices across Europe, Asia, and the Americas, which makes it a natural choice for companies that sell internationally. GlobalSign serves tens of thousands of organizations and has issued many millions of certificates, and it is especially active in Internet of Things (IoT) devices and document signing.</w:t>
      </w:r>
    </w:p>
    <w:p>
      <w:pPr>
        <w:pStyle w:val="ListParagraph"/>
        <w:numPr>
          <w:ilvl w:val="0"/>
          <w:numId w:val="2"/>
        </w:numPr>
        <w:spacing w:after="100" w:line="288"/>
      </w:pPr>
      <w:r>
        <w:rPr>
          <w:b/>
          <w:bCs/>
          <w:sz w:val="24"/>
          <w:szCs w:val="24"/>
        </w:rPr>
        <w:t xml:space="preserve">What stands out: </w:t>
      </w:r>
      <w:r>
        <w:rPr>
          <w:sz w:val="24"/>
          <w:szCs w:val="24"/>
        </w:rPr>
        <w:t xml:space="preserve">Strong global presence, good support for European rules such as eIDAS, and a cloud-based Atlas platform for issuing certificates at scale.</w:t>
      </w:r>
    </w:p>
    <w:p>
      <w:pPr>
        <w:pStyle w:val="ListParagraph"/>
        <w:numPr>
          <w:ilvl w:val="0"/>
          <w:numId w:val="2"/>
        </w:numPr>
        <w:spacing w:after="100" w:line="288"/>
      </w:pPr>
      <w:r>
        <w:rPr>
          <w:b/>
          <w:bCs/>
          <w:sz w:val="24"/>
          <w:szCs w:val="24"/>
        </w:rPr>
        <w:t xml:space="preserve">Downside: </w:t>
      </w:r>
      <w:r>
        <w:rPr>
          <w:sz w:val="24"/>
          <w:szCs w:val="24"/>
        </w:rPr>
        <w:t xml:space="preserve">Prices sit in the middle to upper range, and its products can be a bit complicated for a first-time buyer.</w:t>
      </w:r>
    </w:p>
    <w:p>
      <w:pPr>
        <w:pStyle w:val="Heading2"/>
        <w:spacing w:after="120" w:before="200"/>
      </w:pPr>
      <w: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Feature</w:t>
            </w:r>
          </w:p>
        </w:tc>
        <w:tc>
          <w:tcPr>
            <w:tcW w:type="dxa" w:w="2386"/>
            <w:shd w:fill="1F3864" w:color="auto" w:val="clear"/>
            <w:tcMar>
              <w:top w:type="dxa" w:w="80"/>
              <w:left w:type="dxa" w:w="100"/>
              <w:bottom w:type="dxa" w:w="80"/>
              <w:right w:type="dxa" w:w="100"/>
            </w:tcMar>
          </w:tcPr>
          <w:p>
            <w:r>
              <w:rPr>
                <w:b/>
                <w:bCs/>
                <w:color w:val="FFFFFF"/>
                <w:sz w:val="20"/>
                <w:szCs w:val="20"/>
              </w:rPr>
              <w:t xml:space="preserve">DigiCert</w:t>
            </w:r>
          </w:p>
        </w:tc>
        <w:tc>
          <w:tcPr>
            <w:tcW w:type="dxa" w:w="2387"/>
            <w:shd w:fill="1F3864" w:color="auto" w:val="clear"/>
            <w:tcMar>
              <w:top w:type="dxa" w:w="80"/>
              <w:left w:type="dxa" w:w="100"/>
              <w:bottom w:type="dxa" w:w="80"/>
              <w:right w:type="dxa" w:w="100"/>
            </w:tcMar>
          </w:tcPr>
          <w:p>
            <w:r>
              <w:rPr>
                <w:b/>
                <w:bCs/>
                <w:color w:val="FFFFFF"/>
                <w:sz w:val="20"/>
                <w:szCs w:val="20"/>
              </w:rPr>
              <w:t xml:space="preserve">Sectigo</w:t>
            </w:r>
          </w:p>
        </w:tc>
        <w:tc>
          <w:tcPr>
            <w:tcW w:type="dxa" w:w="2387"/>
            <w:shd w:fill="1F3864" w:color="auto" w:val="clear"/>
            <w:tcMar>
              <w:top w:type="dxa" w:w="80"/>
              <w:left w:type="dxa" w:w="100"/>
              <w:bottom w:type="dxa" w:w="80"/>
              <w:right w:type="dxa" w:w="100"/>
            </w:tcMar>
          </w:tcPr>
          <w:p>
            <w:r>
              <w:rPr>
                <w:b/>
                <w:bCs/>
                <w:color w:val="FFFFFF"/>
                <w:sz w:val="20"/>
                <w:szCs w:val="20"/>
              </w:rPr>
              <w:t xml:space="preserve">GlobalSign</w:t>
            </w:r>
          </w:p>
        </w:tc>
      </w:tr>
      <w:tr>
        <w:tc>
          <w:tcPr>
            <w:tcW w:type="dxa" w:w="2200"/>
            <w:shd w:fill="E8EEF7" w:color="auto" w:val="clear"/>
            <w:tcMar>
              <w:top w:type="dxa" w:w="80"/>
              <w:left w:type="dxa" w:w="100"/>
              <w:bottom w:type="dxa" w:w="80"/>
              <w:right w:type="dxa" w:w="100"/>
            </w:tcMar>
          </w:tcPr>
          <w:p>
            <w:r>
              <w:rPr>
                <w:b/>
                <w:bCs/>
                <w:color w:val="000000"/>
                <w:sz w:val="20"/>
                <w:szCs w:val="20"/>
              </w:rPr>
              <w:t xml:space="preserve">Headquarters</w:t>
            </w:r>
          </w:p>
        </w:tc>
        <w:tc>
          <w:tcPr>
            <w:tcW w:type="dxa" w:w="2386"/>
            <w:tcMar>
              <w:top w:type="dxa" w:w="80"/>
              <w:left w:type="dxa" w:w="100"/>
              <w:bottom w:type="dxa" w:w="80"/>
              <w:right w:type="dxa" w:w="100"/>
            </w:tcMar>
          </w:tcPr>
          <w:p>
            <w:r>
              <w:rPr>
                <w:b w:val="false"/>
                <w:bCs w:val="false"/>
                <w:color w:val="000000"/>
                <w:sz w:val="20"/>
                <w:szCs w:val="20"/>
              </w:rPr>
              <w:t xml:space="preserve">Lehi, Utah, USA</w:t>
            </w:r>
          </w:p>
        </w:tc>
        <w:tc>
          <w:tcPr>
            <w:tcW w:type="dxa" w:w="2387"/>
            <w:tcMar>
              <w:top w:type="dxa" w:w="80"/>
              <w:left w:type="dxa" w:w="100"/>
              <w:bottom w:type="dxa" w:w="80"/>
              <w:right w:type="dxa" w:w="100"/>
            </w:tcMar>
          </w:tcPr>
          <w:p>
            <w:r>
              <w:rPr>
                <w:b w:val="false"/>
                <w:bCs w:val="false"/>
                <w:color w:val="000000"/>
                <w:sz w:val="20"/>
                <w:szCs w:val="20"/>
              </w:rPr>
              <w:t xml:space="preserve">Roseland, New Jersey, USA</w:t>
            </w:r>
          </w:p>
        </w:tc>
        <w:tc>
          <w:tcPr>
            <w:tcW w:type="dxa" w:w="2387"/>
            <w:tcMar>
              <w:top w:type="dxa" w:w="80"/>
              <w:left w:type="dxa" w:w="100"/>
              <w:bottom w:type="dxa" w:w="80"/>
              <w:right w:type="dxa" w:w="100"/>
            </w:tcMar>
          </w:tcPr>
          <w:p>
            <w:r>
              <w:rPr>
                <w:b w:val="false"/>
                <w:bCs w:val="false"/>
                <w:color w:val="000000"/>
                <w:sz w:val="20"/>
                <w:szCs w:val="20"/>
              </w:rPr>
              <w:t xml:space="preserve">Leuven, Belgium (owned by GMO, Japan)</w:t>
            </w:r>
          </w:p>
        </w:tc>
      </w:tr>
      <w:tr>
        <w:tc>
          <w:tcPr>
            <w:tcW w:type="dxa" w:w="2200"/>
            <w:shd w:fill="E8EEF7" w:color="auto" w:val="clear"/>
            <w:tcMar>
              <w:top w:type="dxa" w:w="80"/>
              <w:left w:type="dxa" w:w="100"/>
              <w:bottom w:type="dxa" w:w="80"/>
              <w:right w:type="dxa" w:w="100"/>
            </w:tcMar>
          </w:tcPr>
          <w:p>
            <w:r>
              <w:rPr>
                <w:b/>
                <w:bCs/>
                <w:color w:val="000000"/>
                <w:sz w:val="20"/>
                <w:szCs w:val="20"/>
              </w:rPr>
              <w:t xml:space="preserve">Founded</w:t>
            </w:r>
          </w:p>
        </w:tc>
        <w:tc>
          <w:tcPr>
            <w:tcW w:type="dxa" w:w="2386"/>
            <w:tcMar>
              <w:top w:type="dxa" w:w="80"/>
              <w:left w:type="dxa" w:w="100"/>
              <w:bottom w:type="dxa" w:w="80"/>
              <w:right w:type="dxa" w:w="100"/>
            </w:tcMar>
          </w:tcPr>
          <w:p>
            <w:r>
              <w:rPr>
                <w:b w:val="false"/>
                <w:bCs w:val="false"/>
                <w:color w:val="000000"/>
                <w:sz w:val="20"/>
                <w:szCs w:val="20"/>
              </w:rPr>
              <w:t xml:space="preserve">2003</w:t>
            </w:r>
          </w:p>
        </w:tc>
        <w:tc>
          <w:tcPr>
            <w:tcW w:type="dxa" w:w="2387"/>
            <w:tcMar>
              <w:top w:type="dxa" w:w="80"/>
              <w:left w:type="dxa" w:w="100"/>
              <w:bottom w:type="dxa" w:w="80"/>
              <w:right w:type="dxa" w:w="100"/>
            </w:tcMar>
          </w:tcPr>
          <w:p>
            <w:r>
              <w:rPr>
                <w:b w:val="false"/>
                <w:bCs w:val="false"/>
                <w:color w:val="000000"/>
                <w:sz w:val="20"/>
                <w:szCs w:val="20"/>
              </w:rPr>
              <w:t xml:space="preserve">1998 (as Comodo CA)</w:t>
            </w:r>
          </w:p>
        </w:tc>
        <w:tc>
          <w:tcPr>
            <w:tcW w:type="dxa" w:w="2387"/>
            <w:tcMar>
              <w:top w:type="dxa" w:w="80"/>
              <w:left w:type="dxa" w:w="100"/>
              <w:bottom w:type="dxa" w:w="80"/>
              <w:right w:type="dxa" w:w="100"/>
            </w:tcMar>
          </w:tcPr>
          <w:p>
            <w:r>
              <w:rPr>
                <w:b w:val="false"/>
                <w:bCs w:val="false"/>
                <w:color w:val="000000"/>
                <w:sz w:val="20"/>
                <w:szCs w:val="20"/>
              </w:rPr>
              <w:t xml:space="preserve">1996</w:t>
            </w:r>
          </w:p>
        </w:tc>
      </w:tr>
      <w:tr>
        <w:tc>
          <w:tcPr>
            <w:tcW w:type="dxa" w:w="2200"/>
            <w:shd w:fill="E8EEF7" w:color="auto" w:val="clear"/>
            <w:tcMar>
              <w:top w:type="dxa" w:w="80"/>
              <w:left w:type="dxa" w:w="100"/>
              <w:bottom w:type="dxa" w:w="80"/>
              <w:right w:type="dxa" w:w="100"/>
            </w:tcMar>
          </w:tcPr>
          <w:p>
            <w:r>
              <w:rPr>
                <w:b/>
                <w:bCs/>
                <w:color w:val="000000"/>
                <w:sz w:val="20"/>
                <w:szCs w:val="20"/>
              </w:rPr>
              <w:t xml:space="preserve">Approx. clients</w:t>
            </w:r>
          </w:p>
        </w:tc>
        <w:tc>
          <w:tcPr>
            <w:tcW w:type="dxa" w:w="2386"/>
            <w:tcMar>
              <w:top w:type="dxa" w:w="80"/>
              <w:left w:type="dxa" w:w="100"/>
              <w:bottom w:type="dxa" w:w="80"/>
              <w:right w:type="dxa" w:w="100"/>
            </w:tcMar>
          </w:tcPr>
          <w:p>
            <w:r>
              <w:rPr>
                <w:b w:val="false"/>
                <w:bCs w:val="false"/>
                <w:color w:val="000000"/>
                <w:sz w:val="20"/>
                <w:szCs w:val="20"/>
              </w:rPr>
              <w:t xml:space="preserve">100,000+ organizations, including most of the Fortune 500</w:t>
            </w:r>
          </w:p>
        </w:tc>
        <w:tc>
          <w:tcPr>
            <w:tcW w:type="dxa" w:w="2387"/>
            <w:tcMar>
              <w:top w:type="dxa" w:w="80"/>
              <w:left w:type="dxa" w:w="100"/>
              <w:bottom w:type="dxa" w:w="80"/>
              <w:right w:type="dxa" w:w="100"/>
            </w:tcMar>
          </w:tcPr>
          <w:p>
            <w:r>
              <w:rPr>
                <w:b w:val="false"/>
                <w:bCs w:val="false"/>
                <w:color w:val="000000"/>
                <w:sz w:val="20"/>
                <w:szCs w:val="20"/>
              </w:rPr>
              <w:t xml:space="preserve">Hundreds of thousands of businesses worldwide</w:t>
            </w:r>
          </w:p>
        </w:tc>
        <w:tc>
          <w:tcPr>
            <w:tcW w:type="dxa" w:w="2387"/>
            <w:tcMar>
              <w:top w:type="dxa" w:w="80"/>
              <w:left w:type="dxa" w:w="100"/>
              <w:bottom w:type="dxa" w:w="80"/>
              <w:right w:type="dxa" w:w="100"/>
            </w:tcMar>
          </w:tcPr>
          <w:p>
            <w:r>
              <w:rPr>
                <w:b w:val="false"/>
                <w:bCs w:val="false"/>
                <w:color w:val="000000"/>
                <w:sz w:val="20"/>
                <w:szCs w:val="20"/>
              </w:rPr>
              <w:t xml:space="preserve">Tens of thousands of companies; millions of certificates issued</w:t>
            </w:r>
          </w:p>
        </w:tc>
      </w:tr>
      <w:tr>
        <w:tc>
          <w:tcPr>
            <w:tcW w:type="dxa" w:w="2200"/>
            <w:shd w:fill="E8EEF7" w:color="auto" w:val="clear"/>
            <w:tcMar>
              <w:top w:type="dxa" w:w="80"/>
              <w:left w:type="dxa" w:w="100"/>
              <w:bottom w:type="dxa" w:w="80"/>
              <w:right w:type="dxa" w:w="100"/>
            </w:tcMar>
          </w:tcPr>
          <w:p>
            <w:r>
              <w:rPr>
                <w:b/>
                <w:bCs/>
                <w:color w:val="000000"/>
                <w:sz w:val="20"/>
                <w:szCs w:val="20"/>
              </w:rPr>
              <w:t xml:space="preserve">Certificate types</w:t>
            </w:r>
          </w:p>
        </w:tc>
        <w:tc>
          <w:tcPr>
            <w:tcW w:type="dxa" w:w="2386"/>
            <w:tcMar>
              <w:top w:type="dxa" w:w="80"/>
              <w:left w:type="dxa" w:w="100"/>
              <w:bottom w:type="dxa" w:w="80"/>
              <w:right w:type="dxa" w:w="100"/>
            </w:tcMar>
          </w:tcPr>
          <w:p>
            <w:r>
              <w:rPr>
                <w:b w:val="false"/>
                <w:bCs w:val="false"/>
                <w:color w:val="000000"/>
                <w:sz w:val="20"/>
                <w:szCs w:val="20"/>
              </w:rPr>
              <w:t xml:space="preserve">DV, OV, EV SSL/TLS; code signing; document signing; S/MIME email; IoT</w:t>
            </w:r>
          </w:p>
        </w:tc>
        <w:tc>
          <w:tcPr>
            <w:tcW w:type="dxa" w:w="2387"/>
            <w:tcMar>
              <w:top w:type="dxa" w:w="80"/>
              <w:left w:type="dxa" w:w="100"/>
              <w:bottom w:type="dxa" w:w="80"/>
              <w:right w:type="dxa" w:w="100"/>
            </w:tcMar>
          </w:tcPr>
          <w:p>
            <w:r>
              <w:rPr>
                <w:b w:val="false"/>
                <w:bCs w:val="false"/>
                <w:color w:val="000000"/>
                <w:sz w:val="20"/>
                <w:szCs w:val="20"/>
              </w:rPr>
              <w:t xml:space="preserve">DV, OV, EV SSL/TLS; wildcard; multi-domain; code signing; S/MIME</w:t>
            </w:r>
          </w:p>
        </w:tc>
        <w:tc>
          <w:tcPr>
            <w:tcW w:type="dxa" w:w="2387"/>
            <w:tcMar>
              <w:top w:type="dxa" w:w="80"/>
              <w:left w:type="dxa" w:w="100"/>
              <w:bottom w:type="dxa" w:w="80"/>
              <w:right w:type="dxa" w:w="100"/>
            </w:tcMar>
          </w:tcPr>
          <w:p>
            <w:r>
              <w:rPr>
                <w:b w:val="false"/>
                <w:bCs w:val="false"/>
                <w:color w:val="000000"/>
                <w:sz w:val="20"/>
                <w:szCs w:val="20"/>
              </w:rPr>
              <w:t xml:space="preserve">DV, OV, EV SSL/TLS; code signing; document signing; S/MIME; IoT</w:t>
            </w:r>
          </w:p>
        </w:tc>
      </w:tr>
      <w:tr>
        <w:tc>
          <w:tcPr>
            <w:tcW w:type="dxa" w:w="2200"/>
            <w:shd w:fill="E8EEF7" w:color="auto" w:val="clear"/>
            <w:tcMar>
              <w:top w:type="dxa" w:w="80"/>
              <w:left w:type="dxa" w:w="100"/>
              <w:bottom w:type="dxa" w:w="80"/>
              <w:right w:type="dxa" w:w="100"/>
            </w:tcMar>
          </w:tcPr>
          <w:p>
            <w:r>
              <w:rPr>
                <w:b/>
                <w:bCs/>
                <w:color w:val="000000"/>
                <w:sz w:val="20"/>
                <w:szCs w:val="20"/>
              </w:rPr>
              <w:t xml:space="preserve">Price range</w:t>
            </w:r>
          </w:p>
        </w:tc>
        <w:tc>
          <w:tcPr>
            <w:tcW w:type="dxa" w:w="2386"/>
            <w:tcMar>
              <w:top w:type="dxa" w:w="80"/>
              <w:left w:type="dxa" w:w="100"/>
              <w:bottom w:type="dxa" w:w="80"/>
              <w:right w:type="dxa" w:w="100"/>
            </w:tcMar>
          </w:tcPr>
          <w:p>
            <w:r>
              <w:rPr>
                <w:b w:val="false"/>
                <w:bCs w:val="false"/>
                <w:color w:val="000000"/>
                <w:sz w:val="20"/>
                <w:szCs w:val="20"/>
              </w:rPr>
              <w:t xml:space="preserve">Premium (highest of the three)</w:t>
            </w:r>
          </w:p>
        </w:tc>
        <w:tc>
          <w:tcPr>
            <w:tcW w:type="dxa" w:w="2387"/>
            <w:tcMar>
              <w:top w:type="dxa" w:w="80"/>
              <w:left w:type="dxa" w:w="100"/>
              <w:bottom w:type="dxa" w:w="80"/>
              <w:right w:type="dxa" w:w="100"/>
            </w:tcMar>
          </w:tcPr>
          <w:p>
            <w:r>
              <w:rPr>
                <w:b w:val="false"/>
                <w:bCs w:val="false"/>
                <w:color w:val="000000"/>
                <w:sz w:val="20"/>
                <w:szCs w:val="20"/>
              </w:rPr>
              <w:t xml:space="preserve">Budget to mid-range</w:t>
            </w:r>
          </w:p>
        </w:tc>
        <w:tc>
          <w:tcPr>
            <w:tcW w:type="dxa" w:w="2387"/>
            <w:tcMar>
              <w:top w:type="dxa" w:w="80"/>
              <w:left w:type="dxa" w:w="100"/>
              <w:bottom w:type="dxa" w:w="80"/>
              <w:right w:type="dxa" w:w="100"/>
            </w:tcMar>
          </w:tcPr>
          <w:p>
            <w:r>
              <w:rPr>
                <w:b w:val="false"/>
                <w:bCs w:val="false"/>
                <w:color w:val="000000"/>
                <w:sz w:val="20"/>
                <w:szCs w:val="20"/>
              </w:rPr>
              <w:t xml:space="preserve">Mid to upper range</w:t>
            </w:r>
          </w:p>
        </w:tc>
      </w:tr>
      <w:tr>
        <w:tc>
          <w:tcPr>
            <w:tcW w:type="dxa" w:w="2200"/>
            <w:shd w:fill="E8EEF7" w:color="auto" w:val="clear"/>
            <w:tcMar>
              <w:top w:type="dxa" w:w="80"/>
              <w:left w:type="dxa" w:w="100"/>
              <w:bottom w:type="dxa" w:w="80"/>
              <w:right w:type="dxa" w:w="100"/>
            </w:tcMar>
          </w:tcPr>
          <w:p>
            <w:r>
              <w:rPr>
                <w:b/>
                <w:bCs/>
                <w:color w:val="000000"/>
                <w:sz w:val="20"/>
                <w:szCs w:val="20"/>
              </w:rPr>
              <w:t xml:space="preserve">Warranty</w:t>
            </w:r>
          </w:p>
        </w:tc>
        <w:tc>
          <w:tcPr>
            <w:tcW w:type="dxa" w:w="2386"/>
            <w:tcMar>
              <w:top w:type="dxa" w:w="80"/>
              <w:left w:type="dxa" w:w="100"/>
              <w:bottom w:type="dxa" w:w="80"/>
              <w:right w:type="dxa" w:w="100"/>
            </w:tcMar>
          </w:tcPr>
          <w:p>
            <w:r>
              <w:rPr>
                <w:b w:val="false"/>
                <w:bCs w:val="false"/>
                <w:color w:val="000000"/>
                <w:sz w:val="20"/>
                <w:szCs w:val="20"/>
              </w:rPr>
              <w:t xml:space="preserve">Up to about $2 million (Secure Site Pro)</w:t>
            </w:r>
          </w:p>
        </w:tc>
        <w:tc>
          <w:tcPr>
            <w:tcW w:type="dxa" w:w="2387"/>
            <w:tcMar>
              <w:top w:type="dxa" w:w="80"/>
              <w:left w:type="dxa" w:w="100"/>
              <w:bottom w:type="dxa" w:w="80"/>
              <w:right w:type="dxa" w:w="100"/>
            </w:tcMar>
          </w:tcPr>
          <w:p>
            <w:r>
              <w:rPr>
                <w:b w:val="false"/>
                <w:bCs w:val="false"/>
                <w:color w:val="000000"/>
                <w:sz w:val="20"/>
                <w:szCs w:val="20"/>
              </w:rPr>
              <w:t xml:space="preserve">Up to about $1.75 million (EV)</w:t>
            </w:r>
          </w:p>
        </w:tc>
        <w:tc>
          <w:tcPr>
            <w:tcW w:type="dxa" w:w="2387"/>
            <w:tcMar>
              <w:top w:type="dxa" w:w="80"/>
              <w:left w:type="dxa" w:w="100"/>
              <w:bottom w:type="dxa" w:w="80"/>
              <w:right w:type="dxa" w:w="100"/>
            </w:tcMar>
          </w:tcPr>
          <w:p>
            <w:r>
              <w:rPr>
                <w:b w:val="false"/>
                <w:bCs w:val="false"/>
                <w:color w:val="000000"/>
                <w:sz w:val="20"/>
                <w:szCs w:val="20"/>
              </w:rPr>
              <w:t xml:space="preserve">Up to about $1.5 million (EV)</w:t>
            </w:r>
          </w:p>
        </w:tc>
      </w:tr>
      <w:tr>
        <w:tc>
          <w:tcPr>
            <w:tcW w:type="dxa" w:w="2200"/>
            <w:shd w:fill="E8EEF7" w:color="auto" w:val="clear"/>
            <w:tcMar>
              <w:top w:type="dxa" w:w="80"/>
              <w:left w:type="dxa" w:w="100"/>
              <w:bottom w:type="dxa" w:w="80"/>
              <w:right w:type="dxa" w:w="100"/>
            </w:tcMar>
          </w:tcPr>
          <w:p>
            <w:r>
              <w:rPr>
                <w:b/>
                <w:bCs/>
                <w:color w:val="000000"/>
                <w:sz w:val="20"/>
                <w:szCs w:val="20"/>
              </w:rPr>
              <w:t xml:space="preserve">Management tools</w:t>
            </w:r>
          </w:p>
        </w:tc>
        <w:tc>
          <w:tcPr>
            <w:tcW w:type="dxa" w:w="2386"/>
            <w:tcMar>
              <w:top w:type="dxa" w:w="80"/>
              <w:left w:type="dxa" w:w="100"/>
              <w:bottom w:type="dxa" w:w="80"/>
              <w:right w:type="dxa" w:w="100"/>
            </w:tcMar>
          </w:tcPr>
          <w:p>
            <w:r>
              <w:rPr>
                <w:b w:val="false"/>
                <w:bCs w:val="false"/>
                <w:color w:val="000000"/>
                <w:sz w:val="20"/>
                <w:szCs w:val="20"/>
              </w:rPr>
              <w:t xml:space="preserve">CertCentral and Trust Lifeline automation</w:t>
            </w:r>
          </w:p>
        </w:tc>
        <w:tc>
          <w:tcPr>
            <w:tcW w:type="dxa" w:w="2387"/>
            <w:tcMar>
              <w:top w:type="dxa" w:w="80"/>
              <w:left w:type="dxa" w:w="100"/>
              <w:bottom w:type="dxa" w:w="80"/>
              <w:right w:type="dxa" w:w="100"/>
            </w:tcMar>
          </w:tcPr>
          <w:p>
            <w:r>
              <w:rPr>
                <w:b w:val="false"/>
                <w:bCs w:val="false"/>
                <w:color w:val="000000"/>
                <w:sz w:val="20"/>
                <w:szCs w:val="20"/>
              </w:rPr>
              <w:t xml:space="preserve">Sectigo Certificate Manager (CLM)</w:t>
            </w:r>
          </w:p>
        </w:tc>
        <w:tc>
          <w:tcPr>
            <w:tcW w:type="dxa" w:w="2387"/>
            <w:tcMar>
              <w:top w:type="dxa" w:w="80"/>
              <w:left w:type="dxa" w:w="100"/>
              <w:bottom w:type="dxa" w:w="80"/>
              <w:right w:type="dxa" w:w="100"/>
            </w:tcMar>
          </w:tcPr>
          <w:p>
            <w:r>
              <w:rPr>
                <w:b w:val="false"/>
                <w:bCs w:val="false"/>
                <w:color w:val="000000"/>
                <w:sz w:val="20"/>
                <w:szCs w:val="20"/>
              </w:rPr>
              <w:t xml:space="preserve">Atlas platform and Auto Enrollment Gateway</w:t>
            </w:r>
          </w:p>
        </w:tc>
      </w:tr>
      <w:tr>
        <w:tc>
          <w:tcPr>
            <w:tcW w:type="dxa" w:w="2200"/>
            <w:shd w:fill="E8EEF7" w:color="auto" w:val="clear"/>
            <w:tcMar>
              <w:top w:type="dxa" w:w="80"/>
              <w:left w:type="dxa" w:w="100"/>
              <w:bottom w:type="dxa" w:w="80"/>
              <w:right w:type="dxa" w:w="100"/>
            </w:tcMar>
          </w:tcPr>
          <w:p>
            <w:r>
              <w:rPr>
                <w:b/>
                <w:bCs/>
                <w:color w:val="000000"/>
                <w:sz w:val="20"/>
                <w:szCs w:val="20"/>
              </w:rPr>
              <w:t xml:space="preserve">Best fit</w:t>
            </w:r>
          </w:p>
        </w:tc>
        <w:tc>
          <w:tcPr>
            <w:tcW w:type="dxa" w:w="2386"/>
            <w:tcMar>
              <w:top w:type="dxa" w:w="80"/>
              <w:left w:type="dxa" w:w="100"/>
              <w:bottom w:type="dxa" w:w="80"/>
              <w:right w:type="dxa" w:w="100"/>
            </w:tcMar>
          </w:tcPr>
          <w:p>
            <w:r>
              <w:rPr>
                <w:b w:val="false"/>
                <w:bCs w:val="false"/>
                <w:color w:val="000000"/>
                <w:sz w:val="20"/>
                <w:szCs w:val="20"/>
              </w:rPr>
              <w:t xml:space="preserve">Large enterprises, banks, healthcare</w:t>
            </w:r>
          </w:p>
        </w:tc>
        <w:tc>
          <w:tcPr>
            <w:tcW w:type="dxa" w:w="2387"/>
            <w:tcMar>
              <w:top w:type="dxa" w:w="80"/>
              <w:left w:type="dxa" w:w="100"/>
              <w:bottom w:type="dxa" w:w="80"/>
              <w:right w:type="dxa" w:w="100"/>
            </w:tcMar>
          </w:tcPr>
          <w:p>
            <w:r>
              <w:rPr>
                <w:b w:val="false"/>
                <w:bCs w:val="false"/>
                <w:color w:val="000000"/>
                <w:sz w:val="20"/>
                <w:szCs w:val="20"/>
              </w:rPr>
              <w:t xml:space="preserve">Small businesses and price-conscious buyers</w:t>
            </w:r>
          </w:p>
        </w:tc>
        <w:tc>
          <w:tcPr>
            <w:tcW w:type="dxa" w:w="2387"/>
            <w:tcMar>
              <w:top w:type="dxa" w:w="80"/>
              <w:left w:type="dxa" w:w="100"/>
              <w:bottom w:type="dxa" w:w="80"/>
              <w:right w:type="dxa" w:w="100"/>
            </w:tcMar>
          </w:tcPr>
          <w:p>
            <w:r>
              <w:rPr>
                <w:b w:val="false"/>
                <w:bCs w:val="false"/>
                <w:color w:val="000000"/>
                <w:sz w:val="20"/>
                <w:szCs w:val="20"/>
              </w:rPr>
              <w:t xml:space="preserve">Mid-size firms, international companies, IoT</w:t>
            </w:r>
          </w:p>
        </w:tc>
      </w:tr>
    </w:tbl>
    <w:p>
      <w:pPr>
        <w:spacing w:after="200" w:before="80"/>
      </w:pPr>
      <w:r>
        <w:rPr>
          <w:i/>
          <w:iCs/>
          <w:sz w:val="18"/>
          <w:szCs w:val="18"/>
        </w:rPr>
        <w:t xml:space="preserve">Note: Client numbers and warranty amounts are approximate figures published by each company and change over time.</w:t>
      </w:r>
    </w:p>
    <w:p>
      <w:pPr>
        <w:pStyle w:val="Heading2"/>
        <w:spacing w:after="120" w:before="200"/>
      </w:pPr>
      <w:r>
        <w:t xml:space="preserve">What All Three Have in Common</w:t>
      </w:r>
    </w:p>
    <w:p>
      <w:pPr>
        <w:spacing w:after="160" w:line="300"/>
      </w:pPr>
      <w:r>
        <w:rPr>
          <w:rFonts w:ascii="Calibri" w:cs="Calibri" w:eastAsia="Calibri" w:hAnsi="Calibri"/>
          <w:sz w:val="24"/>
          <w:szCs w:val="24"/>
        </w:rPr>
        <w:t xml:space="preserve">All three offer the same three validation levels. Domain Validation (DV) only proves you control the domain and is issued in minutes. Organization Validation (OV) also checks that the business is real. Extended Validation (EV) involves the most paperwork and is meant for banks and big retailers. All three are also trusted by every major browser, so a visitor will not notice much difference in the padlock itself. The real differences come down to price, support, warranty, and management tools.</w:t>
      </w:r>
    </w:p>
    <w:p>
      <w:pPr>
        <w:spacing w:after="160" w:line="300"/>
      </w:pPr>
      <w:r>
        <w:rPr>
          <w:rFonts w:ascii="Calibri" w:cs="Calibri" w:eastAsia="Calibri" w:hAnsi="Calibri"/>
          <w:sz w:val="24"/>
          <w:szCs w:val="24"/>
        </w:rPr>
        <w:t xml:space="preserve">One more thing worth knowing: certificate lifetimes are getting shorter. The industry group that sets the rules (the CA/Browser Forum) cut the maximum lifespan to 200 days in March 2026, with further cuts planned until it reaches 47 days in 2029. That is why automation tools have become such a big selling point for all three companies. It is also why free, fully automated options like Let's Encrypt, which now protects hundreds of millions of websites, have become so popular with small sites.</w:t>
      </w:r>
    </w:p>
    <w:p>
      <w:pPr>
        <w:pStyle w:val="Heading2"/>
        <w:spacing w:after="120" w:before="200"/>
      </w:pPr>
      <w:r>
        <w:t xml:space="preserve">Presentation Summary (Part A)</w:t>
      </w:r>
    </w:p>
    <w:p>
      <w:pPr>
        <w:pStyle w:val="ListParagraph"/>
        <w:numPr>
          <w:ilvl w:val="0"/>
          <w:numId w:val="2"/>
        </w:numPr>
        <w:spacing w:after="100" w:line="288"/>
      </w:pPr>
      <w:r>
        <w:rPr>
          <w:sz w:val="24"/>
          <w:szCs w:val="24"/>
        </w:rPr>
        <w:t xml:space="preserve">A CA verifies identity and issues the certificate behind the padlock and HTTPS.</w:t>
      </w:r>
    </w:p>
    <w:p>
      <w:pPr>
        <w:pStyle w:val="ListParagraph"/>
        <w:numPr>
          <w:ilvl w:val="0"/>
          <w:numId w:val="2"/>
        </w:numPr>
        <w:spacing w:after="100" w:line="288"/>
      </w:pPr>
      <w:r>
        <w:rPr>
          <w:sz w:val="24"/>
          <w:szCs w:val="24"/>
        </w:rPr>
        <w:t xml:space="preserve">DigiCert: premium, enterprise-focused, 100,000+ customers, best support.</w:t>
      </w:r>
    </w:p>
    <w:p>
      <w:pPr>
        <w:pStyle w:val="ListParagraph"/>
        <w:numPr>
          <w:ilvl w:val="0"/>
          <w:numId w:val="2"/>
        </w:numPr>
        <w:spacing w:after="100" w:line="288"/>
      </w:pPr>
      <w:r>
        <w:rPr>
          <w:sz w:val="24"/>
          <w:szCs w:val="24"/>
        </w:rPr>
        <w:t xml:space="preserve">Sectigo: budget-friendly, sold through many web hosts, huge volume of certificates.</w:t>
      </w:r>
    </w:p>
    <w:p>
      <w:pPr>
        <w:pStyle w:val="ListParagraph"/>
        <w:numPr>
          <w:ilvl w:val="0"/>
          <w:numId w:val="2"/>
        </w:numPr>
        <w:spacing w:after="100" w:line="288"/>
      </w:pPr>
      <w:r>
        <w:rPr>
          <w:sz w:val="24"/>
          <w:szCs w:val="24"/>
        </w:rPr>
        <w:t xml:space="preserve">GlobalSign: oldest of the three, strong international and IoT focus.</w:t>
      </w:r>
    </w:p>
    <w:p>
      <w:pPr>
        <w:pStyle w:val="ListParagraph"/>
        <w:numPr>
          <w:ilvl w:val="0"/>
          <w:numId w:val="2"/>
        </w:numPr>
        <w:spacing w:after="100" w:line="288"/>
      </w:pPr>
      <w:r>
        <w:rPr>
          <w:sz w:val="24"/>
          <w:szCs w:val="24"/>
        </w:rPr>
        <w:t xml:space="preserve">My pick: a small store would do fine with Sectigo, while a bank or large retailer should pay for DigiCert.</w:t>
      </w:r>
    </w:p>
    <w:p>
      <w:pPr>
        <w:pStyle w:val="Heading1"/>
        <w:spacing w:after="160" w:before="240"/>
      </w:pPr>
      <w:r>
        <w:t xml:space="preserve">Part B: Challenges of Payments Across International Borders</w:t>
      </w:r>
    </w:p>
    <w:p>
      <w:pPr>
        <w:spacing w:after="160" w:line="300"/>
      </w:pPr>
      <w:r>
        <w:rPr>
          <w:rFonts w:ascii="Calibri" w:cs="Calibri" w:eastAsia="Calibri" w:hAnsi="Calibri"/>
          <w:sz w:val="24"/>
          <w:szCs w:val="24"/>
        </w:rPr>
        <w:t xml:space="preserve">Selling online makes it feel like the whole world is your market. In practice, taking money from someone in another country is a lot messier than taking it from someone down the street. Here is what I found.</w:t>
      </w:r>
    </w:p>
    <w:p>
      <w:pPr>
        <w:pStyle w:val="Heading2"/>
        <w:spacing w:after="120" w:before="200"/>
      </w:pPr>
      <w:r>
        <w:t xml:space="preserve">Do Most E-Commerce Companies Sell Internationally?</w:t>
      </w:r>
    </w:p>
    <w:p>
      <w:pPr>
        <w:spacing w:after="160" w:line="300"/>
      </w:pPr>
      <w:r>
        <w:rPr>
          <w:rFonts w:ascii="Calibri" w:cs="Calibri" w:eastAsia="Calibri" w:hAnsi="Calibri"/>
          <w:sz w:val="24"/>
          <w:szCs w:val="24"/>
        </w:rPr>
        <w:t xml:space="preserve">Many do, but not all of them do it well. Giants like Amazon, eBay, Shein, and Temu sell in dozens of countries, and platforms like Shopify make it easy for small businesses to accept foreign orders. Cross-border e-commerce is now a trillion-dollar market and keeps growing every year. Still, plenty of smaller U.S. sellers either ship only within the country or ship to a handful of nearby countries like Canada, because of the costs, fraud risk, and paperwork involved.</w:t>
      </w:r>
    </w:p>
    <w:p>
      <w:pPr>
        <w:pStyle w:val="Heading2"/>
        <w:spacing w:after="120" w:before="200"/>
      </w:pPr>
      <w:r>
        <w:t xml:space="preserve">The Main Challenges</w:t>
      </w:r>
    </w:p>
    <w:p>
      <w:pPr>
        <w:pStyle w:val="ListParagraph"/>
        <w:numPr>
          <w:ilvl w:val="0"/>
          <w:numId w:val="2"/>
        </w:numPr>
        <w:spacing w:after="100" w:line="288"/>
      </w:pPr>
      <w:r>
        <w:rPr>
          <w:b/>
          <w:bCs/>
          <w:sz w:val="24"/>
          <w:szCs w:val="24"/>
        </w:rPr>
        <w:t xml:space="preserve">Different payment habits: </w:t>
      </w:r>
      <w:r>
        <w:rPr>
          <w:sz w:val="24"/>
          <w:szCs w:val="24"/>
        </w:rPr>
        <w:t xml:space="preserve">Americans mostly use credit cards, but shoppers in other countries often prefer something else, such as iDEAL in the Netherlands, Alipay and WeChat Pay in China, Pix in Brazil, or bank transfers in Germany. If a store only accepts Visa and Mastercard, it loses those customers at checkout.</w:t>
      </w:r>
    </w:p>
    <w:p>
      <w:pPr>
        <w:pStyle w:val="ListParagraph"/>
        <w:numPr>
          <w:ilvl w:val="0"/>
          <w:numId w:val="2"/>
        </w:numPr>
        <w:spacing w:after="100" w:line="288"/>
      </w:pPr>
      <w:r>
        <w:rPr>
          <w:b/>
          <w:bCs/>
          <w:sz w:val="24"/>
          <w:szCs w:val="24"/>
        </w:rPr>
        <w:t xml:space="preserve">Higher fees: </w:t>
      </w:r>
      <w:r>
        <w:rPr>
          <w:sz w:val="24"/>
          <w:szCs w:val="24"/>
        </w:rPr>
        <w:t xml:space="preserve">Payment processors usually charge an extra 1% to 2% for international cards, plus currency conversion fees.</w:t>
      </w:r>
    </w:p>
    <w:p>
      <w:pPr>
        <w:pStyle w:val="ListParagraph"/>
        <w:numPr>
          <w:ilvl w:val="0"/>
          <w:numId w:val="2"/>
        </w:numPr>
        <w:spacing w:after="100" w:line="288"/>
      </w:pPr>
      <w:r>
        <w:rPr>
          <w:b/>
          <w:bCs/>
          <w:sz w:val="24"/>
          <w:szCs w:val="24"/>
        </w:rPr>
        <w:t xml:space="preserve">More fraud: </w:t>
      </w:r>
      <w:r>
        <w:rPr>
          <w:sz w:val="24"/>
          <w:szCs w:val="24"/>
        </w:rPr>
        <w:t xml:space="preserve">International orders are flagged for fraud more often, and it is harder to verify a foreign address or phone number.</w:t>
      </w:r>
    </w:p>
    <w:p>
      <w:pPr>
        <w:pStyle w:val="ListParagraph"/>
        <w:numPr>
          <w:ilvl w:val="0"/>
          <w:numId w:val="2"/>
        </w:numPr>
        <w:spacing w:after="100" w:line="288"/>
      </w:pPr>
      <w:r>
        <w:rPr>
          <w:b/>
          <w:bCs/>
          <w:sz w:val="24"/>
          <w:szCs w:val="24"/>
        </w:rPr>
        <w:t xml:space="preserve">Laws and regulations: </w:t>
      </w:r>
      <w:r>
        <w:rPr>
          <w:sz w:val="24"/>
          <w:szCs w:val="24"/>
        </w:rPr>
        <w:t xml:space="preserve">Europe requires Strong Customer Authentication (an extra security step) under PSD2, and data privacy laws like the GDPR control how customer information is stored. Some countries are under U.S. sanctions and cannot be sold to at all.</w:t>
      </w:r>
    </w:p>
    <w:p>
      <w:pPr>
        <w:pStyle w:val="ListParagraph"/>
        <w:numPr>
          <w:ilvl w:val="0"/>
          <w:numId w:val="2"/>
        </w:numPr>
        <w:spacing w:after="100" w:line="288"/>
      </w:pPr>
      <w:r>
        <w:rPr>
          <w:b/>
          <w:bCs/>
          <w:sz w:val="24"/>
          <w:szCs w:val="24"/>
        </w:rPr>
        <w:t xml:space="preserve">Taxes and duties: </w:t>
      </w:r>
      <w:r>
        <w:rPr>
          <w:sz w:val="24"/>
          <w:szCs w:val="24"/>
        </w:rPr>
        <w:t xml:space="preserve">Many countries charge VAT or GST on imported goods, plus customs duties. Someone has to collect and pay these.</w:t>
      </w:r>
    </w:p>
    <w:p>
      <w:pPr>
        <w:pStyle w:val="Heading2"/>
        <w:spacing w:after="120" w:before="200"/>
      </w:pPr>
      <w:r>
        <w:t xml:space="preserve">How Do They Protect Themselves From Repudiation?</w:t>
      </w:r>
    </w:p>
    <w:p>
      <w:pPr>
        <w:spacing w:after="160" w:line="300"/>
      </w:pPr>
      <w:r>
        <w:rPr>
          <w:rFonts w:ascii="Calibri" w:cs="Calibri" w:eastAsia="Calibri" w:hAnsi="Calibri"/>
          <w:sz w:val="24"/>
          <w:szCs w:val="24"/>
        </w:rPr>
        <w:t xml:space="preserve">Repudiation is when a customer denies making a purchase or claims they never got the item, usually by filing a chargeback with their bank. This is a bigger risk with international orders because it is harder for the merchant to fight the claim from far away. Companies protect themselves in several ways:</w:t>
      </w:r>
    </w:p>
    <w:p>
      <w:pPr>
        <w:pStyle w:val="ListParagraph"/>
        <w:numPr>
          <w:ilvl w:val="0"/>
          <w:numId w:val="2"/>
        </w:numPr>
        <w:spacing w:after="100" w:line="288"/>
      </w:pPr>
      <w:r>
        <w:rPr>
          <w:sz w:val="24"/>
          <w:szCs w:val="24"/>
        </w:rPr>
        <w:t xml:space="preserve">Using 3-D Secure (Visa Secure, Mastercard Identity Check), which asks the buyer to confirm the purchase with their bank. If the bank approves it, the liability for fraud usually shifts away from the merchant.</w:t>
      </w:r>
    </w:p>
    <w:p>
      <w:pPr>
        <w:pStyle w:val="ListParagraph"/>
        <w:numPr>
          <w:ilvl w:val="0"/>
          <w:numId w:val="2"/>
        </w:numPr>
        <w:spacing w:after="100" w:line="288"/>
      </w:pPr>
      <w:r>
        <w:rPr>
          <w:sz w:val="24"/>
          <w:szCs w:val="24"/>
        </w:rPr>
        <w:t xml:space="preserve">Address Verification Service (AVS) and CVV checks to make sure the card details match the person.</w:t>
      </w:r>
    </w:p>
    <w:p>
      <w:pPr>
        <w:pStyle w:val="ListParagraph"/>
        <w:numPr>
          <w:ilvl w:val="0"/>
          <w:numId w:val="2"/>
        </w:numPr>
        <w:spacing w:after="100" w:line="288"/>
      </w:pPr>
      <w:r>
        <w:rPr>
          <w:sz w:val="24"/>
          <w:szCs w:val="24"/>
        </w:rPr>
        <w:t xml:space="preserve">Fraud-screening tools like Stripe Radar or Signifyd that score each order for risk.</w:t>
      </w:r>
    </w:p>
    <w:p>
      <w:pPr>
        <w:pStyle w:val="ListParagraph"/>
        <w:numPr>
          <w:ilvl w:val="0"/>
          <w:numId w:val="2"/>
        </w:numPr>
        <w:spacing w:after="100" w:line="288"/>
      </w:pPr>
      <w:r>
        <w:rPr>
          <w:sz w:val="24"/>
          <w:szCs w:val="24"/>
        </w:rPr>
        <w:t xml:space="preserve">Shipping with tracking and requiring a signature on delivery, so there is proof the package arrived.</w:t>
      </w:r>
    </w:p>
    <w:p>
      <w:pPr>
        <w:pStyle w:val="ListParagraph"/>
        <w:numPr>
          <w:ilvl w:val="0"/>
          <w:numId w:val="2"/>
        </w:numPr>
        <w:spacing w:after="100" w:line="288"/>
      </w:pPr>
      <w:r>
        <w:rPr>
          <w:sz w:val="24"/>
          <w:szCs w:val="24"/>
        </w:rPr>
        <w:t xml:space="preserve">Keeping detailed records such as IP addresses, order confirmation emails, and digital signatures, which support non-repudiation if there is a dispute.</w:t>
      </w:r>
    </w:p>
    <w:p>
      <w:pPr>
        <w:pStyle w:val="ListParagraph"/>
        <w:numPr>
          <w:ilvl w:val="0"/>
          <w:numId w:val="2"/>
        </w:numPr>
        <w:spacing w:after="100" w:line="288"/>
      </w:pPr>
      <w:r>
        <w:rPr>
          <w:sz w:val="24"/>
          <w:szCs w:val="24"/>
        </w:rPr>
        <w:t xml:space="preserve">Using third parties such as PayPal, which offer seller protection programs when the merchant follows their rules.</w:t>
      </w:r>
    </w:p>
    <w:p>
      <w:pPr>
        <w:pStyle w:val="Heading2"/>
        <w:spacing w:after="120" w:before="200"/>
      </w:pPr>
      <w:r>
        <w:t xml:space="preserve">How Do Exchange Rates Affect Online Purchases?</w:t>
      </w:r>
    </w:p>
    <w:p>
      <w:pPr>
        <w:spacing w:after="160" w:line="300"/>
      </w:pPr>
      <w:r>
        <w:rPr>
          <w:rFonts w:ascii="Calibri" w:cs="Calibri" w:eastAsia="Calibri" w:hAnsi="Calibri"/>
          <w:sz w:val="24"/>
          <w:szCs w:val="24"/>
        </w:rPr>
        <w:t xml:space="preserve">Exchange rates change every day, so the same product can cost a foreign buyer more one week and less the next. When the U.S. dollar is strong, American products become more expensive for people overseas, and international sales tend to drop. The customer can also get hit with a foreign transaction fee from their bank, often around 3%, and the final amount on their statement may not match what they saw at checkout. Smart merchants handle this by showing prices in the shopper's local currency (multi-currency pricing), so there is no surprise. The merchant then takes on the exchange-rate risk, which they may cover by building a small buffer into prices.</w:t>
      </w:r>
    </w:p>
    <w:p>
      <w:pPr>
        <w:pStyle w:val="Heading2"/>
        <w:spacing w:after="120" w:before="200"/>
      </w:pPr>
      <w:r>
        <w:t xml:space="preserve">What About Shipping Charges?</w:t>
      </w:r>
    </w:p>
    <w:p>
      <w:pPr>
        <w:spacing w:after="160" w:line="300"/>
      </w:pPr>
      <w:r>
        <w:rPr>
          <w:rFonts w:ascii="Calibri" w:cs="Calibri" w:eastAsia="Calibri" w:hAnsi="Calibri"/>
          <w:sz w:val="24"/>
          <w:szCs w:val="24"/>
        </w:rPr>
        <w:t xml:space="preserve">Shipping is one of the biggest reasons international shoppers abandon their carts. Sending a small package overseas can easily cost $20 to $50 or more, sometimes more than the item itself. On top of that, customs duties and import taxes may be added. If those are collected when the package arrives (called DDU, or Delivered Duty Unpaid), the customer gets an unexpected bill at their door and may refuse the package. Many merchants now offer DDP (Delivered Duty Paid), where all taxes and duties are calculated and paid at checkout, so the price the customer sees is the price they pay. Delivery times are also longer, often one to three weeks, and returns are expensive and slow.</w:t>
      </w:r>
    </w:p>
    <w:p>
      <w:pPr>
        <w:pStyle w:val="Heading2"/>
        <w:spacing w:after="120" w:before="200"/>
      </w:pPr>
      <w:r>
        <w:t xml:space="preserve">Summary: U.S. Customer vs. International Customer</w:t>
      </w:r>
    </w:p>
    <w:p>
      <w:pPr>
        <w:spacing w:after="160" w:line="300"/>
      </w:pPr>
      <w:r>
        <w:rPr>
          <w:rFonts w:ascii="Calibri" w:cs="Calibri" w:eastAsia="Calibri" w:hAnsi="Calibri"/>
          <w:sz w:val="24"/>
          <w:szCs w:val="24"/>
        </w:rPr>
        <w:t xml:space="preserve">To bring it all together, picture two people buying the same $60 jacket from a U.S. online store. One lives in Ohio and the other lives in the Philippines.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
            </w:r>
          </w:p>
        </w:tc>
        <w:tc>
          <w:tcPr>
            <w:tcW w:type="dxa" w:w="3580"/>
            <w:shd w:fill="1F3864" w:color="auto" w:val="clear"/>
            <w:tcMar>
              <w:top w:type="dxa" w:w="80"/>
              <w:left w:type="dxa" w:w="100"/>
              <w:bottom w:type="dxa" w:w="80"/>
              <w:right w:type="dxa" w:w="100"/>
            </w:tcMar>
          </w:tcPr>
          <w:p>
            <w:r>
              <w:rPr>
                <w:b/>
                <w:bCs/>
                <w:color w:val="FFFFFF"/>
                <w:sz w:val="20"/>
                <w:szCs w:val="20"/>
              </w:rPr>
              <w:t xml:space="preserve">U.S. Customer</w:t>
            </w:r>
          </w:p>
        </w:tc>
        <w:tc>
          <w:tcPr>
            <w:tcW w:type="dxa" w:w="3580"/>
            <w:shd w:fill="1F3864" w:color="auto" w:val="clear"/>
            <w:tcMar>
              <w:top w:type="dxa" w:w="80"/>
              <w:left w:type="dxa" w:w="100"/>
              <w:bottom w:type="dxa" w:w="80"/>
              <w:right w:type="dxa" w:w="100"/>
            </w:tcMar>
          </w:tcPr>
          <w:p>
            <w:r>
              <w:rPr>
                <w:b/>
                <w:bCs/>
                <w:color w:val="FFFFFF"/>
                <w:sz w:val="20"/>
                <w:szCs w:val="20"/>
              </w:rPr>
              <w:t xml:space="preserve">International Customer</w:t>
            </w:r>
          </w:p>
        </w:tc>
      </w:tr>
      <w:tr>
        <w:trPr>
          <w:tblHeader w:val="false"/>
        </w:trPr>
        <w:tc>
          <w:tcPr>
            <w:tcW w:type="dxa" w:w="2200"/>
            <w:shd w:fill="E8EEF7" w:color="auto" w:val="clear"/>
            <w:tcMar>
              <w:top w:type="dxa" w:w="80"/>
              <w:left w:type="dxa" w:w="100"/>
              <w:bottom w:type="dxa" w:w="80"/>
              <w:right w:type="dxa" w:w="100"/>
            </w:tcMar>
          </w:tcPr>
          <w:p>
            <w:r>
              <w:rPr>
                <w:b/>
                <w:bCs/>
                <w:color w:val="000000"/>
                <w:sz w:val="20"/>
                <w:szCs w:val="20"/>
              </w:rPr>
              <w:t xml:space="preserve">Price</w:t>
            </w:r>
          </w:p>
        </w:tc>
        <w:tc>
          <w:tcPr>
            <w:tcW w:type="dxa" w:w="3580"/>
            <w:tcMar>
              <w:top w:type="dxa" w:w="80"/>
              <w:left w:type="dxa" w:w="100"/>
              <w:bottom w:type="dxa" w:w="80"/>
              <w:right w:type="dxa" w:w="100"/>
            </w:tcMar>
          </w:tcPr>
          <w:p>
            <w:r>
              <w:rPr>
                <w:b w:val="false"/>
                <w:bCs w:val="false"/>
                <w:color w:val="000000"/>
                <w:sz w:val="20"/>
                <w:szCs w:val="20"/>
              </w:rPr>
              <w:t xml:space="preserve">Sees $60 in dollars; pays exactly that plus state sales tax.</w:t>
            </w:r>
          </w:p>
        </w:tc>
        <w:tc>
          <w:tcPr>
            <w:tcW w:type="dxa" w:w="3580"/>
            <w:tcMar>
              <w:top w:type="dxa" w:w="80"/>
              <w:left w:type="dxa" w:w="100"/>
              <w:bottom w:type="dxa" w:w="80"/>
              <w:right w:type="dxa" w:w="100"/>
            </w:tcMar>
          </w:tcPr>
          <w:p>
            <w:r>
              <w:rPr>
                <w:b w:val="false"/>
                <w:bCs w:val="false"/>
                <w:color w:val="000000"/>
                <w:sz w:val="20"/>
                <w:szCs w:val="20"/>
              </w:rPr>
              <w:t xml:space="preserve">May see a converted price; final amount depends on the exchange rate that day.</w:t>
            </w:r>
          </w:p>
        </w:tc>
      </w:tr>
      <w:tr>
        <w:trPr>
          <w:tblHeader w:val="false"/>
        </w:trPr>
        <w:tc>
          <w:tcPr>
            <w:tcW w:type="dxa" w:w="2200"/>
            <w:shd w:fill="E8EEF7" w:color="auto" w:val="clear"/>
            <w:tcMar>
              <w:top w:type="dxa" w:w="80"/>
              <w:left w:type="dxa" w:w="100"/>
              <w:bottom w:type="dxa" w:w="80"/>
              <w:right w:type="dxa" w:w="100"/>
            </w:tcMar>
          </w:tcPr>
          <w:p>
            <w:r>
              <w:rPr>
                <w:b/>
                <w:bCs/>
                <w:color w:val="000000"/>
                <w:sz w:val="20"/>
                <w:szCs w:val="20"/>
              </w:rPr>
              <w:t xml:space="preserve">Payment</w:t>
            </w:r>
          </w:p>
        </w:tc>
        <w:tc>
          <w:tcPr>
            <w:tcW w:type="dxa" w:w="3580"/>
            <w:tcMar>
              <w:top w:type="dxa" w:w="80"/>
              <w:left w:type="dxa" w:w="100"/>
              <w:bottom w:type="dxa" w:w="80"/>
              <w:right w:type="dxa" w:w="100"/>
            </w:tcMar>
          </w:tcPr>
          <w:p>
            <w:r>
              <w:rPr>
                <w:b w:val="false"/>
                <w:bCs w:val="false"/>
                <w:color w:val="000000"/>
                <w:sz w:val="20"/>
                <w:szCs w:val="20"/>
              </w:rPr>
              <w:t xml:space="preserve">Uses a credit or debit card, PayPal, Apple Pay; usually approved quickly.</w:t>
            </w:r>
          </w:p>
        </w:tc>
        <w:tc>
          <w:tcPr>
            <w:tcW w:type="dxa" w:w="3580"/>
            <w:tcMar>
              <w:top w:type="dxa" w:w="80"/>
              <w:left w:type="dxa" w:w="100"/>
              <w:bottom w:type="dxa" w:w="80"/>
              <w:right w:type="dxa" w:w="100"/>
            </w:tcMar>
          </w:tcPr>
          <w:p>
            <w:r>
              <w:rPr>
                <w:b w:val="false"/>
                <w:bCs w:val="false"/>
                <w:color w:val="000000"/>
                <w:sz w:val="20"/>
                <w:szCs w:val="20"/>
              </w:rPr>
              <w:t xml:space="preserve">May need to use a card that allows foreign purchases; more likely to be flagged or declined; may need 3-D Secure.</w:t>
            </w:r>
          </w:p>
        </w:tc>
      </w:tr>
      <w:tr>
        <w:trPr>
          <w:tblHeader w:val="false"/>
        </w:trPr>
        <w:tc>
          <w:tcPr>
            <w:tcW w:type="dxa" w:w="2200"/>
            <w:shd w:fill="E8EEF7" w:color="auto" w:val="clear"/>
            <w:tcMar>
              <w:top w:type="dxa" w:w="80"/>
              <w:left w:type="dxa" w:w="100"/>
              <w:bottom w:type="dxa" w:w="80"/>
              <w:right w:type="dxa" w:w="100"/>
            </w:tcMar>
          </w:tcPr>
          <w:p>
            <w:r>
              <w:rPr>
                <w:b/>
                <w:bCs/>
                <w:color w:val="000000"/>
                <w:sz w:val="20"/>
                <w:szCs w:val="20"/>
              </w:rPr>
              <w:t xml:space="preserve">Extra fees</w:t>
            </w:r>
          </w:p>
        </w:tc>
        <w:tc>
          <w:tcPr>
            <w:tcW w:type="dxa" w:w="3580"/>
            <w:tcMar>
              <w:top w:type="dxa" w:w="80"/>
              <w:left w:type="dxa" w:w="100"/>
              <w:bottom w:type="dxa" w:w="80"/>
              <w:right w:type="dxa" w:w="100"/>
            </w:tcMar>
          </w:tcPr>
          <w:p>
            <w:r>
              <w:rPr>
                <w:b w:val="false"/>
                <w:bCs w:val="false"/>
                <w:color w:val="000000"/>
                <w:sz w:val="20"/>
                <w:szCs w:val="20"/>
              </w:rPr>
              <w:t xml:space="preserve">Usually none.</w:t>
            </w:r>
          </w:p>
        </w:tc>
        <w:tc>
          <w:tcPr>
            <w:tcW w:type="dxa" w:w="3580"/>
            <w:tcMar>
              <w:top w:type="dxa" w:w="80"/>
              <w:left w:type="dxa" w:w="100"/>
              <w:bottom w:type="dxa" w:w="80"/>
              <w:right w:type="dxa" w:w="100"/>
            </w:tcMar>
          </w:tcPr>
          <w:p>
            <w:r>
              <w:rPr>
                <w:b w:val="false"/>
                <w:bCs w:val="false"/>
                <w:color w:val="000000"/>
                <w:sz w:val="20"/>
                <w:szCs w:val="20"/>
              </w:rPr>
              <w:t xml:space="preserve">Possible 1%–3% foreign transaction fee from their bank.</w:t>
            </w:r>
          </w:p>
        </w:tc>
      </w:tr>
      <w:tr>
        <w:trPr>
          <w:tblHeader w:val="false"/>
        </w:trPr>
        <w:tc>
          <w:tcPr>
            <w:tcW w:type="dxa" w:w="2200"/>
            <w:shd w:fill="E8EEF7" w:color="auto" w:val="clear"/>
            <w:tcMar>
              <w:top w:type="dxa" w:w="80"/>
              <w:left w:type="dxa" w:w="100"/>
              <w:bottom w:type="dxa" w:w="80"/>
              <w:right w:type="dxa" w:w="100"/>
            </w:tcMar>
          </w:tcPr>
          <w:p>
            <w:r>
              <w:rPr>
                <w:b/>
                <w:bCs/>
                <w:color w:val="000000"/>
                <w:sz w:val="20"/>
                <w:szCs w:val="20"/>
              </w:rPr>
              <w:t xml:space="preserve">Shipping</w:t>
            </w:r>
          </w:p>
        </w:tc>
        <w:tc>
          <w:tcPr>
            <w:tcW w:type="dxa" w:w="3580"/>
            <w:tcMar>
              <w:top w:type="dxa" w:w="80"/>
              <w:left w:type="dxa" w:w="100"/>
              <w:bottom w:type="dxa" w:w="80"/>
              <w:right w:type="dxa" w:w="100"/>
            </w:tcMar>
          </w:tcPr>
          <w:p>
            <w:r>
              <w:rPr>
                <w:b w:val="false"/>
                <w:bCs w:val="false"/>
                <w:color w:val="000000"/>
                <w:sz w:val="20"/>
                <w:szCs w:val="20"/>
              </w:rPr>
              <w:t xml:space="preserve">Often free or under $10; arrives in 2–5 days.</w:t>
            </w:r>
          </w:p>
        </w:tc>
        <w:tc>
          <w:tcPr>
            <w:tcW w:type="dxa" w:w="3580"/>
            <w:tcMar>
              <w:top w:type="dxa" w:w="80"/>
              <w:left w:type="dxa" w:w="100"/>
              <w:bottom w:type="dxa" w:w="80"/>
              <w:right w:type="dxa" w:w="100"/>
            </w:tcMar>
          </w:tcPr>
          <w:p>
            <w:r>
              <w:rPr>
                <w:b w:val="false"/>
                <w:bCs w:val="false"/>
                <w:color w:val="000000"/>
                <w:sz w:val="20"/>
                <w:szCs w:val="20"/>
              </w:rPr>
              <w:t xml:space="preserve">Often $20–$50+; arrives in 1–3 weeks.</w:t>
            </w:r>
          </w:p>
        </w:tc>
      </w:tr>
      <w:tr>
        <w:trPr>
          <w:tblHeader w:val="false"/>
        </w:trPr>
        <w:tc>
          <w:tcPr>
            <w:tcW w:type="dxa" w:w="2200"/>
            <w:shd w:fill="E8EEF7" w:color="auto" w:val="clear"/>
            <w:tcMar>
              <w:top w:type="dxa" w:w="80"/>
              <w:left w:type="dxa" w:w="100"/>
              <w:bottom w:type="dxa" w:w="80"/>
              <w:right w:type="dxa" w:w="100"/>
            </w:tcMar>
          </w:tcPr>
          <w:p>
            <w:r>
              <w:rPr>
                <w:b/>
                <w:bCs/>
                <w:color w:val="000000"/>
                <w:sz w:val="20"/>
                <w:szCs w:val="20"/>
              </w:rPr>
              <w:t xml:space="preserve">Taxes &amp; duties</w:t>
            </w:r>
          </w:p>
        </w:tc>
        <w:tc>
          <w:tcPr>
            <w:tcW w:type="dxa" w:w="3580"/>
            <w:tcMar>
              <w:top w:type="dxa" w:w="80"/>
              <w:left w:type="dxa" w:w="100"/>
              <w:bottom w:type="dxa" w:w="80"/>
              <w:right w:type="dxa" w:w="100"/>
            </w:tcMar>
          </w:tcPr>
          <w:p>
            <w:r>
              <w:rPr>
                <w:b w:val="false"/>
                <w:bCs w:val="false"/>
                <w:color w:val="000000"/>
                <w:sz w:val="20"/>
                <w:szCs w:val="20"/>
              </w:rPr>
              <w:t xml:space="preserve">Sales tax only.</w:t>
            </w:r>
          </w:p>
        </w:tc>
        <w:tc>
          <w:tcPr>
            <w:tcW w:type="dxa" w:w="3580"/>
            <w:tcMar>
              <w:top w:type="dxa" w:w="80"/>
              <w:left w:type="dxa" w:w="100"/>
              <w:bottom w:type="dxa" w:w="80"/>
              <w:right w:type="dxa" w:w="100"/>
            </w:tcMar>
          </w:tcPr>
          <w:p>
            <w:r>
              <w:rPr>
                <w:b w:val="false"/>
                <w:bCs w:val="false"/>
                <w:color w:val="000000"/>
                <w:sz w:val="20"/>
                <w:szCs w:val="20"/>
              </w:rPr>
              <w:t xml:space="preserve">Import duties and VAT, either paid at checkout or on delivery.</w:t>
            </w:r>
          </w:p>
        </w:tc>
      </w:tr>
      <w:tr>
        <w:trPr>
          <w:tblHeader w:val="false"/>
        </w:trPr>
        <w:tc>
          <w:tcPr>
            <w:tcW w:type="dxa" w:w="2200"/>
            <w:shd w:fill="E8EEF7" w:color="auto" w:val="clear"/>
            <w:tcMar>
              <w:top w:type="dxa" w:w="80"/>
              <w:left w:type="dxa" w:w="100"/>
              <w:bottom w:type="dxa" w:w="80"/>
              <w:right w:type="dxa" w:w="100"/>
            </w:tcMar>
          </w:tcPr>
          <w:p>
            <w:r>
              <w:rPr>
                <w:b/>
                <w:bCs/>
                <w:color w:val="000000"/>
                <w:sz w:val="20"/>
                <w:szCs w:val="20"/>
              </w:rPr>
              <w:t xml:space="preserve">Returns</w:t>
            </w:r>
          </w:p>
        </w:tc>
        <w:tc>
          <w:tcPr>
            <w:tcW w:type="dxa" w:w="3580"/>
            <w:tcMar>
              <w:top w:type="dxa" w:w="80"/>
              <w:left w:type="dxa" w:w="100"/>
              <w:bottom w:type="dxa" w:w="80"/>
              <w:right w:type="dxa" w:w="100"/>
            </w:tcMar>
          </w:tcPr>
          <w:p>
            <w:r>
              <w:rPr>
                <w:b w:val="false"/>
                <w:bCs w:val="false"/>
                <w:color w:val="000000"/>
                <w:sz w:val="20"/>
                <w:szCs w:val="20"/>
              </w:rPr>
              <w:t xml:space="preserve">Easy and often free.</w:t>
            </w:r>
          </w:p>
        </w:tc>
        <w:tc>
          <w:tcPr>
            <w:tcW w:type="dxa" w:w="3580"/>
            <w:tcMar>
              <w:top w:type="dxa" w:w="80"/>
              <w:left w:type="dxa" w:w="100"/>
              <w:bottom w:type="dxa" w:w="80"/>
              <w:right w:type="dxa" w:w="100"/>
            </w:tcMar>
          </w:tcPr>
          <w:p>
            <w:r>
              <w:rPr>
                <w:b w:val="false"/>
                <w:bCs w:val="false"/>
                <w:color w:val="000000"/>
                <w:sz w:val="20"/>
                <w:szCs w:val="20"/>
              </w:rPr>
              <w:t xml:space="preserve">Costly and slow; often not worth the trouble.</w:t>
            </w:r>
          </w:p>
        </w:tc>
      </w:tr>
      <w:tr>
        <w:trPr>
          <w:tblHeader w:val="false"/>
        </w:trPr>
        <w:tc>
          <w:tcPr>
            <w:tcW w:type="dxa" w:w="2200"/>
            <w:shd w:fill="E8EEF7" w:color="auto" w:val="clear"/>
            <w:tcMar>
              <w:top w:type="dxa" w:w="80"/>
              <w:left w:type="dxa" w:w="100"/>
              <w:bottom w:type="dxa" w:w="80"/>
              <w:right w:type="dxa" w:w="100"/>
            </w:tcMar>
          </w:tcPr>
          <w:p>
            <w:r>
              <w:rPr>
                <w:b/>
                <w:bCs/>
                <w:color w:val="000000"/>
                <w:sz w:val="20"/>
                <w:szCs w:val="20"/>
              </w:rPr>
              <w:t xml:space="preserve">Buyer protection</w:t>
            </w:r>
          </w:p>
        </w:tc>
        <w:tc>
          <w:tcPr>
            <w:tcW w:type="dxa" w:w="3580"/>
            <w:tcMar>
              <w:top w:type="dxa" w:w="80"/>
              <w:left w:type="dxa" w:w="100"/>
              <w:bottom w:type="dxa" w:w="80"/>
              <w:right w:type="dxa" w:w="100"/>
            </w:tcMar>
          </w:tcPr>
          <w:p>
            <w:r>
              <w:rPr>
                <w:b w:val="false"/>
                <w:bCs w:val="false"/>
                <w:color w:val="000000"/>
                <w:sz w:val="20"/>
                <w:szCs w:val="20"/>
              </w:rPr>
              <w:t xml:space="preserve">Strong U.S. consumer protection laws and easy chargebacks.</w:t>
            </w:r>
          </w:p>
        </w:tc>
        <w:tc>
          <w:tcPr>
            <w:tcW w:type="dxa" w:w="3580"/>
            <w:tcMar>
              <w:top w:type="dxa" w:w="80"/>
              <w:left w:type="dxa" w:w="100"/>
              <w:bottom w:type="dxa" w:w="80"/>
              <w:right w:type="dxa" w:w="100"/>
            </w:tcMar>
          </w:tcPr>
          <w:p>
            <w:r>
              <w:rPr>
                <w:b w:val="false"/>
                <w:bCs w:val="false"/>
                <w:color w:val="000000"/>
                <w:sz w:val="20"/>
                <w:szCs w:val="20"/>
              </w:rPr>
              <w:t xml:space="preserve">Has to rely on their card issuer or PayPal; harder to resolve disputes across borders.</w:t>
            </w:r>
          </w:p>
        </w:tc>
      </w:tr>
    </w:tbl>
    <w:p>
      <w:pPr>
        <w:spacing w:after="120"/>
      </w:pPr>
      <w:r>
        <w:rPr>
          <w:rFonts w:ascii="Calibri" w:cs="Calibri" w:eastAsia="Calibri" w:hAnsi="Calibri"/>
          <w:sz w:val="24"/>
          <w:szCs w:val="24"/>
        </w:rPr>
        <w:t xml:space="preserve"/>
      </w:r>
    </w:p>
    <w:p>
      <w:pPr>
        <w:spacing w:after="160" w:line="300"/>
      </w:pPr>
      <w:r>
        <w:rPr>
          <w:rFonts w:ascii="Calibri" w:cs="Calibri" w:eastAsia="Calibri" w:hAnsi="Calibri"/>
          <w:sz w:val="24"/>
          <w:szCs w:val="24"/>
        </w:rPr>
        <w:t xml:space="preserve">In short, the U.S. customer gets a simple, fast, and predictable experience, while the international customer deals with currency conversion, extra fees, higher shipping costs, possible customs charges, and longer waits. For the merchant, the international sale carries more risk of fraud and chargebacks. Businesses that want to grow globally have to close that gap by offering local payment methods, showing prices in local currency, being upfront about duties, and using strong fraud and authentication tools. The ones that do it well open the door to customers all over the world.</w:t>
      </w:r>
    </w:p>
    <w:p>
      <w:pPr>
        <w:pStyle w:val="Heading2"/>
        <w:spacing w:after="120" w:before="200"/>
      </w:pPr>
      <w:r>
        <w:t xml:space="preserve">Presentation Summary (Part B)</w:t>
      </w:r>
    </w:p>
    <w:p>
      <w:pPr>
        <w:pStyle w:val="ListParagraph"/>
        <w:numPr>
          <w:ilvl w:val="0"/>
          <w:numId w:val="2"/>
        </w:numPr>
        <w:spacing w:after="100" w:line="288"/>
      </w:pPr>
      <w:r>
        <w:rPr>
          <w:sz w:val="24"/>
          <w:szCs w:val="24"/>
        </w:rPr>
        <w:t xml:space="preserve">Cross-border sales are growing fast, but come with higher fees, fraud risk, and legal rules.</w:t>
      </w:r>
    </w:p>
    <w:p>
      <w:pPr>
        <w:pStyle w:val="ListParagraph"/>
        <w:numPr>
          <w:ilvl w:val="0"/>
          <w:numId w:val="2"/>
        </w:numPr>
        <w:spacing w:after="100" w:line="288"/>
      </w:pPr>
      <w:r>
        <w:rPr>
          <w:sz w:val="24"/>
          <w:szCs w:val="24"/>
        </w:rPr>
        <w:t xml:space="preserve">Repudiation is reduced with 3-D Secure, AVS/CVV checks, fraud tools, and tracked delivery.</w:t>
      </w:r>
    </w:p>
    <w:p>
      <w:pPr>
        <w:pStyle w:val="ListParagraph"/>
        <w:numPr>
          <w:ilvl w:val="0"/>
          <w:numId w:val="2"/>
        </w:numPr>
        <w:spacing w:after="100" w:line="288"/>
      </w:pPr>
      <w:r>
        <w:rPr>
          <w:sz w:val="24"/>
          <w:szCs w:val="24"/>
        </w:rPr>
        <w:t xml:space="preserve">Exchange rates change what foreign buyers pay; local-currency pricing removes the surprise.</w:t>
      </w:r>
    </w:p>
    <w:p>
      <w:pPr>
        <w:pStyle w:val="ListParagraph"/>
        <w:numPr>
          <w:ilvl w:val="0"/>
          <w:numId w:val="2"/>
        </w:numPr>
        <w:spacing w:after="100" w:line="288"/>
      </w:pPr>
      <w:r>
        <w:rPr>
          <w:sz w:val="24"/>
          <w:szCs w:val="24"/>
        </w:rPr>
        <w:t xml:space="preserve">Shipping costs and customs duties are the top reasons international carts get abandoned.</w:t>
      </w:r>
    </w:p>
    <w:p>
      <w:pPr>
        <w:pStyle w:val="ListParagraph"/>
        <w:numPr>
          <w:ilvl w:val="0"/>
          <w:numId w:val="2"/>
        </w:numPr>
        <w:spacing w:after="100" w:line="288"/>
      </w:pPr>
      <w:r>
        <w:rPr>
          <w:sz w:val="24"/>
          <w:szCs w:val="24"/>
        </w:rPr>
        <w:t xml:space="preserve">The U.S. buyer gets speed and simplicity; the international buyer faces more cost, delay, and uncertainty.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2"/>
      <w:szCs w:val="32"/>
    </w:rPr>
  </w:style>
  <w:style w:type="paragraph" w:styleId="Heading2">
    <w:name w:val="Heading 2"/>
    <w:basedOn w:val="Normal"/>
    <w:next w:val="Normal"/>
    <w:qFormat/>
    <w:pPr>
      <w:outlineLvl w:val="1"/>
    </w:pPr>
    <w:rPr>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2026-10-01T08:57:37.049Z</dcterms:created>
  <dcterms:modified xsi:type="dcterms:W3CDTF">2026-10-01T08:57:37.049Z</dcterms:modified>
</cp:coreProperties>
</file>

<file path=docProps/custom.xml><?xml version="1.0" encoding="utf-8"?>
<Properties xmlns="http://schemas.openxmlformats.org/officeDocument/2006/custom-properties" xmlns:vt="http://schemas.openxmlformats.org/officeDocument/2006/docPropsVTypes"/>
</file>