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78F25" w14:textId="2DF16917" w:rsidR="00830582" w:rsidRPr="00830582" w:rsidRDefault="001053F0" w:rsidP="00F73C58">
      <w:pPr>
        <w:jc w:val="center"/>
        <w:rPr>
          <w:rFonts w:ascii="Verdana" w:hAnsi="Verdana"/>
          <w:b/>
          <w:bCs/>
          <w:u w:val="single"/>
        </w:rPr>
      </w:pPr>
      <w:r w:rsidRPr="00F342D8">
        <w:rPr>
          <w:rFonts w:ascii="Verdana" w:hAnsi="Verdana"/>
          <w:b/>
          <w:bCs/>
          <w:u w:val="single"/>
        </w:rPr>
        <w:t>L’ANNULATION DE LA SENTENCE ARBITRALE</w:t>
      </w:r>
      <w:r>
        <w:rPr>
          <w:rStyle w:val="Appelnotedebasdep"/>
          <w:rFonts w:ascii="Verdana" w:hAnsi="Verdana"/>
          <w:b/>
          <w:bCs/>
          <w:u w:val="single"/>
        </w:rPr>
        <w:footnoteReference w:id="1"/>
      </w:r>
    </w:p>
    <w:p w14:paraId="3586C733" w14:textId="4793E3EC" w:rsidR="001053F0" w:rsidRDefault="00830582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L’</w:t>
      </w:r>
      <w:r w:rsidR="001053F0">
        <w:rPr>
          <w:rFonts w:ascii="Verdana" w:hAnsi="Verdana"/>
        </w:rPr>
        <w:t>arbitrage</w:t>
      </w:r>
      <w:r w:rsidR="00A53A8C">
        <w:rPr>
          <w:rFonts w:ascii="Verdana" w:hAnsi="Verdana"/>
        </w:rPr>
        <w:t>,</w:t>
      </w:r>
      <w:r w:rsidR="001053F0">
        <w:rPr>
          <w:rFonts w:ascii="Verdana" w:hAnsi="Verdana"/>
        </w:rPr>
        <w:t xml:space="preserve"> comme mode alternatif de règlement des litiges</w:t>
      </w:r>
      <w:r w:rsidR="00AE5353">
        <w:rPr>
          <w:rFonts w:ascii="Verdana" w:hAnsi="Verdana"/>
        </w:rPr>
        <w:t>,</w:t>
      </w:r>
      <w:r w:rsidR="001053F0">
        <w:rPr>
          <w:rFonts w:ascii="Verdana" w:hAnsi="Verdana"/>
        </w:rPr>
        <w:t xml:space="preserve"> a </w:t>
      </w:r>
      <w:r w:rsidR="00674C1D">
        <w:rPr>
          <w:rFonts w:ascii="Verdana" w:hAnsi="Verdana"/>
        </w:rPr>
        <w:t xml:space="preserve">connu un tel succès que </w:t>
      </w:r>
      <w:r w:rsidR="00A53A8C">
        <w:rPr>
          <w:rFonts w:ascii="Verdana" w:hAnsi="Verdana"/>
        </w:rPr>
        <w:t xml:space="preserve">le législateur communautaire </w:t>
      </w:r>
      <w:r w:rsidR="00FC13E4">
        <w:rPr>
          <w:rFonts w:ascii="Verdana" w:hAnsi="Verdana"/>
        </w:rPr>
        <w:t>a</w:t>
      </w:r>
      <w:r w:rsidR="001053F0">
        <w:rPr>
          <w:rFonts w:ascii="Verdana" w:hAnsi="Verdana"/>
        </w:rPr>
        <w:t xml:space="preserve"> élargi les possibilités d</w:t>
      </w:r>
      <w:r w:rsidR="00A53A8C">
        <w:rPr>
          <w:rFonts w:ascii="Verdana" w:hAnsi="Verdana"/>
        </w:rPr>
        <w:t>e</w:t>
      </w:r>
      <w:r w:rsidR="001053F0">
        <w:rPr>
          <w:rFonts w:ascii="Verdana" w:hAnsi="Verdana"/>
        </w:rPr>
        <w:t xml:space="preserve"> recourir </w:t>
      </w:r>
      <w:r w:rsidR="00676C55">
        <w:rPr>
          <w:rFonts w:ascii="Verdana" w:hAnsi="Verdana"/>
        </w:rPr>
        <w:t>aux</w:t>
      </w:r>
      <w:r w:rsidR="00A53A8C">
        <w:rPr>
          <w:rFonts w:ascii="Verdana" w:hAnsi="Verdana"/>
        </w:rPr>
        <w:t xml:space="preserve"> mode</w:t>
      </w:r>
      <w:r w:rsidR="00676C55">
        <w:rPr>
          <w:rFonts w:ascii="Verdana" w:hAnsi="Verdana"/>
        </w:rPr>
        <w:t>s</w:t>
      </w:r>
      <w:r w:rsidR="00A53A8C">
        <w:rPr>
          <w:rFonts w:ascii="Verdana" w:hAnsi="Verdana"/>
        </w:rPr>
        <w:t xml:space="preserve"> </w:t>
      </w:r>
      <w:r w:rsidR="003F6C12">
        <w:rPr>
          <w:rFonts w:ascii="Verdana" w:hAnsi="Verdana"/>
        </w:rPr>
        <w:t xml:space="preserve">alternatifs </w:t>
      </w:r>
      <w:r w:rsidR="00674C1D">
        <w:rPr>
          <w:rFonts w:ascii="Verdana" w:hAnsi="Verdana"/>
        </w:rPr>
        <w:t xml:space="preserve">de </w:t>
      </w:r>
      <w:r w:rsidR="00A53A8C">
        <w:rPr>
          <w:rFonts w:ascii="Verdana" w:hAnsi="Verdana"/>
        </w:rPr>
        <w:t>règlement des différends</w:t>
      </w:r>
      <w:r w:rsidR="00674C1D">
        <w:rPr>
          <w:rFonts w:ascii="Verdana" w:hAnsi="Verdana"/>
        </w:rPr>
        <w:t>,</w:t>
      </w:r>
      <w:r w:rsidR="00A53A8C">
        <w:rPr>
          <w:rFonts w:ascii="Verdana" w:hAnsi="Verdana"/>
        </w:rPr>
        <w:t xml:space="preserve"> </w:t>
      </w:r>
      <w:r w:rsidR="001053F0">
        <w:rPr>
          <w:rFonts w:ascii="Verdana" w:hAnsi="Verdana"/>
        </w:rPr>
        <w:t>à travers l’adoption</w:t>
      </w:r>
      <w:r w:rsidR="00127257">
        <w:rPr>
          <w:rFonts w:ascii="Verdana" w:hAnsi="Verdana"/>
        </w:rPr>
        <w:t>,</w:t>
      </w:r>
      <w:r w:rsidR="001053F0">
        <w:rPr>
          <w:rFonts w:ascii="Verdana" w:hAnsi="Verdana"/>
        </w:rPr>
        <w:t xml:space="preserve"> </w:t>
      </w:r>
      <w:r w:rsidR="003F6C12">
        <w:rPr>
          <w:rFonts w:ascii="Verdana" w:hAnsi="Verdana"/>
        </w:rPr>
        <w:t>le 23 novembre</w:t>
      </w:r>
      <w:r w:rsidR="001053F0">
        <w:rPr>
          <w:rFonts w:ascii="Verdana" w:hAnsi="Verdana"/>
        </w:rPr>
        <w:t xml:space="preserve"> 2017</w:t>
      </w:r>
      <w:r w:rsidR="00127257">
        <w:rPr>
          <w:rFonts w:ascii="Verdana" w:hAnsi="Verdana"/>
        </w:rPr>
        <w:t>,</w:t>
      </w:r>
      <w:r w:rsidR="001053F0" w:rsidRPr="00D30EAC">
        <w:rPr>
          <w:rFonts w:ascii="Verdana" w:hAnsi="Verdana"/>
        </w:rPr>
        <w:t xml:space="preserve"> </w:t>
      </w:r>
      <w:r w:rsidR="001053F0">
        <w:rPr>
          <w:rFonts w:ascii="Verdana" w:hAnsi="Verdana"/>
        </w:rPr>
        <w:t xml:space="preserve">d’un </w:t>
      </w:r>
      <w:r w:rsidR="00674C1D">
        <w:rPr>
          <w:rFonts w:ascii="Verdana" w:hAnsi="Verdana"/>
        </w:rPr>
        <w:t>A</w:t>
      </w:r>
      <w:r w:rsidR="001053F0">
        <w:rPr>
          <w:rFonts w:ascii="Verdana" w:hAnsi="Verdana"/>
        </w:rPr>
        <w:t>cte uniforme relatif à la médiation</w:t>
      </w:r>
      <w:r w:rsidR="00047F46">
        <w:rPr>
          <w:rStyle w:val="Appelnotedebasdep"/>
          <w:rFonts w:ascii="Verdana" w:hAnsi="Verdana"/>
        </w:rPr>
        <w:footnoteReference w:id="2"/>
      </w:r>
      <w:r w:rsidR="001053F0">
        <w:rPr>
          <w:rFonts w:ascii="Verdana" w:hAnsi="Verdana"/>
        </w:rPr>
        <w:t>.</w:t>
      </w:r>
    </w:p>
    <w:p w14:paraId="0E94D090" w14:textId="70DACE22" w:rsidR="001053F0" w:rsidRDefault="00674C1D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On peut dire que</w:t>
      </w:r>
      <w:r w:rsidR="001053F0">
        <w:rPr>
          <w:rFonts w:ascii="Verdana" w:hAnsi="Verdana"/>
        </w:rPr>
        <w:t xml:space="preserve"> les Etats et les institutions, soutenus par les opérateurs</w:t>
      </w:r>
      <w:r w:rsidR="00E00B6C">
        <w:rPr>
          <w:rFonts w:ascii="Verdana" w:hAnsi="Verdana"/>
        </w:rPr>
        <w:t xml:space="preserve"> économiques</w:t>
      </w:r>
      <w:r w:rsidR="00A53A8C">
        <w:rPr>
          <w:rFonts w:ascii="Verdana" w:hAnsi="Verdana"/>
        </w:rPr>
        <w:t>,</w:t>
      </w:r>
      <w:r w:rsidR="001053F0">
        <w:rPr>
          <w:rFonts w:ascii="Verdana" w:hAnsi="Verdana"/>
        </w:rPr>
        <w:t xml:space="preserve"> y ont vu les moyens de parvenir à la sécurité judiciaire tant recherchée </w:t>
      </w:r>
      <w:r w:rsidR="00533E0B">
        <w:rPr>
          <w:rFonts w:ascii="Verdana" w:hAnsi="Verdana"/>
        </w:rPr>
        <w:t>dans l’espace OHADA</w:t>
      </w:r>
      <w:r w:rsidR="004A78AD">
        <w:rPr>
          <w:rFonts w:ascii="Verdana" w:hAnsi="Verdana"/>
        </w:rPr>
        <w:t xml:space="preserve">, </w:t>
      </w:r>
      <w:r w:rsidR="001053F0">
        <w:rPr>
          <w:rFonts w:ascii="Verdana" w:hAnsi="Verdana"/>
        </w:rPr>
        <w:t>dans le cadre de leurs affaires.</w:t>
      </w:r>
    </w:p>
    <w:p w14:paraId="7E11E067" w14:textId="6AEAECC7" w:rsidR="001053F0" w:rsidRDefault="001053F0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Outre la confiance que ces modes de règlement </w:t>
      </w:r>
      <w:r w:rsidR="006C79F9">
        <w:rPr>
          <w:rFonts w:ascii="Verdana" w:hAnsi="Verdana"/>
        </w:rPr>
        <w:t xml:space="preserve">des litiges </w:t>
      </w:r>
      <w:r>
        <w:rPr>
          <w:rFonts w:ascii="Verdana" w:hAnsi="Verdana"/>
        </w:rPr>
        <w:t>inspirent</w:t>
      </w:r>
      <w:r w:rsidR="007E692F">
        <w:rPr>
          <w:rFonts w:ascii="Verdana" w:hAnsi="Verdana"/>
        </w:rPr>
        <w:t>,</w:t>
      </w:r>
      <w:r>
        <w:rPr>
          <w:rFonts w:ascii="Verdana" w:hAnsi="Verdana"/>
        </w:rPr>
        <w:t xml:space="preserve"> en raison de la </w:t>
      </w:r>
      <w:r w:rsidR="00A53A8C">
        <w:rPr>
          <w:rFonts w:ascii="Verdana" w:hAnsi="Verdana"/>
        </w:rPr>
        <w:t xml:space="preserve">présomption de </w:t>
      </w:r>
      <w:r>
        <w:rPr>
          <w:rFonts w:ascii="Verdana" w:hAnsi="Verdana"/>
        </w:rPr>
        <w:t xml:space="preserve">compétence de ses acteurs, de leur impartialité dans l’examen des dossiers, il y a aussi la </w:t>
      </w:r>
      <w:r w:rsidRPr="00674C1D">
        <w:rPr>
          <w:rFonts w:ascii="Verdana" w:hAnsi="Verdana"/>
        </w:rPr>
        <w:t xml:space="preserve">célérité </w:t>
      </w:r>
      <w:r w:rsidR="00674C1D" w:rsidRPr="00674C1D">
        <w:rPr>
          <w:rFonts w:ascii="Verdana" w:hAnsi="Verdana"/>
        </w:rPr>
        <w:t xml:space="preserve">escomptée </w:t>
      </w:r>
      <w:r w:rsidRPr="00674C1D">
        <w:rPr>
          <w:rFonts w:ascii="Verdana" w:hAnsi="Verdana"/>
        </w:rPr>
        <w:t xml:space="preserve">en ce que </w:t>
      </w:r>
      <w:r>
        <w:rPr>
          <w:rFonts w:ascii="Verdana" w:hAnsi="Verdana"/>
        </w:rPr>
        <w:t>le monde des affaires n</w:t>
      </w:r>
      <w:r w:rsidR="000C02E6">
        <w:rPr>
          <w:rFonts w:ascii="Verdana" w:hAnsi="Verdana"/>
        </w:rPr>
        <w:t>’entend</w:t>
      </w:r>
      <w:r>
        <w:rPr>
          <w:rFonts w:ascii="Verdana" w:hAnsi="Verdana"/>
        </w:rPr>
        <w:t xml:space="preserve"> guère s’encombrer de juridisme.</w:t>
      </w:r>
    </w:p>
    <w:p w14:paraId="4C2A63D8" w14:textId="4981140E" w:rsidR="000C02E6" w:rsidRDefault="001053F0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Toutefois</w:t>
      </w:r>
      <w:r w:rsidR="00B03BE8">
        <w:rPr>
          <w:rFonts w:ascii="Verdana" w:hAnsi="Verdana"/>
        </w:rPr>
        <w:t>,</w:t>
      </w:r>
      <w:r w:rsidR="000C02E6">
        <w:rPr>
          <w:rFonts w:ascii="Verdana" w:hAnsi="Verdana"/>
        </w:rPr>
        <w:t xml:space="preserve"> </w:t>
      </w:r>
      <w:r w:rsidR="001F5721">
        <w:rPr>
          <w:rFonts w:ascii="Verdana" w:hAnsi="Verdana"/>
        </w:rPr>
        <w:t xml:space="preserve">la célérité ne doit nullement absoudre la </w:t>
      </w:r>
      <w:r w:rsidR="00C6157A">
        <w:rPr>
          <w:rFonts w:ascii="Verdana" w:hAnsi="Verdana"/>
        </w:rPr>
        <w:t>rigu</w:t>
      </w:r>
      <w:r w:rsidR="00BD0336">
        <w:rPr>
          <w:rFonts w:ascii="Verdana" w:hAnsi="Verdana"/>
        </w:rPr>
        <w:t>eur attendue</w:t>
      </w:r>
      <w:r w:rsidR="001F5721">
        <w:rPr>
          <w:rFonts w:ascii="Verdana" w:hAnsi="Verdana"/>
        </w:rPr>
        <w:t xml:space="preserve"> dans </w:t>
      </w:r>
      <w:r w:rsidR="00FE3E9A">
        <w:rPr>
          <w:rFonts w:ascii="Verdana" w:hAnsi="Verdana"/>
        </w:rPr>
        <w:t xml:space="preserve">le cadre de </w:t>
      </w:r>
      <w:r w:rsidR="001F5721">
        <w:rPr>
          <w:rFonts w:ascii="Verdana" w:hAnsi="Verdana"/>
        </w:rPr>
        <w:t xml:space="preserve">la </w:t>
      </w:r>
      <w:r w:rsidR="00A430DF">
        <w:rPr>
          <w:rFonts w:ascii="Verdana" w:hAnsi="Verdana"/>
        </w:rPr>
        <w:t>promotion</w:t>
      </w:r>
      <w:r w:rsidR="001F5721">
        <w:rPr>
          <w:rFonts w:ascii="Verdana" w:hAnsi="Verdana"/>
        </w:rPr>
        <w:t xml:space="preserve"> d’une bonne justice</w:t>
      </w:r>
      <w:r w:rsidR="004B4893">
        <w:rPr>
          <w:rFonts w:ascii="Verdana" w:hAnsi="Verdana"/>
        </w:rPr>
        <w:t>.</w:t>
      </w:r>
    </w:p>
    <w:p w14:paraId="797EADF9" w14:textId="4C2D6FC8" w:rsidR="001053F0" w:rsidRDefault="001053F0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a donc été prévu de </w:t>
      </w:r>
      <w:r w:rsidR="00E42282">
        <w:rPr>
          <w:rFonts w:ascii="Verdana" w:hAnsi="Verdana"/>
        </w:rPr>
        <w:t>veiller à ce</w:t>
      </w:r>
      <w:r>
        <w:rPr>
          <w:rFonts w:ascii="Verdana" w:hAnsi="Verdana"/>
        </w:rPr>
        <w:t xml:space="preserve"> que la sentence arbitrale, c’est-à-dire la décision rendue par le Tribunal arbitral, ne soit entachée</w:t>
      </w:r>
      <w:r w:rsidR="004B4893">
        <w:rPr>
          <w:rFonts w:ascii="Verdana" w:hAnsi="Verdana"/>
        </w:rPr>
        <w:t>, de bonne ou de mauvaise foi,</w:t>
      </w:r>
      <w:r>
        <w:rPr>
          <w:rFonts w:ascii="Verdana" w:hAnsi="Verdana"/>
        </w:rPr>
        <w:t xml:space="preserve"> d’aucune irrégularité qui puisse en affecter la validité.</w:t>
      </w:r>
    </w:p>
    <w:p w14:paraId="717EE9EF" w14:textId="0115CB9F" w:rsidR="001053F0" w:rsidRPr="00845812" w:rsidRDefault="000C02E6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Si cela était avéré, </w:t>
      </w:r>
      <w:r w:rsidR="004B4893">
        <w:rPr>
          <w:rFonts w:ascii="Verdana" w:hAnsi="Verdana"/>
        </w:rPr>
        <w:t xml:space="preserve">la loi a prévu de sanctionner l’irrégularité commise. </w:t>
      </w:r>
      <w:r w:rsidR="00845812">
        <w:rPr>
          <w:rFonts w:ascii="Verdana" w:hAnsi="Verdana"/>
        </w:rPr>
        <w:t>A</w:t>
      </w:r>
      <w:r w:rsidR="004B4893">
        <w:rPr>
          <w:rFonts w:ascii="Verdana" w:hAnsi="Verdana"/>
        </w:rPr>
        <w:t>insi,</w:t>
      </w:r>
      <w:r w:rsidR="00845812">
        <w:rPr>
          <w:rFonts w:ascii="Verdana" w:hAnsi="Verdana"/>
        </w:rPr>
        <w:t xml:space="preserve"> l’article 25 de </w:t>
      </w:r>
      <w:r w:rsidR="001053F0">
        <w:rPr>
          <w:rFonts w:ascii="Verdana" w:hAnsi="Verdana"/>
        </w:rPr>
        <w:t xml:space="preserve">l’Acte uniforme relatif au droit de l’arbitrage dispose que : </w:t>
      </w:r>
      <w:r w:rsidR="001053F0" w:rsidRPr="004C286F">
        <w:rPr>
          <w:rFonts w:ascii="Verdana" w:hAnsi="Verdana"/>
          <w:i/>
          <w:iCs/>
        </w:rPr>
        <w:t>« La sentence arbitrale n</w:t>
      </w:r>
      <w:r w:rsidR="001053F0" w:rsidRPr="004C286F">
        <w:rPr>
          <w:rFonts w:ascii="Verdana" w:hAnsi="Verdana" w:cs="Verdana"/>
          <w:i/>
          <w:iCs/>
        </w:rPr>
        <w:t>’</w:t>
      </w:r>
      <w:r w:rsidR="001053F0" w:rsidRPr="004C286F">
        <w:rPr>
          <w:rFonts w:ascii="Verdana" w:hAnsi="Verdana"/>
          <w:i/>
          <w:iCs/>
        </w:rPr>
        <w:t>est pas susceptible d</w:t>
      </w:r>
      <w:r w:rsidR="001053F0" w:rsidRPr="004C286F">
        <w:rPr>
          <w:rFonts w:ascii="Verdana" w:hAnsi="Verdana" w:cs="Verdana"/>
          <w:i/>
          <w:iCs/>
        </w:rPr>
        <w:t>’</w:t>
      </w:r>
      <w:r w:rsidR="001053F0" w:rsidRPr="004C286F">
        <w:rPr>
          <w:rFonts w:ascii="Verdana" w:hAnsi="Verdana"/>
          <w:i/>
          <w:iCs/>
        </w:rPr>
        <w:t>opposition, d</w:t>
      </w:r>
      <w:r w:rsidR="001053F0" w:rsidRPr="004C286F">
        <w:rPr>
          <w:rFonts w:ascii="Verdana" w:hAnsi="Verdana" w:cs="Verdana"/>
          <w:i/>
          <w:iCs/>
        </w:rPr>
        <w:t>’</w:t>
      </w:r>
      <w:r w:rsidR="001053F0" w:rsidRPr="004C286F">
        <w:rPr>
          <w:rFonts w:ascii="Verdana" w:hAnsi="Verdana"/>
          <w:i/>
          <w:iCs/>
        </w:rPr>
        <w:t xml:space="preserve">appel ni de pourvoi en </w:t>
      </w:r>
      <w:r w:rsidR="00744749">
        <w:rPr>
          <w:rFonts w:ascii="Verdana" w:hAnsi="Verdana"/>
          <w:i/>
          <w:iCs/>
        </w:rPr>
        <w:t>cassation</w:t>
      </w:r>
      <w:r w:rsidR="00744749">
        <w:rPr>
          <w:rStyle w:val="Appelnotedebasdep"/>
          <w:rFonts w:ascii="Verdana" w:hAnsi="Verdana"/>
          <w:i/>
          <w:iCs/>
        </w:rPr>
        <w:footnoteReference w:id="3"/>
      </w:r>
      <w:r w:rsidR="00744749">
        <w:rPr>
          <w:rFonts w:ascii="Verdana" w:hAnsi="Verdana"/>
          <w:i/>
          <w:iCs/>
        </w:rPr>
        <w:t>.</w:t>
      </w:r>
    </w:p>
    <w:p w14:paraId="2CE17175" w14:textId="3DCE6F88" w:rsidR="001053F0" w:rsidRDefault="001053F0" w:rsidP="001053F0">
      <w:pPr>
        <w:jc w:val="both"/>
        <w:rPr>
          <w:rFonts w:ascii="Verdana" w:hAnsi="Verdana"/>
        </w:rPr>
      </w:pPr>
      <w:r w:rsidRPr="004C286F">
        <w:rPr>
          <w:rFonts w:ascii="Verdana" w:hAnsi="Verdana"/>
          <w:i/>
          <w:iCs/>
        </w:rPr>
        <w:t>Elle peut faire l’objet d’un recours en annulation qui doit être porté devant la juridiction compétente dans l’Etat Partie…</w:t>
      </w:r>
      <w:r>
        <w:rPr>
          <w:rFonts w:ascii="Verdana" w:hAnsi="Verdana"/>
        </w:rPr>
        <w:t> »</w:t>
      </w:r>
      <w:r w:rsidR="003F7C86">
        <w:rPr>
          <w:rStyle w:val="Appelnotedebasdep"/>
          <w:rFonts w:ascii="Verdana" w:hAnsi="Verdana"/>
        </w:rPr>
        <w:footnoteReference w:id="4"/>
      </w:r>
    </w:p>
    <w:p w14:paraId="092C1441" w14:textId="5D15B7EE" w:rsidR="00E42282" w:rsidRDefault="00B865FE" w:rsidP="00B865FE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L’annulation est donc </w:t>
      </w:r>
      <w:r w:rsidR="00845812">
        <w:rPr>
          <w:rFonts w:ascii="Verdana" w:hAnsi="Verdana"/>
        </w:rPr>
        <w:t>la</w:t>
      </w:r>
      <w:r>
        <w:rPr>
          <w:rFonts w:ascii="Verdana" w:hAnsi="Verdana"/>
        </w:rPr>
        <w:t xml:space="preserve"> sanction qui frappe </w:t>
      </w:r>
      <w:r w:rsidR="00DD55DF">
        <w:rPr>
          <w:rFonts w:ascii="Verdana" w:hAnsi="Verdana"/>
        </w:rPr>
        <w:t>toute</w:t>
      </w:r>
      <w:r>
        <w:rPr>
          <w:rFonts w:ascii="Verdana" w:hAnsi="Verdana"/>
        </w:rPr>
        <w:t xml:space="preserve"> sentence arbitrale dont la validité est affectée par une d</w:t>
      </w:r>
      <w:r w:rsidR="000714D5">
        <w:rPr>
          <w:rFonts w:ascii="Verdana" w:hAnsi="Verdana"/>
        </w:rPr>
        <w:t xml:space="preserve">es </w:t>
      </w:r>
      <w:r>
        <w:rPr>
          <w:rFonts w:ascii="Verdana" w:hAnsi="Verdana"/>
        </w:rPr>
        <w:t>irrégularité</w:t>
      </w:r>
      <w:r w:rsidR="000714D5">
        <w:rPr>
          <w:rFonts w:ascii="Verdana" w:hAnsi="Verdana"/>
        </w:rPr>
        <w:t>s prévues par la loi</w:t>
      </w:r>
      <w:r>
        <w:rPr>
          <w:rStyle w:val="Appelnotedebasdep"/>
          <w:rFonts w:ascii="Verdana" w:hAnsi="Verdana"/>
        </w:rPr>
        <w:footnoteReference w:id="5"/>
      </w:r>
      <w:r w:rsidR="00E42282">
        <w:rPr>
          <w:rFonts w:ascii="Verdana" w:hAnsi="Verdana"/>
        </w:rPr>
        <w:t xml:space="preserve"> (I).</w:t>
      </w:r>
    </w:p>
    <w:p w14:paraId="56BBCD91" w14:textId="511898E0" w:rsidR="006A65DB" w:rsidRDefault="003355D0" w:rsidP="00B865FE">
      <w:pPr>
        <w:jc w:val="both"/>
        <w:rPr>
          <w:rFonts w:ascii="Verdana" w:hAnsi="Verdana"/>
        </w:rPr>
      </w:pPr>
      <w:r>
        <w:rPr>
          <w:rFonts w:ascii="Verdana" w:hAnsi="Verdana"/>
        </w:rPr>
        <w:t>C</w:t>
      </w:r>
      <w:r w:rsidR="00044D18">
        <w:rPr>
          <w:rFonts w:ascii="Verdana" w:hAnsi="Verdana"/>
        </w:rPr>
        <w:t>ette annulation</w:t>
      </w:r>
      <w:r w:rsidR="00DB2344">
        <w:rPr>
          <w:rFonts w:ascii="Verdana" w:hAnsi="Verdana"/>
        </w:rPr>
        <w:t xml:space="preserve"> n</w:t>
      </w:r>
      <w:r w:rsidR="006324AF">
        <w:rPr>
          <w:rFonts w:ascii="Verdana" w:hAnsi="Verdana"/>
        </w:rPr>
        <w:t>e dessaisit</w:t>
      </w:r>
      <w:r w:rsidR="00DB2344">
        <w:rPr>
          <w:rFonts w:ascii="Verdana" w:hAnsi="Verdana"/>
        </w:rPr>
        <w:t xml:space="preserve"> cependant pas </w:t>
      </w:r>
      <w:r w:rsidR="006324AF">
        <w:rPr>
          <w:rFonts w:ascii="Verdana" w:hAnsi="Verdana"/>
        </w:rPr>
        <w:t>les</w:t>
      </w:r>
      <w:r w:rsidR="00DB2344">
        <w:rPr>
          <w:rFonts w:ascii="Verdana" w:hAnsi="Verdana"/>
        </w:rPr>
        <w:t xml:space="preserve"> parties </w:t>
      </w:r>
      <w:r w:rsidR="00C60897">
        <w:rPr>
          <w:rFonts w:ascii="Verdana" w:hAnsi="Verdana"/>
        </w:rPr>
        <w:t>du</w:t>
      </w:r>
      <w:r w:rsidR="00343B22">
        <w:rPr>
          <w:rFonts w:ascii="Verdana" w:hAnsi="Verdana"/>
        </w:rPr>
        <w:t xml:space="preserve"> </w:t>
      </w:r>
      <w:r w:rsidR="00D86ED6">
        <w:rPr>
          <w:rFonts w:ascii="Verdana" w:hAnsi="Verdana"/>
        </w:rPr>
        <w:t xml:space="preserve">droit </w:t>
      </w:r>
      <w:r w:rsidR="003E43F5">
        <w:rPr>
          <w:rFonts w:ascii="Verdana" w:hAnsi="Verdana"/>
        </w:rPr>
        <w:t>au règlement de leur</w:t>
      </w:r>
      <w:r w:rsidR="004531E2">
        <w:rPr>
          <w:rFonts w:ascii="Verdana" w:hAnsi="Verdana"/>
        </w:rPr>
        <w:t xml:space="preserve"> </w:t>
      </w:r>
      <w:r w:rsidR="008F4373">
        <w:rPr>
          <w:rFonts w:ascii="Verdana" w:hAnsi="Verdana"/>
        </w:rPr>
        <w:t>litige par la voie de</w:t>
      </w:r>
      <w:r w:rsidR="00343B22">
        <w:rPr>
          <w:rFonts w:ascii="Verdana" w:hAnsi="Verdana"/>
        </w:rPr>
        <w:t xml:space="preserve"> l’arbitr</w:t>
      </w:r>
      <w:r w:rsidR="00BA0795">
        <w:rPr>
          <w:rFonts w:ascii="Verdana" w:hAnsi="Verdana"/>
        </w:rPr>
        <w:t>a</w:t>
      </w:r>
      <w:r w:rsidR="00343B22">
        <w:rPr>
          <w:rFonts w:ascii="Verdana" w:hAnsi="Verdana"/>
        </w:rPr>
        <w:t>ge</w:t>
      </w:r>
      <w:r w:rsidR="00BA0795">
        <w:rPr>
          <w:rFonts w:ascii="Verdana" w:hAnsi="Verdana"/>
        </w:rPr>
        <w:t>.</w:t>
      </w:r>
    </w:p>
    <w:p w14:paraId="1D2389CC" w14:textId="2373968A" w:rsidR="001F4BC4" w:rsidRDefault="006A65DB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En effet, </w:t>
      </w:r>
      <w:r w:rsidR="003C20D1">
        <w:rPr>
          <w:rFonts w:ascii="Verdana" w:hAnsi="Verdana"/>
        </w:rPr>
        <w:t xml:space="preserve">la loi entendant </w:t>
      </w:r>
      <w:r w:rsidR="000A5BD7">
        <w:rPr>
          <w:rFonts w:ascii="Verdana" w:hAnsi="Verdana"/>
        </w:rPr>
        <w:t xml:space="preserve">respecter leur volonté initialement exprimée, </w:t>
      </w:r>
      <w:r w:rsidR="00531327">
        <w:rPr>
          <w:rFonts w:ascii="Verdana" w:hAnsi="Verdana"/>
        </w:rPr>
        <w:t xml:space="preserve">leur </w:t>
      </w:r>
      <w:r w:rsidR="00BE57C8">
        <w:rPr>
          <w:rFonts w:ascii="Verdana" w:hAnsi="Verdana"/>
        </w:rPr>
        <w:t>accorde</w:t>
      </w:r>
      <w:r w:rsidR="005B0E62">
        <w:rPr>
          <w:rFonts w:ascii="Verdana" w:hAnsi="Verdana"/>
        </w:rPr>
        <w:t xml:space="preserve"> </w:t>
      </w:r>
      <w:r w:rsidR="00883F74">
        <w:rPr>
          <w:rFonts w:ascii="Verdana" w:hAnsi="Verdana"/>
        </w:rPr>
        <w:t xml:space="preserve">le droit de reprise </w:t>
      </w:r>
      <w:r w:rsidR="005B0E62">
        <w:rPr>
          <w:rFonts w:ascii="Verdana" w:hAnsi="Verdana"/>
        </w:rPr>
        <w:t>d</w:t>
      </w:r>
      <w:r w:rsidR="00531327">
        <w:rPr>
          <w:rFonts w:ascii="Verdana" w:hAnsi="Verdana"/>
        </w:rPr>
        <w:t>’une nouvelle</w:t>
      </w:r>
      <w:r w:rsidR="005B0E62">
        <w:rPr>
          <w:rFonts w:ascii="Verdana" w:hAnsi="Verdana"/>
        </w:rPr>
        <w:t xml:space="preserve"> procédure arbitrale</w:t>
      </w:r>
      <w:r w:rsidR="00044D18">
        <w:rPr>
          <w:rFonts w:ascii="Verdana" w:hAnsi="Verdana"/>
        </w:rPr>
        <w:t xml:space="preserve"> (II).</w:t>
      </w:r>
    </w:p>
    <w:p w14:paraId="48EFAE1C" w14:textId="77777777" w:rsidR="007B5F61" w:rsidRDefault="007B5F61" w:rsidP="001053F0">
      <w:pPr>
        <w:jc w:val="both"/>
        <w:rPr>
          <w:rFonts w:ascii="Verdana" w:hAnsi="Verdana"/>
        </w:rPr>
      </w:pPr>
    </w:p>
    <w:p w14:paraId="04585FFC" w14:textId="77777777" w:rsidR="007B5F61" w:rsidRPr="00630D44" w:rsidRDefault="007B5F61" w:rsidP="001053F0">
      <w:pPr>
        <w:jc w:val="both"/>
        <w:rPr>
          <w:rFonts w:ascii="Verdana" w:hAnsi="Verdana"/>
        </w:rPr>
      </w:pPr>
    </w:p>
    <w:p w14:paraId="412FBB08" w14:textId="039F9BAA" w:rsidR="00FE64C2" w:rsidRPr="00F9225E" w:rsidRDefault="00FE64C2" w:rsidP="001053F0">
      <w:pPr>
        <w:jc w:val="both"/>
        <w:rPr>
          <w:rFonts w:ascii="Verdana" w:hAnsi="Verdana"/>
          <w:b/>
          <w:bCs/>
          <w:u w:val="single"/>
        </w:rPr>
      </w:pPr>
      <w:r w:rsidRPr="00F9225E">
        <w:rPr>
          <w:rFonts w:ascii="Verdana" w:hAnsi="Verdana"/>
          <w:b/>
          <w:bCs/>
          <w:u w:val="single"/>
        </w:rPr>
        <w:lastRenderedPageBreak/>
        <w:t>I/ La sanction d’une sentence</w:t>
      </w:r>
      <w:r w:rsidR="000C5EA2" w:rsidRPr="00F9225E">
        <w:rPr>
          <w:rFonts w:ascii="Verdana" w:hAnsi="Verdana"/>
          <w:b/>
          <w:bCs/>
          <w:u w:val="single"/>
        </w:rPr>
        <w:t xml:space="preserve"> entachée d’irrégularité</w:t>
      </w:r>
    </w:p>
    <w:p w14:paraId="18CE4C6D" w14:textId="3F88D67B" w:rsidR="00F271F3" w:rsidRPr="00F271F3" w:rsidRDefault="00F271F3" w:rsidP="001053F0">
      <w:pPr>
        <w:jc w:val="both"/>
        <w:rPr>
          <w:rFonts w:ascii="Verdana" w:hAnsi="Verdana"/>
          <w:b/>
          <w:bCs/>
          <w:u w:val="single"/>
        </w:rPr>
      </w:pPr>
      <w:r>
        <w:rPr>
          <w:rFonts w:ascii="Verdana" w:hAnsi="Verdana"/>
        </w:rPr>
        <w:t xml:space="preserve">Les irrégularités </w:t>
      </w:r>
      <w:r w:rsidR="002522CA">
        <w:rPr>
          <w:rFonts w:ascii="Verdana" w:hAnsi="Verdana"/>
        </w:rPr>
        <w:t xml:space="preserve">pouvant </w:t>
      </w:r>
      <w:r w:rsidR="000714D5">
        <w:rPr>
          <w:rFonts w:ascii="Verdana" w:hAnsi="Verdana"/>
        </w:rPr>
        <w:t xml:space="preserve">entacher de nullité la sentence arbitrale </w:t>
      </w:r>
      <w:r>
        <w:rPr>
          <w:rFonts w:ascii="Verdana" w:hAnsi="Verdana"/>
        </w:rPr>
        <w:t xml:space="preserve">sont prévues par l’article </w:t>
      </w:r>
      <w:r w:rsidRPr="00D62128">
        <w:rPr>
          <w:rFonts w:ascii="Verdana" w:hAnsi="Verdana"/>
        </w:rPr>
        <w:t>26</w:t>
      </w:r>
      <w:r>
        <w:rPr>
          <w:rFonts w:ascii="Verdana" w:hAnsi="Verdana"/>
        </w:rPr>
        <w:t xml:space="preserve"> de l’Acte uniforme relatif au droit de l’arbitrage</w:t>
      </w:r>
      <w:r>
        <w:rPr>
          <w:rStyle w:val="Appelnotedebasdep"/>
          <w:rFonts w:ascii="Verdana" w:hAnsi="Verdana"/>
        </w:rPr>
        <w:footnoteReference w:id="6"/>
      </w:r>
      <w:r>
        <w:rPr>
          <w:rFonts w:ascii="Verdana" w:hAnsi="Verdana"/>
        </w:rPr>
        <w:t xml:space="preserve"> (A). </w:t>
      </w:r>
      <w:r w:rsidR="00BB2FF1">
        <w:rPr>
          <w:rFonts w:ascii="Verdana" w:hAnsi="Verdana"/>
        </w:rPr>
        <w:t xml:space="preserve">Pour son effectivité, cette </w:t>
      </w:r>
      <w:r>
        <w:rPr>
          <w:rFonts w:ascii="Verdana" w:hAnsi="Verdana"/>
        </w:rPr>
        <w:t>sanction</w:t>
      </w:r>
      <w:r w:rsidR="006B17EB">
        <w:rPr>
          <w:rFonts w:ascii="Verdana" w:hAnsi="Verdana"/>
        </w:rPr>
        <w:t xml:space="preserve"> </w:t>
      </w:r>
      <w:r>
        <w:rPr>
          <w:rFonts w:ascii="Verdana" w:hAnsi="Verdana"/>
        </w:rPr>
        <w:t>doit être prononcée par la juridiction compétente (B).</w:t>
      </w:r>
    </w:p>
    <w:p w14:paraId="21D433BE" w14:textId="4B45D1B1" w:rsidR="00FE64C2" w:rsidRPr="00FE64C2" w:rsidRDefault="00044D18" w:rsidP="00FE64C2">
      <w:pPr>
        <w:ind w:firstLine="708"/>
        <w:jc w:val="both"/>
        <w:rPr>
          <w:rFonts w:ascii="Verdana" w:hAnsi="Verdana"/>
          <w:u w:val="single"/>
        </w:rPr>
      </w:pPr>
      <w:r>
        <w:rPr>
          <w:rFonts w:ascii="Verdana" w:hAnsi="Verdana"/>
          <w:u w:val="single"/>
        </w:rPr>
        <w:t xml:space="preserve">A/ </w:t>
      </w:r>
      <w:r w:rsidR="00FE64C2" w:rsidRPr="00FE64C2">
        <w:rPr>
          <w:rFonts w:ascii="Verdana" w:hAnsi="Verdana"/>
          <w:u w:val="single"/>
        </w:rPr>
        <w:t xml:space="preserve">Les irrégularités pouvant </w:t>
      </w:r>
      <w:r w:rsidR="00FE64C2">
        <w:rPr>
          <w:rFonts w:ascii="Verdana" w:hAnsi="Verdana"/>
          <w:u w:val="single"/>
        </w:rPr>
        <w:t>a</w:t>
      </w:r>
      <w:r w:rsidR="00FE64C2" w:rsidRPr="00FE64C2">
        <w:rPr>
          <w:rFonts w:ascii="Verdana" w:hAnsi="Verdana"/>
          <w:u w:val="single"/>
        </w:rPr>
        <w:t>ffecter la validité d</w:t>
      </w:r>
      <w:r w:rsidR="000C5EA2">
        <w:rPr>
          <w:rFonts w:ascii="Verdana" w:hAnsi="Verdana"/>
          <w:u w:val="single"/>
        </w:rPr>
        <w:t>’une</w:t>
      </w:r>
      <w:r w:rsidR="00FE64C2" w:rsidRPr="00FE64C2">
        <w:rPr>
          <w:rFonts w:ascii="Verdana" w:hAnsi="Verdana"/>
          <w:u w:val="single"/>
        </w:rPr>
        <w:t xml:space="preserve"> sentence</w:t>
      </w:r>
      <w:r w:rsidR="000C5EA2">
        <w:rPr>
          <w:rFonts w:ascii="Verdana" w:hAnsi="Verdana"/>
          <w:u w:val="single"/>
        </w:rPr>
        <w:t xml:space="preserve"> arbitrale</w:t>
      </w:r>
    </w:p>
    <w:p w14:paraId="1757F82D" w14:textId="3D82130D" w:rsidR="00FE64C2" w:rsidRDefault="007B2F67" w:rsidP="00FE64C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Pour </w:t>
      </w:r>
      <w:r w:rsidR="00053681">
        <w:rPr>
          <w:rFonts w:ascii="Verdana" w:hAnsi="Verdana"/>
        </w:rPr>
        <w:t xml:space="preserve">proscrire </w:t>
      </w:r>
      <w:r w:rsidR="00B16D28">
        <w:rPr>
          <w:rFonts w:ascii="Verdana" w:hAnsi="Verdana"/>
        </w:rPr>
        <w:t>tout</w:t>
      </w:r>
      <w:r w:rsidR="00B17C30">
        <w:rPr>
          <w:rFonts w:ascii="Verdana" w:hAnsi="Verdana"/>
        </w:rPr>
        <w:t xml:space="preserve"> recours </w:t>
      </w:r>
      <w:r w:rsidR="00B16D28">
        <w:rPr>
          <w:rFonts w:ascii="Verdana" w:hAnsi="Verdana"/>
        </w:rPr>
        <w:t>intempestif</w:t>
      </w:r>
      <w:r w:rsidR="007A3204">
        <w:rPr>
          <w:rFonts w:ascii="Verdana" w:hAnsi="Verdana"/>
        </w:rPr>
        <w:t>, voire abusif</w:t>
      </w:r>
      <w:r w:rsidR="00F403F9">
        <w:rPr>
          <w:rFonts w:ascii="Verdana" w:hAnsi="Verdana"/>
        </w:rPr>
        <w:t xml:space="preserve">, le législateur </w:t>
      </w:r>
      <w:r w:rsidR="00312028">
        <w:rPr>
          <w:rFonts w:ascii="Verdana" w:hAnsi="Verdana"/>
        </w:rPr>
        <w:t xml:space="preserve">a </w:t>
      </w:r>
      <w:r w:rsidR="005C20E7">
        <w:rPr>
          <w:rFonts w:ascii="Verdana" w:hAnsi="Verdana"/>
        </w:rPr>
        <w:t>limité</w:t>
      </w:r>
      <w:r w:rsidR="00F21336">
        <w:rPr>
          <w:rFonts w:ascii="Verdana" w:hAnsi="Verdana"/>
        </w:rPr>
        <w:t>, comme en matière de recours en cassation,</w:t>
      </w:r>
      <w:r w:rsidR="00312028">
        <w:rPr>
          <w:rFonts w:ascii="Verdana" w:hAnsi="Verdana"/>
        </w:rPr>
        <w:t xml:space="preserve"> le</w:t>
      </w:r>
      <w:r w:rsidR="007A3204">
        <w:rPr>
          <w:rFonts w:ascii="Verdana" w:hAnsi="Verdana"/>
        </w:rPr>
        <w:t>s cas de</w:t>
      </w:r>
      <w:r w:rsidR="00312028">
        <w:rPr>
          <w:rFonts w:ascii="Verdana" w:hAnsi="Verdana"/>
        </w:rPr>
        <w:t xml:space="preserve"> recours en an</w:t>
      </w:r>
      <w:r w:rsidR="00F211A2">
        <w:rPr>
          <w:rFonts w:ascii="Verdana" w:hAnsi="Verdana"/>
        </w:rPr>
        <w:t>nulation</w:t>
      </w:r>
      <w:r w:rsidR="0092295E">
        <w:rPr>
          <w:rFonts w:ascii="Verdana" w:hAnsi="Verdana"/>
        </w:rPr>
        <w:t xml:space="preserve"> de la sentence arbitrale</w:t>
      </w:r>
      <w:r w:rsidR="00E44F3A">
        <w:rPr>
          <w:rFonts w:ascii="Verdana" w:hAnsi="Verdana"/>
        </w:rPr>
        <w:t>.</w:t>
      </w:r>
      <w:r w:rsidR="00192E85">
        <w:rPr>
          <w:rFonts w:ascii="Verdana" w:hAnsi="Verdana"/>
        </w:rPr>
        <w:t xml:space="preserve"> </w:t>
      </w:r>
      <w:r w:rsidR="00CD5DB9">
        <w:rPr>
          <w:rFonts w:ascii="Verdana" w:hAnsi="Verdana"/>
        </w:rPr>
        <w:t>Il</w:t>
      </w:r>
      <w:r w:rsidR="00FE64C2">
        <w:rPr>
          <w:rFonts w:ascii="Verdana" w:hAnsi="Verdana"/>
        </w:rPr>
        <w:t xml:space="preserve">s se réfèrent à une </w:t>
      </w:r>
      <w:r w:rsidR="00CD5DB9">
        <w:rPr>
          <w:rFonts w:ascii="Verdana" w:hAnsi="Verdana"/>
        </w:rPr>
        <w:t>irrégula</w:t>
      </w:r>
      <w:r w:rsidR="00D54862">
        <w:rPr>
          <w:rFonts w:ascii="Verdana" w:hAnsi="Verdana"/>
        </w:rPr>
        <w:t>rité</w:t>
      </w:r>
      <w:r w:rsidR="00FE64C2">
        <w:rPr>
          <w:rFonts w:ascii="Verdana" w:hAnsi="Verdana"/>
        </w:rPr>
        <w:t xml:space="preserve"> imputable au tribunal arbitral</w:t>
      </w:r>
      <w:r w:rsidR="00DA3978">
        <w:rPr>
          <w:rFonts w:ascii="Verdana" w:hAnsi="Verdana"/>
        </w:rPr>
        <w:t>, soit</w:t>
      </w:r>
      <w:r w:rsidR="00FE64C2">
        <w:rPr>
          <w:rFonts w:ascii="Verdana" w:hAnsi="Verdana"/>
        </w:rPr>
        <w:t xml:space="preserve"> dans sa composition, </w:t>
      </w:r>
      <w:r w:rsidR="00DA3978">
        <w:rPr>
          <w:rFonts w:ascii="Verdana" w:hAnsi="Verdana"/>
        </w:rPr>
        <w:t xml:space="preserve">soit </w:t>
      </w:r>
      <w:r w:rsidR="00FE64C2">
        <w:rPr>
          <w:rFonts w:ascii="Verdana" w:hAnsi="Verdana"/>
        </w:rPr>
        <w:t>dans la conduite de sa mission</w:t>
      </w:r>
      <w:r w:rsidR="00DA3978">
        <w:rPr>
          <w:rFonts w:ascii="Verdana" w:hAnsi="Verdana"/>
        </w:rPr>
        <w:t>, soit</w:t>
      </w:r>
      <w:r w:rsidR="00FE64C2">
        <w:rPr>
          <w:rFonts w:ascii="Verdana" w:hAnsi="Verdana"/>
        </w:rPr>
        <w:t xml:space="preserve"> dans </w:t>
      </w:r>
      <w:r w:rsidR="00DA3978">
        <w:rPr>
          <w:rFonts w:ascii="Verdana" w:hAnsi="Verdana"/>
        </w:rPr>
        <w:t>la forme et</w:t>
      </w:r>
      <w:r w:rsidR="00277534">
        <w:rPr>
          <w:rFonts w:ascii="Verdana" w:hAnsi="Verdana"/>
        </w:rPr>
        <w:t>/ou</w:t>
      </w:r>
      <w:r w:rsidR="00DA3978">
        <w:rPr>
          <w:rFonts w:ascii="Verdana" w:hAnsi="Verdana"/>
        </w:rPr>
        <w:t xml:space="preserve"> le fond </w:t>
      </w:r>
      <w:r w:rsidR="00FE64C2">
        <w:rPr>
          <w:rFonts w:ascii="Verdana" w:hAnsi="Verdana"/>
        </w:rPr>
        <w:t>de la sentence qu’</w:t>
      </w:r>
      <w:r w:rsidR="00D433C3">
        <w:rPr>
          <w:rFonts w:ascii="Verdana" w:hAnsi="Verdana"/>
        </w:rPr>
        <w:t>il</w:t>
      </w:r>
      <w:r w:rsidR="00FE64C2">
        <w:rPr>
          <w:rFonts w:ascii="Verdana" w:hAnsi="Verdana"/>
        </w:rPr>
        <w:t xml:space="preserve"> a rendu</w:t>
      </w:r>
      <w:r w:rsidR="00DA3978">
        <w:rPr>
          <w:rFonts w:ascii="Verdana" w:hAnsi="Verdana"/>
        </w:rPr>
        <w:t>e</w:t>
      </w:r>
      <w:r w:rsidR="00FE64C2">
        <w:rPr>
          <w:rFonts w:ascii="Verdana" w:hAnsi="Verdana"/>
        </w:rPr>
        <w:t>.</w:t>
      </w:r>
    </w:p>
    <w:p w14:paraId="7EE5C181" w14:textId="664720E7" w:rsidR="00DA3978" w:rsidRDefault="00DA3978" w:rsidP="00FE64C2">
      <w:pPr>
        <w:jc w:val="both"/>
        <w:rPr>
          <w:rFonts w:ascii="Verdana" w:hAnsi="Verdana"/>
        </w:rPr>
      </w:pPr>
      <w:r>
        <w:rPr>
          <w:rFonts w:ascii="Verdana" w:hAnsi="Verdana"/>
        </w:rPr>
        <w:t>Ainsi est entachée de nullité</w:t>
      </w:r>
      <w:r w:rsidR="00A53A8C">
        <w:rPr>
          <w:rFonts w:ascii="Verdana" w:hAnsi="Verdana"/>
        </w:rPr>
        <w:t>, toute sentence rendue dans les conditions ci-après</w:t>
      </w:r>
      <w:r>
        <w:rPr>
          <w:rFonts w:ascii="Verdana" w:hAnsi="Verdana"/>
        </w:rPr>
        <w:t> :</w:t>
      </w:r>
    </w:p>
    <w:p w14:paraId="64EC97FE" w14:textId="5428D96D" w:rsidR="00027E77" w:rsidRDefault="00A90D98" w:rsidP="00027E77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E37967" w:rsidRPr="00027E77">
        <w:rPr>
          <w:rFonts w:ascii="Verdana" w:hAnsi="Verdana"/>
        </w:rPr>
        <w:t>L</w:t>
      </w:r>
      <w:r w:rsidR="00A53A8C">
        <w:rPr>
          <w:rFonts w:ascii="Verdana" w:hAnsi="Verdana"/>
        </w:rPr>
        <w:t>e</w:t>
      </w:r>
      <w:r w:rsidR="00DA3978">
        <w:rPr>
          <w:rFonts w:ascii="Verdana" w:hAnsi="Verdana"/>
        </w:rPr>
        <w:t xml:space="preserve"> tribunal </w:t>
      </w:r>
      <w:r w:rsidR="00DA3978" w:rsidRPr="00D62128">
        <w:rPr>
          <w:rFonts w:ascii="Verdana" w:hAnsi="Verdana"/>
        </w:rPr>
        <w:t xml:space="preserve">arbitral </w:t>
      </w:r>
      <w:r w:rsidR="00A53A8C">
        <w:rPr>
          <w:rFonts w:ascii="Verdana" w:hAnsi="Verdana"/>
        </w:rPr>
        <w:t xml:space="preserve">est </w:t>
      </w:r>
      <w:r w:rsidR="00DA3978" w:rsidRPr="00D62128">
        <w:rPr>
          <w:rFonts w:ascii="Verdana" w:hAnsi="Verdana"/>
        </w:rPr>
        <w:t xml:space="preserve">irrégulièrement composé ou </w:t>
      </w:r>
      <w:r w:rsidR="00A53A8C">
        <w:rPr>
          <w:rFonts w:ascii="Verdana" w:hAnsi="Verdana"/>
        </w:rPr>
        <w:t>l’</w:t>
      </w:r>
      <w:r w:rsidR="00DA3978" w:rsidRPr="00D62128">
        <w:rPr>
          <w:rFonts w:ascii="Verdana" w:hAnsi="Verdana"/>
        </w:rPr>
        <w:t xml:space="preserve">arbitre unique </w:t>
      </w:r>
      <w:r w:rsidR="00A53A8C">
        <w:rPr>
          <w:rFonts w:ascii="Verdana" w:hAnsi="Verdana"/>
        </w:rPr>
        <w:t xml:space="preserve">est </w:t>
      </w:r>
      <w:r w:rsidR="00DA3978" w:rsidRPr="00D62128">
        <w:rPr>
          <w:rFonts w:ascii="Verdana" w:hAnsi="Verdana"/>
        </w:rPr>
        <w:t>irrégulièrement désigné</w:t>
      </w:r>
      <w:r w:rsidR="005C115F">
        <w:rPr>
          <w:rFonts w:ascii="Verdana" w:hAnsi="Verdana"/>
        </w:rPr>
        <w:t> ;</w:t>
      </w:r>
    </w:p>
    <w:p w14:paraId="24D8A4BA" w14:textId="25474116" w:rsidR="00FE64C2" w:rsidRPr="00027E77" w:rsidRDefault="00A90D98" w:rsidP="00027E77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DA3978" w:rsidRPr="00027E77">
        <w:rPr>
          <w:rFonts w:ascii="Verdana" w:hAnsi="Verdana"/>
        </w:rPr>
        <w:t>L</w:t>
      </w:r>
      <w:r w:rsidR="00A53A8C" w:rsidRPr="00027E77">
        <w:rPr>
          <w:rFonts w:ascii="Verdana" w:hAnsi="Verdana"/>
        </w:rPr>
        <w:t>e</w:t>
      </w:r>
      <w:r w:rsidR="00DA3978" w:rsidRPr="00027E77">
        <w:rPr>
          <w:rFonts w:ascii="Verdana" w:hAnsi="Verdana"/>
        </w:rPr>
        <w:t xml:space="preserve"> </w:t>
      </w:r>
      <w:r w:rsidR="00FE64C2" w:rsidRPr="00027E77">
        <w:rPr>
          <w:rFonts w:ascii="Verdana" w:hAnsi="Verdana"/>
        </w:rPr>
        <w:t>tribunal arbitral</w:t>
      </w:r>
      <w:r w:rsidR="00DA3978" w:rsidRPr="00027E77">
        <w:rPr>
          <w:rFonts w:ascii="Verdana" w:hAnsi="Verdana"/>
        </w:rPr>
        <w:t xml:space="preserve"> </w:t>
      </w:r>
      <w:r w:rsidR="00FE64C2" w:rsidRPr="00027E77">
        <w:rPr>
          <w:rFonts w:ascii="Verdana" w:hAnsi="Verdana"/>
        </w:rPr>
        <w:t>a statué sans convention d’arbitrage ou sur une convention nulle ou expirée</w:t>
      </w:r>
      <w:r w:rsidR="005C115F">
        <w:rPr>
          <w:rFonts w:ascii="Verdana" w:hAnsi="Verdana"/>
        </w:rPr>
        <w:t> ;</w:t>
      </w:r>
    </w:p>
    <w:p w14:paraId="39C5094A" w14:textId="72A0A58A" w:rsidR="00FE64C2" w:rsidRPr="00A90D98" w:rsidRDefault="00A90D98" w:rsidP="00A90D9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DA3978" w:rsidRPr="00A90D98">
        <w:rPr>
          <w:rFonts w:ascii="Verdana" w:hAnsi="Verdana"/>
        </w:rPr>
        <w:t>L</w:t>
      </w:r>
      <w:r w:rsidR="00A53A8C" w:rsidRPr="00A90D98">
        <w:rPr>
          <w:rFonts w:ascii="Verdana" w:hAnsi="Verdana"/>
        </w:rPr>
        <w:t>e</w:t>
      </w:r>
      <w:r w:rsidR="00FE64C2" w:rsidRPr="00A90D98">
        <w:rPr>
          <w:rFonts w:ascii="Verdana" w:hAnsi="Verdana"/>
        </w:rPr>
        <w:t xml:space="preserve"> tribunal arbitral a statué sans se conformer à la mission qui lui a été confiée</w:t>
      </w:r>
      <w:r w:rsidR="005C115F">
        <w:rPr>
          <w:rFonts w:ascii="Verdana" w:hAnsi="Verdana"/>
        </w:rPr>
        <w:t> ;</w:t>
      </w:r>
    </w:p>
    <w:p w14:paraId="6497985F" w14:textId="60671027" w:rsidR="001C0CEC" w:rsidRDefault="00BB626B" w:rsidP="00FE64C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A53A8C" w:rsidRPr="00BB626B">
        <w:rPr>
          <w:rFonts w:ascii="Verdana" w:hAnsi="Verdana"/>
        </w:rPr>
        <w:t xml:space="preserve">Le </w:t>
      </w:r>
      <w:r w:rsidR="00FE64C2" w:rsidRPr="00BB626B">
        <w:rPr>
          <w:rFonts w:ascii="Verdana" w:hAnsi="Verdana"/>
        </w:rPr>
        <w:t>principe du contradictoire n’a pas été respecté</w:t>
      </w:r>
      <w:r w:rsidR="00611EC6">
        <w:rPr>
          <w:rFonts w:ascii="Verdana" w:hAnsi="Verdana"/>
        </w:rPr>
        <w:t> ;</w:t>
      </w:r>
    </w:p>
    <w:p w14:paraId="0BFEBE6F" w14:textId="6A99BBA8" w:rsidR="00FE64C2" w:rsidRPr="00DE66EF" w:rsidRDefault="00DE66EF" w:rsidP="00DE66EF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A53A8C" w:rsidRPr="00DE66EF">
        <w:rPr>
          <w:rFonts w:ascii="Verdana" w:hAnsi="Verdana"/>
        </w:rPr>
        <w:t>L</w:t>
      </w:r>
      <w:r w:rsidR="00FE64C2" w:rsidRPr="00DE66EF">
        <w:rPr>
          <w:rFonts w:ascii="Verdana" w:hAnsi="Verdana"/>
        </w:rPr>
        <w:t xml:space="preserve">a sentence arbitrale </w:t>
      </w:r>
      <w:r w:rsidR="00A53A8C" w:rsidRPr="00DE66EF">
        <w:rPr>
          <w:rFonts w:ascii="Verdana" w:hAnsi="Verdana"/>
        </w:rPr>
        <w:t xml:space="preserve">rendue </w:t>
      </w:r>
      <w:r w:rsidR="00FE64C2" w:rsidRPr="00DE66EF">
        <w:rPr>
          <w:rFonts w:ascii="Verdana" w:hAnsi="Verdana"/>
        </w:rPr>
        <w:t xml:space="preserve">est contraire à l’ordre public international ; </w:t>
      </w:r>
    </w:p>
    <w:p w14:paraId="46DC54C2" w14:textId="4FE65F59" w:rsidR="00FE64C2" w:rsidRPr="00DE66EF" w:rsidRDefault="00DE66EF" w:rsidP="00DE66EF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A53A8C" w:rsidRPr="00DE66EF">
        <w:rPr>
          <w:rFonts w:ascii="Verdana" w:hAnsi="Verdana"/>
        </w:rPr>
        <w:t>L</w:t>
      </w:r>
      <w:r w:rsidR="00FE64C2" w:rsidRPr="00DE66EF">
        <w:rPr>
          <w:rFonts w:ascii="Verdana" w:hAnsi="Verdana"/>
        </w:rPr>
        <w:t xml:space="preserve">a sentence arbitrale </w:t>
      </w:r>
      <w:r w:rsidR="00A53A8C" w:rsidRPr="00DE66EF">
        <w:rPr>
          <w:rFonts w:ascii="Verdana" w:hAnsi="Verdana"/>
        </w:rPr>
        <w:t xml:space="preserve">rendue </w:t>
      </w:r>
      <w:r w:rsidR="00FE64C2" w:rsidRPr="00DE66EF">
        <w:rPr>
          <w:rFonts w:ascii="Verdana" w:hAnsi="Verdana"/>
        </w:rPr>
        <w:t xml:space="preserve">est dépourvue de toute motivation. </w:t>
      </w:r>
    </w:p>
    <w:p w14:paraId="7E89E1F7" w14:textId="0206FFEC" w:rsidR="00044D18" w:rsidRPr="00044D18" w:rsidRDefault="00044D18" w:rsidP="001053F0">
      <w:pPr>
        <w:jc w:val="both"/>
        <w:rPr>
          <w:rFonts w:ascii="Verdana" w:hAnsi="Verdana"/>
        </w:rPr>
      </w:pPr>
      <w:r w:rsidRPr="00044D18">
        <w:rPr>
          <w:rFonts w:ascii="Verdana" w:hAnsi="Verdana"/>
        </w:rPr>
        <w:t>Il</w:t>
      </w:r>
      <w:r>
        <w:rPr>
          <w:rFonts w:ascii="Verdana" w:hAnsi="Verdana"/>
        </w:rPr>
        <w:t xml:space="preserve"> pèse </w:t>
      </w:r>
      <w:r w:rsidR="00031F35">
        <w:rPr>
          <w:rFonts w:ascii="Verdana" w:hAnsi="Verdana"/>
        </w:rPr>
        <w:t xml:space="preserve">donc </w:t>
      </w:r>
      <w:r>
        <w:rPr>
          <w:rFonts w:ascii="Verdana" w:hAnsi="Verdana"/>
        </w:rPr>
        <w:t>sur les tribunaux arbitraux</w:t>
      </w:r>
      <w:r w:rsidR="00AB1E7F">
        <w:rPr>
          <w:rFonts w:ascii="Verdana" w:hAnsi="Verdana"/>
        </w:rPr>
        <w:t>,</w:t>
      </w:r>
      <w:r>
        <w:rPr>
          <w:rFonts w:ascii="Verdana" w:hAnsi="Verdana"/>
        </w:rPr>
        <w:t xml:space="preserve"> des obligations de pertinence, de compétence qu’ils doivent assumer avec diligence et </w:t>
      </w:r>
      <w:r w:rsidR="004F0796">
        <w:rPr>
          <w:rFonts w:ascii="Verdana" w:hAnsi="Verdana"/>
        </w:rPr>
        <w:t>efficacité pour faire l’économie des recour</w:t>
      </w:r>
      <w:r w:rsidR="00735DED">
        <w:rPr>
          <w:rFonts w:ascii="Verdana" w:hAnsi="Verdana"/>
        </w:rPr>
        <w:t>s qui</w:t>
      </w:r>
      <w:r w:rsidR="00CE511C">
        <w:rPr>
          <w:rFonts w:ascii="Verdana" w:hAnsi="Verdana"/>
        </w:rPr>
        <w:t xml:space="preserve"> </w:t>
      </w:r>
      <w:r w:rsidR="000C4B7F">
        <w:rPr>
          <w:rFonts w:ascii="Verdana" w:hAnsi="Verdana"/>
        </w:rPr>
        <w:t>pourrai</w:t>
      </w:r>
      <w:r w:rsidR="004C2EA8">
        <w:rPr>
          <w:rFonts w:ascii="Verdana" w:hAnsi="Verdana"/>
        </w:rPr>
        <w:t>en</w:t>
      </w:r>
      <w:r w:rsidR="000C4B7F">
        <w:rPr>
          <w:rFonts w:ascii="Verdana" w:hAnsi="Verdana"/>
        </w:rPr>
        <w:t xml:space="preserve">t </w:t>
      </w:r>
      <w:r w:rsidR="00735DED">
        <w:rPr>
          <w:rFonts w:ascii="Verdana" w:hAnsi="Verdana"/>
        </w:rPr>
        <w:t>retarder le dénouement des litiges</w:t>
      </w:r>
      <w:r w:rsidR="004F0796">
        <w:rPr>
          <w:rFonts w:ascii="Verdana" w:hAnsi="Verdana"/>
        </w:rPr>
        <w:t>.</w:t>
      </w:r>
    </w:p>
    <w:p w14:paraId="35F28483" w14:textId="30C9D0AE" w:rsidR="00FE64C2" w:rsidRDefault="004F0796" w:rsidP="004F0796">
      <w:pPr>
        <w:ind w:firstLine="708"/>
        <w:jc w:val="both"/>
        <w:rPr>
          <w:rFonts w:ascii="Verdana" w:hAnsi="Verdana"/>
          <w:u w:val="single"/>
        </w:rPr>
      </w:pPr>
      <w:r>
        <w:rPr>
          <w:rFonts w:ascii="Verdana" w:hAnsi="Verdana"/>
          <w:u w:val="single"/>
        </w:rPr>
        <w:t>B/ La décision d’annulation de la sentence</w:t>
      </w:r>
    </w:p>
    <w:p w14:paraId="3AED3423" w14:textId="51AC2AF0" w:rsidR="00D347C1" w:rsidRDefault="004F0796" w:rsidP="001053F0">
      <w:pPr>
        <w:jc w:val="both"/>
        <w:rPr>
          <w:rFonts w:ascii="Verdana" w:hAnsi="Verdana"/>
        </w:rPr>
      </w:pPr>
      <w:r w:rsidRPr="004F0796">
        <w:rPr>
          <w:rFonts w:ascii="Verdana" w:hAnsi="Verdana"/>
        </w:rPr>
        <w:t xml:space="preserve">Une sentence </w:t>
      </w:r>
      <w:r>
        <w:rPr>
          <w:rFonts w:ascii="Verdana" w:hAnsi="Verdana"/>
        </w:rPr>
        <w:t>entachée de nullité ne signifie pas qu’elle est annulée.</w:t>
      </w:r>
      <w:r w:rsidRPr="004F0796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L’annulation </w:t>
      </w:r>
      <w:r w:rsidR="00CF3403">
        <w:rPr>
          <w:rFonts w:ascii="Verdana" w:hAnsi="Verdana"/>
        </w:rPr>
        <w:t xml:space="preserve">résulte </w:t>
      </w:r>
      <w:r w:rsidR="004A1B77">
        <w:rPr>
          <w:rFonts w:ascii="Verdana" w:hAnsi="Verdana"/>
        </w:rPr>
        <w:t>d’</w:t>
      </w:r>
      <w:r w:rsidR="00D9451C" w:rsidRPr="009B0D95">
        <w:rPr>
          <w:rFonts w:ascii="Verdana" w:hAnsi="Verdana"/>
        </w:rPr>
        <w:t>une décision de justice qui</w:t>
      </w:r>
      <w:r w:rsidR="000D15B5" w:rsidRPr="009B0D95">
        <w:rPr>
          <w:rFonts w:ascii="Verdana" w:hAnsi="Verdana"/>
        </w:rPr>
        <w:t>,</w:t>
      </w:r>
      <w:r w:rsidR="00D9451C" w:rsidRPr="009B0D95">
        <w:rPr>
          <w:rFonts w:ascii="Verdana" w:hAnsi="Verdana"/>
        </w:rPr>
        <w:t xml:space="preserve"> constat</w:t>
      </w:r>
      <w:r w:rsidR="000D15B5" w:rsidRPr="009B0D95">
        <w:rPr>
          <w:rFonts w:ascii="Verdana" w:hAnsi="Verdana"/>
        </w:rPr>
        <w:t>ant</w:t>
      </w:r>
      <w:r w:rsidR="00D9451C" w:rsidRPr="009B0D95">
        <w:rPr>
          <w:rFonts w:ascii="Verdana" w:hAnsi="Verdana"/>
        </w:rPr>
        <w:t xml:space="preserve"> que les irrégularités sont avérées</w:t>
      </w:r>
      <w:r w:rsidR="000D15B5" w:rsidRPr="009B0D95">
        <w:rPr>
          <w:rFonts w:ascii="Verdana" w:hAnsi="Verdana"/>
        </w:rPr>
        <w:t>,</w:t>
      </w:r>
      <w:r w:rsidR="00D9451C" w:rsidRPr="009B0D95">
        <w:rPr>
          <w:rFonts w:ascii="Verdana" w:hAnsi="Verdana"/>
        </w:rPr>
        <w:t xml:space="preserve"> prononce l’anéantissement rétroactif de l’acte, en l’espèce de la sentence.</w:t>
      </w:r>
    </w:p>
    <w:p w14:paraId="4C00A0C7" w14:textId="5302CFE2" w:rsidR="00044D18" w:rsidRPr="00FE256A" w:rsidRDefault="009B0D95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S’agissant d’un recours</w:t>
      </w:r>
      <w:r w:rsidR="002C1471">
        <w:rPr>
          <w:rFonts w:ascii="Verdana" w:hAnsi="Verdana"/>
        </w:rPr>
        <w:t xml:space="preserve">, il doit être exercé devant </w:t>
      </w:r>
      <w:r w:rsidR="00FE256A">
        <w:rPr>
          <w:rFonts w:ascii="Verdana" w:hAnsi="Verdana"/>
        </w:rPr>
        <w:t>l</w:t>
      </w:r>
      <w:r w:rsidR="00D9451C" w:rsidRPr="009B0D95">
        <w:rPr>
          <w:rFonts w:ascii="Verdana" w:hAnsi="Verdana"/>
        </w:rPr>
        <w:t>a jurid</w:t>
      </w:r>
      <w:r w:rsidR="00D9451C">
        <w:rPr>
          <w:rFonts w:ascii="Verdana" w:hAnsi="Verdana"/>
        </w:rPr>
        <w:t>iction compétente</w:t>
      </w:r>
      <w:r w:rsidR="00FB39E8">
        <w:rPr>
          <w:rStyle w:val="Appelnotedebasdep"/>
          <w:rFonts w:ascii="Verdana" w:hAnsi="Verdana"/>
        </w:rPr>
        <w:footnoteReference w:id="7"/>
      </w:r>
      <w:r w:rsidR="00686CC5">
        <w:rPr>
          <w:rFonts w:ascii="Verdana" w:hAnsi="Verdana"/>
        </w:rPr>
        <w:t xml:space="preserve"> en démontrant que l’une des irrégularités prévues par la loi existe</w:t>
      </w:r>
      <w:r w:rsidR="000446B2">
        <w:rPr>
          <w:rStyle w:val="Appelnotedebasdep"/>
          <w:rFonts w:ascii="Verdana" w:hAnsi="Verdana"/>
        </w:rPr>
        <w:footnoteReference w:id="8"/>
      </w:r>
      <w:r w:rsidR="00A71E56">
        <w:rPr>
          <w:rFonts w:ascii="Verdana" w:hAnsi="Verdana"/>
        </w:rPr>
        <w:t xml:space="preserve"> et </w:t>
      </w:r>
      <w:r w:rsidR="001A5F39">
        <w:rPr>
          <w:rFonts w:ascii="Verdana" w:hAnsi="Verdana"/>
        </w:rPr>
        <w:t xml:space="preserve">qu’elle est fondée. </w:t>
      </w:r>
      <w:r w:rsidR="00175F34">
        <w:rPr>
          <w:rFonts w:ascii="Verdana" w:hAnsi="Verdana"/>
        </w:rPr>
        <w:t>Sinon, la demande sera rejetée</w:t>
      </w:r>
      <w:r w:rsidR="00175F34">
        <w:rPr>
          <w:rStyle w:val="Appelnotedebasdep"/>
          <w:rFonts w:ascii="Verdana" w:hAnsi="Verdana"/>
        </w:rPr>
        <w:footnoteReference w:id="9"/>
      </w:r>
      <w:r w:rsidR="00175F34">
        <w:rPr>
          <w:rFonts w:ascii="Verdana" w:hAnsi="Verdana"/>
        </w:rPr>
        <w:t>.</w:t>
      </w:r>
    </w:p>
    <w:p w14:paraId="4E4D24D6" w14:textId="518D2D92" w:rsidR="007558CF" w:rsidRDefault="00F24EA7" w:rsidP="007558CF">
      <w:pPr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En Côte d’Ivoire, l</w:t>
      </w:r>
      <w:r w:rsidR="00B20011">
        <w:rPr>
          <w:rFonts w:ascii="Verdana" w:hAnsi="Verdana"/>
        </w:rPr>
        <w:t>a</w:t>
      </w:r>
      <w:r w:rsidR="00E21DF7">
        <w:rPr>
          <w:rFonts w:ascii="Verdana" w:hAnsi="Verdana"/>
        </w:rPr>
        <w:t xml:space="preserve"> juridiction compétente, </w:t>
      </w:r>
      <w:r w:rsidR="00882AE2">
        <w:rPr>
          <w:rFonts w:ascii="Verdana" w:hAnsi="Verdana"/>
        </w:rPr>
        <w:t xml:space="preserve">en ce qui est de </w:t>
      </w:r>
      <w:r w:rsidR="00D9451C">
        <w:rPr>
          <w:rFonts w:ascii="Verdana" w:hAnsi="Verdana"/>
        </w:rPr>
        <w:t xml:space="preserve">l’arbitrage ad hoc et celui conduit sous l’égide de la Cour d’arbitrage de Côte d’Ivoire dite CACI, </w:t>
      </w:r>
      <w:r w:rsidR="00987179">
        <w:rPr>
          <w:rFonts w:ascii="Verdana" w:hAnsi="Verdana"/>
        </w:rPr>
        <w:t xml:space="preserve">est la </w:t>
      </w:r>
      <w:r w:rsidR="00D9451C">
        <w:rPr>
          <w:rFonts w:ascii="Verdana" w:hAnsi="Verdana"/>
        </w:rPr>
        <w:t>Cour d’appel</w:t>
      </w:r>
      <w:r w:rsidR="00012962">
        <w:rPr>
          <w:rStyle w:val="Appelnotedebasdep"/>
          <w:rFonts w:ascii="Verdana" w:hAnsi="Verdana"/>
        </w:rPr>
        <w:footnoteReference w:id="10"/>
      </w:r>
      <w:r w:rsidR="00D9451C">
        <w:rPr>
          <w:rFonts w:ascii="Verdana" w:hAnsi="Verdana"/>
        </w:rPr>
        <w:t>.</w:t>
      </w:r>
    </w:p>
    <w:p w14:paraId="240991DB" w14:textId="46114C5B" w:rsidR="00175F34" w:rsidRDefault="00F271F3" w:rsidP="00175F34">
      <w:pPr>
        <w:jc w:val="both"/>
        <w:rPr>
          <w:rFonts w:ascii="Verdana" w:hAnsi="Verdana"/>
        </w:rPr>
      </w:pPr>
      <w:r>
        <w:rPr>
          <w:rFonts w:ascii="Verdana" w:hAnsi="Verdana"/>
        </w:rPr>
        <w:t>E</w:t>
      </w:r>
      <w:r w:rsidR="00D9451C">
        <w:rPr>
          <w:rFonts w:ascii="Verdana" w:hAnsi="Verdana"/>
        </w:rPr>
        <w:t xml:space="preserve">n raison de sa spécificité, </w:t>
      </w:r>
      <w:r w:rsidR="007558CF">
        <w:rPr>
          <w:rFonts w:ascii="Verdana" w:hAnsi="Verdana"/>
        </w:rPr>
        <w:t>la compétence est dévolue à la CCJA pour l’arbitrage conduit sous son égid</w:t>
      </w:r>
      <w:r w:rsidR="00E62E9E">
        <w:rPr>
          <w:rFonts w:ascii="Verdana" w:hAnsi="Verdana"/>
        </w:rPr>
        <w:t>e en application de</w:t>
      </w:r>
      <w:r w:rsidR="00175F34">
        <w:rPr>
          <w:rFonts w:ascii="Verdana" w:hAnsi="Verdana"/>
        </w:rPr>
        <w:t xml:space="preserve"> l’article 29.1 d</w:t>
      </w:r>
      <w:r w:rsidR="007D6230">
        <w:rPr>
          <w:rFonts w:ascii="Verdana" w:hAnsi="Verdana"/>
        </w:rPr>
        <w:t>e son</w:t>
      </w:r>
      <w:r w:rsidR="00175F34">
        <w:rPr>
          <w:rFonts w:ascii="Verdana" w:hAnsi="Verdana"/>
        </w:rPr>
        <w:t xml:space="preserve"> règlement d’arbitrage</w:t>
      </w:r>
    </w:p>
    <w:p w14:paraId="13FFBFD1" w14:textId="782AA36C" w:rsidR="007558CF" w:rsidRDefault="00175F34" w:rsidP="007558CF">
      <w:pPr>
        <w:jc w:val="both"/>
        <w:rPr>
          <w:rFonts w:ascii="Verdana" w:hAnsi="Verdana"/>
        </w:rPr>
      </w:pPr>
      <w:r>
        <w:rPr>
          <w:rFonts w:ascii="Verdana" w:hAnsi="Verdana"/>
        </w:rPr>
        <w:t>De même, elle est compétente en cas de</w:t>
      </w:r>
      <w:r w:rsidR="007558CF">
        <w:rPr>
          <w:rFonts w:ascii="Verdana" w:hAnsi="Verdana"/>
        </w:rPr>
        <w:t xml:space="preserve"> </w:t>
      </w:r>
      <w:r>
        <w:rPr>
          <w:rFonts w:ascii="Verdana" w:hAnsi="Verdana"/>
        </w:rPr>
        <w:t>pourvoi en cassation</w:t>
      </w:r>
      <w:r w:rsidR="007558CF">
        <w:rPr>
          <w:rFonts w:ascii="Verdana" w:hAnsi="Verdana"/>
        </w:rPr>
        <w:t xml:space="preserve"> exercé contre les décisions rendues par les juridictions étatiques </w:t>
      </w:r>
      <w:r>
        <w:rPr>
          <w:rFonts w:ascii="Verdana" w:hAnsi="Verdana"/>
        </w:rPr>
        <w:t>sur les recours en annulation.</w:t>
      </w:r>
    </w:p>
    <w:p w14:paraId="288CF8A7" w14:textId="61F49A19" w:rsidR="00175F34" w:rsidRDefault="00175F34" w:rsidP="00175F34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Lorsque l’irrégularité est avérée, la sentence est annulée par la juridiction compétente saisie. </w:t>
      </w:r>
      <w:r w:rsidR="00F20E22">
        <w:rPr>
          <w:rFonts w:ascii="Verdana" w:hAnsi="Verdana"/>
        </w:rPr>
        <w:t xml:space="preserve">Dès cette annulation, </w:t>
      </w:r>
      <w:r w:rsidR="00700668">
        <w:rPr>
          <w:rFonts w:ascii="Verdana" w:hAnsi="Verdana"/>
        </w:rPr>
        <w:t>l</w:t>
      </w:r>
      <w:r w:rsidR="00335C10">
        <w:rPr>
          <w:rFonts w:ascii="Verdana" w:hAnsi="Verdana"/>
        </w:rPr>
        <w:t xml:space="preserve">e droit de reprise d’une nouvelle procédure arbitrale est </w:t>
      </w:r>
      <w:r w:rsidR="00AC0C70">
        <w:rPr>
          <w:rFonts w:ascii="Verdana" w:hAnsi="Verdana"/>
        </w:rPr>
        <w:t>reconnu</w:t>
      </w:r>
      <w:r w:rsidR="00B2535E">
        <w:rPr>
          <w:rFonts w:ascii="Verdana" w:hAnsi="Verdana"/>
        </w:rPr>
        <w:t xml:space="preserve"> aux parties</w:t>
      </w:r>
      <w:r w:rsidR="00335C10">
        <w:rPr>
          <w:rFonts w:ascii="Verdana" w:hAnsi="Verdana"/>
        </w:rPr>
        <w:t>.</w:t>
      </w:r>
    </w:p>
    <w:p w14:paraId="092ED983" w14:textId="10C82419" w:rsidR="00A72865" w:rsidRPr="001A69EE" w:rsidRDefault="00A72865" w:rsidP="00175F34">
      <w:pPr>
        <w:jc w:val="center"/>
        <w:rPr>
          <w:rFonts w:ascii="Verdana" w:hAnsi="Verdana"/>
          <w:b/>
          <w:bCs/>
          <w:strike/>
          <w:u w:val="single"/>
        </w:rPr>
      </w:pPr>
      <w:r w:rsidRPr="001A69EE">
        <w:rPr>
          <w:rFonts w:ascii="Verdana" w:hAnsi="Verdana"/>
          <w:b/>
          <w:bCs/>
          <w:u w:val="single"/>
        </w:rPr>
        <w:t xml:space="preserve">II/ </w:t>
      </w:r>
      <w:r w:rsidR="000F1A5A" w:rsidRPr="001A69EE">
        <w:rPr>
          <w:rFonts w:ascii="Verdana" w:hAnsi="Verdana"/>
          <w:b/>
          <w:bCs/>
          <w:u w:val="single"/>
        </w:rPr>
        <w:t>L</w:t>
      </w:r>
      <w:r w:rsidR="00AC0C70" w:rsidRPr="001A69EE">
        <w:rPr>
          <w:rFonts w:ascii="Verdana" w:hAnsi="Verdana"/>
          <w:b/>
          <w:bCs/>
          <w:u w:val="single"/>
        </w:rPr>
        <w:t>e</w:t>
      </w:r>
      <w:r w:rsidR="000F1A5A" w:rsidRPr="001A69EE">
        <w:rPr>
          <w:rFonts w:ascii="Verdana" w:hAnsi="Verdana"/>
          <w:b/>
          <w:bCs/>
          <w:u w:val="single"/>
        </w:rPr>
        <w:t xml:space="preserve"> </w:t>
      </w:r>
      <w:r w:rsidR="001A69EE" w:rsidRPr="001A69EE">
        <w:rPr>
          <w:rFonts w:ascii="Verdana" w:hAnsi="Verdana"/>
          <w:b/>
          <w:bCs/>
          <w:u w:val="single"/>
        </w:rPr>
        <w:t xml:space="preserve">droit </w:t>
      </w:r>
      <w:r w:rsidR="000F1A5A" w:rsidRPr="001A69EE">
        <w:rPr>
          <w:rFonts w:ascii="Verdana" w:hAnsi="Verdana"/>
          <w:b/>
          <w:bCs/>
          <w:u w:val="single"/>
        </w:rPr>
        <w:t>de reprise d</w:t>
      </w:r>
      <w:r w:rsidR="00A320AF" w:rsidRPr="001A69EE">
        <w:rPr>
          <w:rFonts w:ascii="Verdana" w:hAnsi="Verdana"/>
          <w:b/>
          <w:bCs/>
          <w:u w:val="single"/>
        </w:rPr>
        <w:t>’une nouvelle</w:t>
      </w:r>
      <w:r w:rsidR="000F1A5A" w:rsidRPr="001A69EE">
        <w:rPr>
          <w:rFonts w:ascii="Verdana" w:hAnsi="Verdana"/>
          <w:b/>
          <w:bCs/>
          <w:u w:val="single"/>
        </w:rPr>
        <w:t xml:space="preserve"> procédur</w:t>
      </w:r>
      <w:r w:rsidR="008B68C9" w:rsidRPr="001A69EE">
        <w:rPr>
          <w:rFonts w:ascii="Verdana" w:hAnsi="Verdana"/>
          <w:b/>
          <w:bCs/>
          <w:u w:val="single"/>
        </w:rPr>
        <w:t xml:space="preserve">e arbitrale </w:t>
      </w:r>
    </w:p>
    <w:p w14:paraId="461A55DF" w14:textId="39ABAF83" w:rsidR="00175F34" w:rsidRDefault="00333E4C" w:rsidP="00175F34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Sauf exception légale </w:t>
      </w:r>
      <w:r w:rsidR="0090543E">
        <w:rPr>
          <w:rFonts w:ascii="Verdana" w:hAnsi="Verdana"/>
        </w:rPr>
        <w:t>ou conventi</w:t>
      </w:r>
      <w:r w:rsidR="00D815EA">
        <w:rPr>
          <w:rFonts w:ascii="Verdana" w:hAnsi="Verdana"/>
        </w:rPr>
        <w:t>o</w:t>
      </w:r>
      <w:r w:rsidR="0090543E">
        <w:rPr>
          <w:rFonts w:ascii="Verdana" w:hAnsi="Verdana"/>
        </w:rPr>
        <w:t>nnelle</w:t>
      </w:r>
      <w:r w:rsidR="00175F34">
        <w:rPr>
          <w:rFonts w:ascii="Verdana" w:hAnsi="Verdana"/>
        </w:rPr>
        <w:t xml:space="preserve">, la juridiction qui a annulé une sentence arbitrale ne dispose pas du droit d’évocation (A). </w:t>
      </w:r>
      <w:r w:rsidR="008642DC">
        <w:rPr>
          <w:rFonts w:ascii="Verdana" w:hAnsi="Verdana"/>
        </w:rPr>
        <w:t xml:space="preserve">Il </w:t>
      </w:r>
      <w:r w:rsidR="00E848A0">
        <w:rPr>
          <w:rFonts w:ascii="Verdana" w:hAnsi="Verdana"/>
        </w:rPr>
        <w:t>appartient aux</w:t>
      </w:r>
      <w:r w:rsidR="00014841">
        <w:rPr>
          <w:rFonts w:ascii="Verdana" w:hAnsi="Verdana"/>
        </w:rPr>
        <w:t xml:space="preserve"> </w:t>
      </w:r>
      <w:r w:rsidR="00175F34">
        <w:rPr>
          <w:rFonts w:ascii="Verdana" w:hAnsi="Verdana"/>
        </w:rPr>
        <w:t xml:space="preserve">parties </w:t>
      </w:r>
      <w:r w:rsidR="00E848A0">
        <w:rPr>
          <w:rFonts w:ascii="Verdana" w:hAnsi="Verdana"/>
        </w:rPr>
        <w:t xml:space="preserve">de décider de </w:t>
      </w:r>
      <w:r w:rsidR="00444377">
        <w:rPr>
          <w:rFonts w:ascii="Verdana" w:hAnsi="Verdana"/>
        </w:rPr>
        <w:t>la</w:t>
      </w:r>
      <w:r w:rsidR="00175F34">
        <w:rPr>
          <w:rFonts w:ascii="Verdana" w:hAnsi="Verdana"/>
        </w:rPr>
        <w:t xml:space="preserve"> </w:t>
      </w:r>
      <w:r w:rsidR="00D04DED">
        <w:rPr>
          <w:rFonts w:ascii="Verdana" w:hAnsi="Verdana"/>
        </w:rPr>
        <w:t>repr</w:t>
      </w:r>
      <w:r w:rsidR="00444377">
        <w:rPr>
          <w:rFonts w:ascii="Verdana" w:hAnsi="Verdana"/>
        </w:rPr>
        <w:t>ise</w:t>
      </w:r>
      <w:r w:rsidR="0008599E">
        <w:rPr>
          <w:rFonts w:ascii="Verdana" w:hAnsi="Verdana"/>
        </w:rPr>
        <w:t>,</w:t>
      </w:r>
      <w:r w:rsidR="00D04DED">
        <w:rPr>
          <w:rFonts w:ascii="Verdana" w:hAnsi="Verdana"/>
        </w:rPr>
        <w:t xml:space="preserve"> </w:t>
      </w:r>
      <w:r w:rsidR="000101EE">
        <w:rPr>
          <w:rFonts w:ascii="Verdana" w:hAnsi="Verdana"/>
        </w:rPr>
        <w:t>ou non</w:t>
      </w:r>
      <w:r w:rsidR="0008599E">
        <w:rPr>
          <w:rFonts w:ascii="Verdana" w:hAnsi="Verdana"/>
        </w:rPr>
        <w:t>,</w:t>
      </w:r>
      <w:r w:rsidR="000101EE">
        <w:rPr>
          <w:rFonts w:ascii="Verdana" w:hAnsi="Verdana"/>
        </w:rPr>
        <w:t xml:space="preserve"> </w:t>
      </w:r>
      <w:r w:rsidR="00444377">
        <w:rPr>
          <w:rFonts w:ascii="Verdana" w:hAnsi="Verdana"/>
        </w:rPr>
        <w:t>d’</w:t>
      </w:r>
      <w:r w:rsidR="00A97FD7">
        <w:rPr>
          <w:rFonts w:ascii="Verdana" w:hAnsi="Verdana"/>
        </w:rPr>
        <w:t xml:space="preserve">une nouvelle procédure </w:t>
      </w:r>
      <w:r w:rsidR="008E7329">
        <w:rPr>
          <w:rFonts w:ascii="Verdana" w:hAnsi="Verdana"/>
        </w:rPr>
        <w:t>arbitrale</w:t>
      </w:r>
      <w:r w:rsidR="00175F34">
        <w:rPr>
          <w:rFonts w:ascii="Verdana" w:hAnsi="Verdana"/>
        </w:rPr>
        <w:t xml:space="preserve"> (B).</w:t>
      </w:r>
    </w:p>
    <w:p w14:paraId="0A445A66" w14:textId="3386AADD" w:rsidR="00A72865" w:rsidRPr="006C4F52" w:rsidRDefault="00686CC5" w:rsidP="00686CC5">
      <w:pPr>
        <w:ind w:firstLine="708"/>
        <w:jc w:val="both"/>
        <w:rPr>
          <w:rFonts w:ascii="Verdana" w:hAnsi="Verdana"/>
          <w:u w:val="single"/>
        </w:rPr>
      </w:pPr>
      <w:r>
        <w:rPr>
          <w:rFonts w:ascii="Verdana" w:hAnsi="Verdana"/>
          <w:u w:val="single"/>
        </w:rPr>
        <w:t xml:space="preserve">A/ </w:t>
      </w:r>
      <w:r w:rsidR="00A36BC8">
        <w:rPr>
          <w:rFonts w:ascii="Verdana" w:hAnsi="Verdana"/>
          <w:u w:val="single"/>
        </w:rPr>
        <w:t>Le principe de l</w:t>
      </w:r>
      <w:r w:rsidR="00A72865" w:rsidRPr="006C4F52">
        <w:rPr>
          <w:rFonts w:ascii="Verdana" w:hAnsi="Verdana"/>
          <w:u w:val="single"/>
        </w:rPr>
        <w:t>a non</w:t>
      </w:r>
      <w:r w:rsidR="00383DED">
        <w:rPr>
          <w:rFonts w:ascii="Verdana" w:hAnsi="Verdana"/>
          <w:u w:val="single"/>
        </w:rPr>
        <w:t>-</w:t>
      </w:r>
      <w:r w:rsidR="00A72865" w:rsidRPr="006C4F52">
        <w:rPr>
          <w:rFonts w:ascii="Verdana" w:hAnsi="Verdana"/>
          <w:u w:val="single"/>
        </w:rPr>
        <w:t>évocation</w:t>
      </w:r>
      <w:r w:rsidR="00C73BD8">
        <w:rPr>
          <w:rFonts w:ascii="Verdana" w:hAnsi="Verdana"/>
          <w:u w:val="single"/>
        </w:rPr>
        <w:t xml:space="preserve"> par la juridiction de recours</w:t>
      </w:r>
    </w:p>
    <w:p w14:paraId="42776DBD" w14:textId="127229CD" w:rsidR="006C7E0E" w:rsidRDefault="00A36BC8" w:rsidP="006C4F52">
      <w:pPr>
        <w:jc w:val="both"/>
        <w:rPr>
          <w:rFonts w:ascii="Verdana" w:hAnsi="Verdana"/>
        </w:rPr>
      </w:pPr>
      <w:r>
        <w:rPr>
          <w:rFonts w:ascii="Verdana" w:hAnsi="Verdana"/>
        </w:rPr>
        <w:t>Ce principe résulte de l’a</w:t>
      </w:r>
      <w:r w:rsidRPr="00D62128">
        <w:rPr>
          <w:rFonts w:ascii="Verdana" w:hAnsi="Verdana"/>
        </w:rPr>
        <w:t>rt</w:t>
      </w:r>
      <w:r>
        <w:rPr>
          <w:rFonts w:ascii="Verdana" w:hAnsi="Verdana"/>
        </w:rPr>
        <w:t>icle</w:t>
      </w:r>
      <w:r w:rsidRPr="00D62128">
        <w:rPr>
          <w:rFonts w:ascii="Verdana" w:hAnsi="Verdana"/>
        </w:rPr>
        <w:t>.29</w:t>
      </w:r>
      <w:r>
        <w:rPr>
          <w:rFonts w:ascii="Verdana" w:hAnsi="Verdana"/>
        </w:rPr>
        <w:t xml:space="preserve"> de l’Acte uniforme relatif au droit de l’arbitrage</w:t>
      </w:r>
      <w:r w:rsidR="006368B0">
        <w:rPr>
          <w:rStyle w:val="Appelnotedebasdep"/>
          <w:rFonts w:ascii="Verdana" w:hAnsi="Verdana"/>
        </w:rPr>
        <w:footnoteReference w:id="11"/>
      </w:r>
      <w:r>
        <w:rPr>
          <w:rFonts w:ascii="Verdana" w:hAnsi="Verdana"/>
        </w:rPr>
        <w:t xml:space="preserve"> </w:t>
      </w:r>
      <w:r w:rsidR="00473117">
        <w:rPr>
          <w:rFonts w:ascii="Verdana" w:hAnsi="Verdana"/>
        </w:rPr>
        <w:t xml:space="preserve">mais aussi </w:t>
      </w:r>
      <w:r w:rsidR="0064440C">
        <w:rPr>
          <w:rFonts w:ascii="Verdana" w:hAnsi="Verdana"/>
        </w:rPr>
        <w:t>de l’article 29.5</w:t>
      </w:r>
      <w:r w:rsidR="007718AF">
        <w:rPr>
          <w:rFonts w:ascii="Verdana" w:hAnsi="Verdana"/>
        </w:rPr>
        <w:t xml:space="preserve"> du règlement d’arbitrage de la CCJA</w:t>
      </w:r>
      <w:r w:rsidR="00AA5008">
        <w:rPr>
          <w:rStyle w:val="Appelnotedebasdep"/>
          <w:rFonts w:ascii="Verdana" w:hAnsi="Verdana"/>
        </w:rPr>
        <w:footnoteReference w:id="12"/>
      </w:r>
      <w:r w:rsidR="007718AF">
        <w:rPr>
          <w:rFonts w:ascii="Verdana" w:hAnsi="Verdana"/>
        </w:rPr>
        <w:t>.</w:t>
      </w:r>
      <w:r w:rsidR="00DF2736" w:rsidRPr="00DF2736">
        <w:rPr>
          <w:rFonts w:ascii="Verdana" w:hAnsi="Verdana"/>
        </w:rPr>
        <w:t xml:space="preserve"> </w:t>
      </w:r>
      <w:r w:rsidR="003D41B5">
        <w:rPr>
          <w:rFonts w:ascii="Verdana" w:hAnsi="Verdana"/>
        </w:rPr>
        <w:t>L</w:t>
      </w:r>
      <w:r w:rsidR="0046288A">
        <w:rPr>
          <w:rFonts w:ascii="Verdana" w:hAnsi="Verdana"/>
        </w:rPr>
        <w:t>’</w:t>
      </w:r>
      <w:r w:rsidR="003D41B5">
        <w:rPr>
          <w:rFonts w:ascii="Verdana" w:hAnsi="Verdana"/>
        </w:rPr>
        <w:t xml:space="preserve">évocation </w:t>
      </w:r>
      <w:r w:rsidR="0046288A">
        <w:rPr>
          <w:rFonts w:ascii="Verdana" w:hAnsi="Verdana"/>
        </w:rPr>
        <w:t>est une exception à ce principe.</w:t>
      </w:r>
    </w:p>
    <w:p w14:paraId="3AB86484" w14:textId="20F71899" w:rsidR="006C4F52" w:rsidRDefault="00DF2736" w:rsidP="006C4F5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La CCJA le rappelle dans </w:t>
      </w:r>
      <w:r w:rsidR="00533F26">
        <w:rPr>
          <w:rFonts w:ascii="Verdana" w:hAnsi="Verdana"/>
        </w:rPr>
        <w:t>un</w:t>
      </w:r>
      <w:r>
        <w:rPr>
          <w:rFonts w:ascii="Verdana" w:hAnsi="Verdana"/>
        </w:rPr>
        <w:t xml:space="preserve"> arrêt en date du 17 mai 2018 : « … Le recours en annulation n’a pas pour but un réexamen au fond de la sentence. »</w:t>
      </w:r>
      <w:r>
        <w:rPr>
          <w:rStyle w:val="Appelnotedebasdep"/>
          <w:rFonts w:ascii="Verdana" w:hAnsi="Verdana"/>
        </w:rPr>
        <w:footnoteReference w:id="13"/>
      </w:r>
    </w:p>
    <w:p w14:paraId="7702979A" w14:textId="580CD073" w:rsidR="008626FA" w:rsidRPr="00647DF9" w:rsidRDefault="00864B08" w:rsidP="006C4F52">
      <w:pPr>
        <w:jc w:val="both"/>
        <w:rPr>
          <w:rFonts w:ascii="Verdana" w:hAnsi="Verdana"/>
        </w:rPr>
      </w:pPr>
      <w:r>
        <w:rPr>
          <w:rFonts w:ascii="Verdana" w:hAnsi="Verdana"/>
        </w:rPr>
        <w:t>C’est la vo</w:t>
      </w:r>
      <w:r w:rsidR="009002EE">
        <w:rPr>
          <w:rFonts w:ascii="Verdana" w:hAnsi="Verdana"/>
        </w:rPr>
        <w:t>lon</w:t>
      </w:r>
      <w:r>
        <w:rPr>
          <w:rFonts w:ascii="Verdana" w:hAnsi="Verdana"/>
        </w:rPr>
        <w:t xml:space="preserve">té des parties </w:t>
      </w:r>
      <w:r w:rsidR="00A2312F">
        <w:rPr>
          <w:rFonts w:ascii="Verdana" w:hAnsi="Verdana"/>
        </w:rPr>
        <w:t xml:space="preserve">qui prime </w:t>
      </w:r>
      <w:r w:rsidR="00AE44F7">
        <w:rPr>
          <w:rFonts w:ascii="Verdana" w:hAnsi="Verdana"/>
        </w:rPr>
        <w:t>sur</w:t>
      </w:r>
      <w:r w:rsidR="00A2312F">
        <w:rPr>
          <w:rFonts w:ascii="Verdana" w:hAnsi="Verdana"/>
        </w:rPr>
        <w:t xml:space="preserve"> la suite de la procédure arbitrale</w:t>
      </w:r>
      <w:r w:rsidR="007636CE">
        <w:rPr>
          <w:rStyle w:val="Appelnotedebasdep"/>
          <w:rFonts w:ascii="Verdana" w:hAnsi="Verdana"/>
        </w:rPr>
        <w:footnoteReference w:id="14"/>
      </w:r>
      <w:r w:rsidR="00527C4A">
        <w:rPr>
          <w:rFonts w:ascii="Verdana" w:hAnsi="Verdana"/>
        </w:rPr>
        <w:t>.</w:t>
      </w:r>
    </w:p>
    <w:p w14:paraId="1EBFA4AC" w14:textId="26062CEB" w:rsidR="006C4F52" w:rsidRPr="006C4F52" w:rsidRDefault="00686CC5" w:rsidP="00686CC5">
      <w:pPr>
        <w:ind w:firstLine="708"/>
        <w:jc w:val="both"/>
        <w:rPr>
          <w:rFonts w:ascii="Verdana" w:hAnsi="Verdana"/>
          <w:u w:val="single"/>
        </w:rPr>
      </w:pPr>
      <w:r>
        <w:rPr>
          <w:rFonts w:ascii="Verdana" w:hAnsi="Verdana"/>
          <w:u w:val="single"/>
        </w:rPr>
        <w:t xml:space="preserve">B/ </w:t>
      </w:r>
      <w:r w:rsidR="006C4F52" w:rsidRPr="006C4F52">
        <w:rPr>
          <w:rFonts w:ascii="Verdana" w:hAnsi="Verdana"/>
          <w:u w:val="single"/>
        </w:rPr>
        <w:t>L</w:t>
      </w:r>
      <w:r w:rsidR="00E91207">
        <w:rPr>
          <w:rFonts w:ascii="Verdana" w:hAnsi="Verdana"/>
          <w:u w:val="single"/>
        </w:rPr>
        <w:t xml:space="preserve">a volonté </w:t>
      </w:r>
      <w:r w:rsidR="007F659E">
        <w:rPr>
          <w:rFonts w:ascii="Verdana" w:hAnsi="Verdana"/>
          <w:u w:val="single"/>
        </w:rPr>
        <w:t>d</w:t>
      </w:r>
      <w:r w:rsidR="0005130D">
        <w:rPr>
          <w:rFonts w:ascii="Verdana" w:hAnsi="Verdana"/>
          <w:u w:val="single"/>
        </w:rPr>
        <w:t>e</w:t>
      </w:r>
      <w:r w:rsidR="006C4F52" w:rsidRPr="006C4F52">
        <w:rPr>
          <w:rFonts w:ascii="Verdana" w:hAnsi="Verdana"/>
          <w:u w:val="single"/>
        </w:rPr>
        <w:t xml:space="preserve"> reprise </w:t>
      </w:r>
      <w:r w:rsidR="00361633">
        <w:rPr>
          <w:rFonts w:ascii="Verdana" w:hAnsi="Verdana"/>
          <w:u w:val="single"/>
        </w:rPr>
        <w:t xml:space="preserve">ou non </w:t>
      </w:r>
      <w:r w:rsidR="006C4F52" w:rsidRPr="006C4F52">
        <w:rPr>
          <w:rFonts w:ascii="Verdana" w:hAnsi="Verdana"/>
          <w:u w:val="single"/>
        </w:rPr>
        <w:t>de la procédure arbitrale</w:t>
      </w:r>
    </w:p>
    <w:p w14:paraId="75C2DC78" w14:textId="5F9E180A" w:rsidR="008508C8" w:rsidRDefault="008508C8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Qu’il s’agisse de l’arbitrage conduit sous l’égide de la CCJA, de la C</w:t>
      </w:r>
      <w:r w:rsidR="00C51BAB">
        <w:rPr>
          <w:rFonts w:ascii="Verdana" w:hAnsi="Verdana"/>
        </w:rPr>
        <w:t>ACI</w:t>
      </w:r>
      <w:r w:rsidR="006B00EB">
        <w:rPr>
          <w:rFonts w:ascii="Verdana" w:hAnsi="Verdana"/>
        </w:rPr>
        <w:t xml:space="preserve"> ou d’un arbitrage ad hoc, le droit de reprendre</w:t>
      </w:r>
      <w:r w:rsidR="00266A06">
        <w:rPr>
          <w:rFonts w:ascii="Verdana" w:hAnsi="Verdana"/>
        </w:rPr>
        <w:t>, ou non,</w:t>
      </w:r>
      <w:r w:rsidR="006B00EB">
        <w:rPr>
          <w:rFonts w:ascii="Verdana" w:hAnsi="Verdana"/>
        </w:rPr>
        <w:t xml:space="preserve"> une nouvelle pro</w:t>
      </w:r>
      <w:r w:rsidR="008C5DAD">
        <w:rPr>
          <w:rFonts w:ascii="Verdana" w:hAnsi="Verdana"/>
        </w:rPr>
        <w:t>cé</w:t>
      </w:r>
      <w:r w:rsidR="006B00EB">
        <w:rPr>
          <w:rFonts w:ascii="Verdana" w:hAnsi="Verdana"/>
        </w:rPr>
        <w:t>dure</w:t>
      </w:r>
      <w:r w:rsidR="007D5AA9">
        <w:rPr>
          <w:rFonts w:ascii="Verdana" w:hAnsi="Verdana"/>
        </w:rPr>
        <w:t xml:space="preserve"> est, par</w:t>
      </w:r>
      <w:r w:rsidR="006B00EB">
        <w:rPr>
          <w:rFonts w:ascii="Verdana" w:hAnsi="Verdana"/>
        </w:rPr>
        <w:t xml:space="preserve"> </w:t>
      </w:r>
      <w:r w:rsidR="006B00EB">
        <w:rPr>
          <w:rFonts w:ascii="Verdana" w:hAnsi="Verdana"/>
        </w:rPr>
        <w:lastRenderedPageBreak/>
        <w:t>principe</w:t>
      </w:r>
      <w:r w:rsidR="007D5AA9">
        <w:rPr>
          <w:rFonts w:ascii="Verdana" w:hAnsi="Verdana"/>
        </w:rPr>
        <w:t>, reconnu</w:t>
      </w:r>
      <w:r w:rsidR="00092CFE">
        <w:rPr>
          <w:rFonts w:ascii="Verdana" w:hAnsi="Verdana"/>
        </w:rPr>
        <w:t xml:space="preserve"> aux parties</w:t>
      </w:r>
      <w:r w:rsidR="00F379FA">
        <w:rPr>
          <w:rFonts w:ascii="Verdana" w:hAnsi="Verdana"/>
        </w:rPr>
        <w:t xml:space="preserve"> en application </w:t>
      </w:r>
      <w:r w:rsidR="00265C0D">
        <w:rPr>
          <w:rFonts w:ascii="Verdana" w:hAnsi="Verdana"/>
        </w:rPr>
        <w:t>de</w:t>
      </w:r>
      <w:r w:rsidR="005B5A62">
        <w:rPr>
          <w:rFonts w:ascii="Verdana" w:hAnsi="Verdana"/>
        </w:rPr>
        <w:t xml:space="preserve">s </w:t>
      </w:r>
      <w:r w:rsidR="00265C0D">
        <w:rPr>
          <w:rFonts w:ascii="Verdana" w:hAnsi="Verdana"/>
        </w:rPr>
        <w:t>a</w:t>
      </w:r>
      <w:r w:rsidR="00265C0D" w:rsidRPr="00D62128">
        <w:rPr>
          <w:rFonts w:ascii="Verdana" w:hAnsi="Verdana"/>
        </w:rPr>
        <w:t>rt</w:t>
      </w:r>
      <w:r w:rsidR="00265C0D">
        <w:rPr>
          <w:rFonts w:ascii="Verdana" w:hAnsi="Verdana"/>
        </w:rPr>
        <w:t>icle</w:t>
      </w:r>
      <w:r w:rsidR="005B5A62">
        <w:rPr>
          <w:rFonts w:ascii="Verdana" w:hAnsi="Verdana"/>
        </w:rPr>
        <w:t xml:space="preserve">s </w:t>
      </w:r>
      <w:r w:rsidR="00265C0D" w:rsidRPr="00D62128">
        <w:rPr>
          <w:rFonts w:ascii="Verdana" w:hAnsi="Verdana"/>
        </w:rPr>
        <w:t>29</w:t>
      </w:r>
      <w:r w:rsidR="00265C0D">
        <w:rPr>
          <w:rFonts w:ascii="Verdana" w:hAnsi="Verdana"/>
        </w:rPr>
        <w:t xml:space="preserve"> de l’Acte uniforme relatif au droit de l’arbit</w:t>
      </w:r>
      <w:r w:rsidR="00F379FA">
        <w:rPr>
          <w:rFonts w:ascii="Verdana" w:hAnsi="Verdana"/>
        </w:rPr>
        <w:t>rage et 29.5 du règlement d’arbitrage de la CC</w:t>
      </w:r>
      <w:r w:rsidR="005B5A62">
        <w:rPr>
          <w:rFonts w:ascii="Verdana" w:hAnsi="Verdana"/>
        </w:rPr>
        <w:t>JA.</w:t>
      </w:r>
    </w:p>
    <w:p w14:paraId="27B07700" w14:textId="4EF577C5" w:rsidR="00A36BC8" w:rsidRDefault="0061628F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L</w:t>
      </w:r>
      <w:r w:rsidR="00E5439B">
        <w:rPr>
          <w:rFonts w:ascii="Verdana" w:hAnsi="Verdana"/>
        </w:rPr>
        <w:t xml:space="preserve">e législateur </w:t>
      </w:r>
      <w:r w:rsidR="008D70EB">
        <w:rPr>
          <w:rFonts w:ascii="Verdana" w:hAnsi="Verdana"/>
        </w:rPr>
        <w:t xml:space="preserve">veille </w:t>
      </w:r>
      <w:r w:rsidR="00A945C2">
        <w:rPr>
          <w:rFonts w:ascii="Verdana" w:hAnsi="Verdana"/>
        </w:rPr>
        <w:t xml:space="preserve">ainsi </w:t>
      </w:r>
      <w:r w:rsidR="0086247A">
        <w:rPr>
          <w:rFonts w:ascii="Verdana" w:hAnsi="Verdana"/>
        </w:rPr>
        <w:t xml:space="preserve">à ce </w:t>
      </w:r>
      <w:r w:rsidR="00FA5687">
        <w:rPr>
          <w:rFonts w:ascii="Verdana" w:hAnsi="Verdana"/>
        </w:rPr>
        <w:t>que</w:t>
      </w:r>
      <w:r w:rsidR="00765CC7">
        <w:rPr>
          <w:rFonts w:ascii="Verdana" w:hAnsi="Verdana"/>
        </w:rPr>
        <w:t xml:space="preserve"> l’arbitrage </w:t>
      </w:r>
      <w:r w:rsidR="005D5F2F">
        <w:rPr>
          <w:rFonts w:ascii="Verdana" w:hAnsi="Verdana"/>
        </w:rPr>
        <w:t>soit préservé</w:t>
      </w:r>
      <w:r w:rsidR="00DE7002">
        <w:rPr>
          <w:rFonts w:ascii="Verdana" w:hAnsi="Verdana"/>
        </w:rPr>
        <w:t xml:space="preserve">. </w:t>
      </w:r>
      <w:r w:rsidR="00D53C82">
        <w:rPr>
          <w:rFonts w:ascii="Verdana" w:hAnsi="Verdana"/>
        </w:rPr>
        <w:t>Ce qui en fait tout son intérêt</w:t>
      </w:r>
      <w:r w:rsidR="004D265B">
        <w:rPr>
          <w:rFonts w:ascii="Verdana" w:hAnsi="Verdana"/>
        </w:rPr>
        <w:t xml:space="preserve">. </w:t>
      </w:r>
      <w:r w:rsidR="00DE7002">
        <w:rPr>
          <w:rFonts w:ascii="Verdana" w:hAnsi="Verdana"/>
        </w:rPr>
        <w:t>L</w:t>
      </w:r>
      <w:r w:rsidR="004306F0">
        <w:rPr>
          <w:rFonts w:ascii="Verdana" w:hAnsi="Verdana"/>
        </w:rPr>
        <w:t>es</w:t>
      </w:r>
      <w:r w:rsidR="00FA5687">
        <w:rPr>
          <w:rFonts w:ascii="Verdana" w:hAnsi="Verdana"/>
        </w:rPr>
        <w:t xml:space="preserve"> parties </w:t>
      </w:r>
      <w:r w:rsidR="00DE7002">
        <w:rPr>
          <w:rFonts w:ascii="Verdana" w:hAnsi="Verdana"/>
        </w:rPr>
        <w:t xml:space="preserve">ne </w:t>
      </w:r>
      <w:r w:rsidR="006E545A">
        <w:rPr>
          <w:rFonts w:ascii="Verdana" w:hAnsi="Verdana"/>
        </w:rPr>
        <w:t xml:space="preserve">sont </w:t>
      </w:r>
      <w:r w:rsidR="00DE7002">
        <w:rPr>
          <w:rFonts w:ascii="Verdana" w:hAnsi="Verdana"/>
        </w:rPr>
        <w:t>do</w:t>
      </w:r>
      <w:r w:rsidR="006E545A">
        <w:rPr>
          <w:rFonts w:ascii="Verdana" w:hAnsi="Verdana"/>
        </w:rPr>
        <w:t>nc</w:t>
      </w:r>
      <w:r w:rsidR="003A572B">
        <w:rPr>
          <w:rFonts w:ascii="Verdana" w:hAnsi="Verdana"/>
        </w:rPr>
        <w:t xml:space="preserve"> </w:t>
      </w:r>
      <w:r w:rsidR="00C72638">
        <w:rPr>
          <w:rFonts w:ascii="Verdana" w:hAnsi="Verdana"/>
        </w:rPr>
        <w:t xml:space="preserve">pas </w:t>
      </w:r>
      <w:r w:rsidR="003A572B">
        <w:rPr>
          <w:rFonts w:ascii="Verdana" w:hAnsi="Verdana"/>
        </w:rPr>
        <w:t>oblig</w:t>
      </w:r>
      <w:r w:rsidR="00DE7002">
        <w:rPr>
          <w:rFonts w:ascii="Verdana" w:hAnsi="Verdana"/>
        </w:rPr>
        <w:t>ées</w:t>
      </w:r>
      <w:r w:rsidR="003A572B">
        <w:rPr>
          <w:rFonts w:ascii="Verdana" w:hAnsi="Verdana"/>
        </w:rPr>
        <w:t xml:space="preserve"> </w:t>
      </w:r>
      <w:r w:rsidR="00DE7002">
        <w:rPr>
          <w:rFonts w:ascii="Verdana" w:hAnsi="Verdana"/>
        </w:rPr>
        <w:t>de</w:t>
      </w:r>
      <w:r w:rsidR="00545F6B">
        <w:rPr>
          <w:rFonts w:ascii="Verdana" w:hAnsi="Verdana"/>
        </w:rPr>
        <w:t xml:space="preserve"> se retrouver</w:t>
      </w:r>
      <w:r w:rsidR="003A572B">
        <w:rPr>
          <w:rFonts w:ascii="Verdana" w:hAnsi="Verdana"/>
        </w:rPr>
        <w:t xml:space="preserve"> </w:t>
      </w:r>
      <w:r w:rsidR="00A70DD9">
        <w:rPr>
          <w:rFonts w:ascii="Verdana" w:hAnsi="Verdana"/>
        </w:rPr>
        <w:t xml:space="preserve">devant les juridictions </w:t>
      </w:r>
      <w:r w:rsidR="00BA481B">
        <w:rPr>
          <w:rFonts w:ascii="Verdana" w:hAnsi="Verdana"/>
        </w:rPr>
        <w:t xml:space="preserve">de droit commun </w:t>
      </w:r>
      <w:r w:rsidR="00A70DD9">
        <w:rPr>
          <w:rFonts w:ascii="Verdana" w:hAnsi="Verdana"/>
        </w:rPr>
        <w:t>qu</w:t>
      </w:r>
      <w:r w:rsidR="003A572B">
        <w:rPr>
          <w:rFonts w:ascii="Verdana" w:hAnsi="Verdana"/>
        </w:rPr>
        <w:t>’elles</w:t>
      </w:r>
      <w:r w:rsidR="00816FD5">
        <w:rPr>
          <w:rFonts w:ascii="Verdana" w:hAnsi="Verdana"/>
        </w:rPr>
        <w:t xml:space="preserve"> ont précisément voulu éviter en insérant une clause d’arbitrage dans leur relation contractuelle</w:t>
      </w:r>
      <w:r w:rsidR="002251FE">
        <w:rPr>
          <w:rFonts w:ascii="Verdana" w:hAnsi="Verdana"/>
        </w:rPr>
        <w:t>.</w:t>
      </w:r>
    </w:p>
    <w:p w14:paraId="221240CC" w14:textId="1E88103F" w:rsidR="000B1DF1" w:rsidRDefault="000B1DF1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BEIRA EHI Marc</w:t>
      </w:r>
    </w:p>
    <w:p w14:paraId="7DA2F85B" w14:textId="08ACD31F" w:rsidR="00994812" w:rsidRPr="004F0796" w:rsidRDefault="00994812" w:rsidP="001053F0">
      <w:pPr>
        <w:jc w:val="both"/>
        <w:rPr>
          <w:rFonts w:ascii="Verdana" w:hAnsi="Verdana"/>
        </w:rPr>
      </w:pPr>
      <w:r>
        <w:rPr>
          <w:rFonts w:ascii="Verdana" w:hAnsi="Verdana"/>
        </w:rPr>
        <w:t>Docteur en droit</w:t>
      </w:r>
    </w:p>
    <w:sectPr w:rsidR="00994812" w:rsidRPr="004F0796" w:rsidSect="006B0DB7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F14F5" w14:textId="77777777" w:rsidR="00D94F10" w:rsidRDefault="00D94F10" w:rsidP="001053F0">
      <w:pPr>
        <w:spacing w:after="0" w:line="240" w:lineRule="auto"/>
      </w:pPr>
      <w:r>
        <w:separator/>
      </w:r>
    </w:p>
  </w:endnote>
  <w:endnote w:type="continuationSeparator" w:id="0">
    <w:p w14:paraId="3766AFB1" w14:textId="77777777" w:rsidR="00D94F10" w:rsidRDefault="00D94F10" w:rsidP="0010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DDCD8" w14:textId="77777777" w:rsidR="00D94F10" w:rsidRDefault="00D94F10" w:rsidP="001053F0">
      <w:pPr>
        <w:spacing w:after="0" w:line="240" w:lineRule="auto"/>
      </w:pPr>
      <w:r>
        <w:separator/>
      </w:r>
    </w:p>
  </w:footnote>
  <w:footnote w:type="continuationSeparator" w:id="0">
    <w:p w14:paraId="30A3B639" w14:textId="77777777" w:rsidR="00D94F10" w:rsidRDefault="00D94F10" w:rsidP="001053F0">
      <w:pPr>
        <w:spacing w:after="0" w:line="240" w:lineRule="auto"/>
      </w:pPr>
      <w:r>
        <w:continuationSeparator/>
      </w:r>
    </w:p>
  </w:footnote>
  <w:footnote w:id="1">
    <w:p w14:paraId="2A49A8FD" w14:textId="07AA17AD" w:rsidR="001053F0" w:rsidRDefault="001053F0" w:rsidP="00744749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</w:t>
      </w:r>
      <w:r w:rsidR="003E27DD">
        <w:t>a</w:t>
      </w:r>
      <w:r w:rsidR="00681A7B">
        <w:t xml:space="preserve"> contrainte imposée par le</w:t>
      </w:r>
      <w:r>
        <w:t xml:space="preserve"> nombre de pages (3</w:t>
      </w:r>
      <w:r w:rsidR="00681A7B">
        <w:t xml:space="preserve"> pages maximum</w:t>
      </w:r>
      <w:r>
        <w:t>),</w:t>
      </w:r>
      <w:r w:rsidR="00681A7B">
        <w:t xml:space="preserve"> limite drastiquement</w:t>
      </w:r>
      <w:r w:rsidR="003E27DD">
        <w:t xml:space="preserve"> les possibilité</w:t>
      </w:r>
      <w:r w:rsidR="00681A7B">
        <w:t>s</w:t>
      </w:r>
      <w:r w:rsidR="003E27DD">
        <w:t xml:space="preserve"> d’une analyse approfondie</w:t>
      </w:r>
      <w:r w:rsidR="008E234D">
        <w:t xml:space="preserve"> </w:t>
      </w:r>
      <w:r w:rsidR="007607CB">
        <w:t>du</w:t>
      </w:r>
      <w:r w:rsidR="008E234D">
        <w:t xml:space="preserve"> thème</w:t>
      </w:r>
      <w:r w:rsidR="003D4677">
        <w:t>. La présente contribution</w:t>
      </w:r>
      <w:r w:rsidR="003E27DD">
        <w:t xml:space="preserve"> </w:t>
      </w:r>
      <w:r w:rsidR="00E03201">
        <w:t>e</w:t>
      </w:r>
      <w:r w:rsidR="003D4677">
        <w:t>s</w:t>
      </w:r>
      <w:r w:rsidR="00E03201">
        <w:t xml:space="preserve">t </w:t>
      </w:r>
      <w:r w:rsidR="003D4677">
        <w:t xml:space="preserve">donc </w:t>
      </w:r>
      <w:r w:rsidR="00681A7B">
        <w:t>réduit</w:t>
      </w:r>
      <w:r w:rsidR="003D4677">
        <w:t>e</w:t>
      </w:r>
      <w:r w:rsidR="008E234D">
        <w:t xml:space="preserve"> </w:t>
      </w:r>
      <w:r w:rsidR="00E03201">
        <w:t xml:space="preserve">à une présentation </w:t>
      </w:r>
      <w:r w:rsidR="006C0557">
        <w:t xml:space="preserve">quasi </w:t>
      </w:r>
      <w:r w:rsidR="004C5981">
        <w:t xml:space="preserve">sommaire </w:t>
      </w:r>
      <w:r w:rsidR="00E03201">
        <w:t>des conditions et effets de l’annu</w:t>
      </w:r>
      <w:r w:rsidR="008E234D">
        <w:t>l</w:t>
      </w:r>
      <w:r w:rsidR="00E03201">
        <w:t>ation</w:t>
      </w:r>
      <w:r w:rsidR="008E234D">
        <w:t xml:space="preserve"> d’une sentence arbitrale</w:t>
      </w:r>
      <w:r>
        <w:t>.</w:t>
      </w:r>
    </w:p>
  </w:footnote>
  <w:footnote w:id="2">
    <w:p w14:paraId="6291AB15" w14:textId="2852CA68" w:rsidR="00047F46" w:rsidRDefault="00047F46">
      <w:pPr>
        <w:pStyle w:val="Notedebasdepage"/>
      </w:pPr>
      <w:r>
        <w:rPr>
          <w:rStyle w:val="Appelnotedebasdep"/>
        </w:rPr>
        <w:footnoteRef/>
      </w:r>
      <w:r>
        <w:t xml:space="preserve"> J.O</w:t>
      </w:r>
      <w:r w:rsidR="00A01FAD">
        <w:t>. de l’OHADA du 15 décembre 2017.</w:t>
      </w:r>
    </w:p>
  </w:footnote>
  <w:footnote w:id="3">
    <w:p w14:paraId="021213FD" w14:textId="3CAB0F95" w:rsidR="00744749" w:rsidRDefault="00744749" w:rsidP="00744749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CCJA, 3</w:t>
      </w:r>
      <w:r w:rsidRPr="00744749">
        <w:rPr>
          <w:vertAlign w:val="superscript"/>
        </w:rPr>
        <w:t>e</w:t>
      </w:r>
      <w:r>
        <w:t xml:space="preserve"> CH. arrêt n°196/2018 du 25 octobre 2018 in recueil de jurisprudence CCJA de Emmanuel Douglas </w:t>
      </w:r>
      <w:proofErr w:type="spellStart"/>
      <w:r>
        <w:t>Fotso</w:t>
      </w:r>
      <w:proofErr w:type="spellEnd"/>
      <w:r>
        <w:t xml:space="preserve">, </w:t>
      </w:r>
      <w:proofErr w:type="spellStart"/>
      <w:r>
        <w:t>Legiafrica</w:t>
      </w:r>
      <w:proofErr w:type="spellEnd"/>
      <w:r>
        <w:t>, page 634.</w:t>
      </w:r>
    </w:p>
  </w:footnote>
  <w:footnote w:id="4">
    <w:p w14:paraId="33998435" w14:textId="346B8D0F" w:rsidR="003F7C86" w:rsidRDefault="003F7C86" w:rsidP="00744749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CCJA, 1</w:t>
      </w:r>
      <w:r w:rsidRPr="003F7C86">
        <w:rPr>
          <w:vertAlign w:val="superscript"/>
        </w:rPr>
        <w:t>ère</w:t>
      </w:r>
      <w:r>
        <w:t xml:space="preserve"> CH. arrêt n°96 du 26 avril 2018 in recueil de jurisprudence CCJA de Emmanuel Douglas </w:t>
      </w:r>
      <w:proofErr w:type="spellStart"/>
      <w:r>
        <w:t>Fotso</w:t>
      </w:r>
      <w:proofErr w:type="spellEnd"/>
      <w:r>
        <w:t xml:space="preserve">, </w:t>
      </w:r>
      <w:proofErr w:type="spellStart"/>
      <w:r>
        <w:t>Legiafrica</w:t>
      </w:r>
      <w:proofErr w:type="spellEnd"/>
      <w:r>
        <w:t>, page 630</w:t>
      </w:r>
    </w:p>
  </w:footnote>
  <w:footnote w:id="5">
    <w:p w14:paraId="1D3203B6" w14:textId="10FBD7DE" w:rsidR="00B865FE" w:rsidRDefault="00B865FE" w:rsidP="00B00F43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Avant la dernière réforme, lorsque l’arbitrage </w:t>
      </w:r>
      <w:r w:rsidR="00B00F43">
        <w:t>était</w:t>
      </w:r>
      <w:r>
        <w:t xml:space="preserve"> conduit sous l’égide de la Cour Commune de Justice et d’Arbitrage, </w:t>
      </w:r>
      <w:r w:rsidR="00B00F43">
        <w:t>c’était</w:t>
      </w:r>
      <w:r>
        <w:t xml:space="preserve"> un recours en contestation de validité</w:t>
      </w:r>
      <w:r w:rsidR="00B00F43">
        <w:t xml:space="preserve"> que les parties pouvaient exercer.</w:t>
      </w:r>
    </w:p>
  </w:footnote>
  <w:footnote w:id="6">
    <w:p w14:paraId="1EAE5A53" w14:textId="1ED355B6" w:rsidR="00F271F3" w:rsidRDefault="00F271F3" w:rsidP="00576B9B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L’article 29.2 du règlement d’arbitrage de la Cour commune de justice et d’arbitrage reprend les mêmes causes pouvant justifier le recours en annulation d’une sentence arbitrale</w:t>
      </w:r>
      <w:r w:rsidR="00964F40">
        <w:t>.</w:t>
      </w:r>
    </w:p>
  </w:footnote>
  <w:footnote w:id="7">
    <w:p w14:paraId="4A99974A" w14:textId="123766C4" w:rsidR="00FB39E8" w:rsidRDefault="00FB39E8" w:rsidP="000446B2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CCJA 1</w:t>
      </w:r>
      <w:r w:rsidRPr="003F7C86">
        <w:rPr>
          <w:vertAlign w:val="superscript"/>
        </w:rPr>
        <w:t>ère</w:t>
      </w:r>
      <w:r>
        <w:t xml:space="preserve"> CH. arrêt n°53 du 14 mars 2019 in recueil de jurisprudence CCJA de Emmanuel Douglas </w:t>
      </w:r>
      <w:proofErr w:type="spellStart"/>
      <w:r>
        <w:t>Fotso</w:t>
      </w:r>
      <w:proofErr w:type="spellEnd"/>
      <w:r>
        <w:t xml:space="preserve">, </w:t>
      </w:r>
      <w:proofErr w:type="spellStart"/>
      <w:r>
        <w:t>Legiafrica</w:t>
      </w:r>
      <w:proofErr w:type="spellEnd"/>
      <w:r>
        <w:t>, année 201</w:t>
      </w:r>
      <w:r w:rsidR="00744749">
        <w:t>9</w:t>
      </w:r>
      <w:r>
        <w:t>, page 540</w:t>
      </w:r>
      <w:r w:rsidR="00B86DCE">
        <w:t>. D</w:t>
      </w:r>
      <w:r>
        <w:t>e même Cour d’appel de commerce d’Abidjan arrêts n°410/2019 du 20 juin 2019, 347/</w:t>
      </w:r>
      <w:r w:rsidR="00744749">
        <w:t xml:space="preserve">2018 du 17 janvier 2019 ; n°410/2019 du 20 juin 2019, in recueil de jurisprudence CCJA de Emmanuel Douglas </w:t>
      </w:r>
      <w:proofErr w:type="spellStart"/>
      <w:r w:rsidR="00744749">
        <w:t>Fotso</w:t>
      </w:r>
      <w:proofErr w:type="spellEnd"/>
      <w:r w:rsidR="00744749">
        <w:t xml:space="preserve">, </w:t>
      </w:r>
      <w:proofErr w:type="spellStart"/>
      <w:r w:rsidR="00744749">
        <w:t>Legiafrica</w:t>
      </w:r>
      <w:proofErr w:type="spellEnd"/>
      <w:r w:rsidR="00744749">
        <w:t>, année 2019, pages 544, 546, 548.</w:t>
      </w:r>
    </w:p>
  </w:footnote>
  <w:footnote w:id="8">
    <w:p w14:paraId="4C61A8BC" w14:textId="64F91134" w:rsidR="000446B2" w:rsidRDefault="000446B2" w:rsidP="000446B2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CCJA, 1</w:t>
      </w:r>
      <w:r w:rsidRPr="000446B2">
        <w:rPr>
          <w:vertAlign w:val="superscript"/>
        </w:rPr>
        <w:t>ère</w:t>
      </w:r>
      <w:r>
        <w:t xml:space="preserve"> chambre, arrêt n°03, Assemblée plénière du 31 janvier 2011, in répertoire quinquennal OHADA 2012, page 22.</w:t>
      </w:r>
    </w:p>
  </w:footnote>
  <w:footnote w:id="9">
    <w:p w14:paraId="2D897EE1" w14:textId="4215DDB8" w:rsidR="00175F34" w:rsidRDefault="00175F34" w:rsidP="000446B2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CCJA, arrêt n°010/2003 du 19 juin 200</w:t>
      </w:r>
      <w:r w:rsidR="00C954AE">
        <w:t>3 : « En se fondant sur des solutions légales pour régler le différend, les arbitres qui n’avaient pas l’obligation de statuer uniquement en amiable compositeur, sont restés dan</w:t>
      </w:r>
      <w:r w:rsidR="000446B2">
        <w:t>s</w:t>
      </w:r>
      <w:r w:rsidR="00C954AE">
        <w:t xml:space="preserve"> le cadre de la mission qui leur a été confiée. Dès lors, doit être rejetée la demande d’annulation de la sentence. » in répertoire quinquennal OHADA 2006-2010, T.2, page 48</w:t>
      </w:r>
      <w:r w:rsidR="000446B2">
        <w:t>. De même CCJA, 1</w:t>
      </w:r>
      <w:r w:rsidR="000446B2" w:rsidRPr="000446B2">
        <w:rPr>
          <w:vertAlign w:val="superscript"/>
        </w:rPr>
        <w:t>ère</w:t>
      </w:r>
      <w:r w:rsidR="000446B2">
        <w:t xml:space="preserve"> chambre, arrêt n°04 Assemblée plénière du 30 juin 2011,</w:t>
      </w:r>
      <w:r w:rsidR="000446B2" w:rsidRPr="000446B2">
        <w:t xml:space="preserve"> </w:t>
      </w:r>
      <w:r w:rsidR="000446B2">
        <w:t>in répertoire quinquennal OHADA 2012, page 22</w:t>
      </w:r>
    </w:p>
  </w:footnote>
  <w:footnote w:id="10">
    <w:p w14:paraId="50332373" w14:textId="1C4BA511" w:rsidR="00012962" w:rsidRPr="00905FBD" w:rsidRDefault="00012962">
      <w:pPr>
        <w:pStyle w:val="Notedebasdepage"/>
        <w:rPr>
          <w:rFonts w:cstheme="minorHAnsi"/>
        </w:rPr>
      </w:pPr>
      <w:r>
        <w:rPr>
          <w:rStyle w:val="Appelnotedebasdep"/>
        </w:rPr>
        <w:footnoteRef/>
      </w:r>
      <w:r>
        <w:t xml:space="preserve"> </w:t>
      </w:r>
      <w:r w:rsidR="00852C93" w:rsidRPr="00905FBD">
        <w:rPr>
          <w:rFonts w:cstheme="minorHAnsi"/>
        </w:rPr>
        <w:t>Cour d’appel de commerce pour les sentences rendues en matière commerciale et la Cour d’appel d’Abidjan pour les sentences rendues dans les autres matières</w:t>
      </w:r>
      <w:r w:rsidR="00D630D4">
        <w:rPr>
          <w:rFonts w:cstheme="minorHAnsi"/>
        </w:rPr>
        <w:t>.</w:t>
      </w:r>
    </w:p>
  </w:footnote>
  <w:footnote w:id="11">
    <w:p w14:paraId="6EA0A34E" w14:textId="1153DC30" w:rsidR="006368B0" w:rsidRPr="00EF4420" w:rsidRDefault="006368B0" w:rsidP="00DA56BF">
      <w:pPr>
        <w:jc w:val="both"/>
        <w:rPr>
          <w:rFonts w:cstheme="minorHAnsi"/>
          <w:sz w:val="20"/>
          <w:szCs w:val="20"/>
        </w:rPr>
      </w:pPr>
      <w:r>
        <w:rPr>
          <w:rStyle w:val="Appelnotedebasdep"/>
        </w:rPr>
        <w:footnoteRef/>
      </w:r>
      <w:r>
        <w:t xml:space="preserve"> </w:t>
      </w:r>
      <w:r w:rsidR="007C2981">
        <w:rPr>
          <w:rFonts w:ascii="Verdana" w:hAnsi="Verdana"/>
        </w:rPr>
        <w:t>« </w:t>
      </w:r>
      <w:r w:rsidR="007C2981" w:rsidRPr="00D62128">
        <w:rPr>
          <w:rFonts w:ascii="Cambria Math" w:hAnsi="Cambria Math" w:cs="Cambria Math"/>
        </w:rPr>
        <w:t>‐</w:t>
      </w:r>
      <w:r w:rsidR="007C2981" w:rsidRPr="00D62128">
        <w:rPr>
          <w:rFonts w:ascii="Verdana" w:hAnsi="Verdana"/>
        </w:rPr>
        <w:t xml:space="preserve"> </w:t>
      </w:r>
      <w:r w:rsidR="007C2981" w:rsidRPr="00EF4420">
        <w:rPr>
          <w:rFonts w:cstheme="minorHAnsi"/>
          <w:sz w:val="20"/>
          <w:szCs w:val="20"/>
        </w:rPr>
        <w:t>En cas d’annulation de la sentence arbitrale et sauf lorsque ladite annulation est fondée sur le fait que le tribunal arbitral a statué sans convention d’arbitrage ou sur une convention nulle ou expirée, il appartient à la partie la plus diligente d’engager, si elle le souhaite, une nouvelle procédure arbitrale, conformément au présent Acte uniforme.</w:t>
      </w:r>
    </w:p>
  </w:footnote>
  <w:footnote w:id="12">
    <w:p w14:paraId="26612C62" w14:textId="77777777" w:rsidR="0075530B" w:rsidRDefault="00AA5008" w:rsidP="00041983">
      <w:pPr>
        <w:jc w:val="both"/>
        <w:rPr>
          <w:rFonts w:cstheme="minorHAnsi"/>
          <w:sz w:val="20"/>
          <w:szCs w:val="20"/>
        </w:rPr>
      </w:pPr>
      <w:r>
        <w:rPr>
          <w:rStyle w:val="Appelnotedebasdep"/>
        </w:rPr>
        <w:footnoteRef/>
      </w:r>
      <w:r>
        <w:t xml:space="preserve"> </w:t>
      </w:r>
      <w:r w:rsidR="00B33B37" w:rsidRPr="008B1439">
        <w:rPr>
          <w:rFonts w:cstheme="minorHAnsi"/>
          <w:sz w:val="20"/>
          <w:szCs w:val="20"/>
        </w:rPr>
        <w:t>Si la Cour refuse la reconnaissance et l’autorité de chose jugée à la sentence qui lui est déférée, elle l’annule.</w:t>
      </w:r>
    </w:p>
    <w:p w14:paraId="613EC5CF" w14:textId="1743FD82" w:rsidR="00FE3469" w:rsidRPr="00041983" w:rsidRDefault="00B33B37" w:rsidP="00041983">
      <w:pPr>
        <w:jc w:val="both"/>
        <w:rPr>
          <w:rFonts w:cstheme="minorHAnsi"/>
          <w:sz w:val="20"/>
          <w:szCs w:val="20"/>
        </w:rPr>
      </w:pPr>
      <w:r w:rsidRPr="00EF4420">
        <w:rPr>
          <w:rFonts w:cstheme="minorHAnsi"/>
        </w:rPr>
        <w:t>Elle évoque et statue au fond si les parties en font la demande.</w:t>
      </w:r>
    </w:p>
    <w:p w14:paraId="5B7B06FD" w14:textId="1356FAE1" w:rsidR="00AA5008" w:rsidRPr="00EF4420" w:rsidRDefault="00FE3469" w:rsidP="00B33B37">
      <w:pPr>
        <w:pStyle w:val="Notedebasdepage"/>
        <w:rPr>
          <w:rFonts w:cstheme="minorHAnsi"/>
        </w:rPr>
      </w:pPr>
      <w:r>
        <w:rPr>
          <w:rFonts w:cstheme="minorHAnsi"/>
        </w:rPr>
        <w:t xml:space="preserve">Si les parties </w:t>
      </w:r>
      <w:r w:rsidR="002A1418">
        <w:rPr>
          <w:rFonts w:cstheme="minorHAnsi"/>
        </w:rPr>
        <w:t>n’ont pas demandé l’évocation, la procédure est reprise à la requête de la partie</w:t>
      </w:r>
      <w:r w:rsidR="00300E53">
        <w:rPr>
          <w:rFonts w:cstheme="minorHAnsi"/>
        </w:rPr>
        <w:t xml:space="preserve"> la plus diligente à partir, le cas échéant, du dernier act</w:t>
      </w:r>
      <w:r w:rsidR="00556016">
        <w:rPr>
          <w:rFonts w:cstheme="minorHAnsi"/>
        </w:rPr>
        <w:t>e de l’instance arbitrale reconnu valable par la Cour</w:t>
      </w:r>
      <w:r w:rsidR="00B33B37" w:rsidRPr="00EF4420">
        <w:rPr>
          <w:rFonts w:cstheme="minorHAnsi"/>
        </w:rPr>
        <w:t> »</w:t>
      </w:r>
    </w:p>
  </w:footnote>
  <w:footnote w:id="13">
    <w:p w14:paraId="5F2C66BC" w14:textId="77777777" w:rsidR="00DF2736" w:rsidRDefault="00DF2736" w:rsidP="00DF2736">
      <w:pPr>
        <w:pStyle w:val="Notedebasdepage"/>
      </w:pPr>
      <w:r w:rsidRPr="00905FBD">
        <w:rPr>
          <w:rStyle w:val="Appelnotedebasdep"/>
          <w:rFonts w:cstheme="minorHAnsi"/>
        </w:rPr>
        <w:footnoteRef/>
      </w:r>
      <w:r w:rsidRPr="00905FBD">
        <w:rPr>
          <w:rFonts w:cstheme="minorHAnsi"/>
        </w:rPr>
        <w:t xml:space="preserve"> </w:t>
      </w:r>
      <w:r>
        <w:t>CCJA 2</w:t>
      </w:r>
      <w:r w:rsidRPr="00843163">
        <w:rPr>
          <w:vertAlign w:val="superscript"/>
        </w:rPr>
        <w:t>e</w:t>
      </w:r>
      <w:r>
        <w:t xml:space="preserve"> CH. arrêt n°110 du 17 mai 2018 in recueil de jurisprudence CCJA de Emmanuel Douglas </w:t>
      </w:r>
      <w:proofErr w:type="spellStart"/>
      <w:r>
        <w:t>Fotso</w:t>
      </w:r>
      <w:proofErr w:type="spellEnd"/>
      <w:r>
        <w:t xml:space="preserve">, </w:t>
      </w:r>
      <w:proofErr w:type="spellStart"/>
      <w:r>
        <w:t>Legiafrica</w:t>
      </w:r>
      <w:proofErr w:type="spellEnd"/>
      <w:r>
        <w:t>, page 640.</w:t>
      </w:r>
    </w:p>
  </w:footnote>
  <w:footnote w:id="14">
    <w:p w14:paraId="45B18E37" w14:textId="009BC44C" w:rsidR="007636CE" w:rsidRDefault="007636CE" w:rsidP="00041F96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</w:t>
      </w:r>
      <w:r w:rsidR="00860A96">
        <w:t>Il n’y a évocation que si</w:t>
      </w:r>
      <w:r w:rsidR="00476E22" w:rsidRPr="00011DB9">
        <w:rPr>
          <w:rFonts w:cstheme="minorHAnsi"/>
        </w:rPr>
        <w:t xml:space="preserve"> </w:t>
      </w:r>
      <w:r w:rsidR="00B70A29" w:rsidRPr="00011DB9">
        <w:rPr>
          <w:rFonts w:cstheme="minorHAnsi"/>
        </w:rPr>
        <w:t xml:space="preserve">cette volonté n’existe pas (absence de convention d’arbitrage) ou n’existe plus (convention nulle ou expirée) ou en cas de demande expresse </w:t>
      </w:r>
      <w:r w:rsidR="00B97BCE">
        <w:rPr>
          <w:rFonts w:cstheme="minorHAnsi"/>
        </w:rPr>
        <w:t xml:space="preserve">des parties </w:t>
      </w:r>
      <w:r w:rsidR="00B70A29" w:rsidRPr="00011DB9">
        <w:rPr>
          <w:rFonts w:cstheme="minorHAnsi"/>
        </w:rPr>
        <w:t>(pour l’arbitrage sous l’</w:t>
      </w:r>
      <w:r w:rsidR="00860A96">
        <w:rPr>
          <w:rFonts w:cstheme="minorHAnsi"/>
        </w:rPr>
        <w:t>é</w:t>
      </w:r>
      <w:r w:rsidR="00B70A29" w:rsidRPr="00011DB9">
        <w:rPr>
          <w:rFonts w:cstheme="minorHAnsi"/>
        </w:rPr>
        <w:t>gide de la CCJA)</w:t>
      </w:r>
      <w:r w:rsidR="00B97BCE">
        <w:rPr>
          <w:rFonts w:cstheme="minorHAnsi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96557823"/>
      <w:docPartObj>
        <w:docPartGallery w:val="Page Numbers (Top of Page)"/>
        <w:docPartUnique/>
      </w:docPartObj>
    </w:sdtPr>
    <w:sdtContent>
      <w:p w14:paraId="159829ED" w14:textId="08C6FFF6" w:rsidR="00A72865" w:rsidRDefault="00A72865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6828" w14:textId="77777777" w:rsidR="00A72865" w:rsidRDefault="00A728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9191F"/>
    <w:multiLevelType w:val="hybridMultilevel"/>
    <w:tmpl w:val="F3A8307E"/>
    <w:lvl w:ilvl="0" w:tplc="7008722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93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F0"/>
    <w:rsid w:val="000070D7"/>
    <w:rsid w:val="000101EE"/>
    <w:rsid w:val="00011DB9"/>
    <w:rsid w:val="00012962"/>
    <w:rsid w:val="00014841"/>
    <w:rsid w:val="00027E77"/>
    <w:rsid w:val="00031F35"/>
    <w:rsid w:val="0003736C"/>
    <w:rsid w:val="00041983"/>
    <w:rsid w:val="00041F96"/>
    <w:rsid w:val="000446B2"/>
    <w:rsid w:val="00044D18"/>
    <w:rsid w:val="00047F46"/>
    <w:rsid w:val="0005130D"/>
    <w:rsid w:val="00053681"/>
    <w:rsid w:val="00056425"/>
    <w:rsid w:val="00061FBE"/>
    <w:rsid w:val="00065CAA"/>
    <w:rsid w:val="000714D5"/>
    <w:rsid w:val="00082C5D"/>
    <w:rsid w:val="0008599E"/>
    <w:rsid w:val="00087D56"/>
    <w:rsid w:val="00092CFE"/>
    <w:rsid w:val="000A5BD7"/>
    <w:rsid w:val="000B06E6"/>
    <w:rsid w:val="000B1DF1"/>
    <w:rsid w:val="000B7338"/>
    <w:rsid w:val="000C02E6"/>
    <w:rsid w:val="000C4B7F"/>
    <w:rsid w:val="000C5EA2"/>
    <w:rsid w:val="000D15B5"/>
    <w:rsid w:val="000D2563"/>
    <w:rsid w:val="000D3259"/>
    <w:rsid w:val="000F1A5A"/>
    <w:rsid w:val="001053F0"/>
    <w:rsid w:val="00124C79"/>
    <w:rsid w:val="00127257"/>
    <w:rsid w:val="001333EA"/>
    <w:rsid w:val="0014287A"/>
    <w:rsid w:val="00145383"/>
    <w:rsid w:val="00175F34"/>
    <w:rsid w:val="00187579"/>
    <w:rsid w:val="00187A5A"/>
    <w:rsid w:val="00192E85"/>
    <w:rsid w:val="00197895"/>
    <w:rsid w:val="001A1B38"/>
    <w:rsid w:val="001A5F39"/>
    <w:rsid w:val="001A69EE"/>
    <w:rsid w:val="001C0CEC"/>
    <w:rsid w:val="001D0BD7"/>
    <w:rsid w:val="001F2C8D"/>
    <w:rsid w:val="001F4BC4"/>
    <w:rsid w:val="001F5721"/>
    <w:rsid w:val="002251FE"/>
    <w:rsid w:val="0023383D"/>
    <w:rsid w:val="0023703F"/>
    <w:rsid w:val="002522CA"/>
    <w:rsid w:val="00265C0D"/>
    <w:rsid w:val="00266A06"/>
    <w:rsid w:val="00277534"/>
    <w:rsid w:val="002803B3"/>
    <w:rsid w:val="002A1418"/>
    <w:rsid w:val="002B176F"/>
    <w:rsid w:val="002C1471"/>
    <w:rsid w:val="00300E53"/>
    <w:rsid w:val="00312028"/>
    <w:rsid w:val="003244EC"/>
    <w:rsid w:val="00325A0C"/>
    <w:rsid w:val="00327242"/>
    <w:rsid w:val="00333E4C"/>
    <w:rsid w:val="003355D0"/>
    <w:rsid w:val="00335C10"/>
    <w:rsid w:val="00337712"/>
    <w:rsid w:val="00342C34"/>
    <w:rsid w:val="00343B22"/>
    <w:rsid w:val="00361633"/>
    <w:rsid w:val="003757CE"/>
    <w:rsid w:val="00381943"/>
    <w:rsid w:val="00383DED"/>
    <w:rsid w:val="00391604"/>
    <w:rsid w:val="003916B7"/>
    <w:rsid w:val="00396F66"/>
    <w:rsid w:val="00397A61"/>
    <w:rsid w:val="003A572B"/>
    <w:rsid w:val="003C20D1"/>
    <w:rsid w:val="003D31CE"/>
    <w:rsid w:val="003D41B5"/>
    <w:rsid w:val="003D4677"/>
    <w:rsid w:val="003D5BB4"/>
    <w:rsid w:val="003E27DD"/>
    <w:rsid w:val="003E43F5"/>
    <w:rsid w:val="003F1E05"/>
    <w:rsid w:val="003F5ECF"/>
    <w:rsid w:val="003F6C12"/>
    <w:rsid w:val="003F7C86"/>
    <w:rsid w:val="00404D94"/>
    <w:rsid w:val="0041049C"/>
    <w:rsid w:val="00411689"/>
    <w:rsid w:val="00414066"/>
    <w:rsid w:val="004260D1"/>
    <w:rsid w:val="004306F0"/>
    <w:rsid w:val="00435A67"/>
    <w:rsid w:val="00436881"/>
    <w:rsid w:val="00444377"/>
    <w:rsid w:val="004531E2"/>
    <w:rsid w:val="00457889"/>
    <w:rsid w:val="0046288A"/>
    <w:rsid w:val="00473117"/>
    <w:rsid w:val="00476E22"/>
    <w:rsid w:val="00490C9E"/>
    <w:rsid w:val="004A00DF"/>
    <w:rsid w:val="004A1B77"/>
    <w:rsid w:val="004A78AD"/>
    <w:rsid w:val="004B4893"/>
    <w:rsid w:val="004C1355"/>
    <w:rsid w:val="004C2EA8"/>
    <w:rsid w:val="004C44A7"/>
    <w:rsid w:val="004C5981"/>
    <w:rsid w:val="004D265B"/>
    <w:rsid w:val="004E0D8D"/>
    <w:rsid w:val="004F0796"/>
    <w:rsid w:val="004F3A77"/>
    <w:rsid w:val="00505F0F"/>
    <w:rsid w:val="00507A57"/>
    <w:rsid w:val="00526B44"/>
    <w:rsid w:val="00527C4A"/>
    <w:rsid w:val="00531327"/>
    <w:rsid w:val="00533E0B"/>
    <w:rsid w:val="00533F26"/>
    <w:rsid w:val="00535C08"/>
    <w:rsid w:val="00545F6B"/>
    <w:rsid w:val="00556016"/>
    <w:rsid w:val="005615EA"/>
    <w:rsid w:val="00576B9B"/>
    <w:rsid w:val="005B06C7"/>
    <w:rsid w:val="005B0E62"/>
    <w:rsid w:val="005B5A62"/>
    <w:rsid w:val="005C115F"/>
    <w:rsid w:val="005C20E7"/>
    <w:rsid w:val="005D183F"/>
    <w:rsid w:val="005D5F2F"/>
    <w:rsid w:val="005F5BEF"/>
    <w:rsid w:val="00611EC6"/>
    <w:rsid w:val="00612D5E"/>
    <w:rsid w:val="0061628F"/>
    <w:rsid w:val="00630D44"/>
    <w:rsid w:val="006324AF"/>
    <w:rsid w:val="006327F9"/>
    <w:rsid w:val="006368B0"/>
    <w:rsid w:val="00643922"/>
    <w:rsid w:val="00643F6D"/>
    <w:rsid w:val="0064440C"/>
    <w:rsid w:val="00646DA5"/>
    <w:rsid w:val="00647CF9"/>
    <w:rsid w:val="00647DF9"/>
    <w:rsid w:val="00656741"/>
    <w:rsid w:val="006665F1"/>
    <w:rsid w:val="00674C1D"/>
    <w:rsid w:val="00676C55"/>
    <w:rsid w:val="00681A7B"/>
    <w:rsid w:val="00686CC5"/>
    <w:rsid w:val="006A65DB"/>
    <w:rsid w:val="006B00EB"/>
    <w:rsid w:val="006B0DB7"/>
    <w:rsid w:val="006B17EB"/>
    <w:rsid w:val="006B3C3A"/>
    <w:rsid w:val="006C0557"/>
    <w:rsid w:val="006C4F52"/>
    <w:rsid w:val="006C79F9"/>
    <w:rsid w:val="006C7E0E"/>
    <w:rsid w:val="006E0326"/>
    <w:rsid w:val="006E545A"/>
    <w:rsid w:val="006F200F"/>
    <w:rsid w:val="006F70A2"/>
    <w:rsid w:val="00700668"/>
    <w:rsid w:val="00720EC9"/>
    <w:rsid w:val="00735DED"/>
    <w:rsid w:val="00741971"/>
    <w:rsid w:val="00744749"/>
    <w:rsid w:val="007530E8"/>
    <w:rsid w:val="0075530B"/>
    <w:rsid w:val="007558CF"/>
    <w:rsid w:val="007607CB"/>
    <w:rsid w:val="007636CE"/>
    <w:rsid w:val="00765CC7"/>
    <w:rsid w:val="007718AF"/>
    <w:rsid w:val="00782BC5"/>
    <w:rsid w:val="007A3204"/>
    <w:rsid w:val="007B2F67"/>
    <w:rsid w:val="007B5F61"/>
    <w:rsid w:val="007C2981"/>
    <w:rsid w:val="007C5AC4"/>
    <w:rsid w:val="007D5AA9"/>
    <w:rsid w:val="007D6230"/>
    <w:rsid w:val="007E692F"/>
    <w:rsid w:val="007F659E"/>
    <w:rsid w:val="00801322"/>
    <w:rsid w:val="00816FD5"/>
    <w:rsid w:val="00822ADF"/>
    <w:rsid w:val="00830582"/>
    <w:rsid w:val="00832A50"/>
    <w:rsid w:val="00835E2D"/>
    <w:rsid w:val="0083602B"/>
    <w:rsid w:val="00843163"/>
    <w:rsid w:val="00845812"/>
    <w:rsid w:val="008508C8"/>
    <w:rsid w:val="00852C93"/>
    <w:rsid w:val="00860A96"/>
    <w:rsid w:val="00861EBB"/>
    <w:rsid w:val="0086247A"/>
    <w:rsid w:val="008626FA"/>
    <w:rsid w:val="0086380A"/>
    <w:rsid w:val="008642DC"/>
    <w:rsid w:val="00864B08"/>
    <w:rsid w:val="00864DBD"/>
    <w:rsid w:val="0086519C"/>
    <w:rsid w:val="008756B3"/>
    <w:rsid w:val="00882AE2"/>
    <w:rsid w:val="00883F74"/>
    <w:rsid w:val="0088758B"/>
    <w:rsid w:val="008B1439"/>
    <w:rsid w:val="008B5313"/>
    <w:rsid w:val="008B57C2"/>
    <w:rsid w:val="008B68C9"/>
    <w:rsid w:val="008C0DA3"/>
    <w:rsid w:val="008C2726"/>
    <w:rsid w:val="008C5DAD"/>
    <w:rsid w:val="008D70EB"/>
    <w:rsid w:val="008E234D"/>
    <w:rsid w:val="008E4370"/>
    <w:rsid w:val="008E7329"/>
    <w:rsid w:val="008F4373"/>
    <w:rsid w:val="009002EE"/>
    <w:rsid w:val="0090543E"/>
    <w:rsid w:val="00905FBD"/>
    <w:rsid w:val="00912ED9"/>
    <w:rsid w:val="0092295E"/>
    <w:rsid w:val="0093027D"/>
    <w:rsid w:val="00964F40"/>
    <w:rsid w:val="00987179"/>
    <w:rsid w:val="0099478E"/>
    <w:rsid w:val="00994812"/>
    <w:rsid w:val="009A0EB2"/>
    <w:rsid w:val="009B0D95"/>
    <w:rsid w:val="009C24D2"/>
    <w:rsid w:val="009C3472"/>
    <w:rsid w:val="009C4B31"/>
    <w:rsid w:val="009D1391"/>
    <w:rsid w:val="009D3AA4"/>
    <w:rsid w:val="009E087A"/>
    <w:rsid w:val="009E1AD0"/>
    <w:rsid w:val="009E2BA2"/>
    <w:rsid w:val="009F13B3"/>
    <w:rsid w:val="00A01FAD"/>
    <w:rsid w:val="00A02088"/>
    <w:rsid w:val="00A05B63"/>
    <w:rsid w:val="00A20B14"/>
    <w:rsid w:val="00A2312F"/>
    <w:rsid w:val="00A27A6B"/>
    <w:rsid w:val="00A3187A"/>
    <w:rsid w:val="00A320AF"/>
    <w:rsid w:val="00A36BC8"/>
    <w:rsid w:val="00A430DF"/>
    <w:rsid w:val="00A53A8C"/>
    <w:rsid w:val="00A613CB"/>
    <w:rsid w:val="00A65435"/>
    <w:rsid w:val="00A70DD9"/>
    <w:rsid w:val="00A71E56"/>
    <w:rsid w:val="00A72865"/>
    <w:rsid w:val="00A73138"/>
    <w:rsid w:val="00A76D3B"/>
    <w:rsid w:val="00A8370A"/>
    <w:rsid w:val="00A849E8"/>
    <w:rsid w:val="00A85E2E"/>
    <w:rsid w:val="00A90D98"/>
    <w:rsid w:val="00A945C2"/>
    <w:rsid w:val="00A97BE8"/>
    <w:rsid w:val="00A97FD7"/>
    <w:rsid w:val="00AA5008"/>
    <w:rsid w:val="00AB1E7F"/>
    <w:rsid w:val="00AB1EA9"/>
    <w:rsid w:val="00AC0C70"/>
    <w:rsid w:val="00AC4F33"/>
    <w:rsid w:val="00AE44F7"/>
    <w:rsid w:val="00AE5353"/>
    <w:rsid w:val="00AF1163"/>
    <w:rsid w:val="00B00201"/>
    <w:rsid w:val="00B00F43"/>
    <w:rsid w:val="00B03BE8"/>
    <w:rsid w:val="00B0731F"/>
    <w:rsid w:val="00B131D0"/>
    <w:rsid w:val="00B16D28"/>
    <w:rsid w:val="00B17C30"/>
    <w:rsid w:val="00B20011"/>
    <w:rsid w:val="00B2535E"/>
    <w:rsid w:val="00B31F3F"/>
    <w:rsid w:val="00B33B37"/>
    <w:rsid w:val="00B504D4"/>
    <w:rsid w:val="00B533DB"/>
    <w:rsid w:val="00B70A29"/>
    <w:rsid w:val="00B73008"/>
    <w:rsid w:val="00B8315C"/>
    <w:rsid w:val="00B83F4C"/>
    <w:rsid w:val="00B865FE"/>
    <w:rsid w:val="00B86DCE"/>
    <w:rsid w:val="00B97BCE"/>
    <w:rsid w:val="00BA01A8"/>
    <w:rsid w:val="00BA0795"/>
    <w:rsid w:val="00BA481B"/>
    <w:rsid w:val="00BA4DA2"/>
    <w:rsid w:val="00BB2FF1"/>
    <w:rsid w:val="00BB626B"/>
    <w:rsid w:val="00BD0336"/>
    <w:rsid w:val="00BE0263"/>
    <w:rsid w:val="00BE41FB"/>
    <w:rsid w:val="00BE57C8"/>
    <w:rsid w:val="00BE5D22"/>
    <w:rsid w:val="00C05979"/>
    <w:rsid w:val="00C1004A"/>
    <w:rsid w:val="00C11F95"/>
    <w:rsid w:val="00C178A6"/>
    <w:rsid w:val="00C269A1"/>
    <w:rsid w:val="00C51BAB"/>
    <w:rsid w:val="00C60897"/>
    <w:rsid w:val="00C6157A"/>
    <w:rsid w:val="00C72638"/>
    <w:rsid w:val="00C73BD8"/>
    <w:rsid w:val="00C84DD1"/>
    <w:rsid w:val="00C94FEA"/>
    <w:rsid w:val="00C954AE"/>
    <w:rsid w:val="00CB7D37"/>
    <w:rsid w:val="00CD514E"/>
    <w:rsid w:val="00CD5DB9"/>
    <w:rsid w:val="00CE511C"/>
    <w:rsid w:val="00CF0239"/>
    <w:rsid w:val="00CF3403"/>
    <w:rsid w:val="00CF46E6"/>
    <w:rsid w:val="00CF6025"/>
    <w:rsid w:val="00D04DED"/>
    <w:rsid w:val="00D312D2"/>
    <w:rsid w:val="00D347C1"/>
    <w:rsid w:val="00D433C3"/>
    <w:rsid w:val="00D4501C"/>
    <w:rsid w:val="00D53C82"/>
    <w:rsid w:val="00D54862"/>
    <w:rsid w:val="00D54ACB"/>
    <w:rsid w:val="00D630D4"/>
    <w:rsid w:val="00D74841"/>
    <w:rsid w:val="00D815EA"/>
    <w:rsid w:val="00D83B4C"/>
    <w:rsid w:val="00D86ED6"/>
    <w:rsid w:val="00D9451C"/>
    <w:rsid w:val="00D94F10"/>
    <w:rsid w:val="00DA3978"/>
    <w:rsid w:val="00DA4154"/>
    <w:rsid w:val="00DA56BF"/>
    <w:rsid w:val="00DB0621"/>
    <w:rsid w:val="00DB2344"/>
    <w:rsid w:val="00DD55DF"/>
    <w:rsid w:val="00DE279C"/>
    <w:rsid w:val="00DE66EF"/>
    <w:rsid w:val="00DE7002"/>
    <w:rsid w:val="00DF2736"/>
    <w:rsid w:val="00DF7820"/>
    <w:rsid w:val="00E00B6C"/>
    <w:rsid w:val="00E03201"/>
    <w:rsid w:val="00E153AF"/>
    <w:rsid w:val="00E21DF7"/>
    <w:rsid w:val="00E25EE3"/>
    <w:rsid w:val="00E3478A"/>
    <w:rsid w:val="00E37967"/>
    <w:rsid w:val="00E42282"/>
    <w:rsid w:val="00E44F3A"/>
    <w:rsid w:val="00E5439B"/>
    <w:rsid w:val="00E62E9E"/>
    <w:rsid w:val="00E65269"/>
    <w:rsid w:val="00E848A0"/>
    <w:rsid w:val="00E864FF"/>
    <w:rsid w:val="00E91207"/>
    <w:rsid w:val="00EA1054"/>
    <w:rsid w:val="00EC38B0"/>
    <w:rsid w:val="00EF4420"/>
    <w:rsid w:val="00F154D5"/>
    <w:rsid w:val="00F20E22"/>
    <w:rsid w:val="00F211A2"/>
    <w:rsid w:val="00F21336"/>
    <w:rsid w:val="00F22DAE"/>
    <w:rsid w:val="00F24EA7"/>
    <w:rsid w:val="00F271F3"/>
    <w:rsid w:val="00F379FA"/>
    <w:rsid w:val="00F403F9"/>
    <w:rsid w:val="00F475CC"/>
    <w:rsid w:val="00F51D73"/>
    <w:rsid w:val="00F73C58"/>
    <w:rsid w:val="00F86243"/>
    <w:rsid w:val="00F86A3B"/>
    <w:rsid w:val="00F9225E"/>
    <w:rsid w:val="00FA5687"/>
    <w:rsid w:val="00FB23FC"/>
    <w:rsid w:val="00FB39E8"/>
    <w:rsid w:val="00FC13E4"/>
    <w:rsid w:val="00FE256A"/>
    <w:rsid w:val="00FE3469"/>
    <w:rsid w:val="00FE3E9A"/>
    <w:rsid w:val="00FE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27373"/>
  <w15:chartTrackingRefBased/>
  <w15:docId w15:val="{86679F4F-EDA7-4CF6-985B-B0300E7F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3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053F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053F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053F0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A728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2865"/>
  </w:style>
  <w:style w:type="paragraph" w:styleId="Pieddepage">
    <w:name w:val="footer"/>
    <w:basedOn w:val="Normal"/>
    <w:link w:val="PieddepageCar"/>
    <w:uiPriority w:val="99"/>
    <w:unhideWhenUsed/>
    <w:rsid w:val="00A728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2865"/>
  </w:style>
  <w:style w:type="paragraph" w:styleId="Paragraphedeliste">
    <w:name w:val="List Paragraph"/>
    <w:basedOn w:val="Normal"/>
    <w:uiPriority w:val="34"/>
    <w:qFormat/>
    <w:rsid w:val="001C0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8854A-E00E-4216-BE82-AE86B6104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957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Béira Ehi Marc</dc:creator>
  <cp:keywords/>
  <dc:description/>
  <cp:lastModifiedBy>Ehi Marc BEIRA</cp:lastModifiedBy>
  <cp:revision>328</cp:revision>
  <cp:lastPrinted>2024-08-08T12:29:00Z</cp:lastPrinted>
  <dcterms:created xsi:type="dcterms:W3CDTF">2024-08-26T17:09:00Z</dcterms:created>
  <dcterms:modified xsi:type="dcterms:W3CDTF">2024-09-06T14:19:00Z</dcterms:modified>
</cp:coreProperties>
</file>