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/05/04/2024</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Aedrian Jeao De Torres</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2024-05-04 from Aedrian Jeao De Torres</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asd</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12</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2093F7C3" w14:textId="02F5051A" w:rsidR="00FE7940" w:rsidRPr="00763A32" w:rsidRDefault="002E614D"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w:t>
            </w:r>
            <w:r>
              <w:rPr>
                <w:rFonts w:ascii="Times New Roman" w:hAnsi="Times New Roman"/>
                <w:color w:val="000000"/>
                <w:sz w:val="24"/>
                <w:szCs w:val="24"/>
              </w:rPr>
              <w:t xml:space="preserve"> </w:t>
            </w:r>
            <w:r w:rsidR="00FE7940" w:rsidRPr="00763A32">
              <w:rPr>
                <w:rFonts w:ascii="Times New Roman" w:hAnsi="Times New Roman"/>
                <w:color w:val="000000"/>
                <w:sz w:val="24"/>
                <w:szCs w:val="24"/>
              </w:rPr>
              <w:t>to wit,</w:t>
            </w:r>
            <w:r w:rsidR="00FE7940">
              <w:rPr>
                <w:rFonts w:ascii="Times New Roman" w:hAnsi="Times New Roman"/>
                <w:color w:val="000000"/>
                <w:sz w:val="24"/>
                <w:szCs w:val="24"/>
              </w:rPr>
              <w:t xml:space="preserve"> asd</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Ninfa M. Vergara</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Ninfa M. Vergara</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