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90" w:rsidRPr="00105EFE" w:rsidRDefault="00BE09A1" w:rsidP="00D43152">
      <w:pPr>
        <w:pStyle w:val="IOPTitle"/>
        <w:rPr>
          <w:lang w:val="fr-CA"/>
        </w:rPr>
      </w:pPr>
      <w:r w:rsidRPr="00105EFE">
        <w:rPr>
          <w:rStyle w:val="IOPTitleChar"/>
          <w:b/>
          <w:lang w:val="fr-CA"/>
        </w:rPr>
        <w:t xml:space="preserve">Classification de champs sémantiques en partitionnement de </w:t>
      </w:r>
      <w:r w:rsidR="008E0254" w:rsidRPr="00105EFE">
        <w:rPr>
          <w:rStyle w:val="IOPTitleChar"/>
          <w:b/>
          <w:lang w:val="fr-CA"/>
        </w:rPr>
        <w:t>données :</w:t>
      </w:r>
      <w:r w:rsidR="00B10FAF" w:rsidRPr="00105EFE">
        <w:rPr>
          <w:rStyle w:val="IOPTitleChar"/>
          <w:b/>
          <w:lang w:val="fr-CA"/>
        </w:rPr>
        <w:t xml:space="preserve"> une approche expérimentale</w:t>
      </w:r>
    </w:p>
    <w:p w:rsidR="00D43152" w:rsidRPr="00105EFE" w:rsidRDefault="0084044D" w:rsidP="00D43152">
      <w:pPr>
        <w:pStyle w:val="IOPAuthor"/>
        <w:rPr>
          <w:vertAlign w:val="superscript"/>
          <w:lang w:val="fr-CA"/>
        </w:rPr>
      </w:pPr>
      <w:r w:rsidRPr="00105EFE">
        <w:rPr>
          <w:lang w:val="fr-CA"/>
        </w:rPr>
        <w:t>Joé Bourgeois-Paquin</w:t>
      </w:r>
      <w:r w:rsidRPr="00105EFE">
        <w:rPr>
          <w:vertAlign w:val="superscript"/>
          <w:lang w:val="fr-CA"/>
        </w:rPr>
        <w:t>1</w:t>
      </w:r>
      <w:r w:rsidRPr="00105EFE">
        <w:rPr>
          <w:lang w:val="fr-CA"/>
        </w:rPr>
        <w:t>, Jean-Simon Bondaz</w:t>
      </w:r>
      <w:r w:rsidR="00BE09A1" w:rsidRPr="00105EFE">
        <w:rPr>
          <w:vertAlign w:val="superscript"/>
          <w:lang w:val="fr-CA"/>
        </w:rPr>
        <w:t>1</w:t>
      </w:r>
      <w:r w:rsidRPr="00105EFE">
        <w:rPr>
          <w:lang w:val="fr-CA"/>
        </w:rPr>
        <w:t xml:space="preserve"> et</w:t>
      </w:r>
      <w:r w:rsidR="00D43152" w:rsidRPr="00105EFE">
        <w:rPr>
          <w:lang w:val="fr-CA"/>
        </w:rPr>
        <w:t xml:space="preserve"> </w:t>
      </w:r>
      <w:r w:rsidRPr="00105EFE">
        <w:rPr>
          <w:lang w:val="fr-CA"/>
        </w:rPr>
        <w:t>Claudia Roy</w:t>
      </w:r>
      <w:r w:rsidRPr="00105EFE">
        <w:rPr>
          <w:vertAlign w:val="superscript"/>
          <w:lang w:val="fr-CA"/>
        </w:rPr>
        <w:t>1</w:t>
      </w:r>
    </w:p>
    <w:p w:rsidR="00D74B07" w:rsidRPr="00105EFE" w:rsidRDefault="00D43152" w:rsidP="00D43152">
      <w:pPr>
        <w:pStyle w:val="IOPAff"/>
        <w:rPr>
          <w:lang w:val="fr-CA"/>
        </w:rPr>
      </w:pPr>
      <w:r w:rsidRPr="00105EFE">
        <w:rPr>
          <w:vertAlign w:val="superscript"/>
          <w:lang w:val="fr-CA"/>
        </w:rPr>
        <w:t xml:space="preserve">1 </w:t>
      </w:r>
      <w:r w:rsidR="009F78DB" w:rsidRPr="00105EFE">
        <w:rPr>
          <w:lang w:val="fr-CA"/>
        </w:rPr>
        <w:t>Département d’i</w:t>
      </w:r>
      <w:r w:rsidR="0084044D" w:rsidRPr="00105EFE">
        <w:rPr>
          <w:lang w:val="fr-CA"/>
        </w:rPr>
        <w:t>nformatique</w:t>
      </w:r>
      <w:r w:rsidRPr="00105EFE">
        <w:rPr>
          <w:lang w:val="fr-CA"/>
        </w:rPr>
        <w:t xml:space="preserve">, </w:t>
      </w:r>
      <w:r w:rsidR="0084044D" w:rsidRPr="00105EFE">
        <w:rPr>
          <w:lang w:val="fr-CA"/>
        </w:rPr>
        <w:t>Cégep du Vieux Montréal</w:t>
      </w:r>
      <w:r w:rsidRPr="00105EFE">
        <w:rPr>
          <w:lang w:val="fr-CA"/>
        </w:rPr>
        <w:t xml:space="preserve">, </w:t>
      </w:r>
      <w:r w:rsidR="0084044D" w:rsidRPr="00105EFE">
        <w:rPr>
          <w:lang w:val="fr-CA"/>
        </w:rPr>
        <w:t>Montréal</w:t>
      </w:r>
      <w:r w:rsidRPr="00105EFE">
        <w:rPr>
          <w:lang w:val="fr-CA"/>
        </w:rPr>
        <w:t xml:space="preserve">, </w:t>
      </w:r>
      <w:r w:rsidR="0084044D" w:rsidRPr="00105EFE">
        <w:rPr>
          <w:lang w:val="fr-CA"/>
        </w:rPr>
        <w:t>Québec</w:t>
      </w:r>
    </w:p>
    <w:p w:rsidR="00D43152" w:rsidRPr="00105EFE" w:rsidRDefault="00D43152" w:rsidP="00D43152">
      <w:pPr>
        <w:pStyle w:val="IOPAff"/>
        <w:rPr>
          <w:lang w:val="fr-CA"/>
        </w:rPr>
      </w:pPr>
    </w:p>
    <w:p w:rsidR="00D74B07" w:rsidRPr="00105EFE" w:rsidRDefault="009A3580" w:rsidP="00D43152">
      <w:pPr>
        <w:pStyle w:val="IOPAff"/>
        <w:rPr>
          <w:lang w:val="fr-CA"/>
        </w:rPr>
      </w:pPr>
      <w:r w:rsidRPr="00105EFE">
        <w:rPr>
          <w:lang w:val="fr-CA"/>
        </w:rPr>
        <w:t>Dans le cadre du cours de Projet Oracle – B62 (Hiver 2019)</w:t>
      </w:r>
    </w:p>
    <w:p w:rsidR="00D74B07" w:rsidRPr="00105EFE" w:rsidRDefault="00B10FAF" w:rsidP="00D74B07">
      <w:pPr>
        <w:pStyle w:val="IOPH1"/>
        <w:rPr>
          <w:lang w:val="fr-CA"/>
        </w:rPr>
      </w:pPr>
      <w:r w:rsidRPr="00105EFE">
        <w:rPr>
          <w:lang w:val="fr-CA"/>
        </w:rPr>
        <w:t>Résumé</w:t>
      </w:r>
    </w:p>
    <w:p w:rsidR="00D74B07" w:rsidRPr="00105EFE" w:rsidRDefault="00482764" w:rsidP="00D74B07">
      <w:pPr>
        <w:pStyle w:val="IOPAbsText"/>
        <w:rPr>
          <w:lang w:val="fr-CA"/>
        </w:rPr>
      </w:pPr>
      <w:r w:rsidRPr="00105EFE">
        <w:rPr>
          <w:noProof/>
          <w:lang w:val="fr-CA"/>
        </w:rPr>
        <w:t>Cet article présente des pistes d’analyse de données organisées en partionnement (</w:t>
      </w:r>
      <w:r w:rsidRPr="00105EFE">
        <w:rPr>
          <w:i/>
          <w:noProof/>
          <w:lang w:val="fr-CA"/>
        </w:rPr>
        <w:t>data clustering</w:t>
      </w:r>
      <w:r w:rsidRPr="00105EFE">
        <w:rPr>
          <w:noProof/>
          <w:lang w:val="fr-CA"/>
        </w:rPr>
        <w:t>), celles-ci étant</w:t>
      </w:r>
      <w:r w:rsidR="00A72FB8" w:rsidRPr="00105EFE">
        <w:rPr>
          <w:noProof/>
          <w:lang w:val="fr-CA"/>
        </w:rPr>
        <w:t xml:space="preserve"> recueillies</w:t>
      </w:r>
      <w:r w:rsidRPr="00105EFE">
        <w:rPr>
          <w:noProof/>
          <w:lang w:val="fr-CA"/>
        </w:rPr>
        <w:t xml:space="preserve"> principalement dans des corpus de texte en français. Ces sous-ensembles sont peup</w:t>
      </w:r>
      <w:r w:rsidR="00427342" w:rsidRPr="00105EFE">
        <w:rPr>
          <w:noProof/>
          <w:lang w:val="fr-CA"/>
        </w:rPr>
        <w:t>lés par des individus (mots) dont la coocurrences dans les corpus avec les autres mo</w:t>
      </w:r>
      <w:r w:rsidR="00C47102" w:rsidRPr="00105EFE">
        <w:rPr>
          <w:noProof/>
          <w:lang w:val="fr-CA"/>
        </w:rPr>
        <w:t xml:space="preserve">ts </w:t>
      </w:r>
      <w:r w:rsidR="009F78DB" w:rsidRPr="00105EFE">
        <w:rPr>
          <w:noProof/>
          <w:lang w:val="fr-CA"/>
        </w:rPr>
        <w:t>est comptabilisée</w:t>
      </w:r>
      <w:r w:rsidR="00C47102" w:rsidRPr="00105EFE">
        <w:rPr>
          <w:noProof/>
          <w:lang w:val="fr-CA"/>
        </w:rPr>
        <w:t>. Le vecteur de coocurrences de chaque individu sert ensuite de coordonnées permettant de calculer sa distance à un barycentre</w:t>
      </w:r>
      <w:r w:rsidR="006E5527" w:rsidRPr="00105EFE">
        <w:rPr>
          <w:noProof/>
          <w:lang w:val="fr-CA"/>
        </w:rPr>
        <w:t xml:space="preserve"> choisi</w:t>
      </w:r>
      <w:r w:rsidR="00C47102" w:rsidRPr="00105EFE">
        <w:rPr>
          <w:noProof/>
          <w:lang w:val="fr-CA"/>
        </w:rPr>
        <w:t xml:space="preserve"> </w:t>
      </w:r>
      <w:r w:rsidR="006E5527" w:rsidRPr="00105EFE">
        <w:rPr>
          <w:noProof/>
          <w:lang w:val="fr-CA"/>
        </w:rPr>
        <w:t xml:space="preserve">ou </w:t>
      </w:r>
      <w:r w:rsidR="00C47102" w:rsidRPr="00105EFE">
        <w:rPr>
          <w:noProof/>
          <w:lang w:val="fr-CA"/>
        </w:rPr>
        <w:t xml:space="preserve">généré aléatoirement </w:t>
      </w:r>
      <w:r w:rsidR="009F78DB" w:rsidRPr="00105EFE">
        <w:rPr>
          <w:noProof/>
          <w:lang w:val="fr-CA"/>
        </w:rPr>
        <w:t>Cette distance nous permet de former des sous-groupes repré</w:t>
      </w:r>
      <w:r w:rsidR="005B3AC6" w:rsidRPr="00105EFE">
        <w:rPr>
          <w:noProof/>
          <w:lang w:val="fr-CA"/>
        </w:rPr>
        <w:t>sentant des champs sémantique basés sur leurs</w:t>
      </w:r>
      <w:r w:rsidR="009F78DB" w:rsidRPr="00105EFE">
        <w:rPr>
          <w:noProof/>
          <w:lang w:val="fr-CA"/>
        </w:rPr>
        <w:t xml:space="preserve"> cooccurences</w:t>
      </w:r>
      <w:r w:rsidR="005B3AC6" w:rsidRPr="00105EFE">
        <w:rPr>
          <w:noProof/>
          <w:lang w:val="fr-CA"/>
        </w:rPr>
        <w:t xml:space="preserve"> entre invididus</w:t>
      </w:r>
      <w:r w:rsidR="009F78DB" w:rsidRPr="00105EFE">
        <w:rPr>
          <w:noProof/>
          <w:lang w:val="fr-CA"/>
        </w:rPr>
        <w:t xml:space="preserve">. </w:t>
      </w:r>
    </w:p>
    <w:p w:rsidR="005223F4" w:rsidRPr="00105EFE" w:rsidRDefault="00B10FAF" w:rsidP="005223F4">
      <w:pPr>
        <w:pStyle w:val="IOPKwd"/>
        <w:rPr>
          <w:lang w:val="fr-CA"/>
        </w:rPr>
      </w:pPr>
      <w:r w:rsidRPr="00105EFE">
        <w:rPr>
          <w:lang w:val="fr-CA"/>
        </w:rPr>
        <w:t>Mots-</w:t>
      </w:r>
      <w:proofErr w:type="gramStart"/>
      <w:r w:rsidRPr="00105EFE">
        <w:rPr>
          <w:lang w:val="fr-CA"/>
        </w:rPr>
        <w:t>clés</w:t>
      </w:r>
      <w:r w:rsidR="005223F4" w:rsidRPr="00105EFE">
        <w:rPr>
          <w:lang w:val="fr-CA"/>
        </w:rPr>
        <w:t>:</w:t>
      </w:r>
      <w:proofErr w:type="gramEnd"/>
      <w:r w:rsidR="005223F4" w:rsidRPr="00105EFE">
        <w:rPr>
          <w:lang w:val="fr-CA"/>
        </w:rPr>
        <w:t xml:space="preserve"> </w:t>
      </w:r>
      <w:proofErr w:type="spellStart"/>
      <w:r w:rsidR="0012482B" w:rsidRPr="00105EFE">
        <w:rPr>
          <w:i/>
          <w:lang w:val="fr-CA"/>
        </w:rPr>
        <w:t>partionnement</w:t>
      </w:r>
      <w:proofErr w:type="spellEnd"/>
      <w:r w:rsidR="005223F4" w:rsidRPr="00105EFE">
        <w:rPr>
          <w:i/>
          <w:lang w:val="fr-CA"/>
        </w:rPr>
        <w:t xml:space="preserve">, </w:t>
      </w:r>
      <w:proofErr w:type="spellStart"/>
      <w:r w:rsidR="0012482B" w:rsidRPr="00105EFE">
        <w:rPr>
          <w:i/>
          <w:lang w:val="fr-CA"/>
        </w:rPr>
        <w:t>cooccurence</w:t>
      </w:r>
      <w:proofErr w:type="spellEnd"/>
      <w:r w:rsidR="005223F4" w:rsidRPr="00105EFE">
        <w:rPr>
          <w:i/>
          <w:lang w:val="fr-CA"/>
        </w:rPr>
        <w:t xml:space="preserve">, </w:t>
      </w:r>
      <w:r w:rsidR="0012482B" w:rsidRPr="00105EFE">
        <w:rPr>
          <w:i/>
          <w:lang w:val="fr-CA"/>
        </w:rPr>
        <w:t>corpus</w:t>
      </w:r>
    </w:p>
    <w:p w:rsidR="005223F4" w:rsidRPr="00105EFE" w:rsidRDefault="005223F4" w:rsidP="005223F4">
      <w:pPr>
        <w:pStyle w:val="IOPKwd"/>
        <w:rPr>
          <w:lang w:val="fr-CA"/>
        </w:rPr>
      </w:pPr>
    </w:p>
    <w:p w:rsidR="004D2E4E" w:rsidRPr="00105EFE" w:rsidRDefault="004D2E4E" w:rsidP="005223F4">
      <w:pPr>
        <w:pStyle w:val="IOPAbsText"/>
        <w:rPr>
          <w:lang w:val="fr-CA"/>
        </w:rPr>
        <w:sectPr w:rsidR="004D2E4E" w:rsidRPr="00105EFE" w:rsidSect="003A5833">
          <w:headerReference w:type="default" r:id="rId8"/>
          <w:footerReference w:type="default" r:id="rId9"/>
          <w:pgSz w:w="11906" w:h="16838"/>
          <w:pgMar w:top="2098" w:right="907" w:bottom="1474" w:left="907" w:header="709" w:footer="709" w:gutter="0"/>
          <w:cols w:space="708"/>
          <w:docGrid w:linePitch="360"/>
        </w:sectPr>
      </w:pPr>
    </w:p>
    <w:p w:rsidR="00A40AFB" w:rsidRPr="00105EFE" w:rsidRDefault="00A40AFB" w:rsidP="00A40AFB">
      <w:pPr>
        <w:pStyle w:val="IOPH1"/>
        <w:rPr>
          <w:lang w:val="fr-CA"/>
        </w:rPr>
      </w:pPr>
      <w:r w:rsidRPr="00105EFE">
        <w:rPr>
          <w:lang w:val="fr-CA"/>
        </w:rPr>
        <w:lastRenderedPageBreak/>
        <w:t xml:space="preserve">1. </w:t>
      </w:r>
      <w:r w:rsidR="0012482B" w:rsidRPr="00105EFE">
        <w:rPr>
          <w:lang w:val="fr-CA"/>
        </w:rPr>
        <w:t>Introduction</w:t>
      </w:r>
    </w:p>
    <w:p w:rsidR="00B0198D" w:rsidRPr="00105EFE" w:rsidRDefault="005B3AC6" w:rsidP="00B0198D">
      <w:pPr>
        <w:pStyle w:val="IOPText"/>
        <w:rPr>
          <w:noProof/>
          <w:lang w:val="fr-CA"/>
        </w:rPr>
      </w:pPr>
      <w:r w:rsidRPr="00105EFE">
        <w:rPr>
          <w:noProof/>
          <w:lang w:val="fr-CA"/>
        </w:rPr>
        <w:t xml:space="preserve">Le présent article est le fruit du cours de Projet Oracle (B62) </w:t>
      </w:r>
      <w:r w:rsidR="00681868" w:rsidRPr="00105EFE">
        <w:rPr>
          <w:noProof/>
          <w:lang w:val="fr-CA"/>
        </w:rPr>
        <w:t xml:space="preserve">dans lequel nous avons été encouragés de faire l’analyse de corpus de texte en français par une intelligence artificielle programmées à lire les données, les extraire dans une matrice de cooccurences avec les autres données et entrainer ce modèle à former des sous-groupes par champ sémantique. </w:t>
      </w:r>
    </w:p>
    <w:p w:rsidR="0055274C" w:rsidRPr="00105EFE" w:rsidRDefault="0055274C" w:rsidP="0055274C">
      <w:pPr>
        <w:pStyle w:val="IOPH2"/>
        <w:rPr>
          <w:lang w:val="fr-CA"/>
        </w:rPr>
      </w:pPr>
      <w:r w:rsidRPr="00105EFE">
        <w:rPr>
          <w:lang w:val="fr-CA"/>
        </w:rPr>
        <w:t xml:space="preserve">1.1 </w:t>
      </w:r>
      <w:r w:rsidR="00B0198D" w:rsidRPr="00105EFE">
        <w:rPr>
          <w:lang w:val="fr-CA"/>
        </w:rPr>
        <w:t>Problématique</w:t>
      </w:r>
    </w:p>
    <w:p w:rsidR="004C2838" w:rsidRPr="00105EFE" w:rsidRDefault="00B0198D" w:rsidP="004C2838">
      <w:pPr>
        <w:pStyle w:val="IOPText"/>
        <w:rPr>
          <w:noProof/>
          <w:lang w:val="fr-CA"/>
        </w:rPr>
      </w:pPr>
      <w:r w:rsidRPr="00105EFE">
        <w:rPr>
          <w:noProof/>
          <w:lang w:val="fr-CA"/>
        </w:rPr>
        <w:t xml:space="preserve">Cet outil nous a amené </w:t>
      </w:r>
      <w:r w:rsidR="007C53CA" w:rsidRPr="00105EFE">
        <w:rPr>
          <w:noProof/>
          <w:lang w:val="fr-CA"/>
        </w:rPr>
        <w:t>à nous demander</w:t>
      </w:r>
      <w:r w:rsidRPr="00105EFE">
        <w:rPr>
          <w:noProof/>
          <w:lang w:val="fr-CA"/>
        </w:rPr>
        <w:t xml:space="preserve"> s’il était possible d’analyser ces sous-groupes d’invidivus pour en induire un sens dans la classification systématique de </w:t>
      </w:r>
      <w:r w:rsidR="002477D1" w:rsidRPr="00105EFE">
        <w:rPr>
          <w:noProof/>
          <w:lang w:val="fr-CA"/>
        </w:rPr>
        <w:t xml:space="preserve">notre intelligence artificielle, principalement en contrôlant trois potentielles variables : quantité de partitions, thème des corpus et classification par syntagme </w:t>
      </w:r>
      <w:r w:rsidR="00D839D2" w:rsidRPr="00105EFE">
        <w:rPr>
          <w:noProof/>
          <w:lang w:val="fr-CA"/>
        </w:rPr>
        <w:t>verbal</w:t>
      </w:r>
      <w:r w:rsidR="00FF555C" w:rsidRPr="00105EFE">
        <w:rPr>
          <w:noProof/>
          <w:lang w:val="fr-CA"/>
        </w:rPr>
        <w:t xml:space="preserve"> (dans l’optique morphologique de ce qu’est un verbe et ses déclinaisons).</w:t>
      </w:r>
    </w:p>
    <w:p w:rsidR="004C2838" w:rsidRPr="00105EFE" w:rsidRDefault="004C2838" w:rsidP="004C2838">
      <w:pPr>
        <w:pStyle w:val="IOPH2"/>
        <w:rPr>
          <w:lang w:val="fr-CA"/>
        </w:rPr>
      </w:pPr>
      <w:r w:rsidRPr="00105EFE">
        <w:rPr>
          <w:lang w:val="fr-CA"/>
        </w:rPr>
        <w:t>1.2 Hypothèses</w:t>
      </w:r>
    </w:p>
    <w:p w:rsidR="0055274C" w:rsidRPr="00105EFE" w:rsidRDefault="004C2838" w:rsidP="004C2838">
      <w:pPr>
        <w:pStyle w:val="IOPH3"/>
        <w:rPr>
          <w:lang w:val="fr-CA"/>
        </w:rPr>
      </w:pPr>
      <w:r w:rsidRPr="00105EFE">
        <w:rPr>
          <w:lang w:val="fr-CA"/>
        </w:rPr>
        <w:t>1.2</w:t>
      </w:r>
      <w:r w:rsidR="004D2C0F" w:rsidRPr="00105EFE">
        <w:rPr>
          <w:lang w:val="fr-CA"/>
        </w:rPr>
        <w:t xml:space="preserve">.1 </w:t>
      </w:r>
      <w:r w:rsidR="00E84095" w:rsidRPr="00105EFE">
        <w:rPr>
          <w:lang w:val="fr-CA"/>
        </w:rPr>
        <w:t>Quantité de partitions</w:t>
      </w:r>
      <w:r w:rsidR="007C53CA" w:rsidRPr="00105EFE">
        <w:rPr>
          <w:lang w:val="fr-CA"/>
        </w:rPr>
        <w:t xml:space="preserve"> (</w:t>
      </w:r>
      <w:proofErr w:type="spellStart"/>
      <w:r w:rsidR="007C53CA" w:rsidRPr="00105EFE">
        <w:rPr>
          <w:lang w:val="fr-CA"/>
        </w:rPr>
        <w:t>centroïdes</w:t>
      </w:r>
      <w:proofErr w:type="spellEnd"/>
      <w:r w:rsidR="007C53CA" w:rsidRPr="00105EFE">
        <w:rPr>
          <w:lang w:val="fr-CA"/>
        </w:rPr>
        <w:t>)</w:t>
      </w:r>
    </w:p>
    <w:p w:rsidR="004C2838" w:rsidRPr="00105EFE" w:rsidRDefault="004C2838" w:rsidP="004C2838">
      <w:pPr>
        <w:pStyle w:val="IOPH3"/>
        <w:rPr>
          <w:lang w:val="fr-CA"/>
        </w:rPr>
      </w:pPr>
    </w:p>
    <w:p w:rsidR="004C2838" w:rsidRPr="00105EFE" w:rsidRDefault="004C2838" w:rsidP="004C2838">
      <w:pPr>
        <w:pStyle w:val="IOPText"/>
        <w:rPr>
          <w:noProof/>
          <w:lang w:val="fr-CA"/>
        </w:rPr>
      </w:pPr>
      <w:r w:rsidRPr="00105EFE">
        <w:rPr>
          <w:noProof/>
          <w:lang w:val="fr-CA"/>
        </w:rPr>
        <w:lastRenderedPageBreak/>
        <w:t>Notre première hypothèse repose sur l’idée que le nombre de centroïdes fera varier le champ sémantique pour former des sous-groupes plus cohérents à l’échelle sémantique. Nous croyons qu’un trop petit nombre créera de trop grands groupes « pêle-mêles » ayant peu de cohérence et un trop grand nombre de sous-groupes divisera trop amplement les sens au point où les liens entre les individus s’éffriteront. Nous</w:t>
      </w:r>
      <w:r w:rsidR="00FE1399" w:rsidRPr="00105EFE">
        <w:rPr>
          <w:noProof/>
          <w:lang w:val="fr-CA"/>
        </w:rPr>
        <w:t xml:space="preserve"> donc</w:t>
      </w:r>
      <w:r w:rsidRPr="00105EFE">
        <w:rPr>
          <w:noProof/>
          <w:lang w:val="fr-CA"/>
        </w:rPr>
        <w:t xml:space="preserve"> sommes d’avis que la cohérence des champs sémanti</w:t>
      </w:r>
      <w:r w:rsidR="00FE1399" w:rsidRPr="00105EFE">
        <w:rPr>
          <w:noProof/>
          <w:lang w:val="fr-CA"/>
        </w:rPr>
        <w:t>ques suit une parabole tel que :</w:t>
      </w:r>
    </w:p>
    <w:p w:rsidR="004C2838" w:rsidRPr="00105EFE" w:rsidRDefault="004C2838" w:rsidP="004C2838">
      <w:pPr>
        <w:pStyle w:val="IOPText"/>
        <w:ind w:firstLine="0"/>
        <w:rPr>
          <w:noProof/>
          <w:lang w:val="fr-CA"/>
        </w:rPr>
      </w:pPr>
    </w:p>
    <w:p w:rsidR="004C2838" w:rsidRPr="00105EFE" w:rsidRDefault="004C2838" w:rsidP="004C2838">
      <w:pPr>
        <w:pStyle w:val="IOPText"/>
        <w:ind w:firstLine="0"/>
        <w:rPr>
          <w:i/>
          <w:noProof/>
          <w:lang w:val="fr-CA"/>
        </w:rPr>
      </w:pPr>
      <w:r w:rsidRPr="00105EFE">
        <w:rPr>
          <w:i/>
          <w:noProof/>
          <w:lang w:val="fr-CA"/>
        </w:rPr>
        <w:t>X  = Nombre de centroïdes</w:t>
      </w:r>
    </w:p>
    <w:p w:rsidR="004C2838" w:rsidRPr="00105EFE" w:rsidRDefault="004C2838" w:rsidP="004C2838">
      <w:pPr>
        <w:pStyle w:val="IOPText"/>
        <w:ind w:firstLine="0"/>
        <w:rPr>
          <w:i/>
          <w:noProof/>
          <w:lang w:val="fr-CA"/>
        </w:rPr>
      </w:pPr>
      <w:r w:rsidRPr="00105EFE">
        <w:rPr>
          <w:i/>
          <w:noProof/>
          <w:lang w:val="fr-CA"/>
        </w:rPr>
        <w:t>Y = Partitions ayant une relative cohérence à l’échelle sémantique.</w:t>
      </w:r>
    </w:p>
    <w:p w:rsidR="002F3F26" w:rsidRPr="00105EFE" w:rsidRDefault="004C2838" w:rsidP="004C2838">
      <w:pPr>
        <w:pStyle w:val="IOPH3"/>
        <w:rPr>
          <w:lang w:val="fr-CA"/>
        </w:rPr>
      </w:pPr>
      <w:r w:rsidRPr="00105EFE">
        <w:rPr>
          <w:lang w:val="fr-CA"/>
        </w:rPr>
        <w:t>1.2.2 Thème des corpus</w:t>
      </w:r>
    </w:p>
    <w:p w:rsidR="002F3F26" w:rsidRPr="00105EFE" w:rsidRDefault="002F3F26" w:rsidP="002F3F26">
      <w:pPr>
        <w:pStyle w:val="IOPH3"/>
        <w:jc w:val="both"/>
        <w:rPr>
          <w:rFonts w:ascii="Times New Roman" w:hAnsi="Times New Roman"/>
          <w:i w:val="0"/>
          <w:sz w:val="20"/>
          <w:szCs w:val="20"/>
          <w:lang w:val="fr-CA"/>
        </w:rPr>
      </w:pPr>
      <w:r w:rsidRPr="00105EFE">
        <w:rPr>
          <w:lang w:val="fr-CA"/>
        </w:rPr>
        <w:t xml:space="preserve">    </w:t>
      </w:r>
      <w:r w:rsidRPr="00105EFE">
        <w:rPr>
          <w:rFonts w:ascii="Times New Roman" w:hAnsi="Times New Roman"/>
          <w:i w:val="0"/>
          <w:sz w:val="20"/>
          <w:szCs w:val="20"/>
          <w:lang w:val="fr-CA"/>
        </w:rPr>
        <w:t xml:space="preserve">Notre deuxième hypothèse est l’idée que les sous-groupes deviendront davantage cohérents si les corpus ont en commun un thème principal. Nous croyons qu’il y aura plus de chance de redondance de mots, augmentant ainsi globalement le nombres de cooccurrences entre les individus. Nous croyons que ce critère augmentera la cohérence sémantique des sous-groupes et que cela sera effectif peu importe la taille la fenêtre </w:t>
      </w:r>
      <w:r w:rsidR="00763897" w:rsidRPr="00105EFE">
        <w:rPr>
          <w:rFonts w:ascii="Times New Roman" w:hAnsi="Times New Roman"/>
          <w:i w:val="0"/>
          <w:sz w:val="20"/>
          <w:szCs w:val="20"/>
          <w:lang w:val="fr-CA"/>
        </w:rPr>
        <w:t xml:space="preserve">d’analyse du curseur d’entrainement </w:t>
      </w:r>
      <w:r w:rsidRPr="00105EFE">
        <w:rPr>
          <w:rFonts w:ascii="Times New Roman" w:hAnsi="Times New Roman"/>
          <w:i w:val="0"/>
          <w:sz w:val="20"/>
          <w:szCs w:val="20"/>
          <w:lang w:val="fr-CA"/>
        </w:rPr>
        <w:t>tel que :</w:t>
      </w:r>
    </w:p>
    <w:p w:rsidR="002F3F26" w:rsidRPr="00105EFE" w:rsidRDefault="002F3F26" w:rsidP="002F3F26">
      <w:pPr>
        <w:pStyle w:val="IOPText"/>
        <w:ind w:firstLine="0"/>
        <w:rPr>
          <w:i/>
          <w:noProof/>
          <w:lang w:val="fr-CA"/>
        </w:rPr>
      </w:pPr>
      <w:r w:rsidRPr="00105EFE">
        <w:rPr>
          <w:i/>
          <w:noProof/>
          <w:lang w:val="fr-CA"/>
        </w:rPr>
        <w:lastRenderedPageBreak/>
        <w:t>X  = Taille de la fenêtre d’analyse</w:t>
      </w:r>
    </w:p>
    <w:p w:rsidR="00964623" w:rsidRPr="00105EFE" w:rsidRDefault="002F3F26" w:rsidP="002F3F26">
      <w:pPr>
        <w:pStyle w:val="IOPText"/>
        <w:ind w:firstLine="0"/>
        <w:rPr>
          <w:i/>
          <w:noProof/>
          <w:lang w:val="fr-CA"/>
        </w:rPr>
      </w:pPr>
      <w:r w:rsidRPr="00105EFE">
        <w:rPr>
          <w:i/>
          <w:noProof/>
          <w:lang w:val="fr-CA"/>
        </w:rPr>
        <w:t>Y = Partitions ayant une relative cohérence à l’échelle sémantique.</w:t>
      </w:r>
    </w:p>
    <w:p w:rsidR="00964623" w:rsidRPr="00105EFE" w:rsidRDefault="00964623" w:rsidP="00964623">
      <w:pPr>
        <w:pStyle w:val="IOPH3"/>
        <w:rPr>
          <w:lang w:val="fr-CA"/>
        </w:rPr>
      </w:pPr>
      <w:r w:rsidRPr="00105EFE">
        <w:rPr>
          <w:lang w:val="fr-CA"/>
        </w:rPr>
        <w:t>1.2.3 Classification des champs par groupes verbaux</w:t>
      </w:r>
    </w:p>
    <w:p w:rsidR="00964623" w:rsidRPr="00105EFE" w:rsidRDefault="007A2CF9" w:rsidP="00964623">
      <w:pPr>
        <w:pStyle w:val="IOPH3"/>
        <w:jc w:val="both"/>
        <w:rPr>
          <w:rFonts w:ascii="Times New Roman" w:hAnsi="Times New Roman"/>
          <w:i w:val="0"/>
          <w:sz w:val="20"/>
          <w:szCs w:val="20"/>
          <w:lang w:val="fr-CA"/>
        </w:rPr>
      </w:pPr>
      <w:r w:rsidRPr="00105EFE">
        <w:rPr>
          <w:rFonts w:ascii="Times New Roman" w:hAnsi="Times New Roman"/>
          <w:i w:val="0"/>
          <w:sz w:val="20"/>
          <w:szCs w:val="20"/>
          <w:lang w:val="fr-CA"/>
        </w:rPr>
        <w:t xml:space="preserve">    </w:t>
      </w:r>
      <w:r w:rsidR="00964623" w:rsidRPr="00105EFE">
        <w:rPr>
          <w:rFonts w:ascii="Times New Roman" w:hAnsi="Times New Roman"/>
          <w:i w:val="0"/>
          <w:sz w:val="20"/>
          <w:szCs w:val="20"/>
          <w:lang w:val="fr-CA"/>
        </w:rPr>
        <w:t>Notre dernière hypothèse repose dans l’idée qu’il est possible que les individus aient tendance à se regrouper par critères propres à un groupe syntaxique. Dans notre cas, nous croyons que les verbes dans les mêmes sous-groupes auront en commun les catégories verbales soit : le mode, le temps et la personne grammaticale tel que :</w:t>
      </w:r>
    </w:p>
    <w:p w:rsidR="006E2343" w:rsidRPr="00105EFE" w:rsidRDefault="006E2343" w:rsidP="006E2343">
      <w:pPr>
        <w:pStyle w:val="IOPH3"/>
        <w:rPr>
          <w:rFonts w:ascii="Times New Roman" w:hAnsi="Times New Roman"/>
          <w:sz w:val="20"/>
          <w:szCs w:val="20"/>
          <w:lang w:val="fr-CA"/>
        </w:rPr>
      </w:pPr>
      <w:r w:rsidRPr="00105EFE">
        <w:rPr>
          <w:rFonts w:ascii="Times New Roman" w:hAnsi="Times New Roman"/>
          <w:sz w:val="20"/>
          <w:szCs w:val="20"/>
          <w:lang w:val="fr-CA"/>
        </w:rPr>
        <w:t>Y = Niveau de cohérence sémantique par critères</w:t>
      </w:r>
      <w:r w:rsidRPr="00105EFE">
        <w:rPr>
          <w:rFonts w:ascii="Times New Roman" w:hAnsi="Times New Roman"/>
          <w:sz w:val="20"/>
          <w:szCs w:val="20"/>
          <w:lang w:val="fr-CA"/>
        </w:rPr>
        <w:br/>
        <w:t>X = Catégories verbales</w:t>
      </w:r>
      <w:r w:rsidR="0068556F">
        <w:rPr>
          <w:rFonts w:ascii="Times New Roman" w:hAnsi="Times New Roman"/>
          <w:sz w:val="20"/>
          <w:szCs w:val="20"/>
          <w:lang w:val="fr-CA"/>
        </w:rPr>
        <w:t xml:space="preserve"> (Mode, temps, personne)</w:t>
      </w:r>
    </w:p>
    <w:p w:rsidR="00964623" w:rsidRPr="00105EFE" w:rsidRDefault="00964623" w:rsidP="002F3F26">
      <w:pPr>
        <w:pStyle w:val="IOPText"/>
        <w:ind w:firstLine="0"/>
        <w:rPr>
          <w:i/>
          <w:noProof/>
          <w:lang w:val="fr-CA"/>
        </w:rPr>
      </w:pPr>
    </w:p>
    <w:p w:rsidR="003324BC" w:rsidRPr="00105EFE" w:rsidRDefault="003324BC" w:rsidP="003324BC">
      <w:pPr>
        <w:pStyle w:val="IOPText"/>
        <w:ind w:firstLine="0"/>
        <w:rPr>
          <w:noProof/>
          <w:lang w:val="fr-CA"/>
        </w:rPr>
      </w:pPr>
      <w:r w:rsidRPr="00105EFE">
        <w:rPr>
          <w:noProof/>
          <w:lang w:val="fr-CA"/>
        </w:rPr>
        <w:t xml:space="preserve">Nous croyons que cette hypothèse est particulièrement intéressante parce qu’elle tend à décortiquer un critère propre à un échantillon de la population ayant en commun une catégorie grammaticale (les verbes) et le possible lien avec sa cooccurence avec les autres verbes. Par exemple, si une phrase utilise principalement l’indicatif présent, les autres verbes dans la même fenêtre ont de fortes chances d’avoir ce mode et </w:t>
      </w:r>
      <w:r w:rsidR="00217F8E" w:rsidRPr="00105EFE">
        <w:rPr>
          <w:noProof/>
          <w:lang w:val="fr-CA"/>
        </w:rPr>
        <w:t xml:space="preserve">d’avoir </w:t>
      </w:r>
      <w:r w:rsidRPr="00105EFE">
        <w:rPr>
          <w:noProof/>
          <w:lang w:val="fr-CA"/>
        </w:rPr>
        <w:t xml:space="preserve">ce temps. </w:t>
      </w:r>
    </w:p>
    <w:p w:rsidR="00B8767D" w:rsidRPr="00105EFE" w:rsidRDefault="00B8767D" w:rsidP="003324BC">
      <w:pPr>
        <w:pStyle w:val="IOPText"/>
        <w:ind w:firstLine="0"/>
        <w:rPr>
          <w:noProof/>
          <w:lang w:val="fr-CA"/>
        </w:rPr>
      </w:pPr>
    </w:p>
    <w:p w:rsidR="00B8767D" w:rsidRPr="00105EFE" w:rsidRDefault="00FE6322" w:rsidP="00B8767D">
      <w:pPr>
        <w:pStyle w:val="IOPH1"/>
        <w:rPr>
          <w:lang w:val="fr-CA"/>
        </w:rPr>
      </w:pPr>
      <w:r w:rsidRPr="00105EFE">
        <w:rPr>
          <w:lang w:val="fr-CA"/>
        </w:rPr>
        <w:t>2.</w:t>
      </w:r>
      <w:r w:rsidR="00B8767D" w:rsidRPr="00105EFE">
        <w:rPr>
          <w:lang w:val="fr-CA"/>
        </w:rPr>
        <w:t xml:space="preserve"> Matériel et méthodes</w:t>
      </w:r>
    </w:p>
    <w:p w:rsidR="00FE6322" w:rsidRPr="00105EFE" w:rsidRDefault="00FE6322" w:rsidP="00FE6322">
      <w:pPr>
        <w:pStyle w:val="IOPH2"/>
        <w:rPr>
          <w:lang w:val="fr-CA"/>
        </w:rPr>
      </w:pPr>
      <w:r w:rsidRPr="00105EFE">
        <w:rPr>
          <w:lang w:val="fr-CA"/>
        </w:rPr>
        <w:t>2.1 Matériel</w:t>
      </w:r>
    </w:p>
    <w:p w:rsidR="00B8767D" w:rsidRPr="00105EFE" w:rsidRDefault="00EB73AA" w:rsidP="003324BC">
      <w:pPr>
        <w:pStyle w:val="IOPText"/>
        <w:ind w:firstLine="0"/>
        <w:rPr>
          <w:noProof/>
          <w:lang w:val="fr-CA"/>
        </w:rPr>
      </w:pPr>
      <w:r w:rsidRPr="00105EFE">
        <w:rPr>
          <w:noProof/>
          <w:lang w:val="fr-CA"/>
        </w:rPr>
        <w:t xml:space="preserve">   </w:t>
      </w:r>
      <w:r w:rsidR="00847ACC" w:rsidRPr="00105EFE">
        <w:rPr>
          <w:noProof/>
          <w:lang w:val="fr-CA"/>
        </w:rPr>
        <w:t xml:space="preserve"> </w:t>
      </w:r>
      <w:r w:rsidR="00E236E7" w:rsidRPr="00105EFE">
        <w:rPr>
          <w:noProof/>
          <w:lang w:val="fr-CA"/>
        </w:rPr>
        <w:t>Les corpus sur lequel nous nous attèleront</w:t>
      </w:r>
      <w:r w:rsidR="009E4CE2" w:rsidRPr="00105EFE">
        <w:rPr>
          <w:noProof/>
          <w:lang w:val="fr-CA"/>
        </w:rPr>
        <w:t xml:space="preserve">, en premier lieu, </w:t>
      </w:r>
      <w:r w:rsidR="00E236E7" w:rsidRPr="00105EFE">
        <w:rPr>
          <w:noProof/>
          <w:lang w:val="fr-CA"/>
        </w:rPr>
        <w:t xml:space="preserve">sera </w:t>
      </w:r>
      <w:r w:rsidR="009E4CE2" w:rsidRPr="00105EFE">
        <w:rPr>
          <w:noProof/>
          <w:lang w:val="fr-CA"/>
        </w:rPr>
        <w:t>40 000 mots uniques (certains même en anglais) issus de la littérature française (Albert Camus, Alexandre Dumas, etc.) et de</w:t>
      </w:r>
      <w:r w:rsidR="00042446">
        <w:rPr>
          <w:noProof/>
          <w:lang w:val="fr-CA"/>
        </w:rPr>
        <w:t>s</w:t>
      </w:r>
      <w:r w:rsidR="009E4CE2" w:rsidRPr="00105EFE">
        <w:rPr>
          <w:noProof/>
          <w:lang w:val="fr-CA"/>
        </w:rPr>
        <w:t xml:space="preserve"> textes du psychothérapeutre Alfred Adler. </w:t>
      </w:r>
    </w:p>
    <w:p w:rsidR="009E4CE2" w:rsidRPr="00105EFE" w:rsidRDefault="009E4CE2" w:rsidP="003324BC">
      <w:pPr>
        <w:pStyle w:val="IOPText"/>
        <w:ind w:firstLine="0"/>
        <w:rPr>
          <w:noProof/>
          <w:lang w:val="fr-CA"/>
        </w:rPr>
      </w:pPr>
    </w:p>
    <w:p w:rsidR="00F67567" w:rsidRPr="00105EFE" w:rsidRDefault="007154A9" w:rsidP="002F3F26">
      <w:pPr>
        <w:pStyle w:val="IOPText"/>
        <w:ind w:firstLine="0"/>
        <w:rPr>
          <w:noProof/>
          <w:lang w:val="fr-CA"/>
        </w:rPr>
      </w:pPr>
      <w:r w:rsidRPr="00105EFE">
        <w:rPr>
          <w:noProof/>
          <w:lang w:val="fr-CA"/>
        </w:rPr>
        <w:t xml:space="preserve">Ce matériel </w:t>
      </w:r>
      <w:r w:rsidR="00581FD7" w:rsidRPr="00105EFE">
        <w:rPr>
          <w:noProof/>
          <w:lang w:val="fr-CA"/>
        </w:rPr>
        <w:t>sera</w:t>
      </w:r>
      <w:r w:rsidRPr="00105EFE">
        <w:rPr>
          <w:noProof/>
          <w:lang w:val="fr-CA"/>
        </w:rPr>
        <w:t xml:space="preserve"> lu avec un curseur en utilisant une taille de fenêtre variable pour calculer la cooccurrence des mots avec leurs voisins syntaxiques. </w:t>
      </w:r>
      <w:r w:rsidR="00E0030C" w:rsidRPr="00105EFE">
        <w:rPr>
          <w:noProof/>
          <w:lang w:val="fr-CA"/>
        </w:rPr>
        <w:t xml:space="preserve">Cette fenêtre, pour l’ensemble de ces textes, </w:t>
      </w:r>
      <w:r w:rsidR="00887821" w:rsidRPr="00105EFE">
        <w:rPr>
          <w:noProof/>
          <w:lang w:val="fr-CA"/>
        </w:rPr>
        <w:t>restera</w:t>
      </w:r>
      <w:r w:rsidR="00E0030C" w:rsidRPr="00105EFE">
        <w:rPr>
          <w:noProof/>
          <w:lang w:val="fr-CA"/>
        </w:rPr>
        <w:t xml:space="preserve"> de taille sept, puis 5, 7 et 10 pour l’analyse des textes d’Adler de mani</w:t>
      </w:r>
      <w:r w:rsidR="00F251D7" w:rsidRPr="00105EFE">
        <w:rPr>
          <w:noProof/>
          <w:lang w:val="fr-CA"/>
        </w:rPr>
        <w:t>ère isolée.</w:t>
      </w:r>
      <w:r w:rsidR="00791DE3" w:rsidRPr="00105EFE">
        <w:rPr>
          <w:noProof/>
          <w:lang w:val="fr-CA"/>
        </w:rPr>
        <w:t xml:space="preserve"> </w:t>
      </w:r>
      <w:r w:rsidR="00F67567" w:rsidRPr="00105EFE">
        <w:rPr>
          <w:noProof/>
          <w:lang w:val="fr-CA"/>
        </w:rPr>
        <w:t xml:space="preserve">Ces mots (ou individus) </w:t>
      </w:r>
      <w:r w:rsidR="005520CB" w:rsidRPr="00105EFE">
        <w:rPr>
          <w:noProof/>
          <w:lang w:val="fr-CA"/>
        </w:rPr>
        <w:t>seront</w:t>
      </w:r>
      <w:r w:rsidR="00F67567" w:rsidRPr="00105EFE">
        <w:rPr>
          <w:noProof/>
          <w:lang w:val="fr-CA"/>
        </w:rPr>
        <w:t xml:space="preserve"> ensuite comptabilisés en base de donnée ainsi que leur cooccurence avec les autres mots selon la taille de fenêtre. </w:t>
      </w:r>
    </w:p>
    <w:p w:rsidR="00E635C8" w:rsidRPr="00105EFE" w:rsidRDefault="00E635C8" w:rsidP="002F3F26">
      <w:pPr>
        <w:pStyle w:val="IOPText"/>
        <w:ind w:firstLine="0"/>
        <w:rPr>
          <w:noProof/>
          <w:lang w:val="fr-CA"/>
        </w:rPr>
      </w:pPr>
    </w:p>
    <w:p w:rsidR="00E635C8" w:rsidRPr="00105EFE" w:rsidRDefault="00E635C8" w:rsidP="002F3F26">
      <w:pPr>
        <w:pStyle w:val="IOPText"/>
        <w:ind w:firstLine="0"/>
        <w:rPr>
          <w:noProof/>
          <w:lang w:val="fr-CA"/>
        </w:rPr>
      </w:pPr>
      <w:r w:rsidRPr="00105EFE">
        <w:rPr>
          <w:noProof/>
          <w:lang w:val="fr-CA"/>
        </w:rPr>
        <w:t xml:space="preserve">Pour l’analyse verbale des corpus, nous </w:t>
      </w:r>
      <w:r w:rsidR="00CC4F7A" w:rsidRPr="00105EFE">
        <w:rPr>
          <w:noProof/>
          <w:lang w:val="fr-CA"/>
        </w:rPr>
        <w:t>utiliserons</w:t>
      </w:r>
      <w:r w:rsidRPr="00105EFE">
        <w:rPr>
          <w:noProof/>
          <w:lang w:val="fr-CA"/>
        </w:rPr>
        <w:t xml:space="preserve"> une base de donnée de lexique en français pour déduire leur catégorie grammaticale, triant ainsi seulement les verbes et ainsi voir leur mode, leur temps et la personne à laquelle il a été conjugué (ou non dans le cas d’</w:t>
      </w:r>
      <w:r w:rsidR="00E64B0F" w:rsidRPr="00105EFE">
        <w:rPr>
          <w:noProof/>
          <w:lang w:val="fr-CA"/>
        </w:rPr>
        <w:t>un lemme comme un verbe à l’infinitif).</w:t>
      </w:r>
    </w:p>
    <w:p w:rsidR="00EA1ED5" w:rsidRPr="00105EFE" w:rsidRDefault="00FE6322" w:rsidP="00FE6322">
      <w:pPr>
        <w:pStyle w:val="IOPH2"/>
        <w:rPr>
          <w:lang w:val="fr-CA"/>
        </w:rPr>
      </w:pPr>
      <w:r w:rsidRPr="00105EFE">
        <w:rPr>
          <w:lang w:val="fr-CA"/>
        </w:rPr>
        <w:t>2.1 Méthodes</w:t>
      </w:r>
    </w:p>
    <w:p w:rsidR="00F36427" w:rsidRPr="00105EFE" w:rsidRDefault="00CC4F7A" w:rsidP="00CC4F7A">
      <w:pPr>
        <w:pStyle w:val="IOPText"/>
        <w:ind w:firstLine="0"/>
        <w:rPr>
          <w:noProof/>
          <w:lang w:val="fr-CA"/>
        </w:rPr>
      </w:pPr>
      <w:r w:rsidRPr="00105EFE">
        <w:rPr>
          <w:noProof/>
          <w:lang w:val="fr-CA"/>
        </w:rPr>
        <w:lastRenderedPageBreak/>
        <w:t xml:space="preserve">    Les méthodes </w:t>
      </w:r>
      <w:r w:rsidR="003F0CCF" w:rsidRPr="00105EFE">
        <w:rPr>
          <w:noProof/>
          <w:lang w:val="fr-CA"/>
        </w:rPr>
        <w:t xml:space="preserve">pour classifier ces individus </w:t>
      </w:r>
      <w:r w:rsidR="00217F8E" w:rsidRPr="00105EFE">
        <w:rPr>
          <w:noProof/>
          <w:lang w:val="fr-CA"/>
        </w:rPr>
        <w:t>se baseront sur l’approch</w:t>
      </w:r>
      <w:r w:rsidR="00873156" w:rsidRPr="00105EFE">
        <w:rPr>
          <w:noProof/>
          <w:lang w:val="fr-CA"/>
        </w:rPr>
        <w:t>e de partitionnement de données laquelle déduira des catégories sémantiques semblablent à des champs lexicaux.</w:t>
      </w:r>
      <w:r w:rsidR="00F36427" w:rsidRPr="00105EFE">
        <w:rPr>
          <w:noProof/>
          <w:lang w:val="fr-CA"/>
        </w:rPr>
        <w:t xml:space="preserve"> Celle-ci nous permettra de classifier ces mots par calculs statistiques afin d’y tracer de potentiels champs lexicaux.</w:t>
      </w:r>
    </w:p>
    <w:p w:rsidR="00F36427" w:rsidRPr="00105EFE" w:rsidRDefault="00F36427" w:rsidP="00CC4F7A">
      <w:pPr>
        <w:pStyle w:val="IOPText"/>
        <w:ind w:firstLine="0"/>
        <w:rPr>
          <w:noProof/>
          <w:lang w:val="fr-CA"/>
        </w:rPr>
      </w:pPr>
    </w:p>
    <w:p w:rsidR="00F36427" w:rsidRDefault="00105EFE" w:rsidP="00CC4F7A">
      <w:pPr>
        <w:pStyle w:val="IOPText"/>
        <w:ind w:firstLine="0"/>
        <w:rPr>
          <w:noProof/>
          <w:lang w:val="fr-CA"/>
        </w:rPr>
      </w:pPr>
      <w:r w:rsidRPr="00105EFE">
        <w:rPr>
          <w:noProof/>
          <w:lang w:val="fr-CA"/>
        </w:rPr>
        <w:t>Tout d’abord, nous générerons des centroïdes à partir de mots entrés, desquels nous att</w:t>
      </w:r>
      <w:r>
        <w:rPr>
          <w:noProof/>
          <w:lang w:val="fr-CA"/>
        </w:rPr>
        <w:t>ri</w:t>
      </w:r>
      <w:r w:rsidRPr="00105EFE">
        <w:rPr>
          <w:noProof/>
          <w:lang w:val="fr-CA"/>
        </w:rPr>
        <w:t>buerons</w:t>
      </w:r>
      <w:r w:rsidR="008E0254">
        <w:rPr>
          <w:noProof/>
          <w:lang w:val="fr-CA"/>
        </w:rPr>
        <w:t xml:space="preserve"> des coordonnés par rapport aux cooccurences à d’autres mots. Cet ensemble de données nous permettra, d’un</w:t>
      </w:r>
      <w:r w:rsidR="007F62AB">
        <w:rPr>
          <w:noProof/>
          <w:lang w:val="fr-CA"/>
        </w:rPr>
        <w:t>e</w:t>
      </w:r>
      <w:r w:rsidR="008E0254">
        <w:rPr>
          <w:noProof/>
          <w:lang w:val="fr-CA"/>
        </w:rPr>
        <w:t xml:space="preserve"> part, de générer des centroïdes en les positionnant sur certains de ces individus ou, d’autre part, de générer des centroïdes</w:t>
      </w:r>
      <w:r w:rsidR="006A2DD2">
        <w:rPr>
          <w:noProof/>
          <w:lang w:val="fr-CA"/>
        </w:rPr>
        <w:t xml:space="preserve"> (</w:t>
      </w:r>
      <m:oMath>
        <m:sSub>
          <m:sSubPr>
            <m:ctrlPr>
              <w:rPr>
                <w:rFonts w:ascii="Cambria Math" w:hAnsi="Cambria Math"/>
                <w:i/>
                <w:noProof/>
                <w:lang w:val="fr-CA"/>
              </w:rPr>
            </m:ctrlPr>
          </m:sSubPr>
          <m:e>
            <m:r>
              <w:rPr>
                <w:rFonts w:ascii="Cambria Math" w:hAnsi="Cambria Math"/>
                <w:noProof/>
                <w:lang w:val="fr-CA"/>
              </w:rPr>
              <m:t>X</m:t>
            </m:r>
          </m:e>
          <m:sub>
            <m:r>
              <w:rPr>
                <w:rFonts w:ascii="Cambria Math" w:hAnsi="Cambria Math"/>
                <w:noProof/>
                <w:lang w:val="fr-CA"/>
              </w:rPr>
              <m:t>i×n</m:t>
            </m:r>
          </m:sub>
        </m:sSub>
        <m:r>
          <w:rPr>
            <w:rFonts w:ascii="Cambria Math" w:hAnsi="Cambria Math"/>
            <w:noProof/>
            <w:lang w:val="fr-CA"/>
          </w:rPr>
          <m:t>)</m:t>
        </m:r>
      </m:oMath>
      <w:r w:rsidR="008E0254">
        <w:rPr>
          <w:noProof/>
          <w:lang w:val="fr-CA"/>
        </w:rPr>
        <w:t xml:space="preserve"> aléatoirement</w:t>
      </w:r>
      <w:r w:rsidR="00067532">
        <w:rPr>
          <w:noProof/>
          <w:lang w:val="fr-CA"/>
        </w:rPr>
        <w:t> </w:t>
      </w:r>
      <w:r w:rsidR="006A2DD2">
        <w:rPr>
          <w:noProof/>
          <w:lang w:val="fr-CA"/>
        </w:rPr>
        <w:t>tel que s</w:t>
      </w:r>
      <w:r w:rsidR="00067532">
        <w:rPr>
          <w:noProof/>
          <w:lang w:val="fr-CA"/>
        </w:rPr>
        <w:t>a coordonnée</w:t>
      </w:r>
      <w:r w:rsidR="006A2DD2" w:rsidRPr="006A2DD2">
        <w:rPr>
          <w:noProof/>
          <w:lang w:val="fr-CA"/>
        </w:rPr>
        <w:t xml:space="preserve"> </w:t>
      </w:r>
      <w:r w:rsidR="006A2DD2">
        <w:rPr>
          <w:noProof/>
          <w:lang w:val="fr-CA"/>
        </w:rPr>
        <w:t>(</w:t>
      </w:r>
      <m:oMath>
        <m:r>
          <w:rPr>
            <w:rFonts w:ascii="Cambria Math" w:hAnsi="Cambria Math"/>
            <w:noProof/>
            <w:lang w:val="fr-CA"/>
          </w:rPr>
          <m:t>i×n</m:t>
        </m:r>
      </m:oMath>
      <w:r w:rsidR="006A2DD2">
        <w:rPr>
          <w:noProof/>
          <w:lang w:val="fr-CA"/>
        </w:rPr>
        <w:t>)</w:t>
      </w:r>
      <w:r w:rsidR="00067532">
        <w:rPr>
          <w:noProof/>
          <w:lang w:val="fr-CA"/>
        </w:rPr>
        <w:t xml:space="preserve"> suit ces règles</w:t>
      </w:r>
      <w:r w:rsidR="006A2DD2">
        <w:rPr>
          <w:noProof/>
          <w:lang w:val="fr-CA"/>
        </w:rPr>
        <w:t> :</w:t>
      </w:r>
    </w:p>
    <w:p w:rsidR="00022575" w:rsidRDefault="00022575" w:rsidP="00CC4F7A">
      <w:pPr>
        <w:pStyle w:val="IOPText"/>
        <w:ind w:firstLine="0"/>
        <w:rPr>
          <w:noProof/>
          <w:lang w:val="fr-CA"/>
        </w:rPr>
      </w:pPr>
    </w:p>
    <w:p w:rsidR="00022575" w:rsidRDefault="00022575" w:rsidP="00CC4F7A">
      <w:pPr>
        <w:pStyle w:val="IOPText"/>
        <w:ind w:firstLine="0"/>
        <w:rPr>
          <w:noProof/>
          <w:lang w:val="fr-CA"/>
        </w:rPr>
      </w:pPr>
    </w:p>
    <w:p w:rsidR="00067532" w:rsidRPr="00E50A7A" w:rsidRDefault="001644AE" w:rsidP="00CC4F7A">
      <w:pPr>
        <w:pStyle w:val="IOPText"/>
        <w:ind w:firstLine="0"/>
        <w:rPr>
          <w:rFonts w:eastAsiaTheme="minorEastAsia"/>
          <w:noProof/>
          <w:lang w:val="fr-CA"/>
        </w:rPr>
      </w:pPr>
      <m:oMathPara>
        <m:oMath>
          <m:sSub>
            <m:sSubPr>
              <m:ctrlPr>
                <w:rPr>
                  <w:rFonts w:ascii="Cambria Math" w:hAnsi="Cambria Math"/>
                  <w:i/>
                  <w:noProof/>
                  <w:lang w:val="fr-CA"/>
                </w:rPr>
              </m:ctrlPr>
            </m:sSubPr>
            <m:e>
              <m:r>
                <w:rPr>
                  <w:rFonts w:ascii="Cambria Math" w:hAnsi="Cambria Math"/>
                  <w:noProof/>
                  <w:lang w:val="fr-CA"/>
                </w:rPr>
                <m:t>X</m:t>
              </m:r>
            </m:e>
            <m:sub>
              <m:r>
                <w:rPr>
                  <w:rFonts w:ascii="Cambria Math" w:hAnsi="Cambria Math"/>
                  <w:noProof/>
                  <w:lang w:val="fr-CA"/>
                </w:rPr>
                <m:t>i×n</m:t>
              </m:r>
            </m:sub>
          </m:sSub>
          <m:r>
            <w:rPr>
              <w:rFonts w:ascii="Cambria Math" w:hAnsi="Cambria Math"/>
              <w:noProof/>
              <w:lang w:val="fr-CA"/>
            </w:rPr>
            <m:t>∈</m:t>
          </m:r>
          <m:d>
            <m:dPr>
              <m:begChr m:val="["/>
              <m:endChr m:val="]"/>
              <m:ctrlPr>
                <w:rPr>
                  <w:rFonts w:ascii="Cambria Math" w:hAnsi="Cambria Math"/>
                  <w:i/>
                  <w:noProof/>
                  <w:lang w:val="fr-CA"/>
                </w:rPr>
              </m:ctrlPr>
            </m:dPr>
            <m:e>
              <m:r>
                <w:rPr>
                  <w:rFonts w:ascii="Cambria Math" w:hAnsi="Cambria Math"/>
                  <w:noProof/>
                  <w:lang w:val="fr-CA"/>
                </w:rPr>
                <m:t>0,N</m:t>
              </m:r>
            </m:e>
          </m:d>
          <m:r>
            <w:rPr>
              <w:rFonts w:ascii="Cambria Math" w:hAnsi="Cambria Math"/>
              <w:noProof/>
              <w:lang w:val="fr-CA"/>
            </w:rPr>
            <m:t xml:space="preserve"> | </m:t>
          </m:r>
          <m:sSub>
            <m:sSubPr>
              <m:ctrlPr>
                <w:rPr>
                  <w:rFonts w:ascii="Cambria Math" w:hAnsi="Cambria Math"/>
                  <w:i/>
                  <w:noProof/>
                  <w:lang w:val="fr-CA"/>
                </w:rPr>
              </m:ctrlPr>
            </m:sSubPr>
            <m:e>
              <m:r>
                <w:rPr>
                  <w:rFonts w:ascii="Cambria Math" w:hAnsi="Cambria Math"/>
                  <w:noProof/>
                  <w:lang w:val="fr-CA"/>
                </w:rPr>
                <m:t>X</m:t>
              </m:r>
            </m:e>
            <m:sub>
              <m:r>
                <w:rPr>
                  <w:rFonts w:ascii="Cambria Math" w:hAnsi="Cambria Math"/>
                  <w:noProof/>
                  <w:lang w:val="fr-CA"/>
                </w:rPr>
                <m:t>i×n</m:t>
              </m:r>
            </m:sub>
          </m:sSub>
          <m:r>
            <w:rPr>
              <w:rFonts w:ascii="Cambria Math" w:hAnsi="Cambria Math"/>
              <w:noProof/>
              <w:lang w:val="fr-CA"/>
            </w:rPr>
            <m:t xml:space="preserve">∈ </m:t>
          </m:r>
          <m:r>
            <m:rPr>
              <m:scr m:val="double-struck"/>
              <m:sty m:val="p"/>
            </m:rPr>
            <w:rPr>
              <w:rFonts w:ascii="Cambria Math" w:hAnsi="Cambria Math" w:cs="Cambria Math"/>
              <w:color w:val="0A0A0A"/>
              <w:sz w:val="21"/>
              <w:szCs w:val="21"/>
              <w:shd w:val="clear" w:color="auto" w:fill="FFFFFF"/>
            </w:rPr>
            <m:t>R</m:t>
          </m:r>
          <m:r>
            <w:rPr>
              <w:rFonts w:ascii="Cambria Math" w:hAnsi="Cambria Math"/>
              <w:noProof/>
              <w:lang w:val="fr-CA"/>
            </w:rPr>
            <m:t xml:space="preserve">  </m:t>
          </m:r>
        </m:oMath>
      </m:oMathPara>
    </w:p>
    <w:p w:rsidR="00E50A7A" w:rsidRDefault="00E50A7A" w:rsidP="00CC4F7A">
      <w:pPr>
        <w:pStyle w:val="IOPText"/>
        <w:ind w:firstLine="0"/>
        <w:rPr>
          <w:noProof/>
          <w:lang w:val="fr-CA"/>
        </w:rPr>
      </w:pPr>
    </w:p>
    <w:p w:rsidR="00022575" w:rsidRDefault="00022575" w:rsidP="00CC4F7A">
      <w:pPr>
        <w:pStyle w:val="IOPText"/>
        <w:ind w:firstLine="0"/>
        <w:rPr>
          <w:noProof/>
          <w:lang w:val="fr-CA"/>
        </w:rPr>
      </w:pPr>
    </w:p>
    <w:p w:rsidR="008E0254" w:rsidRDefault="00E50A7A" w:rsidP="00CC4F7A">
      <w:pPr>
        <w:pStyle w:val="IOPText"/>
        <w:ind w:firstLine="0"/>
        <w:rPr>
          <w:noProof/>
          <w:lang w:val="fr-CA"/>
        </w:rPr>
      </w:pPr>
      <w:r>
        <w:rPr>
          <w:noProof/>
          <w:lang w:val="fr-CA"/>
        </w:rPr>
        <w:t>Nous générerons un unique vecteur</w:t>
      </w:r>
      <w:r w:rsidR="0033134F">
        <w:rPr>
          <w:noProof/>
          <w:lang w:val="fr-CA"/>
        </w:rPr>
        <w:t xml:space="preserve"> (</w:t>
      </w:r>
      <m:oMath>
        <m:acc>
          <m:accPr>
            <m:chr m:val="⃗"/>
            <m:ctrlPr>
              <w:rPr>
                <w:rFonts w:ascii="Cambria Math" w:hAnsi="Cambria Math"/>
                <w:i/>
                <w:noProof/>
                <w:lang w:val="fr-CA"/>
              </w:rPr>
            </m:ctrlPr>
          </m:accPr>
          <m:e>
            <m:r>
              <w:rPr>
                <w:rFonts w:ascii="Cambria Math" w:hAnsi="Cambria Math"/>
                <w:noProof/>
                <w:lang w:val="fr-CA"/>
              </w:rPr>
              <m:t>V</m:t>
            </m:r>
          </m:e>
        </m:acc>
      </m:oMath>
      <w:r w:rsidR="0033134F">
        <w:rPr>
          <w:noProof/>
          <w:lang w:val="fr-CA"/>
        </w:rPr>
        <w:t>)</w:t>
      </w:r>
      <w:r>
        <w:rPr>
          <w:noProof/>
          <w:lang w:val="fr-CA"/>
        </w:rPr>
        <w:t xml:space="preserve"> dans lequel chaque index représentera un individu et la valeur à cet index sera le centroïde</w:t>
      </w:r>
      <w:r w:rsidR="00561450">
        <w:rPr>
          <w:noProof/>
          <w:lang w:val="fr-CA"/>
        </w:rPr>
        <w:t xml:space="preserve"> (</w:t>
      </w:r>
      <m:oMath>
        <m:r>
          <w:rPr>
            <w:rFonts w:ascii="Cambria Math" w:hAnsi="Cambria Math"/>
            <w:noProof/>
            <w:lang w:val="fr-CA"/>
          </w:rPr>
          <m:t>V</m:t>
        </m:r>
      </m:oMath>
      <w:r w:rsidR="00561450">
        <w:rPr>
          <w:noProof/>
          <w:lang w:val="fr-CA"/>
        </w:rPr>
        <w:t>)</w:t>
      </w:r>
      <w:r>
        <w:rPr>
          <w:noProof/>
          <w:lang w:val="fr-CA"/>
        </w:rPr>
        <w:t xml:space="preserve"> auquel </w:t>
      </w:r>
      <w:r w:rsidR="00356515">
        <w:rPr>
          <w:noProof/>
          <w:lang w:val="fr-CA"/>
        </w:rPr>
        <w:t>il appartient</w:t>
      </w:r>
      <w:r>
        <w:rPr>
          <w:noProof/>
          <w:lang w:val="fr-CA"/>
        </w:rPr>
        <w:t>, c’est-à-dire, celui qui est le plus</w:t>
      </w:r>
      <w:r w:rsidR="00356515">
        <w:rPr>
          <w:noProof/>
          <w:lang w:val="fr-CA"/>
        </w:rPr>
        <w:t xml:space="preserve"> proche</w:t>
      </w:r>
      <w:r w:rsidR="008E76E7">
        <w:rPr>
          <w:noProof/>
          <w:lang w:val="fr-CA"/>
        </w:rPr>
        <w:t xml:space="preserve"> (selon la formule du</w:t>
      </w:r>
      <w:r w:rsidR="00A76AB1">
        <w:rPr>
          <w:noProof/>
          <w:lang w:val="fr-CA"/>
        </w:rPr>
        <w:t xml:space="preserve"> moindre carré) </w:t>
      </w:r>
      <w:r>
        <w:rPr>
          <w:noProof/>
          <w:lang w:val="fr-CA"/>
        </w:rPr>
        <w:t>:</w:t>
      </w:r>
    </w:p>
    <w:p w:rsidR="0043025A" w:rsidRDefault="0043025A" w:rsidP="00CC4F7A">
      <w:pPr>
        <w:pStyle w:val="IOPText"/>
        <w:ind w:firstLine="0"/>
        <w:rPr>
          <w:noProof/>
          <w:lang w:val="fr-CA"/>
        </w:rPr>
      </w:pPr>
    </w:p>
    <w:p w:rsidR="00E50A7A" w:rsidRDefault="00E50A7A" w:rsidP="00CC4F7A">
      <w:pPr>
        <w:pStyle w:val="IOPText"/>
        <w:ind w:firstLine="0"/>
        <w:rPr>
          <w:noProof/>
          <w:lang w:val="fr-CA"/>
        </w:rPr>
      </w:pPr>
    </w:p>
    <w:p w:rsidR="0033134F" w:rsidRPr="00601709" w:rsidRDefault="001644AE" w:rsidP="00CC4F7A">
      <w:pPr>
        <w:pStyle w:val="IOPText"/>
        <w:ind w:firstLine="0"/>
        <w:rPr>
          <w:noProof/>
          <w:lang w:val="fr-CA"/>
        </w:rPr>
      </w:pPr>
      <m:oMathPara>
        <m:oMathParaPr>
          <m:jc m:val="center"/>
        </m:oMathParaPr>
        <m:oMath>
          <m:acc>
            <m:accPr>
              <m:chr m:val="⃗"/>
              <m:ctrlPr>
                <w:rPr>
                  <w:rFonts w:ascii="Cambria Math" w:hAnsi="Cambria Math"/>
                  <w:i/>
                  <w:noProof/>
                  <w:lang w:val="fr-CA"/>
                </w:rPr>
              </m:ctrlPr>
            </m:accPr>
            <m:e>
              <m:r>
                <w:rPr>
                  <w:rFonts w:ascii="Cambria Math" w:hAnsi="Cambria Math"/>
                  <w:noProof/>
                  <w:lang w:val="fr-CA"/>
                </w:rPr>
                <m:t>V</m:t>
              </m:r>
            </m:e>
          </m:acc>
          <m:r>
            <w:rPr>
              <w:rFonts w:ascii="Cambria Math" w:hAnsi="Cambria Math"/>
              <w:noProof/>
              <w:lang w:val="fr-CA"/>
            </w:rPr>
            <m:t xml:space="preserve">= </m:t>
          </m:r>
          <m:d>
            <m:dPr>
              <m:ctrlPr>
                <w:rPr>
                  <w:rFonts w:ascii="Cambria Math" w:hAnsi="Cambria Math"/>
                  <w:i/>
                  <w:noProof/>
                  <w:lang w:val="fr-CA"/>
                </w:rPr>
              </m:ctrlPr>
            </m:dPr>
            <m:e>
              <m:eqArr>
                <m:eqArrPr>
                  <m:ctrlPr>
                    <w:rPr>
                      <w:rFonts w:ascii="Cambria Math" w:hAnsi="Cambria Math"/>
                      <w:i/>
                      <w:noProof/>
                      <w:lang w:val="fr-CA"/>
                    </w:rPr>
                  </m:ctrlPr>
                </m:eqArrPr>
                <m:e>
                  <m:sSub>
                    <m:sSubPr>
                      <m:ctrlPr>
                        <w:rPr>
                          <w:rFonts w:ascii="Cambria Math" w:hAnsi="Cambria Math"/>
                          <w:i/>
                          <w:noProof/>
                          <w:lang w:val="fr-CA"/>
                        </w:rPr>
                      </m:ctrlPr>
                    </m:sSubPr>
                    <m:e>
                      <m:r>
                        <w:rPr>
                          <w:rFonts w:ascii="Cambria Math" w:hAnsi="Cambria Math"/>
                          <w:noProof/>
                          <w:lang w:val="fr-CA"/>
                        </w:rPr>
                        <m:t>V</m:t>
                      </m:r>
                    </m:e>
                    <m:sub>
                      <m:r>
                        <w:rPr>
                          <w:rFonts w:ascii="Cambria Math" w:hAnsi="Cambria Math"/>
                          <w:noProof/>
                          <w:lang w:val="fr-CA"/>
                        </w:rPr>
                        <m:t>1</m:t>
                      </m:r>
                    </m:sub>
                  </m:sSub>
                </m:e>
                <m:e>
                  <m:r>
                    <w:rPr>
                      <w:rFonts w:ascii="Cambria Math" w:hAnsi="Cambria Math"/>
                      <w:noProof/>
                    </w:rPr>
                    <m:t>…</m:t>
                  </m:r>
                </m:e>
                <m:e>
                  <m:sSub>
                    <m:sSubPr>
                      <m:ctrlPr>
                        <w:rPr>
                          <w:rFonts w:ascii="Cambria Math" w:hAnsi="Cambria Math"/>
                          <w:i/>
                          <w:noProof/>
                          <w:lang w:val="fr-CA"/>
                        </w:rPr>
                      </m:ctrlPr>
                    </m:sSubPr>
                    <m:e>
                      <m:r>
                        <w:rPr>
                          <w:rFonts w:ascii="Cambria Math" w:hAnsi="Cambria Math"/>
                          <w:noProof/>
                          <w:lang w:val="fr-CA"/>
                        </w:rPr>
                        <m:t>V</m:t>
                      </m:r>
                    </m:e>
                    <m:sub>
                      <m:r>
                        <w:rPr>
                          <w:rFonts w:ascii="Cambria Math" w:hAnsi="Cambria Math"/>
                          <w:noProof/>
                          <w:lang w:val="fr-CA"/>
                        </w:rPr>
                        <m:t>n</m:t>
                      </m:r>
                    </m:sub>
                  </m:sSub>
                </m:e>
              </m:eqArr>
            </m:e>
          </m:d>
          <m:r>
            <w:rPr>
              <w:rFonts w:ascii="Cambria Math" w:hAnsi="Cambria Math"/>
              <w:noProof/>
              <w:lang w:val="fr-CA"/>
            </w:rPr>
            <m:t xml:space="preserve"> | n=Nombre de mots uniques</m:t>
          </m:r>
        </m:oMath>
      </m:oMathPara>
    </w:p>
    <w:p w:rsidR="008E0254" w:rsidRDefault="008E0254" w:rsidP="00CC4F7A">
      <w:pPr>
        <w:pStyle w:val="IOPText"/>
        <w:ind w:firstLine="0"/>
        <w:rPr>
          <w:noProof/>
          <w:lang w:val="fr-CA"/>
        </w:rPr>
      </w:pPr>
    </w:p>
    <w:p w:rsidR="0043025A" w:rsidRDefault="0043025A" w:rsidP="00CC4F7A">
      <w:pPr>
        <w:pStyle w:val="IOPText"/>
        <w:ind w:firstLine="0"/>
        <w:rPr>
          <w:noProof/>
          <w:lang w:val="fr-CA"/>
        </w:rPr>
      </w:pPr>
    </w:p>
    <w:p w:rsidR="00A35ED2" w:rsidRDefault="00A35ED2" w:rsidP="00CC4F7A">
      <w:pPr>
        <w:pStyle w:val="IOPText"/>
        <w:ind w:firstLine="0"/>
        <w:rPr>
          <w:noProof/>
          <w:lang w:val="fr-CA"/>
        </w:rPr>
      </w:pPr>
      <w:r>
        <w:rPr>
          <w:noProof/>
          <w:lang w:val="fr-CA"/>
        </w:rPr>
        <w:t>Une fois tous les individus associés à un centroïde, nous repositionneront celui-ci à son barycentre dans la zone attribuée en effectuant la moyenne de positionnement du centroïde </w:t>
      </w:r>
      <w:r w:rsidR="00162E94">
        <w:rPr>
          <w:noProof/>
          <w:lang w:val="fr-CA"/>
        </w:rPr>
        <w:t xml:space="preserve">selon </w:t>
      </w:r>
      <w:r>
        <w:rPr>
          <w:noProof/>
          <w:lang w:val="fr-CA"/>
        </w:rPr>
        <w:t>:</w:t>
      </w:r>
    </w:p>
    <w:p w:rsidR="008E0254" w:rsidRDefault="00A35ED2" w:rsidP="00CC4F7A">
      <w:pPr>
        <w:pStyle w:val="IOPText"/>
        <w:ind w:firstLine="0"/>
        <w:rPr>
          <w:rFonts w:eastAsiaTheme="minorEastAsia"/>
          <w:noProof/>
          <w:lang w:val="fr-CA"/>
        </w:rPr>
      </w:pPr>
      <w:r>
        <w:rPr>
          <w:noProof/>
          <w:lang w:val="fr-CA"/>
        </w:rPr>
        <w:tab/>
      </w:r>
      <w:r>
        <w:rPr>
          <w:rFonts w:eastAsiaTheme="minorEastAsia"/>
          <w:noProof/>
          <w:lang w:val="fr-CA"/>
        </w:rPr>
        <w:t xml:space="preserve"> </w:t>
      </w:r>
    </w:p>
    <w:p w:rsidR="00EB3689" w:rsidRDefault="00EB3689" w:rsidP="00CC4F7A">
      <w:pPr>
        <w:pStyle w:val="IOPText"/>
        <w:ind w:firstLine="0"/>
        <w:rPr>
          <w:rFonts w:eastAsiaTheme="minorEastAsia"/>
          <w:iCs/>
          <w:noProof/>
          <w:szCs w:val="24"/>
        </w:rPr>
      </w:pPr>
      <w:r>
        <w:rPr>
          <w:rFonts w:eastAsiaTheme="minorEastAsia"/>
          <w:noProof/>
          <w:lang w:val="fr-CA"/>
        </w:rPr>
        <w:tab/>
      </w:r>
      <w:r>
        <w:rPr>
          <w:rFonts w:eastAsiaTheme="minorEastAsia"/>
          <w:noProof/>
          <w:lang w:val="fr-CA"/>
        </w:rPr>
        <w:tab/>
      </w:r>
      <w:r w:rsidR="0061115C">
        <w:rPr>
          <w:rFonts w:eastAsiaTheme="minorEastAsia"/>
          <w:noProof/>
          <w:lang w:val="fr-CA"/>
        </w:rPr>
        <w:t xml:space="preserve">       </w:t>
      </w:r>
      <m:oMath>
        <m:sSub>
          <m:sSubPr>
            <m:ctrlPr>
              <w:rPr>
                <w:rFonts w:ascii="Cambria Math" w:hAnsi="Cambria Math"/>
                <w:i/>
                <w:noProof/>
                <w:lang w:val="fr-CA"/>
              </w:rPr>
            </m:ctrlPr>
          </m:sSubPr>
          <m:e>
            <m:r>
              <w:rPr>
                <w:rFonts w:ascii="Cambria Math" w:hAnsi="Cambria Math"/>
                <w:noProof/>
                <w:lang w:val="fr-CA"/>
              </w:rPr>
              <m:t>X</m:t>
            </m:r>
          </m:e>
          <m:sub>
            <m:r>
              <w:rPr>
                <w:rFonts w:ascii="Cambria Math" w:hAnsi="Cambria Math"/>
                <w:noProof/>
                <w:lang w:val="fr-CA"/>
              </w:rPr>
              <m:t>i×n</m:t>
            </m:r>
          </m:sub>
        </m:sSub>
        <m:r>
          <w:rPr>
            <w:rFonts w:ascii="Cambria Math" w:eastAsiaTheme="minorEastAsia" w:hAnsi="Cambria Math"/>
            <w:noProof/>
            <w:szCs w:val="24"/>
          </w:rPr>
          <m:t>=</m:t>
        </m:r>
        <m:f>
          <m:fPr>
            <m:ctrlPr>
              <w:rPr>
                <w:rFonts w:ascii="Cambria Math" w:eastAsiaTheme="minorEastAsia" w:hAnsi="Cambria Math"/>
                <w:i/>
                <w:iCs/>
                <w:noProof/>
                <w:szCs w:val="24"/>
              </w:rPr>
            </m:ctrlPr>
          </m:fPr>
          <m:num>
            <m:r>
              <w:rPr>
                <w:rFonts w:ascii="Cambria Math" w:eastAsiaTheme="minorEastAsia" w:hAnsi="Cambria Math"/>
                <w:noProof/>
                <w:szCs w:val="24"/>
              </w:rPr>
              <m:t>1</m:t>
            </m:r>
          </m:num>
          <m:den>
            <m:r>
              <w:rPr>
                <w:rFonts w:ascii="Cambria Math" w:eastAsiaTheme="minorEastAsia" w:hAnsi="Cambria Math"/>
                <w:noProof/>
                <w:szCs w:val="24"/>
              </w:rPr>
              <m:t>n</m:t>
            </m:r>
          </m:den>
        </m:f>
        <m:nary>
          <m:naryPr>
            <m:chr m:val="∑"/>
            <m:ctrlPr>
              <w:rPr>
                <w:rFonts w:ascii="Cambria Math" w:eastAsiaTheme="minorEastAsia" w:hAnsi="Cambria Math"/>
                <w:i/>
                <w:iCs/>
                <w:noProof/>
                <w:szCs w:val="24"/>
              </w:rPr>
            </m:ctrlPr>
          </m:naryPr>
          <m:sub>
            <m:r>
              <w:rPr>
                <w:rFonts w:ascii="Cambria Math" w:eastAsiaTheme="minorEastAsia" w:hAnsi="Cambria Math"/>
                <w:noProof/>
                <w:szCs w:val="24"/>
              </w:rPr>
              <m:t>i=1</m:t>
            </m:r>
          </m:sub>
          <m:sup>
            <m:r>
              <w:rPr>
                <w:rFonts w:ascii="Cambria Math" w:eastAsiaTheme="minorEastAsia" w:hAnsi="Cambria Math"/>
                <w:noProof/>
                <w:szCs w:val="24"/>
              </w:rPr>
              <m:t>n</m:t>
            </m:r>
          </m:sup>
          <m:e>
            <m:sSub>
              <m:sSubPr>
                <m:ctrlPr>
                  <w:rPr>
                    <w:rFonts w:ascii="Cambria Math" w:eastAsiaTheme="minorEastAsia" w:hAnsi="Cambria Math"/>
                    <w:i/>
                    <w:iCs/>
                    <w:noProof/>
                    <w:szCs w:val="24"/>
                  </w:rPr>
                </m:ctrlPr>
              </m:sSubPr>
              <m:e>
                <m:r>
                  <w:rPr>
                    <w:rFonts w:ascii="Cambria Math" w:hAnsi="Cambria Math"/>
                    <w:noProof/>
                    <w:lang w:val="fr-CA"/>
                  </w:rPr>
                  <m:t>V</m:t>
                </m:r>
              </m:e>
              <m:sub>
                <m:r>
                  <w:rPr>
                    <w:rFonts w:ascii="Cambria Math" w:eastAsiaTheme="minorEastAsia" w:hAnsi="Cambria Math"/>
                    <w:noProof/>
                    <w:szCs w:val="24"/>
                  </w:rPr>
                  <m:t>i</m:t>
                </m:r>
              </m:sub>
            </m:sSub>
          </m:e>
        </m:nary>
      </m:oMath>
    </w:p>
    <w:p w:rsidR="00133C81" w:rsidRDefault="000E56DE" w:rsidP="00CC4F7A">
      <w:pPr>
        <w:pStyle w:val="IOPText"/>
        <w:ind w:firstLine="0"/>
        <w:rPr>
          <w:rFonts w:eastAsiaTheme="minorEastAsia"/>
          <w:iCs/>
          <w:noProof/>
          <w:szCs w:val="24"/>
        </w:rPr>
      </w:pPr>
      <w:r>
        <w:rPr>
          <w:rFonts w:eastAsiaTheme="minorEastAsia"/>
          <w:iCs/>
          <w:noProof/>
          <w:szCs w:val="24"/>
        </w:rPr>
        <w:tab/>
      </w:r>
      <w:r>
        <w:rPr>
          <w:rFonts w:eastAsiaTheme="minorEastAsia"/>
          <w:iCs/>
          <w:noProof/>
          <w:szCs w:val="24"/>
        </w:rPr>
        <w:tab/>
      </w:r>
      <w:r>
        <w:rPr>
          <w:rFonts w:eastAsiaTheme="minorEastAsia"/>
          <w:iCs/>
          <w:noProof/>
          <w:szCs w:val="24"/>
        </w:rPr>
        <w:tab/>
      </w:r>
      <w:r>
        <w:rPr>
          <w:rFonts w:eastAsiaTheme="minorEastAsia"/>
          <w:iCs/>
          <w:noProof/>
          <w:szCs w:val="24"/>
        </w:rPr>
        <w:tab/>
      </w:r>
      <w:r>
        <w:rPr>
          <w:rFonts w:eastAsiaTheme="minorEastAsia"/>
          <w:iCs/>
          <w:noProof/>
          <w:szCs w:val="24"/>
        </w:rPr>
        <w:tab/>
      </w:r>
      <w:r>
        <w:rPr>
          <w:rFonts w:eastAsiaTheme="minorEastAsia"/>
          <w:iCs/>
          <w:noProof/>
          <w:szCs w:val="24"/>
        </w:rPr>
        <w:tab/>
        <w:t xml:space="preserve">         </w:t>
      </w:r>
      <m:oMath>
        <m:r>
          <w:rPr>
            <w:rStyle w:val="Appelnotedebasdep"/>
            <w:rFonts w:ascii="Cambria Math" w:eastAsiaTheme="minorEastAsia" w:hAnsi="Cambria Math"/>
            <w:i/>
            <w:iCs/>
            <w:noProof/>
            <w:szCs w:val="24"/>
          </w:rPr>
          <w:footnoteReference w:id="1"/>
        </m:r>
      </m:oMath>
    </w:p>
    <w:p w:rsidR="00601709" w:rsidRDefault="00133C81" w:rsidP="00CC4F7A">
      <w:pPr>
        <w:pStyle w:val="IOPText"/>
        <w:ind w:firstLine="0"/>
        <w:rPr>
          <w:rFonts w:eastAsiaTheme="minorEastAsia"/>
          <w:iCs/>
          <w:noProof/>
          <w:szCs w:val="24"/>
        </w:rPr>
      </w:pPr>
      <w:r>
        <w:rPr>
          <w:rFonts w:eastAsiaTheme="minorEastAsia"/>
          <w:iCs/>
          <w:noProof/>
          <w:szCs w:val="24"/>
        </w:rPr>
        <w:t xml:space="preserve">Une fois les centroïdes </w:t>
      </w:r>
      <w:r w:rsidR="00836050">
        <w:rPr>
          <w:rFonts w:eastAsiaTheme="minorEastAsia"/>
          <w:iCs/>
          <w:noProof/>
          <w:szCs w:val="24"/>
        </w:rPr>
        <w:t xml:space="preserve">repositionnés, </w:t>
      </w:r>
      <w:r w:rsidR="00AA0C68">
        <w:rPr>
          <w:rFonts w:eastAsiaTheme="minorEastAsia"/>
          <w:iCs/>
          <w:noProof/>
          <w:szCs w:val="24"/>
        </w:rPr>
        <w:t>nous réaffect</w:t>
      </w:r>
      <w:r w:rsidR="009E3E38">
        <w:rPr>
          <w:rFonts w:eastAsiaTheme="minorEastAsia"/>
          <w:iCs/>
          <w:noProof/>
          <w:szCs w:val="24"/>
        </w:rPr>
        <w:t>er</w:t>
      </w:r>
      <w:r w:rsidR="00AA0C68">
        <w:rPr>
          <w:rFonts w:eastAsiaTheme="minorEastAsia"/>
          <w:iCs/>
          <w:noProof/>
          <w:szCs w:val="24"/>
        </w:rPr>
        <w:t>ons les individus aux nouveaux centroïdes et compil</w:t>
      </w:r>
      <w:r w:rsidR="00005251">
        <w:rPr>
          <w:rFonts w:eastAsiaTheme="minorEastAsia"/>
          <w:iCs/>
          <w:noProof/>
          <w:szCs w:val="24"/>
        </w:rPr>
        <w:t>er</w:t>
      </w:r>
      <w:r w:rsidR="00AA0C68">
        <w:rPr>
          <w:rFonts w:eastAsiaTheme="minorEastAsia"/>
          <w:iCs/>
          <w:noProof/>
          <w:szCs w:val="24"/>
        </w:rPr>
        <w:t xml:space="preserve">ont ceux qui ont </w:t>
      </w:r>
      <w:r w:rsidR="00601709">
        <w:rPr>
          <w:rFonts w:eastAsiaTheme="minorEastAsia"/>
          <w:iCs/>
          <w:noProof/>
          <w:szCs w:val="24"/>
        </w:rPr>
        <w:t>effectués un changement de zone; l</w:t>
      </w:r>
      <w:r w:rsidR="00AA0C68">
        <w:rPr>
          <w:rFonts w:eastAsiaTheme="minorEastAsia"/>
          <w:iCs/>
          <w:noProof/>
          <w:szCs w:val="24"/>
        </w:rPr>
        <w:t xml:space="preserve">’absence de changement de zone pour tous les individus est la condition d’arrêt des itérations de repositionnement des centroïdes. </w:t>
      </w:r>
      <w:r w:rsidR="00601709">
        <w:rPr>
          <w:rFonts w:eastAsiaTheme="minorEastAsia"/>
          <w:iCs/>
          <w:noProof/>
          <w:szCs w:val="24"/>
        </w:rPr>
        <w:t>Une fois condition d’arrêt de l’itération principale de l’algorithme comblée, nous assumerons que les partitionnements sont complets.</w:t>
      </w:r>
    </w:p>
    <w:p w:rsidR="003E609C" w:rsidRDefault="003E609C" w:rsidP="00CC4F7A">
      <w:pPr>
        <w:pStyle w:val="IOPText"/>
        <w:ind w:firstLine="0"/>
        <w:rPr>
          <w:rFonts w:eastAsiaTheme="minorEastAsia"/>
          <w:iCs/>
          <w:noProof/>
          <w:szCs w:val="24"/>
        </w:rPr>
      </w:pPr>
    </w:p>
    <w:p w:rsidR="00986727" w:rsidRDefault="003E609C" w:rsidP="002F3F26">
      <w:pPr>
        <w:pStyle w:val="IOPText"/>
        <w:ind w:firstLine="0"/>
        <w:rPr>
          <w:rFonts w:eastAsiaTheme="minorEastAsia"/>
          <w:iCs/>
          <w:noProof/>
          <w:szCs w:val="24"/>
        </w:rPr>
      </w:pPr>
      <w:r>
        <w:rPr>
          <w:rFonts w:eastAsiaTheme="minorEastAsia"/>
          <w:iCs/>
          <w:noProof/>
          <w:szCs w:val="24"/>
        </w:rPr>
        <w:t>Pour tester notre troisième hypothèse</w:t>
      </w:r>
      <w:r>
        <w:rPr>
          <w:rStyle w:val="Appelnotedebasdep"/>
          <w:rFonts w:eastAsiaTheme="minorEastAsia"/>
          <w:iCs/>
          <w:noProof/>
          <w:szCs w:val="24"/>
        </w:rPr>
        <w:footnoteReference w:id="2"/>
      </w:r>
      <w:r>
        <w:rPr>
          <w:rFonts w:eastAsiaTheme="minorEastAsia"/>
          <w:iCs/>
          <w:noProof/>
          <w:szCs w:val="24"/>
        </w:rPr>
        <w:t>, les partitions formées seront triées à partir du lexique de mots en français en ne conservant que ceux qui sont potentiellement des verbes.</w:t>
      </w:r>
    </w:p>
    <w:p w:rsidR="00FB595B" w:rsidRDefault="00FB595B" w:rsidP="002F3F26">
      <w:pPr>
        <w:pStyle w:val="IOPText"/>
        <w:ind w:firstLine="0"/>
        <w:rPr>
          <w:rFonts w:eastAsiaTheme="minorEastAsia"/>
          <w:iCs/>
          <w:noProof/>
          <w:szCs w:val="24"/>
        </w:rPr>
      </w:pPr>
    </w:p>
    <w:p w:rsidR="00986727" w:rsidRDefault="00986727" w:rsidP="00986727">
      <w:pPr>
        <w:pStyle w:val="IOPH1"/>
        <w:rPr>
          <w:lang w:val="fr-CA"/>
        </w:rPr>
      </w:pPr>
      <w:r>
        <w:rPr>
          <w:lang w:val="fr-CA"/>
        </w:rPr>
        <w:lastRenderedPageBreak/>
        <w:t>3. Résultats</w:t>
      </w:r>
    </w:p>
    <w:p w:rsidR="00FB595B" w:rsidRDefault="00FB595B" w:rsidP="00FB595B">
      <w:pPr>
        <w:pStyle w:val="IOPH2"/>
        <w:rPr>
          <w:lang w:val="fr-CA"/>
        </w:rPr>
      </w:pPr>
      <w:r>
        <w:rPr>
          <w:lang w:val="fr-CA"/>
        </w:rPr>
        <w:t>3</w:t>
      </w:r>
      <w:r w:rsidRPr="00105EFE">
        <w:rPr>
          <w:lang w:val="fr-CA"/>
        </w:rPr>
        <w:t xml:space="preserve">.1 </w:t>
      </w:r>
      <w:r>
        <w:rPr>
          <w:lang w:val="fr-CA"/>
        </w:rPr>
        <w:t>Quantité par partitions</w:t>
      </w:r>
    </w:p>
    <w:p w:rsidR="00C003EA" w:rsidRDefault="00414FAE" w:rsidP="00C003EA">
      <w:pPr>
        <w:jc w:val="both"/>
        <w:rPr>
          <w:rFonts w:ascii="Times New Roman" w:hAnsi="Times New Roman" w:cs="Times New Roman"/>
          <w:sz w:val="20"/>
          <w:lang w:val="fr-CA"/>
        </w:rPr>
      </w:pPr>
      <w:r>
        <w:rPr>
          <w:rFonts w:ascii="Times New Roman" w:hAnsi="Times New Roman" w:cs="Times New Roman"/>
          <w:sz w:val="20"/>
          <w:lang w:val="fr-CA"/>
        </w:rPr>
        <w:t xml:space="preserve">    </w:t>
      </w:r>
      <w:r w:rsidR="00C003EA">
        <w:rPr>
          <w:rFonts w:ascii="Times New Roman" w:hAnsi="Times New Roman" w:cs="Times New Roman"/>
          <w:sz w:val="20"/>
          <w:lang w:val="fr-CA"/>
        </w:rPr>
        <w:t>Pour chaque test, nous avons</w:t>
      </w:r>
      <w:r w:rsidR="00C003EA" w:rsidRPr="00C003EA">
        <w:rPr>
          <w:rFonts w:ascii="Times New Roman" w:hAnsi="Times New Roman" w:cs="Times New Roman"/>
          <w:sz w:val="20"/>
          <w:lang w:val="fr-CA"/>
        </w:rPr>
        <w:t xml:space="preserve"> choisi </w:t>
      </w:r>
      <w:r w:rsidR="00C003EA">
        <w:rPr>
          <w:rFonts w:ascii="Times New Roman" w:hAnsi="Times New Roman" w:cs="Times New Roman"/>
          <w:sz w:val="20"/>
          <w:lang w:val="fr-CA"/>
        </w:rPr>
        <w:t>cinq</w:t>
      </w:r>
      <w:r w:rsidR="00C003EA" w:rsidRPr="00C003EA">
        <w:rPr>
          <w:rFonts w:ascii="Times New Roman" w:hAnsi="Times New Roman" w:cs="Times New Roman"/>
          <w:sz w:val="20"/>
          <w:lang w:val="fr-CA"/>
        </w:rPr>
        <w:t xml:space="preserve"> </w:t>
      </w:r>
      <w:proofErr w:type="spellStart"/>
      <w:r w:rsidR="00C003EA" w:rsidRPr="00C003EA">
        <w:rPr>
          <w:rFonts w:ascii="Times New Roman" w:hAnsi="Times New Roman" w:cs="Times New Roman"/>
          <w:sz w:val="20"/>
          <w:lang w:val="fr-CA"/>
        </w:rPr>
        <w:t>centroïdes</w:t>
      </w:r>
      <w:proofErr w:type="spellEnd"/>
      <w:r w:rsidR="005A2D3D">
        <w:rPr>
          <w:rFonts w:ascii="Times New Roman" w:hAnsi="Times New Roman" w:cs="Times New Roman"/>
          <w:sz w:val="20"/>
          <w:lang w:val="fr-CA"/>
        </w:rPr>
        <w:t xml:space="preserve"> au hasard et nous avons </w:t>
      </w:r>
      <w:r w:rsidR="00C003EA" w:rsidRPr="00C003EA">
        <w:rPr>
          <w:rFonts w:ascii="Times New Roman" w:hAnsi="Times New Roman" w:cs="Times New Roman"/>
          <w:sz w:val="20"/>
          <w:lang w:val="fr-CA"/>
        </w:rPr>
        <w:t xml:space="preserve">analysé la cohérence relative de chaque </w:t>
      </w:r>
      <w:proofErr w:type="spellStart"/>
      <w:r w:rsidR="00C003EA" w:rsidRPr="00C003EA">
        <w:rPr>
          <w:rFonts w:ascii="Times New Roman" w:hAnsi="Times New Roman" w:cs="Times New Roman"/>
          <w:sz w:val="20"/>
          <w:lang w:val="fr-CA"/>
        </w:rPr>
        <w:t>centroïde</w:t>
      </w:r>
      <w:proofErr w:type="spellEnd"/>
      <w:r w:rsidR="00C003EA" w:rsidRPr="00C003EA">
        <w:rPr>
          <w:rFonts w:ascii="Times New Roman" w:hAnsi="Times New Roman" w:cs="Times New Roman"/>
          <w:sz w:val="20"/>
          <w:lang w:val="fr-CA"/>
        </w:rPr>
        <w:t xml:space="preserve"> </w:t>
      </w:r>
      <w:r w:rsidR="005A2D3D">
        <w:rPr>
          <w:rFonts w:ascii="Times New Roman" w:hAnsi="Times New Roman" w:cs="Times New Roman"/>
          <w:sz w:val="20"/>
          <w:lang w:val="fr-CA"/>
        </w:rPr>
        <w:t>avec lesquels nous en avons</w:t>
      </w:r>
      <w:r w:rsidR="00C003EA" w:rsidRPr="00C003EA">
        <w:rPr>
          <w:rFonts w:ascii="Times New Roman" w:hAnsi="Times New Roman" w:cs="Times New Roman"/>
          <w:sz w:val="20"/>
          <w:lang w:val="fr-CA"/>
        </w:rPr>
        <w:t xml:space="preserve"> fait une moyenne. Ainsi</w:t>
      </w:r>
      <w:r w:rsidR="003E28F4">
        <w:rPr>
          <w:rFonts w:ascii="Times New Roman" w:hAnsi="Times New Roman" w:cs="Times New Roman"/>
          <w:sz w:val="20"/>
          <w:lang w:val="fr-CA"/>
        </w:rPr>
        <w:t>,</w:t>
      </w:r>
      <w:r w:rsidR="00C003EA" w:rsidRPr="00C003EA">
        <w:rPr>
          <w:rFonts w:ascii="Times New Roman" w:hAnsi="Times New Roman" w:cs="Times New Roman"/>
          <w:sz w:val="20"/>
          <w:lang w:val="fr-CA"/>
        </w:rPr>
        <w:t xml:space="preserve"> </w:t>
      </w:r>
      <w:r w:rsidR="003E28F4">
        <w:rPr>
          <w:rFonts w:ascii="Times New Roman" w:hAnsi="Times New Roman" w:cs="Times New Roman"/>
          <w:sz w:val="20"/>
          <w:lang w:val="fr-CA"/>
        </w:rPr>
        <w:t xml:space="preserve">nous nous assurions </w:t>
      </w:r>
      <w:r w:rsidR="00C003EA" w:rsidRPr="00C003EA">
        <w:rPr>
          <w:rFonts w:ascii="Times New Roman" w:hAnsi="Times New Roman" w:cs="Times New Roman"/>
          <w:sz w:val="20"/>
          <w:lang w:val="fr-CA"/>
        </w:rPr>
        <w:t xml:space="preserve">d’avoir une meilleure vue d’ensemble de </w:t>
      </w:r>
      <w:r w:rsidR="002445DC">
        <w:rPr>
          <w:rFonts w:ascii="Times New Roman" w:hAnsi="Times New Roman" w:cs="Times New Roman"/>
          <w:sz w:val="20"/>
          <w:lang w:val="fr-CA"/>
        </w:rPr>
        <w:t>tous</w:t>
      </w:r>
      <w:r w:rsidR="00C003EA" w:rsidRPr="00C003EA">
        <w:rPr>
          <w:rFonts w:ascii="Times New Roman" w:hAnsi="Times New Roman" w:cs="Times New Roman"/>
          <w:sz w:val="20"/>
          <w:lang w:val="fr-CA"/>
        </w:rPr>
        <w:t xml:space="preserve"> </w:t>
      </w:r>
      <w:r w:rsidR="00F1321A">
        <w:rPr>
          <w:rFonts w:ascii="Times New Roman" w:hAnsi="Times New Roman" w:cs="Times New Roman"/>
          <w:sz w:val="20"/>
          <w:lang w:val="fr-CA"/>
        </w:rPr>
        <w:t>nos</w:t>
      </w:r>
      <w:r w:rsidR="00C003EA" w:rsidRPr="00C003EA">
        <w:rPr>
          <w:rFonts w:ascii="Times New Roman" w:hAnsi="Times New Roman" w:cs="Times New Roman"/>
          <w:sz w:val="20"/>
          <w:lang w:val="fr-CA"/>
        </w:rPr>
        <w:t xml:space="preserve"> test</w:t>
      </w:r>
      <w:r w:rsidR="00F1321A">
        <w:rPr>
          <w:rFonts w:ascii="Times New Roman" w:hAnsi="Times New Roman" w:cs="Times New Roman"/>
          <w:sz w:val="20"/>
          <w:lang w:val="fr-CA"/>
        </w:rPr>
        <w:t>s</w:t>
      </w:r>
      <w:r w:rsidR="00C003EA" w:rsidRPr="00C003EA">
        <w:rPr>
          <w:rFonts w:ascii="Times New Roman" w:hAnsi="Times New Roman" w:cs="Times New Roman"/>
          <w:sz w:val="20"/>
          <w:lang w:val="fr-CA"/>
        </w:rPr>
        <w:t xml:space="preserve">. </w:t>
      </w:r>
      <w:r w:rsidR="00AD7C91">
        <w:rPr>
          <w:rFonts w:ascii="Times New Roman" w:hAnsi="Times New Roman" w:cs="Times New Roman"/>
          <w:sz w:val="20"/>
          <w:lang w:val="fr-CA"/>
        </w:rPr>
        <w:t xml:space="preserve">De plus, nous nous sommes </w:t>
      </w:r>
      <w:r w:rsidR="00C003EA" w:rsidRPr="00C003EA">
        <w:rPr>
          <w:rFonts w:ascii="Times New Roman" w:hAnsi="Times New Roman" w:cs="Times New Roman"/>
          <w:sz w:val="20"/>
          <w:lang w:val="fr-CA"/>
        </w:rPr>
        <w:t>assuré</w:t>
      </w:r>
      <w:r w:rsidR="00AD7C91">
        <w:rPr>
          <w:rFonts w:ascii="Times New Roman" w:hAnsi="Times New Roman" w:cs="Times New Roman"/>
          <w:sz w:val="20"/>
          <w:lang w:val="fr-CA"/>
        </w:rPr>
        <w:t>s</w:t>
      </w:r>
      <w:r w:rsidR="00C003EA" w:rsidRPr="00C003EA">
        <w:rPr>
          <w:rFonts w:ascii="Times New Roman" w:hAnsi="Times New Roman" w:cs="Times New Roman"/>
          <w:sz w:val="20"/>
          <w:lang w:val="fr-CA"/>
        </w:rPr>
        <w:t xml:space="preserve"> que les </w:t>
      </w:r>
      <w:proofErr w:type="spellStart"/>
      <w:r w:rsidR="00C003EA" w:rsidRPr="00C003EA">
        <w:rPr>
          <w:rFonts w:ascii="Times New Roman" w:hAnsi="Times New Roman" w:cs="Times New Roman"/>
          <w:sz w:val="20"/>
          <w:lang w:val="fr-CA"/>
        </w:rPr>
        <w:t>centroïdes</w:t>
      </w:r>
      <w:proofErr w:type="spellEnd"/>
      <w:r w:rsidR="00C003EA" w:rsidRPr="00C003EA">
        <w:rPr>
          <w:rFonts w:ascii="Times New Roman" w:hAnsi="Times New Roman" w:cs="Times New Roman"/>
          <w:sz w:val="20"/>
          <w:lang w:val="fr-CA"/>
        </w:rPr>
        <w:t xml:space="preserve"> que </w:t>
      </w:r>
      <w:r w:rsidR="001A645A">
        <w:rPr>
          <w:rFonts w:ascii="Times New Roman" w:hAnsi="Times New Roman" w:cs="Times New Roman"/>
          <w:sz w:val="20"/>
          <w:lang w:val="fr-CA"/>
        </w:rPr>
        <w:t xml:space="preserve">nous avions </w:t>
      </w:r>
      <w:r w:rsidR="00C003EA" w:rsidRPr="00C003EA">
        <w:rPr>
          <w:rFonts w:ascii="Times New Roman" w:hAnsi="Times New Roman" w:cs="Times New Roman"/>
          <w:sz w:val="20"/>
          <w:lang w:val="fr-CA"/>
        </w:rPr>
        <w:t>choisis avaien</w:t>
      </w:r>
      <w:r w:rsidR="000E7189">
        <w:rPr>
          <w:rFonts w:ascii="Times New Roman" w:hAnsi="Times New Roman" w:cs="Times New Roman"/>
          <w:sz w:val="20"/>
          <w:lang w:val="fr-CA"/>
        </w:rPr>
        <w:t xml:space="preserve">t tous dix </w:t>
      </w:r>
      <w:r w:rsidR="00C003EA" w:rsidRPr="00C003EA">
        <w:rPr>
          <w:rFonts w:ascii="Times New Roman" w:hAnsi="Times New Roman" w:cs="Times New Roman"/>
          <w:sz w:val="20"/>
          <w:lang w:val="fr-CA"/>
        </w:rPr>
        <w:t>mots d’affichés. Par</w:t>
      </w:r>
      <w:r w:rsidR="00594357">
        <w:rPr>
          <w:rFonts w:ascii="Times New Roman" w:hAnsi="Times New Roman" w:cs="Times New Roman"/>
          <w:sz w:val="20"/>
          <w:lang w:val="fr-CA"/>
        </w:rPr>
        <w:t xml:space="preserve"> contre, lorsqu’il était question de faire des tests avec moins de </w:t>
      </w:r>
      <w:proofErr w:type="spellStart"/>
      <w:r w:rsidR="00594357">
        <w:rPr>
          <w:rFonts w:ascii="Times New Roman" w:hAnsi="Times New Roman" w:cs="Times New Roman"/>
          <w:sz w:val="20"/>
          <w:lang w:val="fr-CA"/>
        </w:rPr>
        <w:t>centroïdes</w:t>
      </w:r>
      <w:proofErr w:type="spellEnd"/>
      <w:r w:rsidR="00C003EA" w:rsidRPr="00C003EA">
        <w:rPr>
          <w:rFonts w:ascii="Times New Roman" w:hAnsi="Times New Roman" w:cs="Times New Roman"/>
          <w:sz w:val="20"/>
          <w:lang w:val="fr-CA"/>
        </w:rPr>
        <w:t xml:space="preserve">, </w:t>
      </w:r>
      <w:r w:rsidR="00594357">
        <w:rPr>
          <w:rFonts w:ascii="Times New Roman" w:hAnsi="Times New Roman" w:cs="Times New Roman"/>
          <w:sz w:val="20"/>
          <w:lang w:val="fr-CA"/>
        </w:rPr>
        <w:t xml:space="preserve">nous avons </w:t>
      </w:r>
      <w:r w:rsidR="00F06AC1">
        <w:rPr>
          <w:rFonts w:ascii="Times New Roman" w:hAnsi="Times New Roman" w:cs="Times New Roman"/>
          <w:sz w:val="20"/>
          <w:lang w:val="fr-CA"/>
        </w:rPr>
        <w:t>dû prendre les partitions qui n’avaient pas nécessairement dix mots</w:t>
      </w:r>
      <w:r w:rsidR="00C003EA" w:rsidRPr="00C003EA">
        <w:rPr>
          <w:rFonts w:ascii="Times New Roman" w:hAnsi="Times New Roman" w:cs="Times New Roman"/>
          <w:sz w:val="20"/>
          <w:lang w:val="fr-CA"/>
        </w:rPr>
        <w:t xml:space="preserve">. Chacun des tests </w:t>
      </w:r>
      <w:r w:rsidR="00BA14D6">
        <w:rPr>
          <w:rFonts w:ascii="Times New Roman" w:hAnsi="Times New Roman" w:cs="Times New Roman"/>
          <w:sz w:val="20"/>
          <w:lang w:val="fr-CA"/>
        </w:rPr>
        <w:t>a</w:t>
      </w:r>
      <w:r w:rsidR="00C003EA" w:rsidRPr="00C003EA">
        <w:rPr>
          <w:rFonts w:ascii="Times New Roman" w:hAnsi="Times New Roman" w:cs="Times New Roman"/>
          <w:sz w:val="20"/>
          <w:lang w:val="fr-CA"/>
        </w:rPr>
        <w:t xml:space="preserve"> été effectué avec la même banque de mots et avec la même taille de fenêtre. </w:t>
      </w:r>
    </w:p>
    <w:p w:rsidR="00EF5712" w:rsidRPr="00EF5712" w:rsidRDefault="00EF5712" w:rsidP="009E22E6">
      <w:pPr>
        <w:jc w:val="center"/>
        <w:rPr>
          <w:rFonts w:ascii="Times New Roman" w:hAnsi="Times New Roman" w:cs="Times New Roman"/>
          <w:i/>
          <w:sz w:val="20"/>
          <w:lang w:val="fr-CA"/>
        </w:rPr>
      </w:pPr>
      <w:r w:rsidRPr="00EF5712">
        <w:rPr>
          <w:rFonts w:ascii="Times New Roman" w:hAnsi="Times New Roman" w:cs="Times New Roman"/>
          <w:i/>
          <w:sz w:val="20"/>
          <w:lang w:val="fr-CA"/>
        </w:rPr>
        <w:t>Exemple de sélection du degré de cohérence</w:t>
      </w:r>
      <w:r w:rsidR="00692F1C">
        <w:rPr>
          <w:rFonts w:ascii="Times New Roman" w:hAnsi="Times New Roman" w:cs="Times New Roman"/>
          <w:i/>
          <w:sz w:val="20"/>
          <w:lang w:val="fr-CA"/>
        </w:rPr>
        <w:t xml:space="preserve"> relative</w:t>
      </w:r>
    </w:p>
    <w:p w:rsidR="00EF5712" w:rsidRDefault="00EF5712" w:rsidP="00EF5712">
      <w:pPr>
        <w:jc w:val="center"/>
        <w:rPr>
          <w:rFonts w:ascii="Times New Roman" w:hAnsi="Times New Roman" w:cs="Times New Roman"/>
          <w:sz w:val="20"/>
          <w:lang w:val="fr-CA"/>
        </w:rPr>
      </w:pPr>
      <w:r>
        <w:rPr>
          <w:noProof/>
          <w:lang w:val="fr-CA" w:eastAsia="fr-CA"/>
        </w:rPr>
        <w:drawing>
          <wp:inline distT="0" distB="0" distL="0" distR="0" wp14:anchorId="40416670" wp14:editId="28039C39">
            <wp:extent cx="2244600" cy="2209800"/>
            <wp:effectExtent l="19050" t="19050" r="22860" b="190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632" cy="2213769"/>
                    </a:xfrm>
                    <a:prstGeom prst="rect">
                      <a:avLst/>
                    </a:prstGeom>
                    <a:ln>
                      <a:solidFill>
                        <a:schemeClr val="tx1"/>
                      </a:solidFill>
                    </a:ln>
                  </pic:spPr>
                </pic:pic>
              </a:graphicData>
            </a:graphic>
          </wp:inline>
        </w:drawing>
      </w:r>
    </w:p>
    <w:p w:rsidR="00EF5712" w:rsidRPr="00EF5712" w:rsidRDefault="00EF5712" w:rsidP="00EF5712">
      <w:pPr>
        <w:pStyle w:val="IOPH2"/>
        <w:jc w:val="center"/>
        <w:rPr>
          <w:rFonts w:ascii="Times New Roman" w:hAnsi="Times New Roman"/>
          <w:sz w:val="20"/>
          <w:szCs w:val="20"/>
          <w:lang w:val="fr-CA"/>
        </w:rPr>
      </w:pPr>
      <w:r w:rsidRPr="007C3333">
        <w:rPr>
          <w:rFonts w:ascii="Times New Roman" w:hAnsi="Times New Roman"/>
          <w:sz w:val="20"/>
          <w:szCs w:val="20"/>
          <w:lang w:val="fr-CA"/>
        </w:rPr>
        <w:t xml:space="preserve">Histogramme </w:t>
      </w:r>
      <w:r>
        <w:rPr>
          <w:rFonts w:ascii="Times New Roman" w:hAnsi="Times New Roman"/>
          <w:sz w:val="20"/>
          <w:szCs w:val="20"/>
          <w:lang w:val="fr-CA"/>
        </w:rPr>
        <w:t xml:space="preserve">du degré de cohérence relative selon le nombre de </w:t>
      </w:r>
      <w:proofErr w:type="spellStart"/>
      <w:r>
        <w:rPr>
          <w:rFonts w:ascii="Times New Roman" w:hAnsi="Times New Roman"/>
          <w:sz w:val="20"/>
          <w:szCs w:val="20"/>
          <w:lang w:val="fr-CA"/>
        </w:rPr>
        <w:t>centroïdes</w:t>
      </w:r>
      <w:proofErr w:type="spellEnd"/>
    </w:p>
    <w:p w:rsidR="00CE2181" w:rsidRDefault="00CE2181" w:rsidP="00C003EA">
      <w:pPr>
        <w:jc w:val="both"/>
        <w:rPr>
          <w:rFonts w:ascii="Times New Roman" w:hAnsi="Times New Roman" w:cs="Times New Roman"/>
          <w:sz w:val="20"/>
          <w:lang w:val="fr-CA"/>
        </w:rPr>
      </w:pPr>
      <w:r>
        <w:rPr>
          <w:rFonts w:ascii="Times New Roman" w:hAnsi="Times New Roman" w:cs="Times New Roman"/>
          <w:noProof/>
          <w:sz w:val="20"/>
          <w:lang w:val="fr-CA" w:eastAsia="fr-CA"/>
        </w:rPr>
        <w:drawing>
          <wp:inline distT="0" distB="0" distL="0" distR="0" wp14:anchorId="2232FA5E">
            <wp:extent cx="3129005" cy="200132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113" cy="2020585"/>
                    </a:xfrm>
                    <a:prstGeom prst="rect">
                      <a:avLst/>
                    </a:prstGeom>
                    <a:noFill/>
                  </pic:spPr>
                </pic:pic>
              </a:graphicData>
            </a:graphic>
          </wp:inline>
        </w:drawing>
      </w:r>
    </w:p>
    <w:p w:rsidR="00DC1DA7" w:rsidRDefault="00DC1DA7" w:rsidP="00FB595B">
      <w:pPr>
        <w:pStyle w:val="IOPH2"/>
        <w:rPr>
          <w:lang w:val="fr-CA"/>
        </w:rPr>
      </w:pPr>
    </w:p>
    <w:p w:rsidR="002A6B0B" w:rsidRDefault="002A6B0B" w:rsidP="00FB595B">
      <w:pPr>
        <w:pStyle w:val="IOPH2"/>
        <w:rPr>
          <w:lang w:val="fr-CA"/>
        </w:rPr>
      </w:pPr>
    </w:p>
    <w:p w:rsidR="002A6B0B" w:rsidRDefault="002A6B0B" w:rsidP="00FB595B">
      <w:pPr>
        <w:pStyle w:val="IOPH2"/>
        <w:rPr>
          <w:lang w:val="fr-CA"/>
        </w:rPr>
      </w:pPr>
    </w:p>
    <w:p w:rsidR="00FB595B" w:rsidRDefault="00FB595B" w:rsidP="00FB595B">
      <w:pPr>
        <w:pStyle w:val="IOPH2"/>
        <w:rPr>
          <w:lang w:val="fr-CA"/>
        </w:rPr>
      </w:pPr>
      <w:r>
        <w:rPr>
          <w:lang w:val="fr-CA"/>
        </w:rPr>
        <w:lastRenderedPageBreak/>
        <w:t>3</w:t>
      </w:r>
      <w:r w:rsidR="00C71D27">
        <w:rPr>
          <w:lang w:val="fr-CA"/>
        </w:rPr>
        <w:t>.2</w:t>
      </w:r>
      <w:r w:rsidRPr="00105EFE">
        <w:rPr>
          <w:lang w:val="fr-CA"/>
        </w:rPr>
        <w:t xml:space="preserve"> </w:t>
      </w:r>
      <w:r>
        <w:rPr>
          <w:lang w:val="fr-CA"/>
        </w:rPr>
        <w:t>Thème des corpus et taille de fenêtre</w:t>
      </w:r>
    </w:p>
    <w:p w:rsidR="00DC1DA7" w:rsidRDefault="00A619A0" w:rsidP="00BC5190">
      <w:pPr>
        <w:pStyle w:val="IOPH2"/>
        <w:jc w:val="both"/>
        <w:rPr>
          <w:lang w:val="fr-CA"/>
        </w:rPr>
      </w:pPr>
      <w:r>
        <w:rPr>
          <w:i w:val="0"/>
          <w:lang w:val="fr-CA"/>
        </w:rPr>
        <w:t xml:space="preserve">    </w:t>
      </w:r>
      <w:r w:rsidR="009A1B55" w:rsidRPr="009A1B55">
        <w:rPr>
          <w:rFonts w:ascii="Times New Roman" w:hAnsi="Times New Roman"/>
          <w:i w:val="0"/>
          <w:sz w:val="20"/>
          <w:szCs w:val="22"/>
          <w:lang w:val="fr-CA"/>
        </w:rPr>
        <w:t>Similairement au test précédent (</w:t>
      </w:r>
      <w:r w:rsidR="009A1B55" w:rsidRPr="009A1B55">
        <w:rPr>
          <w:rFonts w:ascii="Times New Roman" w:hAnsi="Times New Roman"/>
          <w:sz w:val="20"/>
          <w:szCs w:val="22"/>
          <w:lang w:val="fr-CA"/>
        </w:rPr>
        <w:t>Quantité par partions</w:t>
      </w:r>
      <w:r w:rsidR="009A1B55" w:rsidRPr="009A1B55">
        <w:rPr>
          <w:rFonts w:ascii="Times New Roman" w:hAnsi="Times New Roman"/>
          <w:i w:val="0"/>
          <w:sz w:val="20"/>
          <w:szCs w:val="22"/>
          <w:lang w:val="fr-CA"/>
        </w:rPr>
        <w:t xml:space="preserve">), nous avons choisi cinq </w:t>
      </w:r>
      <w:proofErr w:type="spellStart"/>
      <w:r w:rsidR="009A1B55" w:rsidRPr="009A1B55">
        <w:rPr>
          <w:rFonts w:ascii="Times New Roman" w:hAnsi="Times New Roman"/>
          <w:i w:val="0"/>
          <w:sz w:val="20"/>
          <w:szCs w:val="22"/>
          <w:lang w:val="fr-CA"/>
        </w:rPr>
        <w:t>centroïdes</w:t>
      </w:r>
      <w:proofErr w:type="spellEnd"/>
      <w:r w:rsidR="009A1B55" w:rsidRPr="009A1B55">
        <w:rPr>
          <w:rFonts w:ascii="Times New Roman" w:hAnsi="Times New Roman"/>
          <w:i w:val="0"/>
          <w:sz w:val="20"/>
          <w:szCs w:val="22"/>
          <w:lang w:val="fr-CA"/>
        </w:rPr>
        <w:t xml:space="preserve"> aléatoirement pour chaque donnée et nous avons analysé la cohérence relative du contenu de chacun d’eux. La donnée finale est le résultat de la moyenne des cinq </w:t>
      </w:r>
      <w:proofErr w:type="spellStart"/>
      <w:r w:rsidR="009A1B55" w:rsidRPr="009A1B55">
        <w:rPr>
          <w:rFonts w:ascii="Times New Roman" w:hAnsi="Times New Roman"/>
          <w:i w:val="0"/>
          <w:sz w:val="20"/>
          <w:szCs w:val="22"/>
          <w:lang w:val="fr-CA"/>
        </w:rPr>
        <w:t>centroïdes</w:t>
      </w:r>
      <w:proofErr w:type="spellEnd"/>
      <w:r w:rsidR="009A1B55" w:rsidRPr="009A1B55">
        <w:rPr>
          <w:rFonts w:ascii="Times New Roman" w:hAnsi="Times New Roman"/>
          <w:i w:val="0"/>
          <w:sz w:val="20"/>
          <w:szCs w:val="22"/>
          <w:lang w:val="fr-CA"/>
        </w:rPr>
        <w:t xml:space="preserve"> analysés. Nous avons choisi d’analyser l’angle de la relation entre la cohérence relative des </w:t>
      </w:r>
      <w:proofErr w:type="spellStart"/>
      <w:r w:rsidR="009A1B55" w:rsidRPr="009A1B55">
        <w:rPr>
          <w:rFonts w:ascii="Times New Roman" w:hAnsi="Times New Roman"/>
          <w:i w:val="0"/>
          <w:sz w:val="20"/>
          <w:szCs w:val="22"/>
          <w:lang w:val="fr-CA"/>
        </w:rPr>
        <w:t>centroïdes</w:t>
      </w:r>
      <w:proofErr w:type="spellEnd"/>
      <w:r w:rsidR="009A1B55" w:rsidRPr="009A1B55">
        <w:rPr>
          <w:rFonts w:ascii="Times New Roman" w:hAnsi="Times New Roman"/>
          <w:i w:val="0"/>
          <w:sz w:val="20"/>
          <w:szCs w:val="22"/>
          <w:lang w:val="fr-CA"/>
        </w:rPr>
        <w:t xml:space="preserve"> et la taille de la fenêtre avec laquelle les cooccurrences ont été mesurées. Nous avons aussi trouvé pertinent d’inclure en supplément le nombre de </w:t>
      </w:r>
      <w:proofErr w:type="spellStart"/>
      <w:r w:rsidR="009A1B55" w:rsidRPr="009A1B55">
        <w:rPr>
          <w:rFonts w:ascii="Times New Roman" w:hAnsi="Times New Roman"/>
          <w:i w:val="0"/>
          <w:sz w:val="20"/>
          <w:szCs w:val="22"/>
          <w:lang w:val="fr-CA"/>
        </w:rPr>
        <w:t>centroïdes</w:t>
      </w:r>
      <w:proofErr w:type="spellEnd"/>
      <w:r w:rsidR="009A1B55" w:rsidRPr="009A1B55">
        <w:rPr>
          <w:rFonts w:ascii="Times New Roman" w:hAnsi="Times New Roman"/>
          <w:i w:val="0"/>
          <w:sz w:val="20"/>
          <w:szCs w:val="22"/>
          <w:lang w:val="fr-CA"/>
        </w:rPr>
        <w:t xml:space="preserve"> avec lequel le test a été fait. Ils ont d'ailleurs été faits à partir de textes traitant du même sujet, soit la psychologie humaine.</w:t>
      </w:r>
    </w:p>
    <w:p w:rsidR="00DC1DA7" w:rsidRPr="00BC5190" w:rsidRDefault="00BC5190" w:rsidP="00BC5190">
      <w:pPr>
        <w:pStyle w:val="IOPH2"/>
        <w:jc w:val="center"/>
        <w:rPr>
          <w:rFonts w:ascii="Times New Roman" w:hAnsi="Times New Roman"/>
          <w:sz w:val="20"/>
          <w:szCs w:val="20"/>
          <w:lang w:val="fr-CA"/>
        </w:rPr>
      </w:pPr>
      <w:r w:rsidRPr="007C3333">
        <w:rPr>
          <w:rFonts w:ascii="Times New Roman" w:hAnsi="Times New Roman"/>
          <w:sz w:val="20"/>
          <w:szCs w:val="20"/>
          <w:lang w:val="fr-CA"/>
        </w:rPr>
        <w:t xml:space="preserve">Histogramme </w:t>
      </w:r>
      <w:r>
        <w:rPr>
          <w:rFonts w:ascii="Times New Roman" w:hAnsi="Times New Roman"/>
          <w:sz w:val="20"/>
          <w:szCs w:val="20"/>
          <w:lang w:val="fr-CA"/>
        </w:rPr>
        <w:t xml:space="preserve">du degré de cohérence relative selon la taille de la fenêtre et nombre de </w:t>
      </w:r>
      <w:proofErr w:type="spellStart"/>
      <w:r>
        <w:rPr>
          <w:rFonts w:ascii="Times New Roman" w:hAnsi="Times New Roman"/>
          <w:sz w:val="20"/>
          <w:szCs w:val="20"/>
          <w:lang w:val="fr-CA"/>
        </w:rPr>
        <w:t>centroïdes</w:t>
      </w:r>
      <w:proofErr w:type="spellEnd"/>
    </w:p>
    <w:p w:rsidR="00DC1DA7" w:rsidRDefault="00123349" w:rsidP="00FB595B">
      <w:pPr>
        <w:pStyle w:val="IOPH2"/>
        <w:rPr>
          <w:lang w:val="fr-CA"/>
        </w:rPr>
      </w:pPr>
      <w:r>
        <w:rPr>
          <w:noProof/>
          <w:lang w:val="fr-CA" w:eastAsia="fr-CA"/>
        </w:rPr>
        <w:drawing>
          <wp:inline distT="0" distB="0" distL="0" distR="0" wp14:anchorId="2FA2A599" wp14:editId="2389DD5C">
            <wp:extent cx="3131820" cy="2774950"/>
            <wp:effectExtent l="0" t="0" r="11430" b="635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B595B" w:rsidRDefault="00DC1DA7" w:rsidP="00FB595B">
      <w:pPr>
        <w:pStyle w:val="IOPH2"/>
        <w:rPr>
          <w:lang w:val="fr-CA"/>
        </w:rPr>
      </w:pPr>
      <w:r>
        <w:rPr>
          <w:lang w:val="fr-CA"/>
        </w:rPr>
        <w:t xml:space="preserve"> </w:t>
      </w:r>
      <w:r w:rsidR="00FB595B">
        <w:rPr>
          <w:lang w:val="fr-CA"/>
        </w:rPr>
        <w:t>3</w:t>
      </w:r>
      <w:r w:rsidR="00C71D27">
        <w:rPr>
          <w:lang w:val="fr-CA"/>
        </w:rPr>
        <w:t>.3</w:t>
      </w:r>
      <w:r w:rsidR="00FB595B" w:rsidRPr="00105EFE">
        <w:rPr>
          <w:lang w:val="fr-CA"/>
        </w:rPr>
        <w:t xml:space="preserve"> </w:t>
      </w:r>
      <w:r w:rsidR="00FB595B">
        <w:rPr>
          <w:lang w:val="fr-CA"/>
        </w:rPr>
        <w:t>Classification des verbes</w:t>
      </w:r>
    </w:p>
    <w:p w:rsidR="00260806" w:rsidRDefault="00100A20" w:rsidP="00FB595B">
      <w:pPr>
        <w:pStyle w:val="IOPH2"/>
        <w:jc w:val="both"/>
        <w:rPr>
          <w:rFonts w:ascii="Times New Roman" w:hAnsi="Times New Roman"/>
          <w:i w:val="0"/>
          <w:sz w:val="20"/>
          <w:szCs w:val="20"/>
          <w:lang w:val="fr-CA"/>
        </w:rPr>
      </w:pPr>
      <w:r>
        <w:rPr>
          <w:rFonts w:ascii="Times New Roman" w:hAnsi="Times New Roman"/>
          <w:i w:val="0"/>
          <w:sz w:val="20"/>
          <w:szCs w:val="20"/>
          <w:lang w:val="fr-CA"/>
        </w:rPr>
        <w:t xml:space="preserve">      </w:t>
      </w:r>
      <w:r w:rsidR="00FB595B">
        <w:rPr>
          <w:rFonts w:ascii="Times New Roman" w:hAnsi="Times New Roman"/>
          <w:i w:val="0"/>
          <w:sz w:val="20"/>
          <w:szCs w:val="20"/>
          <w:lang w:val="fr-CA"/>
        </w:rPr>
        <w:t>Les verbes ont été analysés sous trois angles : le mode, le temps et la personne grammaticale. Les résultats ont été divisés par la quantité de partitions employées (25,</w:t>
      </w:r>
      <w:r w:rsidR="00EA061C">
        <w:rPr>
          <w:rFonts w:ascii="Times New Roman" w:hAnsi="Times New Roman"/>
          <w:i w:val="0"/>
          <w:sz w:val="20"/>
          <w:szCs w:val="20"/>
          <w:lang w:val="fr-CA"/>
        </w:rPr>
        <w:t xml:space="preserve"> </w:t>
      </w:r>
      <w:r w:rsidR="00FB595B">
        <w:rPr>
          <w:rFonts w:ascii="Times New Roman" w:hAnsi="Times New Roman"/>
          <w:i w:val="0"/>
          <w:sz w:val="20"/>
          <w:szCs w:val="20"/>
          <w:lang w:val="fr-CA"/>
        </w:rPr>
        <w:t>50,</w:t>
      </w:r>
      <w:r w:rsidR="00EA061C">
        <w:rPr>
          <w:rFonts w:ascii="Times New Roman" w:hAnsi="Times New Roman"/>
          <w:i w:val="0"/>
          <w:sz w:val="20"/>
          <w:szCs w:val="20"/>
          <w:lang w:val="fr-CA"/>
        </w:rPr>
        <w:t xml:space="preserve"> </w:t>
      </w:r>
      <w:r w:rsidR="00FB595B">
        <w:rPr>
          <w:rFonts w:ascii="Times New Roman" w:hAnsi="Times New Roman"/>
          <w:i w:val="0"/>
          <w:sz w:val="20"/>
          <w:szCs w:val="20"/>
          <w:lang w:val="fr-CA"/>
        </w:rPr>
        <w:t xml:space="preserve">75, 150 et 200) et mesurés selon leur proportion dans l’ensemble de l’échantillon analysé, soit une taille d’échantillon de 5 </w:t>
      </w:r>
      <w:proofErr w:type="spellStart"/>
      <w:r w:rsidR="00FB595B">
        <w:rPr>
          <w:rFonts w:ascii="Times New Roman" w:hAnsi="Times New Roman"/>
          <w:i w:val="0"/>
          <w:sz w:val="20"/>
          <w:szCs w:val="20"/>
          <w:lang w:val="fr-CA"/>
        </w:rPr>
        <w:t>centroïdes</w:t>
      </w:r>
      <w:proofErr w:type="spellEnd"/>
      <w:r w:rsidR="00FB595B">
        <w:rPr>
          <w:rFonts w:ascii="Times New Roman" w:hAnsi="Times New Roman"/>
          <w:i w:val="0"/>
          <w:sz w:val="20"/>
          <w:szCs w:val="20"/>
          <w:lang w:val="fr-CA"/>
        </w:rPr>
        <w:t xml:space="preserve"> dans tous les cas, et en mesurant le moyenne parmi le nombre de mots affichés par </w:t>
      </w:r>
      <w:proofErr w:type="spellStart"/>
      <w:r w:rsidR="00FB595B">
        <w:rPr>
          <w:rFonts w:ascii="Times New Roman" w:hAnsi="Times New Roman"/>
          <w:i w:val="0"/>
          <w:sz w:val="20"/>
          <w:szCs w:val="20"/>
          <w:lang w:val="fr-CA"/>
        </w:rPr>
        <w:t>centroïdes</w:t>
      </w:r>
      <w:proofErr w:type="spellEnd"/>
      <w:r w:rsidR="00FB595B">
        <w:rPr>
          <w:rFonts w:ascii="Times New Roman" w:hAnsi="Times New Roman"/>
          <w:i w:val="0"/>
          <w:sz w:val="20"/>
          <w:szCs w:val="20"/>
          <w:lang w:val="fr-CA"/>
        </w:rPr>
        <w:t xml:space="preserve">. </w:t>
      </w:r>
    </w:p>
    <w:p w:rsidR="00FB595B" w:rsidRDefault="005A121C" w:rsidP="005C779F">
      <w:pPr>
        <w:pStyle w:val="IOPH2"/>
        <w:spacing w:before="240"/>
        <w:jc w:val="both"/>
        <w:rPr>
          <w:rFonts w:ascii="Times New Roman" w:hAnsi="Times New Roman"/>
          <w:i w:val="0"/>
          <w:sz w:val="20"/>
          <w:szCs w:val="20"/>
          <w:lang w:val="fr-CA"/>
        </w:rPr>
      </w:pPr>
      <w:r>
        <w:rPr>
          <w:rFonts w:ascii="Times New Roman" w:hAnsi="Times New Roman"/>
          <w:i w:val="0"/>
          <w:sz w:val="20"/>
          <w:szCs w:val="20"/>
          <w:lang w:val="fr-CA"/>
        </w:rPr>
        <w:t>Par exemple, s’il y avait trois</w:t>
      </w:r>
      <w:r w:rsidR="00FB595B">
        <w:rPr>
          <w:rFonts w:ascii="Times New Roman" w:hAnsi="Times New Roman"/>
          <w:i w:val="0"/>
          <w:sz w:val="20"/>
          <w:szCs w:val="20"/>
          <w:lang w:val="fr-CA"/>
        </w:rPr>
        <w:t xml:space="preserve"> verbes ayant </w:t>
      </w:r>
      <w:r w:rsidR="00035A2D">
        <w:rPr>
          <w:rFonts w:ascii="Times New Roman" w:hAnsi="Times New Roman"/>
          <w:i w:val="0"/>
          <w:sz w:val="20"/>
          <w:szCs w:val="20"/>
          <w:lang w:val="fr-CA"/>
        </w:rPr>
        <w:t>le mode « Indicatif » sur les quinze</w:t>
      </w:r>
      <w:r w:rsidR="000B1B3B">
        <w:rPr>
          <w:rFonts w:ascii="Times New Roman" w:hAnsi="Times New Roman"/>
          <w:i w:val="0"/>
          <w:sz w:val="20"/>
          <w:szCs w:val="20"/>
          <w:lang w:val="fr-CA"/>
        </w:rPr>
        <w:t xml:space="preserve"> verbes </w:t>
      </w:r>
      <w:r w:rsidR="00FB595B">
        <w:rPr>
          <w:rFonts w:ascii="Times New Roman" w:hAnsi="Times New Roman"/>
          <w:i w:val="0"/>
          <w:sz w:val="20"/>
          <w:szCs w:val="20"/>
          <w:lang w:val="fr-CA"/>
        </w:rPr>
        <w:t>les</w:t>
      </w:r>
      <w:r w:rsidR="000B1B3B">
        <w:rPr>
          <w:rFonts w:ascii="Times New Roman" w:hAnsi="Times New Roman"/>
          <w:i w:val="0"/>
          <w:sz w:val="20"/>
          <w:szCs w:val="20"/>
          <w:lang w:val="fr-CA"/>
        </w:rPr>
        <w:t xml:space="preserve"> plus</w:t>
      </w:r>
      <w:r w:rsidR="00FB595B">
        <w:rPr>
          <w:rFonts w:ascii="Times New Roman" w:hAnsi="Times New Roman"/>
          <w:i w:val="0"/>
          <w:sz w:val="20"/>
          <w:szCs w:val="20"/>
          <w:lang w:val="fr-CA"/>
        </w:rPr>
        <w:t xml:space="preserve"> près du </w:t>
      </w:r>
      <w:proofErr w:type="spellStart"/>
      <w:r w:rsidR="00FB595B">
        <w:rPr>
          <w:rFonts w:ascii="Times New Roman" w:hAnsi="Times New Roman"/>
          <w:i w:val="0"/>
          <w:sz w:val="20"/>
          <w:szCs w:val="20"/>
          <w:lang w:val="fr-CA"/>
        </w:rPr>
        <w:t>centroïde</w:t>
      </w:r>
      <w:proofErr w:type="spellEnd"/>
      <w:r w:rsidR="00FB595B">
        <w:rPr>
          <w:rFonts w:ascii="Times New Roman" w:hAnsi="Times New Roman"/>
          <w:i w:val="0"/>
          <w:sz w:val="20"/>
          <w:szCs w:val="20"/>
          <w:lang w:val="fr-CA"/>
        </w:rPr>
        <w:t xml:space="preserve">, la proportion du mode indicatif serait donc de </w:t>
      </w:r>
      <w:r w:rsidR="005C779F">
        <w:rPr>
          <w:rFonts w:ascii="Times New Roman" w:hAnsi="Times New Roman"/>
          <w:i w:val="0"/>
          <w:sz w:val="20"/>
          <w:szCs w:val="20"/>
          <w:lang w:val="fr-CA"/>
        </w:rPr>
        <w:t>0,2 (</w:t>
      </w:r>
      <w:r w:rsidR="00260806">
        <w:rPr>
          <w:rFonts w:ascii="Times New Roman" w:hAnsi="Times New Roman"/>
          <w:i w:val="0"/>
          <w:sz w:val="20"/>
          <w:szCs w:val="20"/>
          <w:lang w:val="fr-CA"/>
        </w:rPr>
        <w:t>20%</w:t>
      </w:r>
      <w:r w:rsidR="005C779F">
        <w:rPr>
          <w:rFonts w:ascii="Times New Roman" w:hAnsi="Times New Roman"/>
          <w:i w:val="0"/>
          <w:sz w:val="20"/>
          <w:szCs w:val="20"/>
          <w:lang w:val="fr-CA"/>
        </w:rPr>
        <w:t>)</w:t>
      </w:r>
      <w:r w:rsidR="00260806">
        <w:rPr>
          <w:rFonts w:ascii="Times New Roman" w:hAnsi="Times New Roman"/>
          <w:i w:val="0"/>
          <w:sz w:val="20"/>
          <w:szCs w:val="20"/>
          <w:lang w:val="fr-CA"/>
        </w:rPr>
        <w:t xml:space="preserve"> dans cette partition :</w:t>
      </w:r>
    </w:p>
    <w:p w:rsidR="00260806" w:rsidRDefault="00260806" w:rsidP="00FB595B">
      <w:pPr>
        <w:pStyle w:val="IOPH2"/>
        <w:jc w:val="both"/>
        <w:rPr>
          <w:rFonts w:ascii="Times New Roman" w:hAnsi="Times New Roman"/>
          <w:i w:val="0"/>
          <w:sz w:val="20"/>
          <w:szCs w:val="20"/>
          <w:lang w:val="fr-CA"/>
        </w:rPr>
      </w:pPr>
      <w:r w:rsidRPr="00260806">
        <w:rPr>
          <w:noProof/>
          <w:lang w:val="fr-CA" w:eastAsia="fr-CA"/>
        </w:rPr>
        <w:lastRenderedPageBreak/>
        <w:drawing>
          <wp:inline distT="0" distB="0" distL="0" distR="0">
            <wp:extent cx="3131820" cy="1054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1054540"/>
                    </a:xfrm>
                    <a:prstGeom prst="rect">
                      <a:avLst/>
                    </a:prstGeom>
                    <a:noFill/>
                    <a:ln>
                      <a:noFill/>
                    </a:ln>
                  </pic:spPr>
                </pic:pic>
              </a:graphicData>
            </a:graphic>
          </wp:inline>
        </w:drawing>
      </w:r>
      <w:r>
        <w:rPr>
          <w:rStyle w:val="Appelnotedebasdep"/>
          <w:rFonts w:ascii="Times New Roman" w:hAnsi="Times New Roman"/>
          <w:i w:val="0"/>
          <w:sz w:val="20"/>
          <w:szCs w:val="20"/>
          <w:lang w:val="fr-CA"/>
        </w:rPr>
        <w:footnoteReference w:id="3"/>
      </w:r>
    </w:p>
    <w:p w:rsidR="004D156D" w:rsidRPr="004D156D" w:rsidRDefault="007C3333" w:rsidP="00FB595B">
      <w:pPr>
        <w:pStyle w:val="IOPH2"/>
        <w:jc w:val="both"/>
        <w:rPr>
          <w:rFonts w:ascii="Times New Roman" w:hAnsi="Times New Roman"/>
          <w:i w:val="0"/>
          <w:sz w:val="20"/>
          <w:lang w:val="fr-CA"/>
        </w:rPr>
      </w:pPr>
      <w:r w:rsidRPr="007C3333">
        <w:rPr>
          <w:rFonts w:ascii="Times New Roman" w:hAnsi="Times New Roman"/>
          <w:i w:val="0"/>
          <w:sz w:val="20"/>
          <w:lang w:val="fr-CA"/>
        </w:rPr>
        <w:t>Dans tous les histogrammes, la variable dépendante est représentée par la proportion de la variable étudiée sur l’ensemble sur 1. Par exemple, une valeur de 0,5 serait l’équivalent de 50% de proportion pour une telle valeur sur l’ensemble des autres individus.</w:t>
      </w:r>
    </w:p>
    <w:p w:rsidR="007C3333" w:rsidRPr="007C3333" w:rsidRDefault="007C3333" w:rsidP="007C3333">
      <w:pPr>
        <w:pStyle w:val="IOPH2"/>
        <w:jc w:val="center"/>
        <w:rPr>
          <w:rFonts w:ascii="Times New Roman" w:hAnsi="Times New Roman"/>
          <w:sz w:val="20"/>
          <w:szCs w:val="20"/>
          <w:lang w:val="fr-CA"/>
        </w:rPr>
      </w:pPr>
      <w:r w:rsidRPr="007C3333">
        <w:rPr>
          <w:rFonts w:ascii="Times New Roman" w:hAnsi="Times New Roman"/>
          <w:sz w:val="20"/>
          <w:szCs w:val="20"/>
          <w:lang w:val="fr-CA"/>
        </w:rPr>
        <w:t xml:space="preserve">Histogramme des proportions des modes verbaux pour 5 </w:t>
      </w:r>
      <w:proofErr w:type="spellStart"/>
      <w:r w:rsidRPr="007C3333">
        <w:rPr>
          <w:rFonts w:ascii="Times New Roman" w:hAnsi="Times New Roman"/>
          <w:sz w:val="20"/>
          <w:szCs w:val="20"/>
          <w:lang w:val="fr-CA"/>
        </w:rPr>
        <w:t>centroïdes</w:t>
      </w:r>
      <w:proofErr w:type="spellEnd"/>
      <w:r w:rsidRPr="007C3333">
        <w:rPr>
          <w:rFonts w:ascii="Times New Roman" w:hAnsi="Times New Roman"/>
          <w:sz w:val="20"/>
          <w:szCs w:val="20"/>
          <w:lang w:val="fr-CA"/>
        </w:rPr>
        <w:t xml:space="preserve"> aléatoires selon le nombre de </w:t>
      </w:r>
      <w:proofErr w:type="spellStart"/>
      <w:r w:rsidRPr="007C3333">
        <w:rPr>
          <w:rFonts w:ascii="Times New Roman" w:hAnsi="Times New Roman"/>
          <w:sz w:val="20"/>
          <w:szCs w:val="20"/>
          <w:lang w:val="fr-CA"/>
        </w:rPr>
        <w:t>centroïdes</w:t>
      </w:r>
      <w:proofErr w:type="spellEnd"/>
    </w:p>
    <w:p w:rsidR="005B7DB1" w:rsidRDefault="007C3333" w:rsidP="00FB595B">
      <w:pPr>
        <w:pStyle w:val="IOPH2"/>
        <w:jc w:val="both"/>
        <w:rPr>
          <w:rFonts w:ascii="Times New Roman" w:hAnsi="Times New Roman"/>
          <w:i w:val="0"/>
          <w:sz w:val="20"/>
          <w:szCs w:val="20"/>
          <w:lang w:val="fr-CA"/>
        </w:rPr>
      </w:pPr>
      <w:r>
        <w:rPr>
          <w:rFonts w:ascii="Times New Roman" w:hAnsi="Times New Roman"/>
          <w:i w:val="0"/>
          <w:noProof/>
          <w:sz w:val="20"/>
          <w:szCs w:val="20"/>
          <w:lang w:val="fr-CA" w:eastAsia="fr-CA"/>
        </w:rPr>
        <w:drawing>
          <wp:inline distT="0" distB="0" distL="0" distR="0" wp14:anchorId="26CB8F01">
            <wp:extent cx="3187370" cy="18808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7174" cy="2004676"/>
                    </a:xfrm>
                    <a:prstGeom prst="rect">
                      <a:avLst/>
                    </a:prstGeom>
                    <a:noFill/>
                  </pic:spPr>
                </pic:pic>
              </a:graphicData>
            </a:graphic>
          </wp:inline>
        </w:drawing>
      </w:r>
    </w:p>
    <w:p w:rsidR="005B7DB1" w:rsidRPr="005B7DB1" w:rsidRDefault="005B7DB1" w:rsidP="005B7DB1">
      <w:pPr>
        <w:pStyle w:val="IOPH2"/>
        <w:jc w:val="center"/>
        <w:rPr>
          <w:rFonts w:ascii="Times New Roman" w:hAnsi="Times New Roman"/>
          <w:sz w:val="20"/>
          <w:szCs w:val="20"/>
          <w:lang w:val="fr-CA"/>
        </w:rPr>
      </w:pPr>
      <w:r w:rsidRPr="007C3333">
        <w:rPr>
          <w:rFonts w:ascii="Times New Roman" w:hAnsi="Times New Roman"/>
          <w:sz w:val="20"/>
          <w:szCs w:val="20"/>
          <w:lang w:val="fr-CA"/>
        </w:rPr>
        <w:t xml:space="preserve">Histogramme des proportions des </w:t>
      </w:r>
      <w:r>
        <w:rPr>
          <w:rFonts w:ascii="Times New Roman" w:hAnsi="Times New Roman"/>
          <w:sz w:val="20"/>
          <w:szCs w:val="20"/>
          <w:lang w:val="fr-CA"/>
        </w:rPr>
        <w:t>temps</w:t>
      </w:r>
      <w:r w:rsidRPr="007C3333">
        <w:rPr>
          <w:rFonts w:ascii="Times New Roman" w:hAnsi="Times New Roman"/>
          <w:sz w:val="20"/>
          <w:szCs w:val="20"/>
          <w:lang w:val="fr-CA"/>
        </w:rPr>
        <w:t xml:space="preserve"> verbaux pour 5 </w:t>
      </w:r>
      <w:proofErr w:type="spellStart"/>
      <w:r w:rsidRPr="007C3333">
        <w:rPr>
          <w:rFonts w:ascii="Times New Roman" w:hAnsi="Times New Roman"/>
          <w:sz w:val="20"/>
          <w:szCs w:val="20"/>
          <w:lang w:val="fr-CA"/>
        </w:rPr>
        <w:t>centroïdes</w:t>
      </w:r>
      <w:proofErr w:type="spellEnd"/>
      <w:r w:rsidRPr="007C3333">
        <w:rPr>
          <w:rFonts w:ascii="Times New Roman" w:hAnsi="Times New Roman"/>
          <w:sz w:val="20"/>
          <w:szCs w:val="20"/>
          <w:lang w:val="fr-CA"/>
        </w:rPr>
        <w:t xml:space="preserve"> aléatoires selon le nombre de </w:t>
      </w:r>
      <w:proofErr w:type="spellStart"/>
      <w:r w:rsidRPr="007C3333">
        <w:rPr>
          <w:rFonts w:ascii="Times New Roman" w:hAnsi="Times New Roman"/>
          <w:sz w:val="20"/>
          <w:szCs w:val="20"/>
          <w:lang w:val="fr-CA"/>
        </w:rPr>
        <w:t>centroïdes</w:t>
      </w:r>
      <w:proofErr w:type="spellEnd"/>
    </w:p>
    <w:p w:rsidR="00986727" w:rsidRDefault="005B7DB1" w:rsidP="00B060EF">
      <w:pPr>
        <w:pStyle w:val="IOPH2"/>
        <w:jc w:val="both"/>
        <w:rPr>
          <w:rFonts w:ascii="Times New Roman" w:hAnsi="Times New Roman"/>
          <w:i w:val="0"/>
          <w:sz w:val="20"/>
          <w:szCs w:val="20"/>
          <w:lang w:val="fr-CA"/>
        </w:rPr>
      </w:pPr>
      <w:r>
        <w:rPr>
          <w:rFonts w:ascii="Times New Roman" w:hAnsi="Times New Roman"/>
          <w:i w:val="0"/>
          <w:noProof/>
          <w:sz w:val="20"/>
          <w:szCs w:val="20"/>
          <w:lang w:val="fr-CA" w:eastAsia="fr-CA"/>
        </w:rPr>
        <w:drawing>
          <wp:inline distT="0" distB="0" distL="0" distR="0" wp14:anchorId="377DD837">
            <wp:extent cx="3181156" cy="200977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8013" cy="2077284"/>
                    </a:xfrm>
                    <a:prstGeom prst="rect">
                      <a:avLst/>
                    </a:prstGeom>
                    <a:noFill/>
                  </pic:spPr>
                </pic:pic>
              </a:graphicData>
            </a:graphic>
          </wp:inline>
        </w:drawing>
      </w:r>
    </w:p>
    <w:p w:rsidR="001644AE" w:rsidRDefault="001644AE" w:rsidP="00B060EF">
      <w:pPr>
        <w:pStyle w:val="IOPH2"/>
        <w:jc w:val="both"/>
        <w:rPr>
          <w:rFonts w:ascii="Times New Roman" w:hAnsi="Times New Roman"/>
          <w:i w:val="0"/>
          <w:sz w:val="20"/>
          <w:szCs w:val="20"/>
          <w:lang w:val="fr-CA"/>
        </w:rPr>
      </w:pPr>
    </w:p>
    <w:p w:rsidR="001644AE" w:rsidRPr="00B060EF" w:rsidRDefault="001644AE" w:rsidP="00B060EF">
      <w:pPr>
        <w:pStyle w:val="IOPH2"/>
        <w:jc w:val="both"/>
        <w:rPr>
          <w:rFonts w:ascii="Times New Roman" w:hAnsi="Times New Roman"/>
          <w:i w:val="0"/>
          <w:sz w:val="20"/>
          <w:szCs w:val="20"/>
          <w:lang w:val="fr-CA"/>
        </w:rPr>
      </w:pPr>
    </w:p>
    <w:p w:rsidR="00B060EF" w:rsidRPr="005C779F" w:rsidRDefault="00B060EF" w:rsidP="005C779F">
      <w:pPr>
        <w:pStyle w:val="IOPH2"/>
        <w:jc w:val="center"/>
        <w:rPr>
          <w:rFonts w:ascii="Times New Roman" w:hAnsi="Times New Roman"/>
          <w:sz w:val="20"/>
          <w:szCs w:val="20"/>
          <w:lang w:val="fr-CA"/>
        </w:rPr>
      </w:pPr>
      <w:r w:rsidRPr="007C3333">
        <w:rPr>
          <w:rFonts w:ascii="Times New Roman" w:hAnsi="Times New Roman"/>
          <w:sz w:val="20"/>
          <w:szCs w:val="20"/>
          <w:lang w:val="fr-CA"/>
        </w:rPr>
        <w:lastRenderedPageBreak/>
        <w:t xml:space="preserve">Histogramme des proportions des </w:t>
      </w:r>
      <w:r>
        <w:rPr>
          <w:rFonts w:ascii="Times New Roman" w:hAnsi="Times New Roman"/>
          <w:sz w:val="20"/>
          <w:szCs w:val="20"/>
          <w:lang w:val="fr-CA"/>
        </w:rPr>
        <w:t>personnes</w:t>
      </w:r>
      <w:r w:rsidRPr="007C3333">
        <w:rPr>
          <w:rFonts w:ascii="Times New Roman" w:hAnsi="Times New Roman"/>
          <w:sz w:val="20"/>
          <w:szCs w:val="20"/>
          <w:lang w:val="fr-CA"/>
        </w:rPr>
        <w:t xml:space="preserve"> </w:t>
      </w:r>
      <w:r>
        <w:rPr>
          <w:rFonts w:ascii="Times New Roman" w:hAnsi="Times New Roman"/>
          <w:sz w:val="20"/>
          <w:szCs w:val="20"/>
          <w:lang w:val="fr-CA"/>
        </w:rPr>
        <w:t xml:space="preserve">grammaticales </w:t>
      </w:r>
      <w:r w:rsidRPr="007C3333">
        <w:rPr>
          <w:rFonts w:ascii="Times New Roman" w:hAnsi="Times New Roman"/>
          <w:sz w:val="20"/>
          <w:szCs w:val="20"/>
          <w:lang w:val="fr-CA"/>
        </w:rPr>
        <w:t xml:space="preserve">pour 5 </w:t>
      </w:r>
      <w:proofErr w:type="spellStart"/>
      <w:r w:rsidRPr="007C3333">
        <w:rPr>
          <w:rFonts w:ascii="Times New Roman" w:hAnsi="Times New Roman"/>
          <w:sz w:val="20"/>
          <w:szCs w:val="20"/>
          <w:lang w:val="fr-CA"/>
        </w:rPr>
        <w:t>centroïdes</w:t>
      </w:r>
      <w:proofErr w:type="spellEnd"/>
      <w:r w:rsidRPr="007C3333">
        <w:rPr>
          <w:rFonts w:ascii="Times New Roman" w:hAnsi="Times New Roman"/>
          <w:sz w:val="20"/>
          <w:szCs w:val="20"/>
          <w:lang w:val="fr-CA"/>
        </w:rPr>
        <w:t xml:space="preserve"> aléatoires selon le nombre de </w:t>
      </w:r>
      <w:proofErr w:type="spellStart"/>
      <w:r w:rsidRPr="007C3333">
        <w:rPr>
          <w:rFonts w:ascii="Times New Roman" w:hAnsi="Times New Roman"/>
          <w:sz w:val="20"/>
          <w:szCs w:val="20"/>
          <w:lang w:val="fr-CA"/>
        </w:rPr>
        <w:t>centroïdes</w:t>
      </w:r>
      <w:proofErr w:type="spellEnd"/>
    </w:p>
    <w:p w:rsidR="006C6051" w:rsidRDefault="00B060EF" w:rsidP="002F3F26">
      <w:pPr>
        <w:pStyle w:val="IOPText"/>
        <w:ind w:firstLine="0"/>
        <w:rPr>
          <w:rFonts w:eastAsiaTheme="minorEastAsia"/>
          <w:iCs/>
          <w:noProof/>
          <w:szCs w:val="24"/>
        </w:rPr>
      </w:pPr>
      <w:r>
        <w:rPr>
          <w:rFonts w:eastAsiaTheme="minorEastAsia"/>
          <w:iCs/>
          <w:noProof/>
          <w:szCs w:val="24"/>
          <w:lang w:val="fr-CA" w:eastAsia="fr-CA"/>
        </w:rPr>
        <w:drawing>
          <wp:inline distT="0" distB="0" distL="0" distR="0" wp14:anchorId="0D131788">
            <wp:extent cx="3180715" cy="1861804"/>
            <wp:effectExtent l="0" t="0" r="63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666" cy="1896896"/>
                    </a:xfrm>
                    <a:prstGeom prst="rect">
                      <a:avLst/>
                    </a:prstGeom>
                    <a:noFill/>
                  </pic:spPr>
                </pic:pic>
              </a:graphicData>
            </a:graphic>
          </wp:inline>
        </w:drawing>
      </w:r>
    </w:p>
    <w:p w:rsidR="006C6051" w:rsidRDefault="006C6051" w:rsidP="006C6051">
      <w:pPr>
        <w:pStyle w:val="IOPH1"/>
        <w:rPr>
          <w:lang w:val="fr-CA"/>
        </w:rPr>
      </w:pPr>
      <w:r>
        <w:rPr>
          <w:lang w:val="fr-CA"/>
        </w:rPr>
        <w:t>4. Discussions</w:t>
      </w:r>
    </w:p>
    <w:p w:rsidR="00F65911" w:rsidRDefault="00F65911" w:rsidP="00F65911">
      <w:pPr>
        <w:pStyle w:val="IOPH2"/>
        <w:rPr>
          <w:lang w:val="fr-CA"/>
        </w:rPr>
      </w:pPr>
      <w:r>
        <w:rPr>
          <w:lang w:val="fr-CA"/>
        </w:rPr>
        <w:t>4</w:t>
      </w:r>
      <w:r w:rsidRPr="00105EFE">
        <w:rPr>
          <w:lang w:val="fr-CA"/>
        </w:rPr>
        <w:t xml:space="preserve">.1 </w:t>
      </w:r>
      <w:r>
        <w:rPr>
          <w:lang w:val="fr-CA"/>
        </w:rPr>
        <w:t>Quantité par partitions</w:t>
      </w:r>
    </w:p>
    <w:p w:rsidR="00F65911" w:rsidRPr="00F65911" w:rsidRDefault="00F65911" w:rsidP="00F65911">
      <w:pPr>
        <w:pStyle w:val="IOPText"/>
        <w:rPr>
          <w:noProof/>
          <w:lang w:val="fr-CA"/>
        </w:rPr>
      </w:pPr>
      <w:r w:rsidRPr="00F65911">
        <w:rPr>
          <w:noProof/>
          <w:lang w:val="fr-CA"/>
        </w:rPr>
        <w:t xml:space="preserve">Selon l’hypothèse que nous avions émise, plus </w:t>
      </w:r>
      <w:r>
        <w:rPr>
          <w:noProof/>
          <w:lang w:val="fr-CA"/>
        </w:rPr>
        <w:t>il y a</w:t>
      </w:r>
      <w:r w:rsidRPr="00F65911">
        <w:rPr>
          <w:noProof/>
          <w:lang w:val="fr-CA"/>
        </w:rPr>
        <w:t xml:space="preserve"> de centroïdes plus </w:t>
      </w:r>
      <w:r>
        <w:rPr>
          <w:noProof/>
          <w:lang w:val="fr-CA"/>
        </w:rPr>
        <w:t>nous devions</w:t>
      </w:r>
      <w:r w:rsidRPr="00F65911">
        <w:rPr>
          <w:noProof/>
          <w:lang w:val="fr-CA"/>
        </w:rPr>
        <w:t xml:space="preserve"> avoir un haut pourcentage de degré de cohérence relative. </w:t>
      </w:r>
      <w:r w:rsidR="00B87573">
        <w:rPr>
          <w:noProof/>
          <w:lang w:val="fr-CA"/>
        </w:rPr>
        <w:t>Avec</w:t>
      </w:r>
      <w:r w:rsidRPr="00F65911">
        <w:rPr>
          <w:noProof/>
          <w:lang w:val="fr-CA"/>
        </w:rPr>
        <w:t xml:space="preserve"> les résultats que </w:t>
      </w:r>
      <w:r>
        <w:rPr>
          <w:noProof/>
          <w:lang w:val="fr-CA"/>
        </w:rPr>
        <w:t>nous avons</w:t>
      </w:r>
      <w:r w:rsidRPr="00F65911">
        <w:rPr>
          <w:noProof/>
          <w:lang w:val="fr-CA"/>
        </w:rPr>
        <w:t xml:space="preserve"> obtenus, </w:t>
      </w:r>
      <w:r w:rsidR="00B87573">
        <w:rPr>
          <w:noProof/>
          <w:lang w:val="fr-CA"/>
        </w:rPr>
        <w:t xml:space="preserve">nous </w:t>
      </w:r>
      <w:r w:rsidR="006A6BCB">
        <w:rPr>
          <w:noProof/>
          <w:lang w:val="fr-CA"/>
        </w:rPr>
        <w:t>observons qu’</w:t>
      </w:r>
      <w:r w:rsidR="00B87573">
        <w:rPr>
          <w:noProof/>
          <w:lang w:val="fr-CA"/>
        </w:rPr>
        <w:t>un trop petit nombre de centroïdes créé de trop grandes partitions sans trop de cohérence</w:t>
      </w:r>
      <w:r w:rsidR="007F357D">
        <w:rPr>
          <w:noProof/>
          <w:lang w:val="fr-CA"/>
        </w:rPr>
        <w:t xml:space="preserve"> sémantique</w:t>
      </w:r>
      <w:r w:rsidRPr="00F65911">
        <w:rPr>
          <w:noProof/>
          <w:lang w:val="fr-CA"/>
        </w:rPr>
        <w:t>.</w:t>
      </w:r>
      <w:r w:rsidR="00B87573">
        <w:rPr>
          <w:noProof/>
          <w:lang w:val="fr-CA"/>
        </w:rPr>
        <w:t xml:space="preserve"> Le même phénomène est observable quand il y a un grand nombre de centroïdes</w:t>
      </w:r>
      <w:r w:rsidR="007F357D">
        <w:rPr>
          <w:noProof/>
          <w:lang w:val="fr-CA"/>
        </w:rPr>
        <w:t xml:space="preserve"> (20% à cinq centroïdes et 23% pour cent centroïdes).</w:t>
      </w:r>
      <w:r w:rsidR="00B87573">
        <w:rPr>
          <w:noProof/>
          <w:lang w:val="fr-CA"/>
        </w:rPr>
        <w:t xml:space="preserve"> Nous concluons toutefois </w:t>
      </w:r>
      <w:r w:rsidRPr="00F65911">
        <w:rPr>
          <w:noProof/>
          <w:lang w:val="fr-CA"/>
        </w:rPr>
        <w:t xml:space="preserve">que pour un affichage de </w:t>
      </w:r>
      <w:r w:rsidR="00B87573">
        <w:rPr>
          <w:noProof/>
          <w:lang w:val="fr-CA"/>
        </w:rPr>
        <w:t>dix</w:t>
      </w:r>
      <w:r w:rsidRPr="00F65911">
        <w:rPr>
          <w:noProof/>
          <w:lang w:val="fr-CA"/>
        </w:rPr>
        <w:t xml:space="preserve"> mots par </w:t>
      </w:r>
      <w:r w:rsidR="00B87573">
        <w:rPr>
          <w:noProof/>
          <w:lang w:val="fr-CA"/>
        </w:rPr>
        <w:t>partition</w:t>
      </w:r>
      <w:r w:rsidRPr="00F65911">
        <w:rPr>
          <w:noProof/>
          <w:lang w:val="fr-CA"/>
        </w:rPr>
        <w:t>, le degré de cohé</w:t>
      </w:r>
      <w:r w:rsidR="00A17E1B">
        <w:rPr>
          <w:noProof/>
          <w:lang w:val="fr-CA"/>
        </w:rPr>
        <w:t xml:space="preserve">rence relative est assez stable, c’est-à-dire que la différence entre un paramètre de cinq centroïdes et de cent centroïdes est </w:t>
      </w:r>
      <w:r w:rsidR="00323A3B">
        <w:rPr>
          <w:noProof/>
          <w:lang w:val="fr-CA"/>
        </w:rPr>
        <w:t xml:space="preserve">relativement </w:t>
      </w:r>
      <w:r w:rsidR="00A17E1B">
        <w:rPr>
          <w:noProof/>
          <w:lang w:val="fr-CA"/>
        </w:rPr>
        <w:t>néglig</w:t>
      </w:r>
      <w:r w:rsidR="00460F4A">
        <w:rPr>
          <w:noProof/>
          <w:lang w:val="fr-CA"/>
        </w:rPr>
        <w:t>e</w:t>
      </w:r>
      <w:r w:rsidR="00A17E1B">
        <w:rPr>
          <w:noProof/>
          <w:lang w:val="fr-CA"/>
        </w:rPr>
        <w:t xml:space="preserve">able. </w:t>
      </w:r>
    </w:p>
    <w:p w:rsidR="00F65911" w:rsidRDefault="00F65911" w:rsidP="00F65911">
      <w:pPr>
        <w:pStyle w:val="IOPText"/>
        <w:rPr>
          <w:lang w:val="fr-CA"/>
        </w:rPr>
      </w:pPr>
    </w:p>
    <w:p w:rsidR="00436986" w:rsidRDefault="00436986" w:rsidP="00436986">
      <w:pPr>
        <w:pStyle w:val="IOPH2"/>
        <w:rPr>
          <w:lang w:val="fr-CA"/>
        </w:rPr>
      </w:pPr>
      <w:r>
        <w:rPr>
          <w:lang w:val="fr-CA"/>
        </w:rPr>
        <w:t>4.2</w:t>
      </w:r>
      <w:r w:rsidRPr="00105EFE">
        <w:rPr>
          <w:lang w:val="fr-CA"/>
        </w:rPr>
        <w:t xml:space="preserve"> </w:t>
      </w:r>
      <w:r w:rsidR="00C32E48">
        <w:rPr>
          <w:lang w:val="fr-CA"/>
        </w:rPr>
        <w:t>Thème des corpus et taille de fenêtre</w:t>
      </w:r>
    </w:p>
    <w:p w:rsidR="001D209D" w:rsidRPr="002741FB" w:rsidRDefault="00C978C8" w:rsidP="00AA217B">
      <w:pPr>
        <w:pStyle w:val="IOPH2"/>
        <w:jc w:val="both"/>
        <w:rPr>
          <w:rFonts w:ascii="Times New Roman" w:hAnsi="Times New Roman" w:cstheme="minorBidi"/>
          <w:i w:val="0"/>
          <w:noProof/>
          <w:sz w:val="20"/>
          <w:szCs w:val="22"/>
          <w:lang w:val="fr-CA"/>
        </w:rPr>
      </w:pPr>
      <w:r w:rsidRPr="00C978C8">
        <w:rPr>
          <w:rFonts w:ascii="Times New Roman" w:hAnsi="Times New Roman" w:cstheme="minorBidi"/>
          <w:i w:val="0"/>
          <w:noProof/>
          <w:sz w:val="20"/>
          <w:szCs w:val="22"/>
          <w:lang w:val="fr-CA"/>
        </w:rPr>
        <w:t>Notre hypothèse de départ stipulait que si nous faisions les tests de centroïdes à partir de textes ayant le même sujet, nous pourrions remarquer un degré de cohérence plus élevé que dans des textes n'ayant aucun lien apparent entre eux. Nous remarquons que malgré le fait que les mots partagent les même champs lexicaux, il est difficile d’établir un lien concluant entre les individus du même centroïde. En effet, pour une fenêtre de taille de 5, le degré de cohérence se situe entre 8% et 18%, pour celle de taille de 7 le degré de cohérence est entre 3% et 26% et pour une taille de fenêtre de 10, le degré de cohérence varie entre 12% et 32%. Nous constatons que les résultats sont trop distants pour pouvoir affirmer qu’avec un échantillon de mots provenant du même champ lexical il y ait une cohérence relative significative.</w:t>
      </w:r>
    </w:p>
    <w:p w:rsidR="00C32E48" w:rsidRDefault="00C32E48" w:rsidP="00C32E48">
      <w:pPr>
        <w:pStyle w:val="IOPH2"/>
        <w:rPr>
          <w:lang w:val="fr-CA"/>
        </w:rPr>
      </w:pPr>
      <w:r>
        <w:rPr>
          <w:lang w:val="fr-CA"/>
        </w:rPr>
        <w:lastRenderedPageBreak/>
        <w:t>4.3</w:t>
      </w:r>
      <w:r w:rsidRPr="00105EFE">
        <w:rPr>
          <w:lang w:val="fr-CA"/>
        </w:rPr>
        <w:t xml:space="preserve"> </w:t>
      </w:r>
      <w:r>
        <w:rPr>
          <w:lang w:val="fr-CA"/>
        </w:rPr>
        <w:t>Classification des verbes</w:t>
      </w:r>
    </w:p>
    <w:p w:rsidR="00433DCC" w:rsidRPr="00433DCC" w:rsidRDefault="00433DCC" w:rsidP="00BA14D6">
      <w:pPr>
        <w:pStyle w:val="IOPH1"/>
        <w:jc w:val="both"/>
        <w:rPr>
          <w:rFonts w:ascii="Times New Roman" w:hAnsi="Times New Roman" w:cstheme="minorBidi"/>
          <w:b w:val="0"/>
          <w:noProof/>
          <w:sz w:val="20"/>
          <w:szCs w:val="22"/>
          <w:lang w:val="fr-CA"/>
        </w:rPr>
      </w:pPr>
      <w:r>
        <w:rPr>
          <w:rFonts w:ascii="Times New Roman" w:hAnsi="Times New Roman" w:cstheme="minorBidi"/>
          <w:b w:val="0"/>
          <w:noProof/>
          <w:sz w:val="20"/>
          <w:szCs w:val="22"/>
          <w:lang w:val="fr-CA"/>
        </w:rPr>
        <w:t xml:space="preserve">   </w:t>
      </w:r>
      <w:r w:rsidRPr="00433DCC">
        <w:rPr>
          <w:rFonts w:ascii="Times New Roman" w:hAnsi="Times New Roman" w:cstheme="minorBidi"/>
          <w:b w:val="0"/>
          <w:noProof/>
          <w:sz w:val="20"/>
          <w:szCs w:val="22"/>
          <w:lang w:val="fr-CA"/>
        </w:rPr>
        <w:t xml:space="preserve">Notre hypothèse de départ pour cette partie de l’expérience était de voir si les individus se regroupaient selon leurs caractéristiques syntaxiques lesquelles étaient le mode, le temps ou la personne grammaticale des verbes. </w:t>
      </w:r>
    </w:p>
    <w:p w:rsidR="00433DCC" w:rsidRPr="00433DCC" w:rsidRDefault="00433DCC" w:rsidP="00BA14D6">
      <w:pPr>
        <w:pStyle w:val="IOPH1"/>
        <w:jc w:val="both"/>
        <w:rPr>
          <w:rFonts w:ascii="Times New Roman" w:hAnsi="Times New Roman" w:cstheme="minorBidi"/>
          <w:b w:val="0"/>
          <w:noProof/>
          <w:sz w:val="20"/>
          <w:szCs w:val="22"/>
          <w:lang w:val="fr-CA"/>
        </w:rPr>
      </w:pPr>
      <w:r w:rsidRPr="00433DCC">
        <w:rPr>
          <w:rFonts w:ascii="Times New Roman" w:hAnsi="Times New Roman" w:cstheme="minorBidi"/>
          <w:b w:val="0"/>
          <w:noProof/>
          <w:sz w:val="20"/>
          <w:szCs w:val="22"/>
          <w:lang w:val="fr-CA"/>
        </w:rPr>
        <w:t>Tout d’abord, dans les résultats sur le mode des verbes, nous observons une répartition qui semble naturelle des modes de verbes. En effet, nous croyons que la prépondérance en nombre des indicatifs dans un texte s’explique par un choix de cohérence grammaticale par l’auteur, au même titre que les autres modes. Toutefois, nous observons aussi une énorme augmentation du nombre relatif de verbe à l’indicatif lorsqu’il y a soixante-quinze partitions.</w:t>
      </w:r>
    </w:p>
    <w:p w:rsidR="00433DCC" w:rsidRPr="00433DCC" w:rsidRDefault="00433DCC" w:rsidP="00BA14D6">
      <w:pPr>
        <w:pStyle w:val="IOPH1"/>
        <w:jc w:val="both"/>
        <w:rPr>
          <w:rFonts w:ascii="Times New Roman" w:hAnsi="Times New Roman" w:cstheme="minorBidi"/>
          <w:b w:val="0"/>
          <w:noProof/>
          <w:sz w:val="20"/>
          <w:szCs w:val="22"/>
          <w:lang w:val="fr-CA"/>
        </w:rPr>
      </w:pPr>
      <w:r w:rsidRPr="00433DCC">
        <w:rPr>
          <w:rFonts w:ascii="Times New Roman" w:hAnsi="Times New Roman" w:cstheme="minorBidi"/>
          <w:b w:val="0"/>
          <w:noProof/>
          <w:sz w:val="20"/>
          <w:szCs w:val="22"/>
          <w:lang w:val="fr-CA"/>
        </w:rPr>
        <w:t>Notre théorie face à ce phénomène est qu’un tri plus efficace des noms s’effectue à ce nombre de partitions. Étant donné que nous n’avons aucun moyen de déterminer si l’individu est un verbe à l’indicatif présent à la troisième personne en ou un nom masculin (les deux ayant très souvent la même graphie en français), nous croyons que le phénomène faux notre analyse des verbes.</w:t>
      </w:r>
    </w:p>
    <w:p w:rsidR="00433DCC" w:rsidRDefault="00433DCC" w:rsidP="00BA14D6">
      <w:pPr>
        <w:pStyle w:val="IOPH1"/>
        <w:jc w:val="both"/>
        <w:rPr>
          <w:rFonts w:ascii="Times New Roman" w:hAnsi="Times New Roman" w:cstheme="minorBidi"/>
          <w:b w:val="0"/>
          <w:noProof/>
          <w:sz w:val="20"/>
          <w:szCs w:val="22"/>
          <w:lang w:val="fr-CA"/>
        </w:rPr>
      </w:pPr>
      <w:r w:rsidRPr="00433DCC">
        <w:rPr>
          <w:rFonts w:ascii="Times New Roman" w:hAnsi="Times New Roman" w:cstheme="minorBidi"/>
          <w:b w:val="0"/>
          <w:noProof/>
          <w:sz w:val="20"/>
          <w:szCs w:val="22"/>
          <w:lang w:val="fr-CA"/>
        </w:rPr>
        <w:t>Sur la base de notre échantillon et de la faiblesse de sa fiabilité, nous sommes contraints de réfuter notre hypothèse de départ et d’affirmer qu’il nous est impossible de cerner un lien entre les critères grammaticaux des verbes et de leur coocccurence avec les autres verbes.</w:t>
      </w:r>
    </w:p>
    <w:p w:rsidR="00525878" w:rsidRDefault="00525878" w:rsidP="00433DCC">
      <w:pPr>
        <w:pStyle w:val="IOPH1"/>
        <w:rPr>
          <w:lang w:val="fr-CA"/>
        </w:rPr>
      </w:pPr>
      <w:r>
        <w:rPr>
          <w:lang w:val="fr-CA"/>
        </w:rPr>
        <w:t>5. Conclusion</w:t>
      </w:r>
    </w:p>
    <w:p w:rsidR="003F0D28" w:rsidRPr="0041586C" w:rsidRDefault="003F0D28" w:rsidP="0041586C">
      <w:pPr>
        <w:pStyle w:val="IOPH1"/>
        <w:jc w:val="both"/>
        <w:rPr>
          <w:rFonts w:ascii="Times New Roman" w:hAnsi="Times New Roman" w:cstheme="minorBidi"/>
          <w:b w:val="0"/>
          <w:noProof/>
          <w:sz w:val="20"/>
          <w:szCs w:val="22"/>
          <w:lang w:val="fr-CA"/>
        </w:rPr>
      </w:pPr>
      <w:r w:rsidRPr="0041586C">
        <w:rPr>
          <w:rFonts w:ascii="Times New Roman" w:hAnsi="Times New Roman" w:cstheme="minorBidi"/>
          <w:b w:val="0"/>
          <w:noProof/>
          <w:sz w:val="20"/>
          <w:szCs w:val="22"/>
          <w:lang w:val="fr-CA"/>
        </w:rPr>
        <w:t>Les résultats récoltés s’avèrent peu concluant par rapport aux hypothèses que nous avions posé au départ. Nous croyons qu’il aurait été possible d’améliorer les tests pour obtenir des résultats plus significatifs</w:t>
      </w:r>
      <w:r w:rsidR="0041586C" w:rsidRPr="0041586C">
        <w:rPr>
          <w:rFonts w:ascii="Times New Roman" w:hAnsi="Times New Roman" w:cstheme="minorBidi"/>
          <w:b w:val="0"/>
          <w:noProof/>
          <w:sz w:val="20"/>
          <w:szCs w:val="22"/>
          <w:lang w:val="fr-CA"/>
        </w:rPr>
        <w:t xml:space="preserve">. Nous aurions pu utiliser un bassin </w:t>
      </w:r>
      <w:r w:rsidR="0041586C">
        <w:rPr>
          <w:rFonts w:ascii="Times New Roman" w:hAnsi="Times New Roman" w:cstheme="minorBidi"/>
          <w:b w:val="0"/>
          <w:noProof/>
          <w:sz w:val="20"/>
          <w:szCs w:val="22"/>
          <w:lang w:val="fr-CA"/>
        </w:rPr>
        <w:t>de textes plus grand</w:t>
      </w:r>
      <w:r w:rsidR="0041586C" w:rsidRPr="0041586C">
        <w:rPr>
          <w:rFonts w:ascii="Times New Roman" w:hAnsi="Times New Roman" w:cstheme="minorBidi"/>
          <w:b w:val="0"/>
          <w:noProof/>
          <w:sz w:val="20"/>
          <w:szCs w:val="22"/>
          <w:lang w:val="fr-CA"/>
        </w:rPr>
        <w:t xml:space="preserve">, permettant ainsi </w:t>
      </w:r>
      <w:r w:rsidR="004F0B5E">
        <w:rPr>
          <w:rFonts w:ascii="Times New Roman" w:hAnsi="Times New Roman" w:cstheme="minorBidi"/>
          <w:b w:val="0"/>
          <w:noProof/>
          <w:sz w:val="20"/>
          <w:szCs w:val="22"/>
          <w:lang w:val="fr-CA"/>
        </w:rPr>
        <w:t xml:space="preserve">d’avoir beaucoup plus de données. </w:t>
      </w:r>
      <w:r w:rsidR="00FD4D5D">
        <w:rPr>
          <w:rFonts w:ascii="Times New Roman" w:hAnsi="Times New Roman" w:cstheme="minorBidi"/>
          <w:b w:val="0"/>
          <w:noProof/>
          <w:sz w:val="20"/>
          <w:szCs w:val="22"/>
          <w:lang w:val="fr-CA"/>
        </w:rPr>
        <w:t>Il</w:t>
      </w:r>
      <w:r w:rsidR="004F0B5E">
        <w:rPr>
          <w:rFonts w:ascii="Times New Roman" w:hAnsi="Times New Roman" w:cstheme="minorBidi"/>
          <w:b w:val="0"/>
          <w:noProof/>
          <w:sz w:val="20"/>
          <w:szCs w:val="22"/>
          <w:lang w:val="fr-CA"/>
        </w:rPr>
        <w:t xml:space="preserve"> nous aurait été aussi possible d’optimiser notre code, en explorant d’autre méthode</w:t>
      </w:r>
      <w:r w:rsidR="00046DB6">
        <w:rPr>
          <w:rFonts w:ascii="Times New Roman" w:hAnsi="Times New Roman" w:cstheme="minorBidi"/>
          <w:b w:val="0"/>
          <w:noProof/>
          <w:sz w:val="20"/>
          <w:szCs w:val="22"/>
          <w:lang w:val="fr-CA"/>
        </w:rPr>
        <w:t>s</w:t>
      </w:r>
      <w:r w:rsidR="004F0B5E">
        <w:rPr>
          <w:rFonts w:ascii="Times New Roman" w:hAnsi="Times New Roman" w:cstheme="minorBidi"/>
          <w:b w:val="0"/>
          <w:noProof/>
          <w:sz w:val="20"/>
          <w:szCs w:val="22"/>
          <w:lang w:val="fr-CA"/>
        </w:rPr>
        <w:t xml:space="preserve"> de clustering peut-être plus efficace.</w:t>
      </w:r>
    </w:p>
    <w:p w:rsidR="006228A2" w:rsidRPr="00105EFE" w:rsidRDefault="00090C60" w:rsidP="006228A2">
      <w:pPr>
        <w:pStyle w:val="IOPH1"/>
        <w:rPr>
          <w:noProof/>
          <w:lang w:val="fr-CA"/>
        </w:rPr>
      </w:pPr>
      <w:r w:rsidRPr="00105EFE">
        <w:rPr>
          <w:noProof/>
          <w:lang w:val="fr-CA"/>
        </w:rPr>
        <w:t>Remerciements</w:t>
      </w:r>
    </w:p>
    <w:p w:rsidR="00A21CD3" w:rsidRDefault="008F6963" w:rsidP="001D45D8">
      <w:pPr>
        <w:pStyle w:val="IOPText"/>
        <w:rPr>
          <w:noProof/>
          <w:lang w:val="fr-CA"/>
        </w:rPr>
      </w:pPr>
      <w:r>
        <w:rPr>
          <w:noProof/>
          <w:lang w:val="fr-CA"/>
        </w:rPr>
        <w:t>Nous remercions notre enseignant Pierre-Paul Monty de nous avoir aidé dans l’élaboration,</w:t>
      </w:r>
      <w:r w:rsidR="00425AFC">
        <w:rPr>
          <w:noProof/>
          <w:lang w:val="fr-CA"/>
        </w:rPr>
        <w:t xml:space="preserve"> dans</w:t>
      </w:r>
      <w:r>
        <w:rPr>
          <w:noProof/>
          <w:lang w:val="fr-CA"/>
        </w:rPr>
        <w:t xml:space="preserve"> la mise en place et </w:t>
      </w:r>
      <w:r w:rsidR="00425AFC">
        <w:rPr>
          <w:noProof/>
          <w:lang w:val="fr-CA"/>
        </w:rPr>
        <w:t xml:space="preserve">de son </w:t>
      </w:r>
      <w:r>
        <w:rPr>
          <w:noProof/>
          <w:lang w:val="fr-CA"/>
        </w:rPr>
        <w:t xml:space="preserve">appui dans cette expérience. </w:t>
      </w:r>
    </w:p>
    <w:p w:rsidR="004D156D" w:rsidRDefault="004D156D" w:rsidP="001D45D8">
      <w:pPr>
        <w:pStyle w:val="IOPText"/>
        <w:rPr>
          <w:noProof/>
          <w:lang w:val="fr-CA"/>
        </w:rPr>
      </w:pPr>
    </w:p>
    <w:p w:rsidR="004D156D" w:rsidRDefault="004D156D" w:rsidP="001D45D8">
      <w:pPr>
        <w:pStyle w:val="IOPText"/>
        <w:rPr>
          <w:noProof/>
          <w:lang w:val="fr-CA"/>
        </w:rPr>
      </w:pPr>
    </w:p>
    <w:p w:rsidR="004D156D" w:rsidRDefault="004D156D" w:rsidP="001D45D8">
      <w:pPr>
        <w:pStyle w:val="IOPText"/>
        <w:rPr>
          <w:noProof/>
          <w:lang w:val="fr-CA"/>
        </w:rPr>
      </w:pPr>
    </w:p>
    <w:p w:rsidR="004D156D" w:rsidRDefault="004D156D" w:rsidP="001D45D8">
      <w:pPr>
        <w:pStyle w:val="IOPText"/>
        <w:rPr>
          <w:noProof/>
          <w:lang w:val="fr-CA"/>
        </w:rPr>
      </w:pPr>
    </w:p>
    <w:p w:rsidR="004D156D" w:rsidRDefault="004D156D" w:rsidP="001D45D8">
      <w:pPr>
        <w:pStyle w:val="IOPText"/>
        <w:rPr>
          <w:noProof/>
          <w:lang w:val="fr-CA"/>
        </w:rPr>
      </w:pPr>
    </w:p>
    <w:p w:rsidR="004D156D" w:rsidRDefault="004D156D" w:rsidP="001D45D8">
      <w:pPr>
        <w:pStyle w:val="IOPText"/>
        <w:rPr>
          <w:noProof/>
          <w:lang w:val="fr-CA"/>
        </w:rPr>
      </w:pPr>
    </w:p>
    <w:p w:rsidR="004D156D" w:rsidRDefault="004D156D" w:rsidP="001D45D8">
      <w:pPr>
        <w:pStyle w:val="IOPText"/>
        <w:rPr>
          <w:noProof/>
          <w:lang w:val="fr-CA"/>
        </w:rPr>
      </w:pPr>
    </w:p>
    <w:p w:rsidR="004D156D" w:rsidRPr="00105EFE" w:rsidRDefault="004D156D" w:rsidP="001D45D8">
      <w:pPr>
        <w:pStyle w:val="IOPText"/>
        <w:rPr>
          <w:noProof/>
          <w:lang w:val="fr-CA"/>
        </w:rPr>
      </w:pPr>
    </w:p>
    <w:p w:rsidR="005223F4" w:rsidRPr="00105EFE" w:rsidRDefault="005223F4" w:rsidP="006228A2">
      <w:pPr>
        <w:pStyle w:val="IOPText"/>
        <w:ind w:firstLine="0"/>
        <w:rPr>
          <w:noProof/>
          <w:lang w:val="fr-CA"/>
        </w:rPr>
      </w:pPr>
    </w:p>
    <w:sectPr w:rsidR="005223F4" w:rsidRPr="00105EFE" w:rsidSect="003A5833">
      <w:headerReference w:type="default" r:id="rId17"/>
      <w:footerReference w:type="default" r:id="rId18"/>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AD1" w:rsidRDefault="000C6AD1" w:rsidP="00927301">
      <w:pPr>
        <w:spacing w:after="0" w:line="240" w:lineRule="auto"/>
      </w:pPr>
      <w:r>
        <w:separator/>
      </w:r>
    </w:p>
  </w:endnote>
  <w:endnote w:type="continuationSeparator" w:id="0">
    <w:p w:rsidR="000C6AD1" w:rsidRDefault="000C6AD1"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841407"/>
      <w:docPartObj>
        <w:docPartGallery w:val="Page Numbers (Bottom of Page)"/>
        <w:docPartUnique/>
      </w:docPartObj>
    </w:sdtPr>
    <w:sdtEndPr>
      <w:rPr>
        <w:noProof/>
      </w:rPr>
    </w:sdtEndPr>
    <w:sdtContent>
      <w:p w:rsidR="009536C0" w:rsidRDefault="009536C0">
        <w:pPr>
          <w:pStyle w:val="Pieddepage"/>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2A6B0B">
          <w:rPr>
            <w:noProof/>
            <w:sz w:val="14"/>
            <w:szCs w:val="14"/>
          </w:rPr>
          <w:t>1</w:t>
        </w:r>
        <w:r w:rsidRPr="009536C0">
          <w:rPr>
            <w:noProof/>
            <w:sz w:val="14"/>
            <w:szCs w:val="14"/>
          </w:rPr>
          <w:fldChar w:fldCharType="end"/>
        </w:r>
        <w:r>
          <w:rPr>
            <w:noProof/>
            <w:sz w:val="14"/>
            <w:szCs w:val="14"/>
          </w:rPr>
          <w:ptab w:relativeTo="margin" w:alignment="right" w:leader="none"/>
        </w:r>
      </w:p>
    </w:sdtContent>
  </w:sdt>
  <w:p w:rsidR="009536C0" w:rsidRDefault="009536C0">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16301"/>
      <w:docPartObj>
        <w:docPartGallery w:val="Page Numbers (Bottom of Page)"/>
        <w:docPartUnique/>
      </w:docPartObj>
    </w:sdtPr>
    <w:sdtEndPr>
      <w:rPr>
        <w:noProof/>
      </w:rPr>
    </w:sdtEndPr>
    <w:sdtContent>
      <w:p w:rsidR="000A33FC" w:rsidRDefault="000A33FC">
        <w:pPr>
          <w:pStyle w:val="Pieddepage"/>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1644AE">
          <w:rPr>
            <w:noProof/>
            <w:sz w:val="14"/>
            <w:szCs w:val="14"/>
          </w:rPr>
          <w:t>5</w:t>
        </w:r>
        <w:r w:rsidRPr="009536C0">
          <w:rPr>
            <w:noProof/>
            <w:sz w:val="14"/>
            <w:szCs w:val="14"/>
          </w:rPr>
          <w:fldChar w:fldCharType="end"/>
        </w:r>
        <w:r>
          <w:rPr>
            <w:noProof/>
            <w:sz w:val="14"/>
            <w:szCs w:val="14"/>
          </w:rPr>
          <w:ptab w:relativeTo="margin" w:alignment="right" w:leader="none"/>
        </w:r>
      </w:p>
    </w:sdtContent>
  </w:sdt>
  <w:p w:rsidR="000A33FC" w:rsidRDefault="000A33F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AD1" w:rsidRDefault="000C6AD1" w:rsidP="00927301">
      <w:pPr>
        <w:spacing w:after="0" w:line="240" w:lineRule="auto"/>
      </w:pPr>
      <w:r>
        <w:separator/>
      </w:r>
    </w:p>
  </w:footnote>
  <w:footnote w:type="continuationSeparator" w:id="0">
    <w:p w:rsidR="000C6AD1" w:rsidRDefault="000C6AD1" w:rsidP="00927301">
      <w:pPr>
        <w:spacing w:after="0" w:line="240" w:lineRule="auto"/>
      </w:pPr>
      <w:r>
        <w:continuationSeparator/>
      </w:r>
    </w:p>
  </w:footnote>
  <w:footnote w:id="1">
    <w:p w:rsidR="000E56DE" w:rsidRPr="00C202D7" w:rsidRDefault="000E56DE" w:rsidP="000E56DE">
      <w:pPr>
        <w:pStyle w:val="Notedebasdepage"/>
        <w:rPr>
          <w:lang w:val="fr-CA"/>
        </w:rPr>
      </w:pPr>
      <w:r>
        <w:rPr>
          <w:rStyle w:val="Appelnotedebasdep"/>
        </w:rPr>
        <w:footnoteRef/>
      </w:r>
      <w:r>
        <w:t xml:space="preserve"> </w:t>
      </w:r>
      <w:r>
        <w:rPr>
          <w:lang w:val="fr-CA"/>
        </w:rPr>
        <w:t xml:space="preserve">Powerpoint « </w:t>
      </w:r>
      <w:proofErr w:type="spellStart"/>
      <w:r>
        <w:rPr>
          <w:lang w:val="fr-CA"/>
        </w:rPr>
        <w:t>Clustering</w:t>
      </w:r>
      <w:proofErr w:type="spellEnd"/>
      <w:r>
        <w:rPr>
          <w:lang w:val="fr-CA"/>
        </w:rPr>
        <w:t xml:space="preserve"> » par Pierre-Paul Monty.</w:t>
      </w:r>
    </w:p>
  </w:footnote>
  <w:footnote w:id="2">
    <w:p w:rsidR="003E609C" w:rsidRPr="003E609C" w:rsidRDefault="003E609C">
      <w:pPr>
        <w:pStyle w:val="Notedebasdepage"/>
        <w:rPr>
          <w:lang w:val="fr-CA"/>
        </w:rPr>
      </w:pPr>
      <w:r>
        <w:rPr>
          <w:rStyle w:val="Appelnotedebasdep"/>
        </w:rPr>
        <w:footnoteRef/>
      </w:r>
      <w:r>
        <w:t xml:space="preserve"> </w:t>
      </w:r>
      <w:r>
        <w:rPr>
          <w:lang w:val="fr-CA"/>
        </w:rPr>
        <w:t xml:space="preserve">Voir </w:t>
      </w:r>
      <w:r w:rsidRPr="003E609C">
        <w:rPr>
          <w:i/>
          <w:sz w:val="18"/>
          <w:lang w:val="fr-CA"/>
        </w:rPr>
        <w:t>« 1.2.3 Classification des champs par groupes verbaux »</w:t>
      </w:r>
    </w:p>
  </w:footnote>
  <w:footnote w:id="3">
    <w:p w:rsidR="00260806" w:rsidRPr="00260806" w:rsidRDefault="00260806">
      <w:pPr>
        <w:pStyle w:val="Notedebasdepage"/>
        <w:rPr>
          <w:lang w:val="fr-CA"/>
        </w:rPr>
      </w:pPr>
      <w:r>
        <w:rPr>
          <w:rStyle w:val="Appelnotedebasdep"/>
        </w:rPr>
        <w:footnoteRef/>
      </w:r>
      <w:r>
        <w:t xml:space="preserve"> </w:t>
      </w:r>
      <w:r w:rsidR="007C3333">
        <w:t xml:space="preserve">« </w:t>
      </w:r>
      <w:r w:rsidR="007C3333" w:rsidRPr="007C3333">
        <w:rPr>
          <w:lang w:val="fr-CA"/>
        </w:rPr>
        <w:t xml:space="preserve">Proportions des </w:t>
      </w:r>
      <w:r w:rsidR="007C3333">
        <w:rPr>
          <w:lang w:val="fr-CA"/>
        </w:rPr>
        <w:t xml:space="preserve">modes verbaux pour 5 </w:t>
      </w:r>
      <w:proofErr w:type="spellStart"/>
      <w:r w:rsidR="007C3333">
        <w:rPr>
          <w:lang w:val="fr-CA"/>
        </w:rPr>
        <w:t>centroïdes</w:t>
      </w:r>
      <w:proofErr w:type="spellEnd"/>
      <w:r w:rsidR="007C3333">
        <w:rPr>
          <w:lang w:val="fr-CA"/>
        </w:rPr>
        <w:t xml:space="preserve"> </w:t>
      </w:r>
      <w:r w:rsidR="007C3333" w:rsidRPr="007C3333">
        <w:rPr>
          <w:lang w:val="fr-CA"/>
        </w:rPr>
        <w:t xml:space="preserve">aléatoires selon le nombre de </w:t>
      </w:r>
      <w:proofErr w:type="spellStart"/>
      <w:r w:rsidR="007C3333" w:rsidRPr="007C3333">
        <w:rPr>
          <w:lang w:val="fr-CA"/>
        </w:rPr>
        <w:t>centroïdes</w:t>
      </w:r>
      <w:proofErr w:type="spellEnd"/>
      <w:r w:rsidR="007C3333">
        <w:rPr>
          <w:lang w:val="fr-CA"/>
        </w:rPr>
        <w:t>. »</w:t>
      </w:r>
      <w:bookmarkStart w:id="0" w:name="_GoBack"/>
      <w:bookmarkEnd w:id="0"/>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01" w:rsidRPr="00927301" w:rsidRDefault="00654D1E" w:rsidP="00927301">
    <w:pPr>
      <w:pStyle w:val="IOPHeader"/>
    </w:pPr>
    <w:r>
      <w:ptab w:relativeTo="margin" w:alignment="right" w:leader="none"/>
    </w:r>
    <w:r w:rsidR="00BE09A1">
      <w:t xml:space="preserve">B62 – </w:t>
    </w:r>
    <w:proofErr w:type="spellStart"/>
    <w:r w:rsidR="00BE09A1">
      <w:t>Projet</w:t>
    </w:r>
    <w:proofErr w:type="spellEnd"/>
    <w:r w:rsidR="00BE09A1">
      <w:t xml:space="preserve"> Oracle</w:t>
    </w:r>
  </w:p>
  <w:p w:rsidR="00927301" w:rsidRPr="00654D1E" w:rsidRDefault="00654D1E">
    <w:pPr>
      <w:pStyle w:val="En-tte"/>
    </w:pPr>
    <w: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965" w:rsidRPr="00927301" w:rsidRDefault="001E2965" w:rsidP="001E2965">
    <w:pPr>
      <w:pStyle w:val="IOPHeader"/>
    </w:pPr>
    <w:r>
      <w:ptab w:relativeTo="margin" w:alignment="right" w:leader="none"/>
    </w:r>
    <w:r>
      <w:t xml:space="preserve">B62 – </w:t>
    </w:r>
    <w:proofErr w:type="spellStart"/>
    <w:r>
      <w:t>Projet</w:t>
    </w:r>
    <w:proofErr w:type="spellEnd"/>
    <w:r>
      <w:t xml:space="preserve"> Oracle</w:t>
    </w:r>
  </w:p>
  <w:p w:rsidR="009536C0" w:rsidRPr="001E2965" w:rsidRDefault="009536C0" w:rsidP="001E296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D1"/>
    <w:rsid w:val="00005251"/>
    <w:rsid w:val="00015941"/>
    <w:rsid w:val="00022575"/>
    <w:rsid w:val="0002461D"/>
    <w:rsid w:val="00035A2D"/>
    <w:rsid w:val="00042446"/>
    <w:rsid w:val="00046DB6"/>
    <w:rsid w:val="00050A4A"/>
    <w:rsid w:val="00067532"/>
    <w:rsid w:val="00090C60"/>
    <w:rsid w:val="00090EEE"/>
    <w:rsid w:val="000A33FC"/>
    <w:rsid w:val="000B1B3B"/>
    <w:rsid w:val="000C4ABB"/>
    <w:rsid w:val="000C6AD1"/>
    <w:rsid w:val="000D5E8B"/>
    <w:rsid w:val="000E56DE"/>
    <w:rsid w:val="000E7189"/>
    <w:rsid w:val="00100A20"/>
    <w:rsid w:val="00101030"/>
    <w:rsid w:val="00105EFE"/>
    <w:rsid w:val="00112554"/>
    <w:rsid w:val="00123349"/>
    <w:rsid w:val="0012482B"/>
    <w:rsid w:val="00133C81"/>
    <w:rsid w:val="00162E94"/>
    <w:rsid w:val="001644AE"/>
    <w:rsid w:val="001A645A"/>
    <w:rsid w:val="001B10EF"/>
    <w:rsid w:val="001D209D"/>
    <w:rsid w:val="001D45D8"/>
    <w:rsid w:val="001E2965"/>
    <w:rsid w:val="00217F8E"/>
    <w:rsid w:val="002275DC"/>
    <w:rsid w:val="00242E3D"/>
    <w:rsid w:val="002445DC"/>
    <w:rsid w:val="002477D1"/>
    <w:rsid w:val="00256DD9"/>
    <w:rsid w:val="00260806"/>
    <w:rsid w:val="002741FB"/>
    <w:rsid w:val="00291567"/>
    <w:rsid w:val="002A6B0B"/>
    <w:rsid w:val="002D1695"/>
    <w:rsid w:val="002F3F26"/>
    <w:rsid w:val="00322803"/>
    <w:rsid w:val="00323A3B"/>
    <w:rsid w:val="0033134F"/>
    <w:rsid w:val="003324BC"/>
    <w:rsid w:val="00356515"/>
    <w:rsid w:val="00362679"/>
    <w:rsid w:val="00396087"/>
    <w:rsid w:val="003A5833"/>
    <w:rsid w:val="003E28F4"/>
    <w:rsid w:val="003E609C"/>
    <w:rsid w:val="003F0CCF"/>
    <w:rsid w:val="003F0D28"/>
    <w:rsid w:val="00414FAE"/>
    <w:rsid w:val="0041586C"/>
    <w:rsid w:val="00425AFC"/>
    <w:rsid w:val="00427342"/>
    <w:rsid w:val="0043025A"/>
    <w:rsid w:val="00433DCC"/>
    <w:rsid w:val="00436986"/>
    <w:rsid w:val="004568FB"/>
    <w:rsid w:val="00460F4A"/>
    <w:rsid w:val="00482764"/>
    <w:rsid w:val="00490577"/>
    <w:rsid w:val="004A3755"/>
    <w:rsid w:val="004C2838"/>
    <w:rsid w:val="004D156D"/>
    <w:rsid w:val="004D2C0F"/>
    <w:rsid w:val="004D2E4E"/>
    <w:rsid w:val="004E0E9B"/>
    <w:rsid w:val="004E19CF"/>
    <w:rsid w:val="004F0B5E"/>
    <w:rsid w:val="005223F4"/>
    <w:rsid w:val="00525878"/>
    <w:rsid w:val="005520CB"/>
    <w:rsid w:val="0055274C"/>
    <w:rsid w:val="00561450"/>
    <w:rsid w:val="00561977"/>
    <w:rsid w:val="00581FD7"/>
    <w:rsid w:val="00594357"/>
    <w:rsid w:val="005A121C"/>
    <w:rsid w:val="005A2D3D"/>
    <w:rsid w:val="005B3AC6"/>
    <w:rsid w:val="005B7DB1"/>
    <w:rsid w:val="005C779F"/>
    <w:rsid w:val="005E6D5A"/>
    <w:rsid w:val="00601709"/>
    <w:rsid w:val="0061115C"/>
    <w:rsid w:val="006228A2"/>
    <w:rsid w:val="00654D1E"/>
    <w:rsid w:val="00670425"/>
    <w:rsid w:val="00681868"/>
    <w:rsid w:val="0068556F"/>
    <w:rsid w:val="00692F1C"/>
    <w:rsid w:val="006A2DD2"/>
    <w:rsid w:val="006A6BCB"/>
    <w:rsid w:val="006C2211"/>
    <w:rsid w:val="006C407E"/>
    <w:rsid w:val="006C6051"/>
    <w:rsid w:val="006E2343"/>
    <w:rsid w:val="006E5527"/>
    <w:rsid w:val="007154A9"/>
    <w:rsid w:val="00750761"/>
    <w:rsid w:val="00753E10"/>
    <w:rsid w:val="00763897"/>
    <w:rsid w:val="007835C6"/>
    <w:rsid w:val="00791DE3"/>
    <w:rsid w:val="007A08BB"/>
    <w:rsid w:val="007A2CF9"/>
    <w:rsid w:val="007B5A49"/>
    <w:rsid w:val="007C3333"/>
    <w:rsid w:val="007C53CA"/>
    <w:rsid w:val="007F357D"/>
    <w:rsid w:val="007F62AB"/>
    <w:rsid w:val="0081670F"/>
    <w:rsid w:val="00836050"/>
    <w:rsid w:val="0084044D"/>
    <w:rsid w:val="00847ACC"/>
    <w:rsid w:val="00853F48"/>
    <w:rsid w:val="00873156"/>
    <w:rsid w:val="008748DF"/>
    <w:rsid w:val="0087550C"/>
    <w:rsid w:val="00887821"/>
    <w:rsid w:val="00897933"/>
    <w:rsid w:val="008B4003"/>
    <w:rsid w:val="008D59E9"/>
    <w:rsid w:val="008E0254"/>
    <w:rsid w:val="008E6363"/>
    <w:rsid w:val="008E76E7"/>
    <w:rsid w:val="008F6963"/>
    <w:rsid w:val="00927301"/>
    <w:rsid w:val="009536C0"/>
    <w:rsid w:val="00964623"/>
    <w:rsid w:val="00986727"/>
    <w:rsid w:val="009A1B55"/>
    <w:rsid w:val="009A3580"/>
    <w:rsid w:val="009E22E6"/>
    <w:rsid w:val="009E3E38"/>
    <w:rsid w:val="009E4CE2"/>
    <w:rsid w:val="009F78DB"/>
    <w:rsid w:val="00A10550"/>
    <w:rsid w:val="00A17E1B"/>
    <w:rsid w:val="00A21CD3"/>
    <w:rsid w:val="00A35ED2"/>
    <w:rsid w:val="00A40AFB"/>
    <w:rsid w:val="00A619A0"/>
    <w:rsid w:val="00A72FB8"/>
    <w:rsid w:val="00A76AB1"/>
    <w:rsid w:val="00AA0C68"/>
    <w:rsid w:val="00AA217B"/>
    <w:rsid w:val="00AD5A8F"/>
    <w:rsid w:val="00AD7C91"/>
    <w:rsid w:val="00AF2492"/>
    <w:rsid w:val="00B0198D"/>
    <w:rsid w:val="00B060EF"/>
    <w:rsid w:val="00B10FAF"/>
    <w:rsid w:val="00B26906"/>
    <w:rsid w:val="00B31D49"/>
    <w:rsid w:val="00B609D8"/>
    <w:rsid w:val="00B7586C"/>
    <w:rsid w:val="00B86263"/>
    <w:rsid w:val="00B87573"/>
    <w:rsid w:val="00B8767D"/>
    <w:rsid w:val="00BA14D6"/>
    <w:rsid w:val="00BB08D5"/>
    <w:rsid w:val="00BB687A"/>
    <w:rsid w:val="00BC5190"/>
    <w:rsid w:val="00BD7C49"/>
    <w:rsid w:val="00BE09A1"/>
    <w:rsid w:val="00BF230E"/>
    <w:rsid w:val="00C003EA"/>
    <w:rsid w:val="00C12183"/>
    <w:rsid w:val="00C202D7"/>
    <w:rsid w:val="00C2326C"/>
    <w:rsid w:val="00C32E48"/>
    <w:rsid w:val="00C47102"/>
    <w:rsid w:val="00C71D27"/>
    <w:rsid w:val="00C8166F"/>
    <w:rsid w:val="00C96E64"/>
    <w:rsid w:val="00C978C8"/>
    <w:rsid w:val="00CC1C50"/>
    <w:rsid w:val="00CC4F7A"/>
    <w:rsid w:val="00CE2181"/>
    <w:rsid w:val="00CE675D"/>
    <w:rsid w:val="00D276D2"/>
    <w:rsid w:val="00D43152"/>
    <w:rsid w:val="00D74B07"/>
    <w:rsid w:val="00D839D2"/>
    <w:rsid w:val="00DC1DA7"/>
    <w:rsid w:val="00DD5DF1"/>
    <w:rsid w:val="00DE7B06"/>
    <w:rsid w:val="00E0030C"/>
    <w:rsid w:val="00E20803"/>
    <w:rsid w:val="00E236E7"/>
    <w:rsid w:val="00E4770E"/>
    <w:rsid w:val="00E5050F"/>
    <w:rsid w:val="00E50A7A"/>
    <w:rsid w:val="00E5360F"/>
    <w:rsid w:val="00E5507D"/>
    <w:rsid w:val="00E635C8"/>
    <w:rsid w:val="00E64B0F"/>
    <w:rsid w:val="00E84095"/>
    <w:rsid w:val="00E86050"/>
    <w:rsid w:val="00EA061C"/>
    <w:rsid w:val="00EA1ED5"/>
    <w:rsid w:val="00EB3689"/>
    <w:rsid w:val="00EB73AA"/>
    <w:rsid w:val="00EF5712"/>
    <w:rsid w:val="00F06AC1"/>
    <w:rsid w:val="00F1321A"/>
    <w:rsid w:val="00F215EA"/>
    <w:rsid w:val="00F251D7"/>
    <w:rsid w:val="00F36427"/>
    <w:rsid w:val="00F543BF"/>
    <w:rsid w:val="00F65911"/>
    <w:rsid w:val="00F67567"/>
    <w:rsid w:val="00F74254"/>
    <w:rsid w:val="00FB595B"/>
    <w:rsid w:val="00FD3447"/>
    <w:rsid w:val="00FD36AB"/>
    <w:rsid w:val="00FD4D5D"/>
    <w:rsid w:val="00FE1399"/>
    <w:rsid w:val="00FE6322"/>
    <w:rsid w:val="00FF2AC3"/>
    <w:rsid w:val="00FF5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578E90E"/>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27301"/>
    <w:pPr>
      <w:tabs>
        <w:tab w:val="center" w:pos="4513"/>
        <w:tab w:val="right" w:pos="9026"/>
      </w:tabs>
      <w:spacing w:after="0" w:line="240" w:lineRule="auto"/>
    </w:pPr>
  </w:style>
  <w:style w:type="character" w:customStyle="1" w:styleId="En-tteCar">
    <w:name w:val="En-tête Car"/>
    <w:basedOn w:val="Policepardfaut"/>
    <w:link w:val="En-tte"/>
    <w:uiPriority w:val="99"/>
    <w:rsid w:val="00927301"/>
  </w:style>
  <w:style w:type="paragraph" w:styleId="Pieddepage">
    <w:name w:val="footer"/>
    <w:basedOn w:val="Normal"/>
    <w:link w:val="PieddepageCar"/>
    <w:uiPriority w:val="99"/>
    <w:unhideWhenUsed/>
    <w:rsid w:val="0092730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27301"/>
  </w:style>
  <w:style w:type="paragraph" w:customStyle="1" w:styleId="IOPHeader">
    <w:name w:val="IOPHeader"/>
    <w:basedOn w:val="En-tte"/>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En-tteC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Policepardfau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Policepardfau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Policepardfau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Policepardfau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Textedelespacerserv">
    <w:name w:val="Placeholder Text"/>
    <w:basedOn w:val="Policepardfaut"/>
    <w:uiPriority w:val="99"/>
    <w:semiHidden/>
    <w:rsid w:val="008E0254"/>
    <w:rPr>
      <w:color w:val="808080"/>
    </w:rPr>
  </w:style>
  <w:style w:type="paragraph" w:styleId="Notedebasdepage">
    <w:name w:val="footnote text"/>
    <w:basedOn w:val="Normal"/>
    <w:link w:val="NotedebasdepageCar"/>
    <w:uiPriority w:val="99"/>
    <w:semiHidden/>
    <w:unhideWhenUsed/>
    <w:rsid w:val="00C202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202D7"/>
    <w:rPr>
      <w:sz w:val="20"/>
      <w:szCs w:val="20"/>
    </w:rPr>
  </w:style>
  <w:style w:type="character" w:styleId="Appelnotedebasdep">
    <w:name w:val="footnote reference"/>
    <w:basedOn w:val="Policepardfaut"/>
    <w:uiPriority w:val="99"/>
    <w:semiHidden/>
    <w:unhideWhenUsed/>
    <w:rsid w:val="00C202D7"/>
    <w:rPr>
      <w:vertAlign w:val="superscript"/>
    </w:rPr>
  </w:style>
  <w:style w:type="paragraph" w:styleId="NormalWeb">
    <w:name w:val="Normal (Web)"/>
    <w:basedOn w:val="Normal"/>
    <w:uiPriority w:val="99"/>
    <w:semiHidden/>
    <w:unhideWhenUsed/>
    <w:rsid w:val="007C3333"/>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98553">
      <w:bodyDiv w:val="1"/>
      <w:marLeft w:val="0"/>
      <w:marRight w:val="0"/>
      <w:marTop w:val="0"/>
      <w:marBottom w:val="0"/>
      <w:divBdr>
        <w:top w:val="none" w:sz="0" w:space="0" w:color="auto"/>
        <w:left w:val="none" w:sz="0" w:space="0" w:color="auto"/>
        <w:bottom w:val="none" w:sz="0" w:space="0" w:color="auto"/>
        <w:right w:val="none" w:sz="0" w:space="0" w:color="auto"/>
      </w:divBdr>
    </w:div>
    <w:div w:id="883441967">
      <w:bodyDiv w:val="1"/>
      <w:marLeft w:val="0"/>
      <w:marRight w:val="0"/>
      <w:marTop w:val="0"/>
      <w:marBottom w:val="0"/>
      <w:divBdr>
        <w:top w:val="none" w:sz="0" w:space="0" w:color="auto"/>
        <w:left w:val="none" w:sz="0" w:space="0" w:color="auto"/>
        <w:bottom w:val="none" w:sz="0" w:space="0" w:color="auto"/>
        <w:right w:val="none" w:sz="0" w:space="0" w:color="auto"/>
      </w:divBdr>
    </w:div>
    <w:div w:id="11442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FUSAGER\persoe$\0836527\Hiver%202019\B62%20-%20Projet%20Oracle\Projet%202\donn&#233;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sz="1100" b="0" i="0" baseline="0">
                <a:effectLst/>
              </a:rPr>
              <a:t>Le degré de cohérence relative selon la taille de la fenêtre et le nombre de centroïdes</a:t>
            </a:r>
            <a:endParaRPr lang="fr-CA"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Feuil1!$H$7</c:f>
              <c:strCache>
                <c:ptCount val="1"/>
                <c:pt idx="0">
                  <c:v>15 centroïdes</c:v>
                </c:pt>
              </c:strCache>
            </c:strRef>
          </c:tx>
          <c:spPr>
            <a:solidFill>
              <a:schemeClr val="accent1"/>
            </a:solidFill>
            <a:ln>
              <a:noFill/>
            </a:ln>
            <a:effectLst/>
          </c:spPr>
          <c:invertIfNegative val="0"/>
          <c:cat>
            <c:numRef>
              <c:f>Feuil1!$I$6:$K$6</c:f>
              <c:numCache>
                <c:formatCode>General</c:formatCode>
                <c:ptCount val="3"/>
                <c:pt idx="0">
                  <c:v>5</c:v>
                </c:pt>
                <c:pt idx="1">
                  <c:v>7</c:v>
                </c:pt>
                <c:pt idx="2">
                  <c:v>10</c:v>
                </c:pt>
              </c:numCache>
            </c:numRef>
          </c:cat>
          <c:val>
            <c:numRef>
              <c:f>Feuil1!$I$7:$K$7</c:f>
              <c:numCache>
                <c:formatCode>0%</c:formatCode>
                <c:ptCount val="3"/>
                <c:pt idx="0">
                  <c:v>0.1</c:v>
                </c:pt>
                <c:pt idx="1">
                  <c:v>0.26</c:v>
                </c:pt>
                <c:pt idx="2">
                  <c:v>0.14000000000000001</c:v>
                </c:pt>
              </c:numCache>
            </c:numRef>
          </c:val>
          <c:extLst>
            <c:ext xmlns:c16="http://schemas.microsoft.com/office/drawing/2014/chart" uri="{C3380CC4-5D6E-409C-BE32-E72D297353CC}">
              <c16:uniqueId val="{00000000-D122-4EEF-B12F-29E2E856D087}"/>
            </c:ext>
          </c:extLst>
        </c:ser>
        <c:ser>
          <c:idx val="1"/>
          <c:order val="1"/>
          <c:tx>
            <c:strRef>
              <c:f>Feuil1!$H$8</c:f>
              <c:strCache>
                <c:ptCount val="1"/>
                <c:pt idx="0">
                  <c:v>75 centroïdes</c:v>
                </c:pt>
              </c:strCache>
            </c:strRef>
          </c:tx>
          <c:spPr>
            <a:solidFill>
              <a:schemeClr val="accent2"/>
            </a:solidFill>
            <a:ln>
              <a:noFill/>
            </a:ln>
            <a:effectLst/>
          </c:spPr>
          <c:invertIfNegative val="0"/>
          <c:cat>
            <c:numRef>
              <c:f>Feuil1!$I$6:$K$6</c:f>
              <c:numCache>
                <c:formatCode>General</c:formatCode>
                <c:ptCount val="3"/>
                <c:pt idx="0">
                  <c:v>5</c:v>
                </c:pt>
                <c:pt idx="1">
                  <c:v>7</c:v>
                </c:pt>
                <c:pt idx="2">
                  <c:v>10</c:v>
                </c:pt>
              </c:numCache>
            </c:numRef>
          </c:cat>
          <c:val>
            <c:numRef>
              <c:f>Feuil1!$I$8:$K$8</c:f>
              <c:numCache>
                <c:formatCode>0%</c:formatCode>
                <c:ptCount val="3"/>
                <c:pt idx="0">
                  <c:v>0.08</c:v>
                </c:pt>
                <c:pt idx="1">
                  <c:v>0.18</c:v>
                </c:pt>
                <c:pt idx="2">
                  <c:v>0.32</c:v>
                </c:pt>
              </c:numCache>
            </c:numRef>
          </c:val>
          <c:extLst>
            <c:ext xmlns:c16="http://schemas.microsoft.com/office/drawing/2014/chart" uri="{C3380CC4-5D6E-409C-BE32-E72D297353CC}">
              <c16:uniqueId val="{00000001-D122-4EEF-B12F-29E2E856D087}"/>
            </c:ext>
          </c:extLst>
        </c:ser>
        <c:ser>
          <c:idx val="2"/>
          <c:order val="2"/>
          <c:tx>
            <c:strRef>
              <c:f>Feuil1!$H$9</c:f>
              <c:strCache>
                <c:ptCount val="1"/>
                <c:pt idx="0">
                  <c:v>200 centroïdes</c:v>
                </c:pt>
              </c:strCache>
            </c:strRef>
          </c:tx>
          <c:spPr>
            <a:solidFill>
              <a:schemeClr val="accent3"/>
            </a:solidFill>
            <a:ln>
              <a:noFill/>
            </a:ln>
            <a:effectLst/>
          </c:spPr>
          <c:invertIfNegative val="0"/>
          <c:cat>
            <c:numRef>
              <c:f>Feuil1!$I$6:$K$6</c:f>
              <c:numCache>
                <c:formatCode>General</c:formatCode>
                <c:ptCount val="3"/>
                <c:pt idx="0">
                  <c:v>5</c:v>
                </c:pt>
                <c:pt idx="1">
                  <c:v>7</c:v>
                </c:pt>
                <c:pt idx="2">
                  <c:v>10</c:v>
                </c:pt>
              </c:numCache>
            </c:numRef>
          </c:cat>
          <c:val>
            <c:numRef>
              <c:f>Feuil1!$I$9:$K$9</c:f>
              <c:numCache>
                <c:formatCode>0%</c:formatCode>
                <c:ptCount val="3"/>
                <c:pt idx="0">
                  <c:v>0.18</c:v>
                </c:pt>
                <c:pt idx="1">
                  <c:v>0.03</c:v>
                </c:pt>
                <c:pt idx="2">
                  <c:v>0.12</c:v>
                </c:pt>
              </c:numCache>
            </c:numRef>
          </c:val>
          <c:extLst>
            <c:ext xmlns:c16="http://schemas.microsoft.com/office/drawing/2014/chart" uri="{C3380CC4-5D6E-409C-BE32-E72D297353CC}">
              <c16:uniqueId val="{00000002-D122-4EEF-B12F-29E2E856D087}"/>
            </c:ext>
          </c:extLst>
        </c:ser>
        <c:dLbls>
          <c:showLegendKey val="0"/>
          <c:showVal val="0"/>
          <c:showCatName val="0"/>
          <c:showSerName val="0"/>
          <c:showPercent val="0"/>
          <c:showBubbleSize val="0"/>
        </c:dLbls>
        <c:gapWidth val="219"/>
        <c:overlap val="-27"/>
        <c:axId val="1527398240"/>
        <c:axId val="1527401152"/>
      </c:barChart>
      <c:catAx>
        <c:axId val="152739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Taille de le fenêtre</a:t>
                </a:r>
              </a:p>
            </c:rich>
          </c:tx>
          <c:layout>
            <c:manualLayout>
              <c:xMode val="edge"/>
              <c:yMode val="edge"/>
              <c:x val="0.34063835086307642"/>
              <c:y val="0.786507144272869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7401152"/>
        <c:crosses val="autoZero"/>
        <c:auto val="1"/>
        <c:lblAlgn val="ctr"/>
        <c:lblOffset val="100"/>
        <c:noMultiLvlLbl val="0"/>
      </c:catAx>
      <c:valAx>
        <c:axId val="1527401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73982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775E6-66C9-4DEB-BD11-A7384715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670</TotalTime>
  <Pages>5</Pages>
  <Words>2052</Words>
  <Characters>11286</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cvm</cp:lastModifiedBy>
  <cp:revision>180</cp:revision>
  <dcterms:created xsi:type="dcterms:W3CDTF">2019-05-27T00:03:00Z</dcterms:created>
  <dcterms:modified xsi:type="dcterms:W3CDTF">2019-05-29T14:50:00Z</dcterms:modified>
</cp:coreProperties>
</file>