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2AF2" w14:textId="77777777" w:rsidR="00BC6E8D" w:rsidRPr="007844EE" w:rsidRDefault="00BC6E8D" w:rsidP="00BC6E8D">
      <w:pPr>
        <w:jc w:val="center"/>
        <w:rPr>
          <w:rFonts w:ascii="Times New Roman" w:hAnsi="Times New Roman"/>
        </w:rPr>
      </w:pPr>
    </w:p>
    <w:p w14:paraId="28AB5887" w14:textId="77777777" w:rsidR="00BC6E8D" w:rsidRPr="007844EE" w:rsidRDefault="00BC6E8D" w:rsidP="00BC6E8D">
      <w:pPr>
        <w:jc w:val="center"/>
        <w:rPr>
          <w:rFonts w:ascii="Times New Roman" w:hAnsi="Times New Roman"/>
        </w:rPr>
      </w:pPr>
    </w:p>
    <w:p w14:paraId="7191DAFA" w14:textId="77777777" w:rsidR="00BC6E8D" w:rsidRPr="007844EE" w:rsidRDefault="00BC6E8D" w:rsidP="00BC6E8D">
      <w:pPr>
        <w:jc w:val="center"/>
        <w:rPr>
          <w:rFonts w:ascii="Times New Roman" w:hAnsi="Times New Roman"/>
        </w:rPr>
      </w:pPr>
    </w:p>
    <w:p w14:paraId="74E5B200" w14:textId="77777777" w:rsidR="00BC6E8D" w:rsidRPr="007844EE" w:rsidRDefault="00BC6E8D" w:rsidP="00BC6E8D">
      <w:pPr>
        <w:jc w:val="center"/>
        <w:rPr>
          <w:rFonts w:ascii="Times New Roman" w:hAnsi="Times New Roman"/>
        </w:rPr>
      </w:pPr>
    </w:p>
    <w:p w14:paraId="085C7589" w14:textId="77777777" w:rsidR="00BC6E8D" w:rsidRPr="007844EE" w:rsidRDefault="00BC6E8D" w:rsidP="00BC6E8D">
      <w:pPr>
        <w:jc w:val="center"/>
        <w:rPr>
          <w:rFonts w:ascii="Times New Roman" w:hAnsi="Times New Roman"/>
        </w:rPr>
      </w:pPr>
    </w:p>
    <w:p w14:paraId="014E40CC" w14:textId="77777777" w:rsidR="00BC6E8D" w:rsidRPr="007844EE" w:rsidRDefault="00BC6E8D" w:rsidP="00BC6E8D">
      <w:pPr>
        <w:jc w:val="center"/>
        <w:rPr>
          <w:rFonts w:ascii="Times New Roman" w:hAnsi="Times New Roman"/>
        </w:rPr>
      </w:pPr>
    </w:p>
    <w:p w14:paraId="728FF43D" w14:textId="77777777" w:rsidR="00BC6E8D" w:rsidRPr="007844EE" w:rsidRDefault="00BC6E8D" w:rsidP="00BC6E8D">
      <w:pPr>
        <w:jc w:val="center"/>
        <w:rPr>
          <w:rFonts w:ascii="Times New Roman" w:hAnsi="Times New Roman"/>
        </w:rPr>
      </w:pPr>
    </w:p>
    <w:p w14:paraId="089416A5" w14:textId="77777777" w:rsidR="00BC6E8D" w:rsidRPr="007844EE" w:rsidRDefault="00BC6E8D" w:rsidP="00BC6E8D">
      <w:pPr>
        <w:jc w:val="center"/>
        <w:rPr>
          <w:rFonts w:ascii="Times New Roman" w:hAnsi="Times New Roman"/>
        </w:rPr>
      </w:pPr>
    </w:p>
    <w:p w14:paraId="49A511C7" w14:textId="77777777" w:rsidR="00BC6E8D" w:rsidRPr="007844EE" w:rsidRDefault="00BC6E8D" w:rsidP="00BC6E8D">
      <w:pPr>
        <w:jc w:val="center"/>
        <w:rPr>
          <w:rFonts w:ascii="Times New Roman" w:hAnsi="Times New Roman"/>
        </w:rPr>
      </w:pPr>
    </w:p>
    <w:p w14:paraId="303E8822" w14:textId="1F8AC3A1" w:rsidR="00BC6E8D" w:rsidRPr="007844EE" w:rsidRDefault="00135041" w:rsidP="00BC6E8D">
      <w:pPr>
        <w:jc w:val="center"/>
        <w:rPr>
          <w:rFonts w:ascii="Times New Roman" w:hAnsi="Times New Roman"/>
        </w:rPr>
      </w:pPr>
      <w:r w:rsidRPr="007844EE">
        <w:rPr>
          <w:rFonts w:ascii="Times New Roman" w:hAnsi="Times New Roman"/>
        </w:rPr>
        <w:t>“Fading Before the Test of Eye and Touch”:</w:t>
      </w:r>
    </w:p>
    <w:p w14:paraId="1DE07D28" w14:textId="2F9CBCE3" w:rsidR="00BC6E8D" w:rsidRPr="007844EE" w:rsidRDefault="00FE1915" w:rsidP="00BC6E8D">
      <w:pPr>
        <w:jc w:val="center"/>
        <w:rPr>
          <w:rFonts w:ascii="Times New Roman" w:hAnsi="Times New Roman"/>
        </w:rPr>
      </w:pPr>
      <w:r w:rsidRPr="007844EE">
        <w:rPr>
          <w:rFonts w:ascii="Times New Roman" w:hAnsi="Times New Roman"/>
        </w:rPr>
        <w:t>The New Orleans Exposition of 1885-1886 and the Limits of the New South</w:t>
      </w:r>
    </w:p>
    <w:p w14:paraId="2E0533EC" w14:textId="77777777" w:rsidR="00BC6E8D" w:rsidRPr="007844EE" w:rsidRDefault="00BC6E8D" w:rsidP="00BC6E8D">
      <w:pPr>
        <w:jc w:val="center"/>
        <w:rPr>
          <w:rFonts w:ascii="Times New Roman" w:hAnsi="Times New Roman"/>
        </w:rPr>
      </w:pPr>
    </w:p>
    <w:p w14:paraId="288D0A96" w14:textId="77777777" w:rsidR="00BC6E8D" w:rsidRPr="007844EE" w:rsidRDefault="00BC6E8D" w:rsidP="00BC6E8D">
      <w:pPr>
        <w:jc w:val="center"/>
        <w:rPr>
          <w:rFonts w:ascii="Times New Roman" w:hAnsi="Times New Roman"/>
        </w:rPr>
      </w:pPr>
    </w:p>
    <w:p w14:paraId="1FEDEA6D" w14:textId="77777777" w:rsidR="00BC6E8D" w:rsidRPr="007844EE" w:rsidRDefault="00BC6E8D" w:rsidP="00BC6E8D">
      <w:pPr>
        <w:jc w:val="center"/>
        <w:rPr>
          <w:rFonts w:ascii="Times New Roman" w:hAnsi="Times New Roman"/>
        </w:rPr>
      </w:pPr>
    </w:p>
    <w:p w14:paraId="161E146D" w14:textId="77777777" w:rsidR="00BC6E8D" w:rsidRPr="007844EE" w:rsidRDefault="00BC6E8D" w:rsidP="00BC6E8D">
      <w:pPr>
        <w:jc w:val="center"/>
        <w:rPr>
          <w:rFonts w:ascii="Times New Roman" w:hAnsi="Times New Roman"/>
        </w:rPr>
      </w:pPr>
    </w:p>
    <w:p w14:paraId="41650E4F" w14:textId="77777777" w:rsidR="00BC6E8D" w:rsidRPr="007844EE" w:rsidRDefault="00BC6E8D" w:rsidP="00BC6E8D">
      <w:pPr>
        <w:jc w:val="center"/>
        <w:rPr>
          <w:rFonts w:ascii="Times New Roman" w:hAnsi="Times New Roman"/>
        </w:rPr>
      </w:pPr>
    </w:p>
    <w:p w14:paraId="0D4A961D" w14:textId="77777777" w:rsidR="00BC6E8D" w:rsidRPr="007844EE" w:rsidRDefault="00BC6E8D" w:rsidP="00BC6E8D">
      <w:pPr>
        <w:jc w:val="center"/>
        <w:rPr>
          <w:rFonts w:ascii="Times New Roman" w:hAnsi="Times New Roman"/>
        </w:rPr>
      </w:pPr>
    </w:p>
    <w:p w14:paraId="61C4AD3A" w14:textId="77777777" w:rsidR="00BC6E8D" w:rsidRPr="007844EE" w:rsidRDefault="00BC6E8D" w:rsidP="00BC6E8D">
      <w:pPr>
        <w:jc w:val="center"/>
        <w:rPr>
          <w:rFonts w:ascii="Times New Roman" w:hAnsi="Times New Roman"/>
        </w:rPr>
      </w:pPr>
    </w:p>
    <w:p w14:paraId="30B4A6FC" w14:textId="77777777" w:rsidR="00BC6E8D" w:rsidRPr="007844EE" w:rsidRDefault="00BC6E8D" w:rsidP="00BC6E8D">
      <w:pPr>
        <w:jc w:val="center"/>
        <w:rPr>
          <w:rFonts w:ascii="Times New Roman" w:hAnsi="Times New Roman"/>
        </w:rPr>
      </w:pPr>
    </w:p>
    <w:p w14:paraId="764525BA" w14:textId="77777777" w:rsidR="00BC6E8D" w:rsidRPr="007844EE" w:rsidRDefault="00BC6E8D" w:rsidP="00BC6E8D">
      <w:pPr>
        <w:jc w:val="center"/>
        <w:rPr>
          <w:rFonts w:ascii="Times New Roman" w:hAnsi="Times New Roman"/>
        </w:rPr>
      </w:pPr>
    </w:p>
    <w:p w14:paraId="5070B4FA" w14:textId="77777777" w:rsidR="00BC6E8D" w:rsidRPr="007844EE" w:rsidRDefault="00BC6E8D" w:rsidP="00BC6E8D">
      <w:pPr>
        <w:rPr>
          <w:rFonts w:ascii="Times New Roman" w:hAnsi="Times New Roman"/>
        </w:rPr>
      </w:pPr>
    </w:p>
    <w:p w14:paraId="025A9425" w14:textId="77777777" w:rsidR="00BC6E8D" w:rsidRPr="007844EE" w:rsidRDefault="00BC6E8D" w:rsidP="00BC6E8D">
      <w:pPr>
        <w:jc w:val="center"/>
        <w:rPr>
          <w:rFonts w:ascii="Times New Roman" w:hAnsi="Times New Roman"/>
        </w:rPr>
      </w:pPr>
    </w:p>
    <w:p w14:paraId="591A1D8E" w14:textId="77777777" w:rsidR="00BC6E8D" w:rsidRPr="007844EE" w:rsidRDefault="00BC6E8D" w:rsidP="00BC6E8D">
      <w:pPr>
        <w:jc w:val="center"/>
        <w:rPr>
          <w:rFonts w:ascii="Times New Roman" w:hAnsi="Times New Roman"/>
        </w:rPr>
      </w:pPr>
      <w:r w:rsidRPr="007844EE">
        <w:rPr>
          <w:rFonts w:ascii="Times New Roman" w:hAnsi="Times New Roman"/>
        </w:rPr>
        <w:t>Jeb Dee</w:t>
      </w:r>
    </w:p>
    <w:p w14:paraId="0FA113BB" w14:textId="5770B244" w:rsidR="00BC6E8D" w:rsidRPr="007844EE" w:rsidRDefault="00BC6E8D" w:rsidP="00BC6E8D">
      <w:pPr>
        <w:jc w:val="center"/>
        <w:rPr>
          <w:rFonts w:ascii="Times New Roman" w:hAnsi="Times New Roman"/>
        </w:rPr>
      </w:pPr>
      <w:r w:rsidRPr="007844EE">
        <w:rPr>
          <w:rFonts w:ascii="Times New Roman" w:hAnsi="Times New Roman"/>
        </w:rPr>
        <w:t>Hist 483: History of New Orleans</w:t>
      </w:r>
    </w:p>
    <w:p w14:paraId="1FF04F13" w14:textId="77777777" w:rsidR="00BC6E8D" w:rsidRPr="007844EE" w:rsidRDefault="00BC6E8D" w:rsidP="00BC6E8D">
      <w:pPr>
        <w:jc w:val="center"/>
        <w:rPr>
          <w:rFonts w:ascii="Times New Roman" w:hAnsi="Times New Roman"/>
        </w:rPr>
      </w:pPr>
      <w:r w:rsidRPr="007844EE">
        <w:rPr>
          <w:rFonts w:ascii="Times New Roman" w:hAnsi="Times New Roman"/>
        </w:rPr>
        <w:t>Professor Shlabach</w:t>
      </w:r>
    </w:p>
    <w:p w14:paraId="15D303B3" w14:textId="77777777" w:rsidR="00BC6E8D" w:rsidRPr="007844EE" w:rsidRDefault="00BC6E8D" w:rsidP="00BC6E8D">
      <w:pPr>
        <w:jc w:val="center"/>
        <w:rPr>
          <w:rFonts w:ascii="Times New Roman" w:hAnsi="Times New Roman"/>
        </w:rPr>
      </w:pPr>
      <w:r w:rsidRPr="007844EE">
        <w:rPr>
          <w:rFonts w:ascii="Times New Roman" w:hAnsi="Times New Roman"/>
        </w:rPr>
        <w:t>IHRTLUHC</w:t>
      </w:r>
    </w:p>
    <w:p w14:paraId="0B85FAA3" w14:textId="0911E11D" w:rsidR="00CC05F0" w:rsidRPr="007844EE" w:rsidRDefault="00BC6E8D" w:rsidP="00CC05F0">
      <w:pPr>
        <w:jc w:val="center"/>
        <w:rPr>
          <w:rFonts w:ascii="Times New Roman" w:hAnsi="Times New Roman"/>
        </w:rPr>
        <w:sectPr w:rsidR="00CC05F0" w:rsidRPr="007844EE" w:rsidSect="00CC05F0">
          <w:headerReference w:type="default" r:id="rId8"/>
          <w:pgSz w:w="12240" w:h="15840"/>
          <w:pgMar w:top="1440" w:right="1440" w:bottom="1440" w:left="1440" w:header="720" w:footer="720" w:gutter="0"/>
          <w:pgNumType w:start="1"/>
          <w:cols w:space="720"/>
          <w:docGrid w:linePitch="360"/>
        </w:sectPr>
      </w:pPr>
      <w:r w:rsidRPr="007844EE">
        <w:rPr>
          <w:rFonts w:ascii="Times New Roman" w:hAnsi="Times New Roman"/>
        </w:rPr>
        <w:t xml:space="preserve">March 6, </w:t>
      </w:r>
      <w:proofErr w:type="gramStart"/>
      <w:r w:rsidR="00CC05F0" w:rsidRPr="007844EE">
        <w:rPr>
          <w:rFonts w:ascii="Times New Roman" w:hAnsi="Times New Roman"/>
        </w:rPr>
        <w:t>2026</w:t>
      </w:r>
      <w:proofErr w:type="gramEnd"/>
      <w:r w:rsidRPr="007844EE">
        <w:rPr>
          <w:rFonts w:ascii="Times New Roman" w:hAnsi="Times New Roman"/>
        </w:rPr>
        <w:t xml:space="preserve"> </w:t>
      </w:r>
    </w:p>
    <w:p w14:paraId="62E48E30" w14:textId="3D9C5DAC" w:rsidR="00907561" w:rsidRPr="007844EE" w:rsidRDefault="00907561" w:rsidP="00CC05F0">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lastRenderedPageBreak/>
        <w:t>In 1885, Illinois writer Lydia Strawn wrote an “A Word of Exhortation” on behalf of the Illinois Central Railroad. She encouraged northerners to free themselves from the “slavery” of their work by taking the railroad to New Orleans for The North, Central and South American Exposition. “The American slave to business needs a respite from his fetters, and the trip is its own best reason for breaking the chains... A thousand miles from his master, the slave may answer I am free,” she told northern workers</w:t>
      </w:r>
      <w:r w:rsidR="009D577C">
        <w:rPr>
          <w:rFonts w:ascii="Times New Roman" w:eastAsia="Times New Roman" w:hAnsi="Times New Roman" w:cs="Times New Roman"/>
        </w:rPr>
        <w:t>.</w:t>
      </w:r>
      <w:r w:rsidR="00153CBC" w:rsidRPr="007844EE">
        <w:rPr>
          <w:rStyle w:val="FootnoteReference"/>
          <w:rFonts w:ascii="Times New Roman" w:eastAsia="Times New Roman" w:hAnsi="Times New Roman" w:cs="Times New Roman"/>
        </w:rPr>
        <w:footnoteReference w:id="1"/>
      </w:r>
      <w:r w:rsidRPr="007844EE">
        <w:rPr>
          <w:rFonts w:ascii="Times New Roman" w:eastAsia="Times New Roman" w:hAnsi="Times New Roman" w:cs="Times New Roman"/>
        </w:rPr>
        <w:t xml:space="preserve"> She promised that the Illinois workers “may walk with wife and child at his side and feel that the grind of daily life is for the time a thing of the past,” she wrote, encouraging people to ride the rails to the Exposition on the grounds of what had been a former Mississippi River cotton plantation</w:t>
      </w:r>
      <w:r w:rsidR="009D577C">
        <w:rPr>
          <w:rFonts w:ascii="Times New Roman" w:eastAsia="Times New Roman" w:hAnsi="Times New Roman" w:cs="Times New Roman"/>
        </w:rPr>
        <w:t>.</w:t>
      </w:r>
      <w:r w:rsidR="00375619" w:rsidRPr="007844EE">
        <w:rPr>
          <w:rStyle w:val="FootnoteReference"/>
          <w:rFonts w:ascii="Times New Roman" w:eastAsia="Times New Roman" w:hAnsi="Times New Roman" w:cs="Times New Roman"/>
        </w:rPr>
        <w:footnoteReference w:id="2"/>
      </w:r>
    </w:p>
    <w:p w14:paraId="0EAFC3A2" w14:textId="62CC302A" w:rsidR="00D15FBB" w:rsidRPr="007844EE" w:rsidRDefault="006C082D" w:rsidP="00CC05F0">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It was a difficult argument to make. The North, Central and South American Exhibition was scheduled to open in November 1885, on the same grounds in the same buildings as the Cotton Centennial Exposition the year before. When that venture went bankrupt, a former Confederate officer who invested in railroads bought the buildings at auction on credit extended by investors. Americans in the 1880s knew New Orleans was an unhealthy city, plagued by typhoid and yellow fever epidemics. National newspapers like the New York Times and The Chicago Tribune reported on political corruption in the southern state that was controlled by Democrat ward politicians</w:t>
      </w:r>
      <w:r w:rsidR="00C11A4B">
        <w:rPr>
          <w:rFonts w:ascii="Times New Roman" w:eastAsia="Times New Roman" w:hAnsi="Times New Roman" w:cs="Times New Roman"/>
        </w:rPr>
        <w:t>.</w:t>
      </w:r>
      <w:r w:rsidR="0017761A" w:rsidRPr="007844EE">
        <w:rPr>
          <w:rStyle w:val="FootnoteReference"/>
          <w:rFonts w:ascii="Times New Roman" w:eastAsia="Times New Roman" w:hAnsi="Times New Roman" w:cs="Times New Roman"/>
        </w:rPr>
        <w:footnoteReference w:id="3"/>
      </w:r>
      <w:r w:rsidRPr="007844EE">
        <w:rPr>
          <w:rFonts w:ascii="Times New Roman" w:eastAsia="Times New Roman" w:hAnsi="Times New Roman" w:cs="Times New Roman"/>
        </w:rPr>
        <w:t xml:space="preserve"> Accounts of political scandals were common in papers across the country. But Lydia Strawn was a professional writer and lecturer. She knew how to persuade an audience. So, she made the case to white Midwesterners that they should ride the Illinois Central to the City of New Orleans, attend the Exposition, support the city’s central position in the </w:t>
      </w:r>
      <w:r w:rsidRPr="007844EE">
        <w:rPr>
          <w:rFonts w:ascii="Times New Roman" w:eastAsia="Times New Roman" w:hAnsi="Times New Roman" w:cs="Times New Roman"/>
        </w:rPr>
        <w:lastRenderedPageBreak/>
        <w:t>nation’s trade with</w:t>
      </w:r>
      <w:r w:rsidR="00D15FBB" w:rsidRPr="007844EE">
        <w:rPr>
          <w:rFonts w:ascii="Times New Roman" w:eastAsia="Times New Roman" w:hAnsi="Times New Roman" w:cs="Times New Roman"/>
        </w:rPr>
        <w:t xml:space="preserve"> Central and South America as “a loyal child of the Republic,” see some the Civil War sites battlefields along the way, including Shiloh.</w:t>
      </w:r>
      <w:r w:rsidR="0033513A">
        <w:rPr>
          <w:rStyle w:val="FootnoteReference"/>
          <w:rFonts w:ascii="Times New Roman" w:eastAsia="Times New Roman" w:hAnsi="Times New Roman" w:cs="Times New Roman"/>
        </w:rPr>
        <w:footnoteReference w:id="4"/>
      </w:r>
      <w:r w:rsidR="00D15FBB" w:rsidRPr="007844EE">
        <w:rPr>
          <w:rFonts w:ascii="Times New Roman" w:eastAsia="Times New Roman" w:hAnsi="Times New Roman" w:cs="Times New Roman"/>
        </w:rPr>
        <w:t xml:space="preserve"> She promises “the scene before you portrays to the life the bloodiest battle in the civil war.</w:t>
      </w:r>
      <w:r w:rsidR="00D032F3">
        <w:rPr>
          <w:rFonts w:ascii="Times New Roman" w:eastAsia="Times New Roman" w:hAnsi="Times New Roman" w:cs="Times New Roman"/>
        </w:rPr>
        <w:t>”</w:t>
      </w:r>
      <w:r w:rsidR="00A049F0" w:rsidRPr="007844EE">
        <w:rPr>
          <w:rStyle w:val="FootnoteReference"/>
          <w:rFonts w:ascii="Times New Roman" w:eastAsia="Times New Roman" w:hAnsi="Times New Roman" w:cs="Times New Roman"/>
        </w:rPr>
        <w:footnoteReference w:id="5"/>
      </w:r>
      <w:r w:rsidR="00D15FBB" w:rsidRPr="007844EE">
        <w:rPr>
          <w:rFonts w:ascii="Times New Roman" w:eastAsia="Times New Roman" w:hAnsi="Times New Roman" w:cs="Times New Roman"/>
        </w:rPr>
        <w:t xml:space="preserve"> The Exposition, she promised, would free northern whites from the slavery of their employment for a time, affirm their loyalty, and let them rewrite Civil War memory if only they would ride the rails and enjoy the promise of New Orleans and the New South.</w:t>
      </w:r>
    </w:p>
    <w:p w14:paraId="1F31B28B" w14:textId="675238CB" w:rsidR="00237289" w:rsidRPr="007844EE" w:rsidRDefault="00D15FBB" w:rsidP="00237289">
      <w:pPr>
        <w:spacing w:line="480" w:lineRule="auto"/>
        <w:ind w:firstLine="720"/>
        <w:rPr>
          <w:rFonts w:eastAsia="Times New Roman"/>
        </w:rPr>
      </w:pPr>
      <w:r w:rsidRPr="007844EE">
        <w:rPr>
          <w:rFonts w:ascii="Times New Roman" w:eastAsia="Times New Roman" w:hAnsi="Times New Roman" w:cs="Times New Roman"/>
        </w:rPr>
        <w:t>The problem was, as the North, Central and South American Exhibition of 1885–1886 showed, the New South of postwar economic growth and prosperity failed to reach New Orleans</w:t>
      </w:r>
      <w:r w:rsidR="00C11A4B">
        <w:rPr>
          <w:rFonts w:ascii="Times New Roman" w:eastAsia="Times New Roman" w:hAnsi="Times New Roman" w:cs="Times New Roman"/>
        </w:rPr>
        <w:t>.</w:t>
      </w:r>
      <w:r w:rsidR="00727264" w:rsidRPr="007844EE">
        <w:rPr>
          <w:rStyle w:val="FootnoteReference"/>
          <w:rFonts w:ascii="Times New Roman" w:eastAsia="Times New Roman" w:hAnsi="Times New Roman" w:cs="Times New Roman"/>
        </w:rPr>
        <w:footnoteReference w:id="6"/>
      </w:r>
      <w:r w:rsidRPr="007844EE">
        <w:rPr>
          <w:rFonts w:ascii="Times New Roman" w:eastAsia="Times New Roman" w:hAnsi="Times New Roman" w:cs="Times New Roman"/>
        </w:rPr>
        <w:t xml:space="preserve"> And holding an exhibition to present New Orleans as the crossroad of trade between the Americas was a risky proposition. Beginning with the London’s Crystal Palace Exhibition of 1851, Europeans and Americans built halls, collected exhibits, advertised and collected admission fees. Some southerners found that the Philadelphia’s Centennial Exhibition in 1876 did not recognize the South’s contribution to the nation, coinciding with Congressional Reconstruction</w:t>
      </w:r>
      <w:r w:rsidR="00C11A4B">
        <w:rPr>
          <w:rFonts w:ascii="Times New Roman" w:eastAsia="Times New Roman" w:hAnsi="Times New Roman" w:cs="Times New Roman"/>
        </w:rPr>
        <w:t>.</w:t>
      </w:r>
      <w:r w:rsidR="00EA1B89" w:rsidRPr="007844EE">
        <w:rPr>
          <w:rStyle w:val="FootnoteReference"/>
          <w:rFonts w:ascii="Times New Roman" w:eastAsia="Times New Roman" w:hAnsi="Times New Roman" w:cs="Times New Roman"/>
        </w:rPr>
        <w:footnoteReference w:id="7"/>
      </w:r>
      <w:r w:rsidRPr="007844EE">
        <w:rPr>
          <w:rFonts w:ascii="Times New Roman" w:eastAsia="Times New Roman" w:hAnsi="Times New Roman" w:cs="Times New Roman"/>
        </w:rPr>
        <w:t xml:space="preserve"> Atlanta’s International Cotton Exposition in 1881 was to remedy this, showing the new prosperity of the New South. The fairgrounds were along the Western &amp; Atlantic Railroad and the event showed that Atlanta was reborn as a commercial city. New Orleans’s promoters and organizers imagined that their city could do the same. The old plantation grounds were celebrated for a celebration of international trade and prosperity</w:t>
      </w:r>
      <w:r w:rsidR="00C11A4B">
        <w:rPr>
          <w:rFonts w:ascii="Times New Roman" w:eastAsia="Times New Roman" w:hAnsi="Times New Roman" w:cs="Times New Roman"/>
        </w:rPr>
        <w:t>.</w:t>
      </w:r>
      <w:r w:rsidR="005040C6" w:rsidRPr="007844EE">
        <w:rPr>
          <w:rStyle w:val="FootnoteReference"/>
          <w:rFonts w:ascii="Times New Roman" w:eastAsia="Times New Roman" w:hAnsi="Times New Roman" w:cs="Times New Roman"/>
        </w:rPr>
        <w:footnoteReference w:id="8"/>
      </w:r>
      <w:r w:rsidRPr="007844EE">
        <w:rPr>
          <w:rFonts w:ascii="Times New Roman" w:eastAsia="Times New Roman" w:hAnsi="Times New Roman" w:cs="Times New Roman"/>
        </w:rPr>
        <w:t xml:space="preserve"> But even organizers and promoters like Lydia Strawn could not remedy New Orleans’s isolation in the national and </w:t>
      </w:r>
      <w:r w:rsidRPr="007844EE">
        <w:rPr>
          <w:rFonts w:ascii="Times New Roman" w:eastAsia="Times New Roman" w:hAnsi="Times New Roman" w:cs="Times New Roman"/>
        </w:rPr>
        <w:lastRenderedPageBreak/>
        <w:t>international economy of the early 1880s. Even as Lydia Strawn imagined midwestern whites breaking the chains of industrial capitalism for a warm destination via the Illinois Central and bringing their assets with them, African Americans fled</w:t>
      </w:r>
      <w:r w:rsidR="00237289" w:rsidRPr="007844EE">
        <w:rPr>
          <w:rFonts w:ascii="Times New Roman" w:eastAsia="Times New Roman" w:hAnsi="Times New Roman" w:cs="Times New Roman"/>
        </w:rPr>
        <w:t xml:space="preserve"> northward on the railroad to escape segregation, racism, convict labor, lynching and poverty along its line</w:t>
      </w:r>
      <w:r w:rsidR="00C11A4B">
        <w:rPr>
          <w:rFonts w:ascii="Times New Roman" w:eastAsia="Times New Roman" w:hAnsi="Times New Roman" w:cs="Times New Roman"/>
        </w:rPr>
        <w:t>.</w:t>
      </w:r>
      <w:r w:rsidR="007D378C" w:rsidRPr="007844EE">
        <w:rPr>
          <w:rStyle w:val="FootnoteReference"/>
          <w:rFonts w:ascii="Times New Roman" w:eastAsia="Times New Roman" w:hAnsi="Times New Roman" w:cs="Times New Roman"/>
        </w:rPr>
        <w:footnoteReference w:id="9"/>
      </w:r>
    </w:p>
    <w:p w14:paraId="6C493598" w14:textId="014731EF" w:rsidR="00237289" w:rsidRPr="007844EE" w:rsidRDefault="00237289" w:rsidP="0057284C">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 xml:space="preserve">Historians have debated the meaning and reality of the “New South” since the nineteenth century when a newspaper editor from Atlanta, Henry W. Grady, gave a speech in New York in 1886 that emphasized sectional unity </w:t>
      </w:r>
      <w:proofErr w:type="gramStart"/>
      <w:r w:rsidRPr="007844EE">
        <w:rPr>
          <w:rFonts w:ascii="Times New Roman" w:eastAsia="Times New Roman" w:hAnsi="Times New Roman" w:cs="Times New Roman"/>
        </w:rPr>
        <w:t>on the basis of</w:t>
      </w:r>
      <w:proofErr w:type="gramEnd"/>
      <w:r w:rsidRPr="007844EE">
        <w:rPr>
          <w:rFonts w:ascii="Times New Roman" w:eastAsia="Times New Roman" w:hAnsi="Times New Roman" w:cs="Times New Roman"/>
        </w:rPr>
        <w:t xml:space="preserve"> economic growth and white supremacy.</w:t>
      </w:r>
      <w:r w:rsidR="0057284C">
        <w:rPr>
          <w:rFonts w:ascii="Times New Roman" w:eastAsia="Times New Roman" w:hAnsi="Times New Roman" w:cs="Times New Roman"/>
        </w:rPr>
        <w:t xml:space="preserve"> </w:t>
      </w:r>
      <w:r w:rsidRPr="007844EE">
        <w:rPr>
          <w:rFonts w:ascii="Times New Roman" w:eastAsia="Times New Roman" w:hAnsi="Times New Roman" w:cs="Times New Roman"/>
        </w:rPr>
        <w:t xml:space="preserve">Historians looked at whether different regions in the south experienced meaningful economic stimulation after the Civil War. Edward Ayers in </w:t>
      </w:r>
      <w:r w:rsidRPr="007844EE">
        <w:rPr>
          <w:rFonts w:ascii="Times New Roman" w:eastAsia="Times New Roman" w:hAnsi="Times New Roman" w:cs="Times New Roman"/>
          <w:i/>
          <w:iCs/>
        </w:rPr>
        <w:t>The Promise of the New South</w:t>
      </w:r>
      <w:r w:rsidRPr="007844EE">
        <w:rPr>
          <w:rFonts w:ascii="Times New Roman" w:eastAsia="Times New Roman" w:hAnsi="Times New Roman" w:cs="Times New Roman"/>
        </w:rPr>
        <w:t xml:space="preserve"> finds that the many different regions of the south were contradictory. Ayers argues the South experienced elements of modernization through railroad construction and the development of industrial hubs. Industrial modernization, however, was uneven in the South. Ayers points to cities such as Birmingham, Alabama, and Roanoke which experienced massive industrial growth. Ayers does not consider older cities, such as New Orleans, which did not experience the same magnitude of growth as the other newer and less established cities. Ayers </w:t>
      </w:r>
      <w:proofErr w:type="gramStart"/>
      <w:r w:rsidRPr="007844EE">
        <w:rPr>
          <w:rFonts w:ascii="Times New Roman" w:eastAsia="Times New Roman" w:hAnsi="Times New Roman" w:cs="Times New Roman"/>
        </w:rPr>
        <w:t>notes</w:t>
      </w:r>
      <w:proofErr w:type="gramEnd"/>
      <w:r w:rsidRPr="007844EE">
        <w:rPr>
          <w:rFonts w:ascii="Times New Roman" w:eastAsia="Times New Roman" w:hAnsi="Times New Roman" w:cs="Times New Roman"/>
        </w:rPr>
        <w:t xml:space="preserve"> communities rose and declined based off their proximity to a railroad. The cities Ayers considers were the ones that competed with New Orleans, taking cotton and other crops away from the port of New Orleans offering stores and goods in smaller cities throughout the region</w:t>
      </w:r>
      <w:r w:rsidR="00C11A4B">
        <w:rPr>
          <w:rFonts w:ascii="Times New Roman" w:eastAsia="Times New Roman" w:hAnsi="Times New Roman" w:cs="Times New Roman"/>
        </w:rPr>
        <w:t>.</w:t>
      </w:r>
      <w:r w:rsidR="008E4AD6" w:rsidRPr="007844EE">
        <w:rPr>
          <w:rStyle w:val="FootnoteReference"/>
          <w:rFonts w:ascii="Times New Roman" w:eastAsia="Times New Roman" w:hAnsi="Times New Roman" w:cs="Times New Roman"/>
        </w:rPr>
        <w:footnoteReference w:id="10"/>
      </w:r>
    </w:p>
    <w:p w14:paraId="2BEB746C" w14:textId="46945AE7" w:rsidR="0065167D" w:rsidRPr="007844EE" w:rsidRDefault="00237289" w:rsidP="0065167D">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 xml:space="preserve">Scott Reynolds Nelson complicates Ayers’s assertion by emphasizing the underlying instability and exploitation present in the South’s regionally based economic development. Nelson revises Ayers’s thesis in 2023 in “The Bourbon South,” when he looks at Henry W. </w:t>
      </w:r>
      <w:r w:rsidRPr="007844EE">
        <w:rPr>
          <w:rFonts w:ascii="Times New Roman" w:eastAsia="Times New Roman" w:hAnsi="Times New Roman" w:cs="Times New Roman"/>
        </w:rPr>
        <w:lastRenderedPageBreak/>
        <w:t xml:space="preserve">Grady’s invention of “The New South” in the newspaper the </w:t>
      </w:r>
      <w:r w:rsidRPr="007844EE">
        <w:rPr>
          <w:rFonts w:ascii="Times New Roman" w:eastAsia="Times New Roman" w:hAnsi="Times New Roman" w:cs="Times New Roman"/>
          <w:i/>
          <w:iCs/>
        </w:rPr>
        <w:t>Atlanta Constitution</w:t>
      </w:r>
      <w:r w:rsidRPr="007844EE">
        <w:rPr>
          <w:rFonts w:ascii="Times New Roman" w:eastAsia="Times New Roman" w:hAnsi="Times New Roman" w:cs="Times New Roman"/>
        </w:rPr>
        <w:t xml:space="preserve"> and railway carpenter Henry A. Grady’s travel accounts through the region. Through this ironic comparison, Nelson argues the economic development were part of conservative Democratic politics in the South, or the “Bourbon South.” He concludes that the</w:t>
      </w:r>
      <w:r w:rsidR="0065167D" w:rsidRPr="007844EE">
        <w:rPr>
          <w:rFonts w:ascii="Times New Roman" w:eastAsia="Times New Roman" w:hAnsi="Times New Roman" w:cs="Times New Roman"/>
        </w:rPr>
        <w:t xml:space="preserve"> growth of railroads, credit-based country stores, convict lease labor, lynchings, and textile mills were features of the “alien, dangerous, and disturbing” Bourbon era of the 1880s. By looking at the southern economy, Nelson tracks the changes in structures to show how development affected different southern regions. By 1880, almost half of the slave-owning population families had lost their land. In response, they allied with merchants and manufacturers with hopes of capturing profits. This showed economic anxiety which pushed investments into international markets, interstate railroads, and the transition to the sharecropping plantation structure. Despite the economic efforts of the planter-merchant alliances, the pre-Civil War cotton production never returned. In 1882, the southern cotton only </w:t>
      </w:r>
      <w:proofErr w:type="gramStart"/>
      <w:r w:rsidR="0065167D" w:rsidRPr="007844EE">
        <w:rPr>
          <w:rFonts w:ascii="Times New Roman" w:eastAsia="Times New Roman" w:hAnsi="Times New Roman" w:cs="Times New Roman"/>
        </w:rPr>
        <w:t>made up</w:t>
      </w:r>
      <w:proofErr w:type="gramEnd"/>
      <w:r w:rsidR="0065167D" w:rsidRPr="007844EE">
        <w:rPr>
          <w:rFonts w:ascii="Times New Roman" w:eastAsia="Times New Roman" w:hAnsi="Times New Roman" w:cs="Times New Roman"/>
        </w:rPr>
        <w:t xml:space="preserve"> sixty-five percent of the cotton on the international market, which was a sharp decline from the dominant seventy-two percent of cotton before the war. Nelson also highlights the importance of the New York Cotton Exchange and the advent of cotton futures market. This created a credit system where country stores “became the meeting place between cotton and provision, country and city.” This tied local rural cotton producers to distant financial institutions and speculative trading. Local farmers became tied to global cycles of debt and credit that became increasingly dependent on future production speculations. This complex financial structure left agriculture in the Bourbon South highly dependent on these markets, leaving cotton producers highly vulnerable to fluctuating prices and market instability. Nelson’s Bourbon South is a more anxious, pessimistic and racist world than Ayers’s New South</w:t>
      </w:r>
      <w:r w:rsidR="00E00185">
        <w:rPr>
          <w:rFonts w:ascii="Times New Roman" w:eastAsia="Times New Roman" w:hAnsi="Times New Roman" w:cs="Times New Roman"/>
        </w:rPr>
        <w:t>.</w:t>
      </w:r>
      <w:r w:rsidR="001A14C0" w:rsidRPr="007844EE">
        <w:rPr>
          <w:rStyle w:val="FootnoteReference"/>
          <w:rFonts w:ascii="Times New Roman" w:eastAsia="Times New Roman" w:hAnsi="Times New Roman" w:cs="Times New Roman"/>
        </w:rPr>
        <w:footnoteReference w:id="11"/>
      </w:r>
    </w:p>
    <w:p w14:paraId="711CA98F" w14:textId="5E601D11" w:rsidR="00A53844" w:rsidRPr="007844EE" w:rsidRDefault="0065167D" w:rsidP="00A53844">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lastRenderedPageBreak/>
        <w:t xml:space="preserve">In </w:t>
      </w:r>
      <w:r w:rsidRPr="007844EE">
        <w:rPr>
          <w:rFonts w:ascii="Times New Roman" w:eastAsia="Times New Roman" w:hAnsi="Times New Roman" w:cs="Times New Roman"/>
          <w:i/>
          <w:iCs/>
        </w:rPr>
        <w:t>The Merchants’ Capital</w:t>
      </w:r>
      <w:r w:rsidRPr="007844EE">
        <w:rPr>
          <w:rFonts w:ascii="Times New Roman" w:eastAsia="Times New Roman" w:hAnsi="Times New Roman" w:cs="Times New Roman"/>
        </w:rPr>
        <w:t xml:space="preserve"> Scott P. Marler focuses on New Orleans and argues that while the New South promised the economic promise of the South, New Orleans became economically isolated in the late nineteenth century. Marler attributes the New Orleans isolationist economy to the city’s rigidity. Because the cities merchants and elites were heavily invested and tied to the</w:t>
      </w:r>
      <w:r w:rsidR="00A53844" w:rsidRPr="007844EE">
        <w:rPr>
          <w:rFonts w:ascii="Times New Roman" w:eastAsia="Times New Roman" w:hAnsi="Times New Roman" w:cs="Times New Roman"/>
        </w:rPr>
        <w:t xml:space="preserve"> traditional use of slavery for crop production, they were reluctant to adopt the railroad transportation system and instead remained reliant on water ways which caused New Orleans to grow as a city originally. The unwillingness to adopt railway systems immediately limited the city’s ability to adapt to the changing pattern of commerce, which in turn impeded economic growth. At the same time. Marlar argued the city’s merchant class promoted the “New South” ideals to reinforce the exploitative labor structure of sharecropping. Marlar argues by reinforcing racism and segregation, only further constrained economic development in New Orleans. Marlar notes that municipal corruption, poor urban planning, and political hubris, also contributed to the lack of economic development in post-war New Orleans. The political structures, as well as economic factors, created a “perfect storm” that caused GDP of New Orleans to drop. As other cities experienced economic growth and rejuvenation, New Orleans failed to advance at the same rate due to entrenched economic systems and poor political decisions.</w:t>
      </w:r>
      <w:r w:rsidR="004E6BBC">
        <w:rPr>
          <w:rStyle w:val="FootnoteReference"/>
          <w:rFonts w:ascii="Times New Roman" w:eastAsia="Times New Roman" w:hAnsi="Times New Roman" w:cs="Times New Roman"/>
        </w:rPr>
        <w:footnoteReference w:id="12"/>
      </w:r>
    </w:p>
    <w:p w14:paraId="023008D4" w14:textId="1F96F6C9" w:rsidR="0048300F" w:rsidRPr="007844EE" w:rsidRDefault="00A53844" w:rsidP="0048300F">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 xml:space="preserve">Theda Purdue considers in </w:t>
      </w:r>
      <w:r w:rsidRPr="007844EE">
        <w:rPr>
          <w:rFonts w:ascii="Times New Roman" w:eastAsia="Times New Roman" w:hAnsi="Times New Roman" w:cs="Times New Roman"/>
          <w:i/>
          <w:iCs/>
        </w:rPr>
        <w:t>Race and the Atlanta Cotton States Exposition</w:t>
      </w:r>
      <w:r w:rsidRPr="007844EE">
        <w:rPr>
          <w:rFonts w:ascii="Times New Roman" w:eastAsia="Times New Roman" w:hAnsi="Times New Roman" w:cs="Times New Roman"/>
        </w:rPr>
        <w:t xml:space="preserve"> how an exposition event represented white southerners’ vision of the New South, including Atlanta’s imagined place in the New South’s economy. Perdue considers the 1895 Atlanta Cotton States Exposition through the context of other international exposition events like the Centennial Exhibition in Philadelphia in 1876 and the World’s Columbian Exposition in Chicago in 1893. In both cases, the cities turned to expositions platforms to showcase their economic potential. </w:t>
      </w:r>
      <w:r w:rsidRPr="007844EE">
        <w:rPr>
          <w:rFonts w:ascii="Times New Roman" w:eastAsia="Times New Roman" w:hAnsi="Times New Roman" w:cs="Times New Roman"/>
        </w:rPr>
        <w:lastRenderedPageBreak/>
        <w:t xml:space="preserve">Purdue identifies the goal of exposition as an attractive way to spur investment into a region. Southerners used these events </w:t>
      </w:r>
      <w:proofErr w:type="gramStart"/>
      <w:r w:rsidRPr="007844EE">
        <w:rPr>
          <w:rFonts w:ascii="Times New Roman" w:eastAsia="Times New Roman" w:hAnsi="Times New Roman" w:cs="Times New Roman"/>
        </w:rPr>
        <w:t>as a way to</w:t>
      </w:r>
      <w:proofErr w:type="gramEnd"/>
      <w:r w:rsidRPr="007844EE">
        <w:rPr>
          <w:rFonts w:ascii="Times New Roman" w:eastAsia="Times New Roman" w:hAnsi="Times New Roman" w:cs="Times New Roman"/>
        </w:rPr>
        <w:t xml:space="preserve"> promote foreign trade and lift their region’s economy. Because there was insufficient economic capital in the South during the 1880s and 1890s, Purdue argues attracting outside investment was imperative for the southern economy.</w:t>
      </w:r>
      <w:r w:rsidR="001A07FE" w:rsidRPr="007844EE">
        <w:rPr>
          <w:rFonts w:ascii="Times New Roman" w:eastAsia="Times New Roman" w:hAnsi="Times New Roman" w:cs="Times New Roman"/>
        </w:rPr>
        <w:t xml:space="preserve"> This was the goal of the</w:t>
      </w:r>
      <w:r w:rsidR="0048300F" w:rsidRPr="007844EE">
        <w:rPr>
          <w:rFonts w:ascii="Times New Roman" w:eastAsia="Times New Roman" w:hAnsi="Times New Roman" w:cs="Times New Roman"/>
        </w:rPr>
        <w:t xml:space="preserve"> </w:t>
      </w:r>
      <w:proofErr w:type="gramStart"/>
      <w:r w:rsidR="0048300F" w:rsidRPr="007844EE">
        <w:rPr>
          <w:rFonts w:ascii="Times New Roman" w:eastAsia="Times New Roman" w:hAnsi="Times New Roman" w:cs="Times New Roman"/>
        </w:rPr>
        <w:t>exposition</w:t>
      </w:r>
      <w:proofErr w:type="gramEnd"/>
      <w:r w:rsidR="0048300F" w:rsidRPr="007844EE">
        <w:rPr>
          <w:rFonts w:ascii="Times New Roman" w:eastAsia="Times New Roman" w:hAnsi="Times New Roman" w:cs="Times New Roman"/>
        </w:rPr>
        <w:t>. The 1895 exhibition only underscored the importance of adopting railroads in connecting the southern economy to wider markets. Perdue found that the southern expositions created an avenue to promote a “new” southern economy and at the same time supported segregation and white supremacy. Perdue shows how the 1895 exposition reflected the economic ambitions of the region while enforcing the same social hierarchies that defined the southern economy. Her methods, when applied to New Orleans in 1885–1886, reveal that this occurred a decade earlier</w:t>
      </w:r>
      <w:r w:rsidR="00E00185">
        <w:rPr>
          <w:rFonts w:ascii="Times New Roman" w:eastAsia="Times New Roman" w:hAnsi="Times New Roman" w:cs="Times New Roman"/>
        </w:rPr>
        <w:t>.</w:t>
      </w:r>
      <w:r w:rsidR="000F6620" w:rsidRPr="007844EE">
        <w:rPr>
          <w:rStyle w:val="FootnoteReference"/>
          <w:rFonts w:ascii="Times New Roman" w:eastAsia="Times New Roman" w:hAnsi="Times New Roman" w:cs="Times New Roman"/>
        </w:rPr>
        <w:footnoteReference w:id="13"/>
      </w:r>
    </w:p>
    <w:p w14:paraId="07CF5E66" w14:textId="3E7DF7B2" w:rsidR="0048300F" w:rsidRPr="007844EE" w:rsidRDefault="0048300F" w:rsidP="0048300F">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The North, South and Central American Exhibition of 1885–1886 shows that the promise of the New South never reached New Orleans. It confirms Marler’s thesis. It shows that despite the growth and opportunity documented by Edward Ayers in smaller cities like Birmingham, New Orleans suffered from economic stagnation. Moreover, the Exhibition of 1885 encapsulates how Illinois Central Railroad promoters and New Orleans investors imagined the city’s economic future as dependent on northern capital, railroad access, and its ability to be a global center of trade, or something different than its railroad-focused rival Atlanta</w:t>
      </w:r>
      <w:r w:rsidR="00E00185">
        <w:rPr>
          <w:rFonts w:ascii="Times New Roman" w:eastAsia="Times New Roman" w:hAnsi="Times New Roman" w:cs="Times New Roman"/>
        </w:rPr>
        <w:t>.</w:t>
      </w:r>
      <w:r w:rsidR="00B74FAD" w:rsidRPr="007844EE">
        <w:rPr>
          <w:rStyle w:val="FootnoteReference"/>
          <w:rFonts w:ascii="Times New Roman" w:eastAsia="Times New Roman" w:hAnsi="Times New Roman" w:cs="Times New Roman"/>
        </w:rPr>
        <w:footnoteReference w:id="14"/>
      </w:r>
      <w:r w:rsidRPr="007844EE">
        <w:rPr>
          <w:rFonts w:ascii="Times New Roman" w:eastAsia="Times New Roman" w:hAnsi="Times New Roman" w:cs="Times New Roman"/>
        </w:rPr>
        <w:t xml:space="preserve"> Through railroad promotional literature, the Illinois Central Railroad attempted to connect northern middle- and upper-class Americans with New Orleans. The Illinois Central Railroad employed Civil War memory, erasing the war for Emancipation and appropriating “slavery” as a late 19th century </w:t>
      </w:r>
      <w:r w:rsidRPr="007844EE">
        <w:rPr>
          <w:rFonts w:ascii="Times New Roman" w:eastAsia="Times New Roman" w:hAnsi="Times New Roman" w:cs="Times New Roman"/>
        </w:rPr>
        <w:lastRenderedPageBreak/>
        <w:t>commercial condition of white workers, to promote the exposition and foster the integration of New Orleans into the national economy. For New Orleans, the Exposition of 1885–1886 was too little, too late; the ideals of the “New South” never boosted the New Orleans economy</w:t>
      </w:r>
      <w:r w:rsidR="00CB5CA7">
        <w:rPr>
          <w:rFonts w:ascii="Times New Roman" w:eastAsia="Times New Roman" w:hAnsi="Times New Roman" w:cs="Times New Roman"/>
        </w:rPr>
        <w:t>.</w:t>
      </w:r>
      <w:r w:rsidR="00436297" w:rsidRPr="007844EE">
        <w:rPr>
          <w:rStyle w:val="FootnoteReference"/>
          <w:rFonts w:ascii="Times New Roman" w:eastAsia="Times New Roman" w:hAnsi="Times New Roman" w:cs="Times New Roman"/>
        </w:rPr>
        <w:footnoteReference w:id="15"/>
      </w:r>
    </w:p>
    <w:p w14:paraId="4B6408C1" w14:textId="2E5172AB" w:rsidR="00572251" w:rsidRPr="007844EE" w:rsidRDefault="00572251" w:rsidP="00572251">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 xml:space="preserve">The economic recession was caused by a restriction in the money supply because the U.S. implemented a policy backing all their greenbacks with gold. The hope was to decrease inflation and give the U.S. currency more confidence. New Orleans itself suffered from currency contractions, while the rest of the U.S. economy rebounded due to grain exports to Europe brought on by crop failure. There were a production and boom in the steel industry, which allowed for an increase in exports as well as a boom in railroad speculation across the U.S. Unfortunately for New Orleans, they were not quick on capitalizing and embracing the shift towards rail. In 1881 American merchants called for an intercontinental railroad for opening new markets for American manufacturing surpluses, as seen in Hinton Rowan Helper’s publication of </w:t>
      </w:r>
      <w:r w:rsidRPr="007844EE">
        <w:rPr>
          <w:rFonts w:ascii="Times New Roman" w:eastAsia="Times New Roman" w:hAnsi="Times New Roman" w:cs="Times New Roman"/>
          <w:i/>
          <w:iCs/>
        </w:rPr>
        <w:t>The Three Americas</w:t>
      </w:r>
      <w:r w:rsidRPr="007844EE">
        <w:rPr>
          <w:rFonts w:ascii="Times New Roman" w:eastAsia="Times New Roman" w:hAnsi="Times New Roman" w:cs="Times New Roman"/>
        </w:rPr>
        <w:t xml:space="preserve"> in 1881. Helper also called for increased tourism between the continents to boost economic activity and spending. In 1882, the economy entered a recession and railroads failed. By 1884 the economy entered a panic caused by a credit shortage. Companies reduced production, unemployment increased from five percent to thirteen percent in 1884</w:t>
      </w:r>
      <w:r w:rsidR="00CB5CA7">
        <w:rPr>
          <w:rFonts w:ascii="Times New Roman" w:eastAsia="Times New Roman" w:hAnsi="Times New Roman" w:cs="Times New Roman"/>
        </w:rPr>
        <w:t>.</w:t>
      </w:r>
      <w:r w:rsidR="00436297" w:rsidRPr="007844EE">
        <w:rPr>
          <w:rStyle w:val="FootnoteReference"/>
          <w:rFonts w:ascii="Times New Roman" w:eastAsia="Times New Roman" w:hAnsi="Times New Roman" w:cs="Times New Roman"/>
        </w:rPr>
        <w:footnoteReference w:id="16"/>
      </w:r>
    </w:p>
    <w:p w14:paraId="01F60E36" w14:textId="52878292" w:rsidR="00447D71" w:rsidRPr="007844EE" w:rsidRDefault="00572251" w:rsidP="00447D71">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 xml:space="preserve">The Illinois Central Railroad, the main artery linking New Orleans with the Midwest, advertised to increase ridership and profits by marketing New Orleans and the winter exposition as tourism opportunities in a depressed economy. Investors joined President Samuel B. </w:t>
      </w:r>
      <w:r w:rsidR="00756244">
        <w:rPr>
          <w:rFonts w:ascii="Times New Roman" w:eastAsia="Times New Roman" w:hAnsi="Times New Roman" w:cs="Times New Roman"/>
        </w:rPr>
        <w:t>McConnico</w:t>
      </w:r>
      <w:r w:rsidRPr="007844EE">
        <w:rPr>
          <w:rFonts w:ascii="Times New Roman" w:eastAsia="Times New Roman" w:hAnsi="Times New Roman" w:cs="Times New Roman"/>
        </w:rPr>
        <w:t xml:space="preserve">, the president of the Exposition, in raising five hundred thousand dollars to fund the </w:t>
      </w:r>
      <w:r w:rsidRPr="007844EE">
        <w:rPr>
          <w:rFonts w:ascii="Times New Roman" w:eastAsia="Times New Roman" w:hAnsi="Times New Roman" w:cs="Times New Roman"/>
        </w:rPr>
        <w:lastRenderedPageBreak/>
        <w:t>North, Central, and South American Exposition.</w:t>
      </w:r>
      <w:r w:rsidR="00E634BF">
        <w:rPr>
          <w:rStyle w:val="FootnoteReference"/>
          <w:rFonts w:ascii="Times New Roman" w:eastAsia="Times New Roman" w:hAnsi="Times New Roman" w:cs="Times New Roman"/>
        </w:rPr>
        <w:footnoteReference w:id="17"/>
      </w:r>
      <w:r w:rsidRPr="007844EE">
        <w:rPr>
          <w:rFonts w:ascii="Times New Roman" w:eastAsia="Times New Roman" w:hAnsi="Times New Roman" w:cs="Times New Roman"/>
        </w:rPr>
        <w:t xml:space="preserve"> Organizers established commissions in each state to gather exhibits and ensure there was participation in the event. </w:t>
      </w:r>
      <w:r w:rsidR="00756244">
        <w:rPr>
          <w:rFonts w:ascii="Times New Roman" w:eastAsia="Times New Roman" w:hAnsi="Times New Roman" w:cs="Times New Roman"/>
        </w:rPr>
        <w:t>McConnico</w:t>
      </w:r>
      <w:r w:rsidRPr="007844EE">
        <w:rPr>
          <w:rFonts w:ascii="Times New Roman" w:eastAsia="Times New Roman" w:hAnsi="Times New Roman" w:cs="Times New Roman"/>
        </w:rPr>
        <w:t xml:space="preserve"> promised that the expositions would be a “supplement” to the Cotton Exposition the year before, inheriting all its buildings and infrastructure.</w:t>
      </w:r>
      <w:r w:rsidR="000121BE">
        <w:rPr>
          <w:rStyle w:val="FootnoteReference"/>
          <w:rFonts w:ascii="Times New Roman" w:eastAsia="Times New Roman" w:hAnsi="Times New Roman" w:cs="Times New Roman"/>
        </w:rPr>
        <w:footnoteReference w:id="18"/>
      </w:r>
      <w:r w:rsidRPr="007844EE">
        <w:rPr>
          <w:rFonts w:ascii="Times New Roman" w:eastAsia="Times New Roman" w:hAnsi="Times New Roman" w:cs="Times New Roman"/>
        </w:rPr>
        <w:t xml:space="preserve"> Railroad companies played a direct role in marketing for the exhibitions. “The various railway trunk lines leading into New Orleans</w:t>
      </w:r>
      <w:r w:rsidR="00447D71" w:rsidRPr="007844EE">
        <w:rPr>
          <w:rFonts w:ascii="Times New Roman" w:eastAsia="Times New Roman" w:hAnsi="Times New Roman" w:cs="Times New Roman"/>
        </w:rPr>
        <w:t xml:space="preserve"> are the largest stockholders of the American Exposition. Their interested participation ensures the exercise of their influence in securing from every point the lowest possible transportation rate” promising visitors would benefit from the railroad’s investment</w:t>
      </w:r>
      <w:r w:rsidR="00CB5CA7">
        <w:rPr>
          <w:rFonts w:ascii="Times New Roman" w:eastAsia="Times New Roman" w:hAnsi="Times New Roman" w:cs="Times New Roman"/>
        </w:rPr>
        <w:t>.</w:t>
      </w:r>
      <w:r w:rsidR="005C4E82" w:rsidRPr="007844EE">
        <w:rPr>
          <w:rStyle w:val="FootnoteReference"/>
          <w:rFonts w:ascii="Times New Roman" w:eastAsia="Times New Roman" w:hAnsi="Times New Roman" w:cs="Times New Roman"/>
        </w:rPr>
        <w:footnoteReference w:id="19"/>
      </w:r>
      <w:r w:rsidR="00447D71" w:rsidRPr="007844EE">
        <w:rPr>
          <w:rFonts w:ascii="Times New Roman" w:eastAsia="Times New Roman" w:hAnsi="Times New Roman" w:cs="Times New Roman"/>
        </w:rPr>
        <w:t xml:space="preserve"> This reflected a broader trend in the 1880s as Americans called for more vacationing in Americas and tried to encourage wealthy to look for alternative to European vacations and encouraged middle class to take leisure travel</w:t>
      </w:r>
      <w:r w:rsidR="00CB5CA7">
        <w:rPr>
          <w:rFonts w:ascii="Times New Roman" w:eastAsia="Times New Roman" w:hAnsi="Times New Roman" w:cs="Times New Roman"/>
        </w:rPr>
        <w:t>.</w:t>
      </w:r>
      <w:r w:rsidR="00B307ED" w:rsidRPr="007844EE">
        <w:rPr>
          <w:rStyle w:val="FootnoteReference"/>
          <w:rFonts w:ascii="Times New Roman" w:eastAsia="Times New Roman" w:hAnsi="Times New Roman" w:cs="Times New Roman"/>
        </w:rPr>
        <w:footnoteReference w:id="20"/>
      </w:r>
      <w:r w:rsidR="00CB5CA7">
        <w:rPr>
          <w:rFonts w:ascii="Times New Roman" w:eastAsia="Times New Roman" w:hAnsi="Times New Roman" w:cs="Times New Roman"/>
        </w:rPr>
        <w:t xml:space="preserve"> </w:t>
      </w:r>
      <w:r w:rsidR="00447D71" w:rsidRPr="007844EE">
        <w:rPr>
          <w:rFonts w:ascii="Times New Roman" w:eastAsia="Times New Roman" w:hAnsi="Times New Roman" w:cs="Times New Roman"/>
        </w:rPr>
        <w:t xml:space="preserve">Boosters like </w:t>
      </w:r>
      <w:r w:rsidR="00756244">
        <w:rPr>
          <w:rFonts w:ascii="Times New Roman" w:eastAsia="Times New Roman" w:hAnsi="Times New Roman" w:cs="Times New Roman"/>
        </w:rPr>
        <w:t>McConnico</w:t>
      </w:r>
      <w:r w:rsidR="00447D71" w:rsidRPr="007844EE">
        <w:rPr>
          <w:rFonts w:ascii="Times New Roman" w:eastAsia="Times New Roman" w:hAnsi="Times New Roman" w:cs="Times New Roman"/>
        </w:rPr>
        <w:t xml:space="preserve"> believed an exposition that emphasized Pan-Americanism emphasizing tourism and trade would have a larger audience than the Cotton Centennial Exposition of the 1884–1885 season, turn a profit, and allow the investors to pay the debt they assumed when they purchased buildings from the bankrupt Cotton Centennial Exposition. Their timing could not have been worse.</w:t>
      </w:r>
    </w:p>
    <w:p w14:paraId="578BD268" w14:textId="0E50B95E" w:rsidR="00447D71" w:rsidRPr="007844EE" w:rsidRDefault="00447D71" w:rsidP="00447D71">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 xml:space="preserve">Lydia Strawn had to convince readers that in a time of economic uncertainty they could trust the railroad. “The Illinois Central is making no covert grab into his </w:t>
      </w:r>
      <w:proofErr w:type="gramStart"/>
      <w:r w:rsidRPr="007844EE">
        <w:rPr>
          <w:rFonts w:ascii="Times New Roman" w:eastAsia="Times New Roman" w:hAnsi="Times New Roman" w:cs="Times New Roman"/>
        </w:rPr>
        <w:t>pocket-book</w:t>
      </w:r>
      <w:proofErr w:type="gramEnd"/>
      <w:r w:rsidRPr="007844EE">
        <w:rPr>
          <w:rFonts w:ascii="Times New Roman" w:eastAsia="Times New Roman" w:hAnsi="Times New Roman" w:cs="Times New Roman"/>
        </w:rPr>
        <w:t xml:space="preserve"> under the guise of friendly interest,” she wrote. “It frankly believes that it is giving him a good thing at moderate cost that the investment will richly pay in the present and the future.”</w:t>
      </w:r>
      <w:r w:rsidR="00F22C55" w:rsidRPr="007844EE">
        <w:rPr>
          <w:rFonts w:ascii="Times New Roman" w:eastAsia="Times New Roman" w:hAnsi="Times New Roman" w:cs="Times New Roman"/>
        </w:rPr>
        <w:t xml:space="preserve"> The trip from Chicago to New Orleans on the Illinois Central was the most efficient, “the shortest line between </w:t>
      </w:r>
      <w:r w:rsidR="00F22C55" w:rsidRPr="007844EE">
        <w:rPr>
          <w:rFonts w:ascii="Times New Roman" w:eastAsia="Times New Roman" w:hAnsi="Times New Roman" w:cs="Times New Roman"/>
        </w:rPr>
        <w:lastRenderedPageBreak/>
        <w:t xml:space="preserve">two points in the least number of hours,” she promised readers and described the luxury and ease of departing Chicago in the evening and waking up in New Orleans in the morning. Or, for daytime </w:t>
      </w:r>
      <w:proofErr w:type="gramStart"/>
      <w:r w:rsidR="00F22C55" w:rsidRPr="007844EE">
        <w:rPr>
          <w:rFonts w:ascii="Times New Roman" w:eastAsia="Times New Roman" w:hAnsi="Times New Roman" w:cs="Times New Roman"/>
        </w:rPr>
        <w:t>travelers</w:t>
      </w:r>
      <w:proofErr w:type="gramEnd"/>
      <w:r w:rsidR="00F22C55" w:rsidRPr="007844EE">
        <w:rPr>
          <w:rFonts w:ascii="Times New Roman" w:eastAsia="Times New Roman" w:hAnsi="Times New Roman" w:cs="Times New Roman"/>
        </w:rPr>
        <w:t xml:space="preserve"> appropriate meals could be </w:t>
      </w:r>
      <w:proofErr w:type="gramStart"/>
      <w:r w:rsidR="00F22C55" w:rsidRPr="007844EE">
        <w:rPr>
          <w:rFonts w:ascii="Times New Roman" w:eastAsia="Times New Roman" w:hAnsi="Times New Roman" w:cs="Times New Roman"/>
        </w:rPr>
        <w:t>procured</w:t>
      </w:r>
      <w:proofErr w:type="gramEnd"/>
      <w:r w:rsidR="00F22C55" w:rsidRPr="007844EE">
        <w:rPr>
          <w:rFonts w:ascii="Times New Roman" w:eastAsia="Times New Roman" w:hAnsi="Times New Roman" w:cs="Times New Roman"/>
        </w:rPr>
        <w:t xml:space="preserve"> for gentlemen, ladies and families. It was a trip of “restful anticipation” to emancipate northerners from the effects of “slavery” of the economic labor of the 1880s</w:t>
      </w:r>
      <w:r w:rsidR="00CB5CA7">
        <w:rPr>
          <w:rFonts w:ascii="Times New Roman" w:eastAsia="Times New Roman" w:hAnsi="Times New Roman" w:cs="Times New Roman"/>
        </w:rPr>
        <w:t>.</w:t>
      </w:r>
      <w:r w:rsidR="00BB493C" w:rsidRPr="007844EE">
        <w:rPr>
          <w:rStyle w:val="FootnoteReference"/>
          <w:rFonts w:ascii="Times New Roman" w:eastAsia="Times New Roman" w:hAnsi="Times New Roman" w:cs="Times New Roman"/>
        </w:rPr>
        <w:footnoteReference w:id="21"/>
      </w:r>
    </w:p>
    <w:p w14:paraId="45B450CE" w14:textId="1C338AD5" w:rsidR="00986ECB" w:rsidRPr="007844EE" w:rsidRDefault="00986ECB" w:rsidP="00986ECB">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The promotion for the New Orleans Exposition depended on romanticizing the way that the railroad united the regions of the United States, including the Midwest and New Orleans. The railroad was modern, exciting and exotic. The railroad is a “creature of iron, and steam, and steel, of bonds and securities, with an eye fixed upon dollars and cents.” The railroad itself was safe, efficient, and promoted tourism. It could “carry thousands safely and swiftly from far-off Northern homes to the spots where these pictures were taken,” and the tourists would be “stronger in body, happier in spirit, richer in mind.</w:t>
      </w:r>
      <w:r w:rsidR="003B6A6D">
        <w:rPr>
          <w:rStyle w:val="FootnoteReference"/>
          <w:rFonts w:ascii="Times New Roman" w:eastAsia="Times New Roman" w:hAnsi="Times New Roman" w:cs="Times New Roman"/>
        </w:rPr>
        <w:footnoteReference w:id="22"/>
      </w:r>
      <w:r w:rsidRPr="007844EE">
        <w:rPr>
          <w:rFonts w:ascii="Times New Roman" w:eastAsia="Times New Roman" w:hAnsi="Times New Roman" w:cs="Times New Roman"/>
        </w:rPr>
        <w:t>” Strawn presented the railroad as both trustworthy and capable of delivering a restorative travel experience.</w:t>
      </w:r>
    </w:p>
    <w:p w14:paraId="35593307" w14:textId="2FF0835E" w:rsidR="005B5A8A" w:rsidRPr="007844EE" w:rsidRDefault="00986ECB" w:rsidP="005B5A8A">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Yet Americans knew that the Exhibition of 1884–1885 was, as Strawn admitted, “not a financial success.” Yet she presented it as important because it proved that domestic products of each state were needed by other states. “Not in vain did Illinois prove that her reapers and her plows could make the fields of the South a garden, that she possessed more miles of railway than any other State in the Union.” The “New Exposition” would allow the United States to send Central and South America “the comforts and luxuries of civilized life, and in return take from them their wealth of raw material,” she explained</w:t>
      </w:r>
      <w:r w:rsidR="00D5128F">
        <w:rPr>
          <w:rFonts w:ascii="Times New Roman" w:eastAsia="Times New Roman" w:hAnsi="Times New Roman" w:cs="Times New Roman"/>
        </w:rPr>
        <w:t>.</w:t>
      </w:r>
      <w:r w:rsidR="00091413" w:rsidRPr="007844EE">
        <w:rPr>
          <w:rStyle w:val="FootnoteReference"/>
          <w:rFonts w:ascii="Times New Roman" w:eastAsia="Times New Roman" w:hAnsi="Times New Roman" w:cs="Times New Roman"/>
        </w:rPr>
        <w:footnoteReference w:id="23"/>
      </w:r>
      <w:r w:rsidR="00D5128F">
        <w:rPr>
          <w:rFonts w:ascii="Times New Roman" w:eastAsia="Times New Roman" w:hAnsi="Times New Roman" w:cs="Times New Roman"/>
        </w:rPr>
        <w:t xml:space="preserve"> </w:t>
      </w:r>
      <w:r w:rsidRPr="007844EE">
        <w:rPr>
          <w:rFonts w:ascii="Times New Roman" w:eastAsia="Times New Roman" w:hAnsi="Times New Roman" w:cs="Times New Roman"/>
        </w:rPr>
        <w:t xml:space="preserve">It was a logical step in trade to find foreign markets for domestic goods. And the goal was to do it through the port of New Orleans, reached </w:t>
      </w:r>
      <w:r w:rsidRPr="007844EE">
        <w:rPr>
          <w:rFonts w:ascii="Times New Roman" w:eastAsia="Times New Roman" w:hAnsi="Times New Roman" w:cs="Times New Roman"/>
        </w:rPr>
        <w:lastRenderedPageBreak/>
        <w:t>through the Illinois Central Railroad. Promotional materials emphasized the potential economic relationship between American manufacturing and markets in Mexico and South America, which would be linked through New Orleans. According to the exposition</w:t>
      </w:r>
      <w:r w:rsidR="005B5A8A" w:rsidRPr="007844EE">
        <w:rPr>
          <w:rFonts w:ascii="Times New Roman" w:eastAsia="Times New Roman" w:hAnsi="Times New Roman" w:cs="Times New Roman"/>
        </w:rPr>
        <w:t xml:space="preserve"> advertisers, the display of American goods demonstrated “how easily she can supply 48,000,000 of people in Mexico, South and Central America, and the West Indies with the comforts and luxuries of civilized life.” In the exchange, the United States would gain access to more wealth and materials. The advertisers also argued that South American goods entering Europe should instead enter the United States. They noted that approximately $710,000,000 in commerce moved to England, France, and Germany, and questioned why “this great plum of commerce” should be “tossed into the hands of distant cousins on a foreign shore instead of falling into the lap of a sister republic on American soil.”</w:t>
      </w:r>
      <w:r w:rsidR="00BF0461">
        <w:rPr>
          <w:rStyle w:val="FootnoteReference"/>
          <w:rFonts w:ascii="Times New Roman" w:eastAsia="Times New Roman" w:hAnsi="Times New Roman" w:cs="Times New Roman"/>
        </w:rPr>
        <w:footnoteReference w:id="24"/>
      </w:r>
      <w:r w:rsidR="005B5A8A" w:rsidRPr="007844EE">
        <w:rPr>
          <w:rFonts w:ascii="Times New Roman" w:eastAsia="Times New Roman" w:hAnsi="Times New Roman" w:cs="Times New Roman"/>
        </w:rPr>
        <w:t xml:space="preserve"> The exposition was presented as an opportunity for New Orleans and the rest of the United States to gain trade and grow wealth.</w:t>
      </w:r>
    </w:p>
    <w:p w14:paraId="2D408BBE" w14:textId="524D38AE" w:rsidR="003B2C6F" w:rsidRPr="007844EE" w:rsidRDefault="005B5A8A" w:rsidP="003B2C6F">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The appeal to travel to New Orleans was directed toward middle-class and upper-class Americans, who were encouraged to spend weeks within the southern city. Promotional material recommended that visitors stay for weeks or rent by the month. It highlighted the affordability of visiting New Orleans during the winter and spring Exposition months and attempted to reassure potential travelers that a comfortable stay in the city would not require excessive expense. According to the pamphlet, “from $30 to $40 per month will usually command a prettily furnished room in a good quarter of the city,” while “from $18 to $20 and $25 will secure a comfortable room with less pretensions to style.”</w:t>
      </w:r>
      <w:r w:rsidR="00C72C61">
        <w:rPr>
          <w:rStyle w:val="FootnoteReference"/>
          <w:rFonts w:ascii="Times New Roman" w:eastAsia="Times New Roman" w:hAnsi="Times New Roman" w:cs="Times New Roman"/>
        </w:rPr>
        <w:footnoteReference w:id="25"/>
      </w:r>
      <w:r w:rsidRPr="007844EE">
        <w:rPr>
          <w:rFonts w:ascii="Times New Roman" w:eastAsia="Times New Roman" w:hAnsi="Times New Roman" w:cs="Times New Roman"/>
        </w:rPr>
        <w:t xml:space="preserve"> These descriptions suggested that visitors with more modest means could still find suitable accommodations while attending the event. </w:t>
      </w:r>
      <w:r w:rsidRPr="007844EE">
        <w:rPr>
          <w:rFonts w:ascii="Times New Roman" w:eastAsia="Times New Roman" w:hAnsi="Times New Roman" w:cs="Times New Roman"/>
        </w:rPr>
        <w:lastRenderedPageBreak/>
        <w:t>Travelers could enjoy the city and the Exposition according to their means and would not be taken advantage of</w:t>
      </w:r>
      <w:r w:rsidR="0022640C" w:rsidRPr="007844EE">
        <w:rPr>
          <w:rStyle w:val="FootnoteReference"/>
          <w:rFonts w:ascii="Times New Roman" w:eastAsia="Times New Roman" w:hAnsi="Times New Roman" w:cs="Times New Roman"/>
        </w:rPr>
        <w:footnoteReference w:id="26"/>
      </w:r>
      <w:r w:rsidRPr="007844EE">
        <w:rPr>
          <w:rFonts w:ascii="Times New Roman" w:eastAsia="Times New Roman" w:hAnsi="Times New Roman" w:cs="Times New Roman"/>
        </w:rPr>
        <w:t xml:space="preserve">. By presenting lodging and daily expenses as relatively inexpensive, the promotional material attempted to convince </w:t>
      </w:r>
      <w:proofErr w:type="gramStart"/>
      <w:r w:rsidRPr="007844EE">
        <w:rPr>
          <w:rFonts w:ascii="Times New Roman" w:eastAsia="Times New Roman" w:hAnsi="Times New Roman" w:cs="Times New Roman"/>
        </w:rPr>
        <w:t>middle and upper class</w:t>
      </w:r>
      <w:proofErr w:type="gramEnd"/>
      <w:r w:rsidRPr="007844EE">
        <w:rPr>
          <w:rFonts w:ascii="Times New Roman" w:eastAsia="Times New Roman" w:hAnsi="Times New Roman" w:cs="Times New Roman"/>
        </w:rPr>
        <w:t xml:space="preserve"> northerners</w:t>
      </w:r>
      <w:r w:rsidR="003B2C6F" w:rsidRPr="007844EE">
        <w:rPr>
          <w:rFonts w:ascii="Times New Roman" w:eastAsia="Times New Roman" w:hAnsi="Times New Roman" w:cs="Times New Roman"/>
        </w:rPr>
        <w:t xml:space="preserve"> that they could vacation in the southern city, experience the attractions of New Orleans and the Exposition and attend the exposition while living comfortably at a modest cost.</w:t>
      </w:r>
    </w:p>
    <w:p w14:paraId="6D909631" w14:textId="4E0CF626" w:rsidR="00920248" w:rsidRPr="007844EE" w:rsidRDefault="003B2C6F" w:rsidP="00920248">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There is an attempt to classify New Orleans as an exotic destination by adding the false imagined romance of the Old South, erasing slavery, and revising it within the Lost Cause mythology. By doing so, Strawn made New Orleans a safe and desirable travel destination. The pamphlet describes the city using images of heroic figures who also represent the ideals of the “New South.” Strawn wrote that “New Orleans has an odd, but most commendable, fashion of setting up the statues of her heroes, where the feet of the toiling thousands will pass them every hour.”</w:t>
      </w:r>
      <w:r w:rsidR="0086229C">
        <w:rPr>
          <w:rStyle w:val="FootnoteReference"/>
          <w:rFonts w:ascii="Times New Roman" w:eastAsia="Times New Roman" w:hAnsi="Times New Roman" w:cs="Times New Roman"/>
        </w:rPr>
        <w:footnoteReference w:id="27"/>
      </w:r>
      <w:r w:rsidRPr="007844EE">
        <w:rPr>
          <w:rFonts w:ascii="Times New Roman" w:eastAsia="Times New Roman" w:hAnsi="Times New Roman" w:cs="Times New Roman"/>
        </w:rPr>
        <w:t xml:space="preserve"> She described Henry Clay standing “in the rush and whirl of Canal Street,” while Robert E. Lee watched “from far above the city’s spires” as people walked on St. Charles Street. These descriptions highlight the statues of southern heroes signaled the acceptance of the New South’s unapologetic romance for the white superiority of the slaveowners of the Old South. But it was </w:t>
      </w:r>
      <w:r w:rsidR="005F139B" w:rsidRPr="007844EE">
        <w:rPr>
          <w:rFonts w:ascii="Times New Roman" w:eastAsia="Times New Roman" w:hAnsi="Times New Roman" w:cs="Times New Roman"/>
        </w:rPr>
        <w:t>the South</w:t>
      </w:r>
      <w:r w:rsidRPr="007844EE">
        <w:rPr>
          <w:rFonts w:ascii="Times New Roman" w:eastAsia="Times New Roman" w:hAnsi="Times New Roman" w:cs="Times New Roman"/>
        </w:rPr>
        <w:t xml:space="preserve"> that the North had, after all, captured and occupied. “Still in fancy move the phantom fleets of Farragut and Porter over the dark river, still rattles on their sides from hill to hill the iron rain,” she reminds northern readers.</w:t>
      </w:r>
      <w:r w:rsidR="00233E51">
        <w:rPr>
          <w:rStyle w:val="FootnoteReference"/>
          <w:rFonts w:ascii="Times New Roman" w:eastAsia="Times New Roman" w:hAnsi="Times New Roman" w:cs="Times New Roman"/>
        </w:rPr>
        <w:footnoteReference w:id="28"/>
      </w:r>
      <w:r w:rsidRPr="007844EE">
        <w:rPr>
          <w:rFonts w:ascii="Times New Roman" w:eastAsia="Times New Roman" w:hAnsi="Times New Roman" w:cs="Times New Roman"/>
        </w:rPr>
        <w:t xml:space="preserve"> The New Orleans of the Exhibition is an ideal city. Pre-war heroic figures are linked with victorious Union officers. In the telling, Strawn avoids the emancipation of New Orleans’s slaves or the presence of African Americans in the city itself. By ignoring the racial history of the city, by identifying only the “slavery” of the over-worked </w:t>
      </w:r>
      <w:r w:rsidRPr="007844EE">
        <w:rPr>
          <w:rFonts w:ascii="Times New Roman" w:eastAsia="Times New Roman" w:hAnsi="Times New Roman" w:cs="Times New Roman"/>
        </w:rPr>
        <w:lastRenderedPageBreak/>
        <w:t>middle-class northern white, Strawn embraces the New South’s commitment to economic unity and</w:t>
      </w:r>
      <w:r w:rsidR="00EA3F8D" w:rsidRPr="007844EE">
        <w:rPr>
          <w:rFonts w:ascii="Times New Roman" w:eastAsia="Times New Roman" w:hAnsi="Times New Roman" w:cs="Times New Roman"/>
        </w:rPr>
        <w:t xml:space="preserve"> </w:t>
      </w:r>
      <w:r w:rsidR="00920248" w:rsidRPr="007844EE">
        <w:rPr>
          <w:rFonts w:ascii="Times New Roman" w:eastAsia="Times New Roman" w:hAnsi="Times New Roman" w:cs="Times New Roman"/>
        </w:rPr>
        <w:t>white supremacy to attract northern tourists, capital and industry into New Orleans via the Illinois Central Railroad</w:t>
      </w:r>
      <w:r w:rsidR="000C3FAA" w:rsidRPr="007844EE">
        <w:rPr>
          <w:rStyle w:val="FootnoteReference"/>
          <w:rFonts w:ascii="Times New Roman" w:eastAsia="Times New Roman" w:hAnsi="Times New Roman" w:cs="Times New Roman"/>
        </w:rPr>
        <w:footnoteReference w:id="29"/>
      </w:r>
      <w:r w:rsidR="00920248" w:rsidRPr="007844EE">
        <w:rPr>
          <w:rFonts w:ascii="Times New Roman" w:eastAsia="Times New Roman" w:hAnsi="Times New Roman" w:cs="Times New Roman"/>
        </w:rPr>
        <w:t>.</w:t>
      </w:r>
    </w:p>
    <w:p w14:paraId="22BF78FA" w14:textId="3D814BCD" w:rsidR="00920248" w:rsidRPr="007844EE" w:rsidRDefault="00920248" w:rsidP="00920248">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Northerners will find, the author explained, that the South was not very different from the north. There was in Memphis a “not-to-be-mistaken air of Chicago activity, and the feeling grows.” The pamphlet also emphasizes that Memphis is no longer subject to yellow fever because it now has sanitation. The pamphlet notes that “Memphis took to heart the terrible lessons of 1879 and 1878. Her streets are swept and garnished in a way that should satisfy the most fastidious advocate of city cleanliness.”</w:t>
      </w:r>
      <w:r w:rsidR="00900EC1">
        <w:rPr>
          <w:rStyle w:val="FootnoteReference"/>
          <w:rFonts w:ascii="Times New Roman" w:eastAsia="Times New Roman" w:hAnsi="Times New Roman" w:cs="Times New Roman"/>
        </w:rPr>
        <w:footnoteReference w:id="30"/>
      </w:r>
      <w:r w:rsidRPr="007844EE">
        <w:rPr>
          <w:rFonts w:ascii="Times New Roman" w:eastAsia="Times New Roman" w:hAnsi="Times New Roman" w:cs="Times New Roman"/>
        </w:rPr>
        <w:t xml:space="preserve"> Like New Orleans, the city is now clean and orderly and safe. The pamphlet uses other cities along the Illinois Central way to frame New Orleans as the epicenter of a gentile yet capitalist, growing southern economy. Cities along the way were well maintained and sat on “high clay bluffs and rolling hills” overlooking the Mississippi River.</w:t>
      </w:r>
      <w:r w:rsidR="006346ED">
        <w:rPr>
          <w:rStyle w:val="FootnoteReference"/>
          <w:rFonts w:ascii="Times New Roman" w:eastAsia="Times New Roman" w:hAnsi="Times New Roman" w:cs="Times New Roman"/>
        </w:rPr>
        <w:footnoteReference w:id="31"/>
      </w:r>
      <w:r w:rsidRPr="007844EE">
        <w:rPr>
          <w:rFonts w:ascii="Times New Roman" w:eastAsia="Times New Roman" w:hAnsi="Times New Roman" w:cs="Times New Roman"/>
        </w:rPr>
        <w:t xml:space="preserve"> Lydia Strawn, the railroad management and the Exhibition investors recognized that northerners had to be convinced that New Orleans was safe, sanitary, and open for both investment and tourism</w:t>
      </w:r>
      <w:r w:rsidR="00313FF5" w:rsidRPr="007844EE">
        <w:rPr>
          <w:rStyle w:val="FootnoteReference"/>
          <w:rFonts w:ascii="Times New Roman" w:eastAsia="Times New Roman" w:hAnsi="Times New Roman" w:cs="Times New Roman"/>
        </w:rPr>
        <w:footnoteReference w:id="32"/>
      </w:r>
      <w:r w:rsidRPr="007844EE">
        <w:rPr>
          <w:rFonts w:ascii="Times New Roman" w:eastAsia="Times New Roman" w:hAnsi="Times New Roman" w:cs="Times New Roman"/>
        </w:rPr>
        <w:t>.</w:t>
      </w:r>
    </w:p>
    <w:p w14:paraId="585BB1B0" w14:textId="40C3FF1A" w:rsidR="00B30039" w:rsidRPr="007844EE" w:rsidRDefault="00920248" w:rsidP="00B30039">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Advertising for the North, Central and South American Exhibition across the national press emphasized the potential for economic growth and prosperity in New Orleans and its integration into the economy. Boosters thought the Exhibition could be all things to all people. It would increase tourism for New Orleans, create new markets for American manufacturing in</w:t>
      </w:r>
      <w:r w:rsidR="00B30039" w:rsidRPr="007844EE">
        <w:rPr>
          <w:rFonts w:ascii="Times New Roman" w:eastAsia="Times New Roman" w:hAnsi="Times New Roman" w:cs="Times New Roman"/>
        </w:rPr>
        <w:t xml:space="preserve"> Central and South America by exporting through the city; it would emphasize the continuity of </w:t>
      </w:r>
      <w:r w:rsidR="00B30039" w:rsidRPr="007844EE">
        <w:rPr>
          <w:rFonts w:ascii="Times New Roman" w:eastAsia="Times New Roman" w:hAnsi="Times New Roman" w:cs="Times New Roman"/>
        </w:rPr>
        <w:lastRenderedPageBreak/>
        <w:t>ethnic and racial distinctions and strengthen segregation. Like Strawn’s “Exhortation,” newspaper advertisements and editorials attempted to attract visitors from the north by highlighting the access to transportation as well as the economic importance of the exposition. In Manchester, Iowa, railroad agents advertised that the Illinois Central would offer round trip tickets “good to return within forty days, at a very low rate, and as this line is without question the shortest, quickest, smoothest and safest route to New Orleans, parties visiting the Exposition should see their tickets read via this line.</w:t>
      </w:r>
      <w:r w:rsidR="00E06BF9">
        <w:rPr>
          <w:rFonts w:ascii="Times New Roman" w:eastAsia="Times New Roman" w:hAnsi="Times New Roman" w:cs="Times New Roman"/>
        </w:rPr>
        <w:t>”</w:t>
      </w:r>
      <w:r w:rsidR="00353B98" w:rsidRPr="007844EE">
        <w:rPr>
          <w:rStyle w:val="FootnoteReference"/>
          <w:rFonts w:ascii="Times New Roman" w:eastAsia="Times New Roman" w:hAnsi="Times New Roman" w:cs="Times New Roman"/>
        </w:rPr>
        <w:footnoteReference w:id="33"/>
      </w:r>
      <w:r w:rsidR="00B30039" w:rsidRPr="007844EE">
        <w:rPr>
          <w:rFonts w:ascii="Times New Roman" w:eastAsia="Times New Roman" w:hAnsi="Times New Roman" w:cs="Times New Roman"/>
        </w:rPr>
        <w:t xml:space="preserve"> In Champaign, Illinois the Illinois Central advertised a “Teachers’ Holiday Excursion to New Orleans” for December 22 that would include “passing through the finest rice and sugar plantations of the South, and other attractions provided especially for this Teacher’s Excursion.”</w:t>
      </w:r>
      <w:r w:rsidR="005E6060">
        <w:rPr>
          <w:rStyle w:val="FootnoteReference"/>
          <w:rFonts w:ascii="Times New Roman" w:eastAsia="Times New Roman" w:hAnsi="Times New Roman" w:cs="Times New Roman"/>
        </w:rPr>
        <w:footnoteReference w:id="34"/>
      </w:r>
      <w:r w:rsidR="005E6060">
        <w:rPr>
          <w:rFonts w:ascii="Times New Roman" w:eastAsia="Times New Roman" w:hAnsi="Times New Roman" w:cs="Times New Roman"/>
        </w:rPr>
        <w:t xml:space="preserve"> </w:t>
      </w:r>
      <w:r w:rsidR="00B30039" w:rsidRPr="007844EE">
        <w:rPr>
          <w:rFonts w:ascii="Times New Roman" w:eastAsia="Times New Roman" w:hAnsi="Times New Roman" w:cs="Times New Roman"/>
        </w:rPr>
        <w:t xml:space="preserve">The same type of promotions took place in other cities. The </w:t>
      </w:r>
      <w:r w:rsidR="00B30039" w:rsidRPr="007844EE">
        <w:rPr>
          <w:rFonts w:ascii="Times New Roman" w:eastAsia="Times New Roman" w:hAnsi="Times New Roman" w:cs="Times New Roman"/>
          <w:i/>
          <w:iCs/>
        </w:rPr>
        <w:t>Butte Montana Miner</w:t>
      </w:r>
      <w:r w:rsidR="00B30039" w:rsidRPr="007844EE">
        <w:rPr>
          <w:rFonts w:ascii="Times New Roman" w:eastAsia="Times New Roman" w:hAnsi="Times New Roman" w:cs="Times New Roman"/>
        </w:rPr>
        <w:t xml:space="preserve"> carried notice that an Exhibition “Bureau of Information” was established to help promote the fair, including hiring an expert on “Spanish American subjects” in Washington, D.C. This reflected the broader goal of expanding trade between the United States and Latin America through New Orleans</w:t>
      </w:r>
      <w:r w:rsidR="000A0920" w:rsidRPr="007844EE">
        <w:rPr>
          <w:rStyle w:val="FootnoteReference"/>
          <w:rFonts w:ascii="Times New Roman" w:eastAsia="Times New Roman" w:hAnsi="Times New Roman" w:cs="Times New Roman"/>
        </w:rPr>
        <w:footnoteReference w:id="35"/>
      </w:r>
      <w:r w:rsidR="00B30039" w:rsidRPr="007844EE">
        <w:rPr>
          <w:rFonts w:ascii="Times New Roman" w:eastAsia="Times New Roman" w:hAnsi="Times New Roman" w:cs="Times New Roman"/>
        </w:rPr>
        <w:t>.</w:t>
      </w:r>
    </w:p>
    <w:p w14:paraId="49B54AE8" w14:textId="2596E481" w:rsidR="00A546BA" w:rsidRPr="007844EE" w:rsidRDefault="00B30039" w:rsidP="00A546BA">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 xml:space="preserve">Exposition promotions also promised that Central and South America represented alternative markets for struggling economic sectors that the Exhibition would promote. Reporting from the exposition emphasized the possibility of the United States expanding commercial relationships. According to statements from </w:t>
      </w:r>
      <w:r w:rsidR="00756244">
        <w:rPr>
          <w:rFonts w:ascii="Times New Roman" w:eastAsia="Times New Roman" w:hAnsi="Times New Roman" w:cs="Times New Roman"/>
        </w:rPr>
        <w:t>McConnico</w:t>
      </w:r>
      <w:r w:rsidRPr="007844EE">
        <w:rPr>
          <w:rFonts w:ascii="Times New Roman" w:eastAsia="Times New Roman" w:hAnsi="Times New Roman" w:cs="Times New Roman"/>
        </w:rPr>
        <w:t>, a commissioner traveled to Great Britain to warn British officials they might be “losing their valuable trade with Spanish or Portuguese America.</w:t>
      </w:r>
      <w:r w:rsidR="00413E1D">
        <w:rPr>
          <w:rFonts w:ascii="Times New Roman" w:eastAsia="Times New Roman" w:hAnsi="Times New Roman" w:cs="Times New Roman"/>
        </w:rPr>
        <w:t>”</w:t>
      </w:r>
      <w:r w:rsidR="00F15F4F" w:rsidRPr="007844EE">
        <w:rPr>
          <w:rStyle w:val="FootnoteReference"/>
          <w:rFonts w:ascii="Times New Roman" w:eastAsia="Times New Roman" w:hAnsi="Times New Roman" w:cs="Times New Roman"/>
        </w:rPr>
        <w:footnoteReference w:id="36"/>
      </w:r>
      <w:r w:rsidRPr="007844EE">
        <w:rPr>
          <w:rFonts w:ascii="Times New Roman" w:eastAsia="Times New Roman" w:hAnsi="Times New Roman" w:cs="Times New Roman"/>
        </w:rPr>
        <w:t xml:space="preserve"> The exposition was framed as an effort to redirect commerce towards the </w:t>
      </w:r>
      <w:r w:rsidRPr="007844EE">
        <w:rPr>
          <w:rFonts w:ascii="Times New Roman" w:eastAsia="Times New Roman" w:hAnsi="Times New Roman" w:cs="Times New Roman"/>
        </w:rPr>
        <w:lastRenderedPageBreak/>
        <w:t>United States away from Europe. In New England, a newspaper</w:t>
      </w:r>
      <w:r w:rsidR="00A546BA" w:rsidRPr="007844EE">
        <w:rPr>
          <w:rFonts w:ascii="Times New Roman" w:eastAsia="Times New Roman" w:hAnsi="Times New Roman" w:cs="Times New Roman"/>
        </w:rPr>
        <w:t xml:space="preserve"> editor wrote that only 2 percent of the region’s manufacturing goes abroad. “We cannot find relief in Europe, as her markets are overstocked with manufactured goods; our relief must come from the non-manufacturing countries of Spanish and Portuguese America.</w:t>
      </w:r>
      <w:r w:rsidR="00413E1D">
        <w:rPr>
          <w:rFonts w:ascii="Times New Roman" w:eastAsia="Times New Roman" w:hAnsi="Times New Roman" w:cs="Times New Roman"/>
        </w:rPr>
        <w:t>”</w:t>
      </w:r>
      <w:r w:rsidR="00A25AD7" w:rsidRPr="007844EE">
        <w:rPr>
          <w:rStyle w:val="FootnoteReference"/>
          <w:rFonts w:ascii="Times New Roman" w:eastAsia="Times New Roman" w:hAnsi="Times New Roman" w:cs="Times New Roman"/>
        </w:rPr>
        <w:footnoteReference w:id="37"/>
      </w:r>
      <w:r w:rsidR="00A546BA" w:rsidRPr="007844EE">
        <w:rPr>
          <w:rFonts w:ascii="Times New Roman" w:eastAsia="Times New Roman" w:hAnsi="Times New Roman" w:cs="Times New Roman"/>
        </w:rPr>
        <w:t xml:space="preserve"> These discussions portrayed the exposition as an opportunity to expand American exports and develop new trade networks within Latin America.</w:t>
      </w:r>
    </w:p>
    <w:p w14:paraId="4D877609" w14:textId="3FD8E353" w:rsidR="0014065D" w:rsidRPr="007844EE" w:rsidRDefault="00A546BA" w:rsidP="0014065D">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New Orleans residents were careful to represent ethnic and racial distinctions and press coverage surrounding the exposition promoted specific histories and segregated participation for visitors. In August 1885, Mrs. Eugene Soniat published a public letter promoting “the French and Spanish ancestry” for a “Creole Exhibit to be composed of such articles as will represent Louisiana in the fairest light to the world beyond its borders.”</w:t>
      </w:r>
      <w:r w:rsidR="009D20AF">
        <w:rPr>
          <w:rStyle w:val="FootnoteReference"/>
          <w:rFonts w:ascii="Times New Roman" w:eastAsia="Times New Roman" w:hAnsi="Times New Roman" w:cs="Times New Roman"/>
        </w:rPr>
        <w:footnoteReference w:id="38"/>
      </w:r>
      <w:r w:rsidRPr="007844EE">
        <w:rPr>
          <w:rFonts w:ascii="Times New Roman" w:eastAsia="Times New Roman" w:hAnsi="Times New Roman" w:cs="Times New Roman"/>
        </w:rPr>
        <w:t xml:space="preserve"> She proposed that the exhibit be composed of objects that would present the state “in the fairest light to the world beyond its borders,” and asked that contributions be sent either to her residence at 478 Baronne Street or to the Ladies Office at 72 St. Charles Street.</w:t>
      </w:r>
      <w:r w:rsidR="00BC3DE8">
        <w:rPr>
          <w:rStyle w:val="FootnoteReference"/>
          <w:rFonts w:ascii="Times New Roman" w:eastAsia="Times New Roman" w:hAnsi="Times New Roman" w:cs="Times New Roman"/>
        </w:rPr>
        <w:footnoteReference w:id="39"/>
      </w:r>
      <w:r w:rsidRPr="007844EE">
        <w:rPr>
          <w:rFonts w:ascii="Times New Roman" w:eastAsia="Times New Roman" w:hAnsi="Times New Roman" w:cs="Times New Roman"/>
        </w:rPr>
        <w:t xml:space="preserve"> Other officials viewed the exposition as an opportunity to shape the demographic </w:t>
      </w:r>
      <w:proofErr w:type="spellStart"/>
      <w:r w:rsidRPr="007844EE">
        <w:rPr>
          <w:rFonts w:ascii="Times New Roman" w:eastAsia="Times New Roman" w:hAnsi="Times New Roman" w:cs="Times New Roman"/>
        </w:rPr>
        <w:t>make up</w:t>
      </w:r>
      <w:proofErr w:type="spellEnd"/>
      <w:r w:rsidRPr="007844EE">
        <w:rPr>
          <w:rFonts w:ascii="Times New Roman" w:eastAsia="Times New Roman" w:hAnsi="Times New Roman" w:cs="Times New Roman"/>
        </w:rPr>
        <w:t xml:space="preserve"> of the region. Mr. William Harris, the Louisiana State Bureau of Immigration Commissioner, suggested landowners offer forty-acre tracts to immigrants who would get handbooks at the exhibition in “English, French and German.” African American leaders also sought to participate in the event while acknowledging the racial structure of the exposition. On September 1, 1885 the Colored Auxiliary Association of the Exposition reported to President </w:t>
      </w:r>
      <w:r w:rsidR="00756244">
        <w:rPr>
          <w:rFonts w:ascii="Times New Roman" w:eastAsia="Times New Roman" w:hAnsi="Times New Roman" w:cs="Times New Roman"/>
        </w:rPr>
        <w:t>McConnico</w:t>
      </w:r>
      <w:r w:rsidRPr="007844EE">
        <w:rPr>
          <w:rFonts w:ascii="Times New Roman" w:eastAsia="Times New Roman" w:hAnsi="Times New Roman" w:cs="Times New Roman"/>
        </w:rPr>
        <w:t xml:space="preserve"> that they were “desirous of furthering the present </w:t>
      </w:r>
      <w:r w:rsidRPr="007844EE">
        <w:rPr>
          <w:rFonts w:ascii="Times New Roman" w:eastAsia="Times New Roman" w:hAnsi="Times New Roman" w:cs="Times New Roman"/>
        </w:rPr>
        <w:lastRenderedPageBreak/>
        <w:t>enterprise to a satisfactory degree of prosperity in the same laudable mission” as the white organizers.</w:t>
      </w:r>
      <w:r w:rsidR="0011377E" w:rsidRPr="0011377E">
        <w:rPr>
          <w:rStyle w:val="FootnoteReference"/>
          <w:rFonts w:ascii="Times New Roman" w:eastAsia="Times New Roman" w:hAnsi="Times New Roman" w:cs="Times New Roman"/>
        </w:rPr>
        <w:t xml:space="preserve"> </w:t>
      </w:r>
      <w:r w:rsidR="0011377E">
        <w:rPr>
          <w:rStyle w:val="FootnoteReference"/>
          <w:rFonts w:ascii="Times New Roman" w:eastAsia="Times New Roman" w:hAnsi="Times New Roman" w:cs="Times New Roman"/>
        </w:rPr>
        <w:footnoteReference w:id="40"/>
      </w:r>
      <w:r w:rsidR="0011377E" w:rsidRPr="007844EE">
        <w:rPr>
          <w:rFonts w:ascii="Times New Roman" w:eastAsia="Times New Roman" w:hAnsi="Times New Roman" w:cs="Times New Roman"/>
        </w:rPr>
        <w:t xml:space="preserve"> </w:t>
      </w:r>
      <w:r w:rsidRPr="007844EE">
        <w:rPr>
          <w:rFonts w:ascii="Times New Roman" w:eastAsia="Times New Roman" w:hAnsi="Times New Roman" w:cs="Times New Roman"/>
        </w:rPr>
        <w:t>The Colored Auxiliary suggested that the Commissioners employ “representative colored men” as agents to travel on the railroad around the state to generate interest.</w:t>
      </w:r>
      <w:r w:rsidR="00863633">
        <w:rPr>
          <w:rStyle w:val="FootnoteReference"/>
          <w:rFonts w:ascii="Times New Roman" w:eastAsia="Times New Roman" w:hAnsi="Times New Roman" w:cs="Times New Roman"/>
        </w:rPr>
        <w:footnoteReference w:id="41"/>
      </w:r>
      <w:r w:rsidRPr="007844EE">
        <w:rPr>
          <w:rFonts w:ascii="Times New Roman" w:eastAsia="Times New Roman" w:hAnsi="Times New Roman" w:cs="Times New Roman"/>
        </w:rPr>
        <w:t xml:space="preserve"> They also asked that Emancipation Day on January 1 be “set apart for the colored people’s day at the Exposition</w:t>
      </w:r>
      <w:r w:rsidR="0014065D" w:rsidRPr="007844EE">
        <w:rPr>
          <w:rFonts w:ascii="Times New Roman" w:eastAsia="Times New Roman" w:hAnsi="Times New Roman" w:cs="Times New Roman"/>
        </w:rPr>
        <w:t>,</w:t>
      </w:r>
      <w:r w:rsidRPr="007844EE">
        <w:rPr>
          <w:rFonts w:ascii="Times New Roman" w:eastAsia="Times New Roman" w:hAnsi="Times New Roman" w:cs="Times New Roman"/>
        </w:rPr>
        <w:t>”</w:t>
      </w:r>
      <w:r w:rsidR="0014065D" w:rsidRPr="007844EE">
        <w:rPr>
          <w:rFonts w:ascii="Times New Roman" w:eastAsia="Times New Roman" w:hAnsi="Times New Roman" w:cs="Times New Roman"/>
        </w:rPr>
        <w:t xml:space="preserve"> reflecting the importance of historical memory of the Emancipation Proclamation for the African American community in the city. </w:t>
      </w:r>
      <w:proofErr w:type="gramStart"/>
      <w:r w:rsidR="0014065D" w:rsidRPr="007844EE">
        <w:rPr>
          <w:rFonts w:ascii="Times New Roman" w:eastAsia="Times New Roman" w:hAnsi="Times New Roman" w:cs="Times New Roman"/>
        </w:rPr>
        <w:t>With the exception of</w:t>
      </w:r>
      <w:proofErr w:type="gramEnd"/>
      <w:r w:rsidR="0014065D" w:rsidRPr="007844EE">
        <w:rPr>
          <w:rFonts w:ascii="Times New Roman" w:eastAsia="Times New Roman" w:hAnsi="Times New Roman" w:cs="Times New Roman"/>
        </w:rPr>
        <w:t xml:space="preserve"> asking that African American civic and military organizations be able to participate in national celebrations, the Auxiliary affirmed segregation</w:t>
      </w:r>
      <w:r w:rsidR="00E526E7" w:rsidRPr="007844EE">
        <w:rPr>
          <w:rStyle w:val="FootnoteReference"/>
          <w:rFonts w:ascii="Times New Roman" w:eastAsia="Times New Roman" w:hAnsi="Times New Roman" w:cs="Times New Roman"/>
        </w:rPr>
        <w:footnoteReference w:id="42"/>
      </w:r>
      <w:r w:rsidR="0014065D" w:rsidRPr="007844EE">
        <w:rPr>
          <w:rFonts w:ascii="Times New Roman" w:eastAsia="Times New Roman" w:hAnsi="Times New Roman" w:cs="Times New Roman"/>
        </w:rPr>
        <w:t>.</w:t>
      </w:r>
    </w:p>
    <w:p w14:paraId="60C80425" w14:textId="77777777" w:rsidR="0014065D" w:rsidRPr="007844EE" w:rsidRDefault="0014065D" w:rsidP="0014065D">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The North, Central and South American Exposition in the winter of 1885–1886 demonstrates that the New South of postwar economic growth and prosperity did not reach New Orleans despite railroad interests and marketing efforts to remake an exposition that would present New Orleans as a new city, open to international trade, on the site of a former plantation in buildings bankrupted from a centennial celebration of cotton harvests.</w:t>
      </w:r>
    </w:p>
    <w:p w14:paraId="7453E737" w14:textId="6F64A584" w:rsidR="0014065D" w:rsidRDefault="0014065D" w:rsidP="0014065D">
      <w:pPr>
        <w:spacing w:line="480" w:lineRule="auto"/>
        <w:ind w:firstLine="720"/>
        <w:rPr>
          <w:rFonts w:ascii="Times New Roman" w:eastAsia="Times New Roman" w:hAnsi="Times New Roman" w:cs="Times New Roman"/>
        </w:rPr>
      </w:pPr>
      <w:r w:rsidRPr="007844EE">
        <w:rPr>
          <w:rFonts w:ascii="Times New Roman" w:eastAsia="Times New Roman" w:hAnsi="Times New Roman" w:cs="Times New Roman"/>
        </w:rPr>
        <w:t xml:space="preserve">The Illinois Central Railroad’s direct advertising and the board’s efforts to promote the event in newspapers across the nation were ineffective. In New Orleans, the promise of the New South failed to materialize. The Exposition of 1885–1886, like the Cotton Centennial Exposition the year before, went bankrupt. Convenient transportation to the grounds, the city’s troubled economic reputation, and even Illinois Central Railroad promotions did not convince northerners to travel south for vacations or investment in the city. The legend of the Illinois Central and the City of New Orleans would not develop until the twentieth century. In the interim, the railroad </w:t>
      </w:r>
      <w:r w:rsidRPr="007844EE">
        <w:rPr>
          <w:rFonts w:ascii="Times New Roman" w:eastAsia="Times New Roman" w:hAnsi="Times New Roman" w:cs="Times New Roman"/>
        </w:rPr>
        <w:lastRenderedPageBreak/>
        <w:t>would be an avenue of escape for African Americans fleeing poverty, segregation, lynchings, and the discriminatory legal code of Louisiana</w:t>
      </w:r>
      <w:r w:rsidR="00E526E7" w:rsidRPr="007844EE">
        <w:rPr>
          <w:rStyle w:val="FootnoteReference"/>
          <w:rFonts w:ascii="Times New Roman" w:eastAsia="Times New Roman" w:hAnsi="Times New Roman" w:cs="Times New Roman"/>
        </w:rPr>
        <w:footnoteReference w:id="43"/>
      </w:r>
      <w:r w:rsidRPr="007844EE">
        <w:rPr>
          <w:rFonts w:ascii="Times New Roman" w:eastAsia="Times New Roman" w:hAnsi="Times New Roman" w:cs="Times New Roman"/>
        </w:rPr>
        <w:t>. The racism, poverty and segregation sustained by merchant capitalists of New Orleans was strengthened, not remedied, by the North, Central and South American Exposition of 1885–1886.</w:t>
      </w:r>
    </w:p>
    <w:p w14:paraId="2DDCB027" w14:textId="77777777" w:rsidR="00E66368" w:rsidRDefault="00E66368" w:rsidP="00903A76">
      <w:pPr>
        <w:spacing w:line="480" w:lineRule="auto"/>
        <w:jc w:val="center"/>
        <w:rPr>
          <w:rFonts w:ascii="Times New Roman" w:hAnsi="Times New Roman"/>
        </w:rPr>
      </w:pPr>
    </w:p>
    <w:p w14:paraId="76EA3EDD" w14:textId="77777777" w:rsidR="00E66368" w:rsidRDefault="00E66368" w:rsidP="00903A76">
      <w:pPr>
        <w:spacing w:line="480" w:lineRule="auto"/>
        <w:jc w:val="center"/>
        <w:rPr>
          <w:rFonts w:ascii="Times New Roman" w:hAnsi="Times New Roman"/>
        </w:rPr>
      </w:pPr>
    </w:p>
    <w:p w14:paraId="5F564B93" w14:textId="77777777" w:rsidR="00E66368" w:rsidRDefault="00E66368" w:rsidP="00903A76">
      <w:pPr>
        <w:spacing w:line="480" w:lineRule="auto"/>
        <w:jc w:val="center"/>
        <w:rPr>
          <w:rFonts w:ascii="Times New Roman" w:hAnsi="Times New Roman"/>
        </w:rPr>
      </w:pPr>
    </w:p>
    <w:p w14:paraId="2B9AC16D" w14:textId="77777777" w:rsidR="00E66368" w:rsidRDefault="00E66368" w:rsidP="00903A76">
      <w:pPr>
        <w:spacing w:line="480" w:lineRule="auto"/>
        <w:jc w:val="center"/>
        <w:rPr>
          <w:rFonts w:ascii="Times New Roman" w:hAnsi="Times New Roman"/>
        </w:rPr>
      </w:pPr>
    </w:p>
    <w:p w14:paraId="444326C9" w14:textId="77777777" w:rsidR="00E66368" w:rsidRDefault="00E66368" w:rsidP="00903A76">
      <w:pPr>
        <w:spacing w:line="480" w:lineRule="auto"/>
        <w:jc w:val="center"/>
        <w:rPr>
          <w:rFonts w:ascii="Times New Roman" w:hAnsi="Times New Roman"/>
        </w:rPr>
      </w:pPr>
    </w:p>
    <w:p w14:paraId="5E444FE8" w14:textId="77777777" w:rsidR="00E66368" w:rsidRDefault="00E66368" w:rsidP="00903A76">
      <w:pPr>
        <w:spacing w:line="480" w:lineRule="auto"/>
        <w:jc w:val="center"/>
        <w:rPr>
          <w:rFonts w:ascii="Times New Roman" w:hAnsi="Times New Roman"/>
        </w:rPr>
      </w:pPr>
    </w:p>
    <w:p w14:paraId="70D517C6" w14:textId="77777777" w:rsidR="00E66368" w:rsidRDefault="00E66368" w:rsidP="00903A76">
      <w:pPr>
        <w:spacing w:line="480" w:lineRule="auto"/>
        <w:jc w:val="center"/>
        <w:rPr>
          <w:rFonts w:ascii="Times New Roman" w:hAnsi="Times New Roman"/>
        </w:rPr>
      </w:pPr>
    </w:p>
    <w:p w14:paraId="60C37C57" w14:textId="77777777" w:rsidR="00E66368" w:rsidRDefault="00E66368" w:rsidP="00903A76">
      <w:pPr>
        <w:spacing w:line="480" w:lineRule="auto"/>
        <w:jc w:val="center"/>
        <w:rPr>
          <w:rFonts w:ascii="Times New Roman" w:hAnsi="Times New Roman"/>
        </w:rPr>
      </w:pPr>
    </w:p>
    <w:p w14:paraId="1C50CDCD" w14:textId="77777777" w:rsidR="00E66368" w:rsidRDefault="00E66368" w:rsidP="00903A76">
      <w:pPr>
        <w:spacing w:line="480" w:lineRule="auto"/>
        <w:jc w:val="center"/>
        <w:rPr>
          <w:rFonts w:ascii="Times New Roman" w:hAnsi="Times New Roman"/>
        </w:rPr>
      </w:pPr>
    </w:p>
    <w:p w14:paraId="4623BC17" w14:textId="77777777" w:rsidR="00E66368" w:rsidRDefault="00E66368" w:rsidP="00903A76">
      <w:pPr>
        <w:spacing w:line="480" w:lineRule="auto"/>
        <w:jc w:val="center"/>
        <w:rPr>
          <w:rFonts w:ascii="Times New Roman" w:hAnsi="Times New Roman"/>
        </w:rPr>
      </w:pPr>
    </w:p>
    <w:p w14:paraId="12A12DA9" w14:textId="77777777" w:rsidR="00E66368" w:rsidRDefault="00E66368" w:rsidP="00903A76">
      <w:pPr>
        <w:spacing w:line="480" w:lineRule="auto"/>
        <w:jc w:val="center"/>
        <w:rPr>
          <w:rFonts w:ascii="Times New Roman" w:hAnsi="Times New Roman"/>
        </w:rPr>
      </w:pPr>
    </w:p>
    <w:p w14:paraId="4DA22B74" w14:textId="77777777" w:rsidR="00E66368" w:rsidRDefault="00E66368" w:rsidP="00903A76">
      <w:pPr>
        <w:spacing w:line="480" w:lineRule="auto"/>
        <w:jc w:val="center"/>
        <w:rPr>
          <w:rFonts w:ascii="Times New Roman" w:hAnsi="Times New Roman"/>
        </w:rPr>
      </w:pPr>
    </w:p>
    <w:p w14:paraId="33A6D081" w14:textId="77777777" w:rsidR="00E66368" w:rsidRDefault="00E66368" w:rsidP="00903A76">
      <w:pPr>
        <w:spacing w:line="480" w:lineRule="auto"/>
        <w:jc w:val="center"/>
        <w:rPr>
          <w:rFonts w:ascii="Times New Roman" w:hAnsi="Times New Roman"/>
        </w:rPr>
      </w:pPr>
    </w:p>
    <w:p w14:paraId="6C69A024" w14:textId="77777777" w:rsidR="00E66368" w:rsidRDefault="00E66368" w:rsidP="0031225C">
      <w:pPr>
        <w:spacing w:line="480" w:lineRule="auto"/>
        <w:rPr>
          <w:rFonts w:ascii="Times New Roman" w:hAnsi="Times New Roman"/>
        </w:rPr>
      </w:pPr>
    </w:p>
    <w:p w14:paraId="5058B805" w14:textId="2B31794B" w:rsidR="00E94387" w:rsidRPr="007844EE" w:rsidRDefault="00E94387" w:rsidP="00903A76">
      <w:pPr>
        <w:spacing w:line="480" w:lineRule="auto"/>
        <w:jc w:val="center"/>
        <w:rPr>
          <w:rFonts w:ascii="Times New Roman" w:hAnsi="Times New Roman"/>
        </w:rPr>
      </w:pPr>
      <w:r w:rsidRPr="007844EE">
        <w:rPr>
          <w:rFonts w:ascii="Times New Roman" w:hAnsi="Times New Roman"/>
        </w:rPr>
        <w:lastRenderedPageBreak/>
        <w:t>Bibliography</w:t>
      </w:r>
    </w:p>
    <w:p w14:paraId="097DE9A3" w14:textId="2F07912A" w:rsidR="00195DDC" w:rsidRPr="007844EE" w:rsidRDefault="00195DDC" w:rsidP="00903A76">
      <w:pPr>
        <w:spacing w:line="480" w:lineRule="auto"/>
        <w:jc w:val="center"/>
        <w:rPr>
          <w:rFonts w:ascii="Times New Roman" w:hAnsi="Times New Roman"/>
          <w:i/>
          <w:iCs/>
        </w:rPr>
      </w:pPr>
      <w:r w:rsidRPr="007844EE">
        <w:rPr>
          <w:rFonts w:ascii="Times New Roman" w:hAnsi="Times New Roman"/>
          <w:i/>
          <w:iCs/>
        </w:rPr>
        <w:t>Primary Sources</w:t>
      </w:r>
    </w:p>
    <w:p w14:paraId="3E78C731" w14:textId="5C644427" w:rsidR="00195DDC" w:rsidRPr="007844EE" w:rsidRDefault="00195DDC" w:rsidP="00B160A3">
      <w:pPr>
        <w:spacing w:line="480" w:lineRule="auto"/>
        <w:ind w:left="720" w:hanging="720"/>
        <w:rPr>
          <w:rFonts w:ascii="Times New Roman" w:hAnsi="Times New Roman"/>
        </w:rPr>
      </w:pPr>
      <w:r w:rsidRPr="007844EE">
        <w:rPr>
          <w:rFonts w:ascii="Times New Roman" w:hAnsi="Times New Roman"/>
        </w:rPr>
        <w:t xml:space="preserve"> “New England at the North American Exposition,” </w:t>
      </w:r>
      <w:r w:rsidR="00301BFD" w:rsidRPr="007844EE">
        <w:rPr>
          <w:rFonts w:ascii="Times New Roman" w:hAnsi="Times New Roman"/>
          <w:i/>
          <w:iCs/>
        </w:rPr>
        <w:t>Boston Evening Transcript</w:t>
      </w:r>
      <w:r w:rsidR="00301BFD" w:rsidRPr="007844EE">
        <w:rPr>
          <w:rFonts w:ascii="Times New Roman" w:hAnsi="Times New Roman"/>
        </w:rPr>
        <w:t xml:space="preserve">. </w:t>
      </w:r>
      <w:r w:rsidRPr="007844EE">
        <w:rPr>
          <w:rFonts w:ascii="Times New Roman" w:hAnsi="Times New Roman"/>
        </w:rPr>
        <w:t xml:space="preserve">September 19, 1885. </w:t>
      </w:r>
      <w:r w:rsidR="002A4F69" w:rsidRPr="002A4F69">
        <w:rPr>
          <w:rFonts w:ascii="Times New Roman" w:hAnsi="Times New Roman"/>
        </w:rPr>
        <w:t>https://www.newspapers.com/image/735332069/?match=1&amp;terms=New%20England%20at%20the%20North%20American%20Exposition</w:t>
      </w:r>
    </w:p>
    <w:p w14:paraId="3A7E6663" w14:textId="45F6D335" w:rsidR="00195DDC" w:rsidRPr="007844EE" w:rsidRDefault="00195DDC" w:rsidP="00B160A3">
      <w:pPr>
        <w:spacing w:line="480" w:lineRule="auto"/>
        <w:ind w:left="720" w:hanging="720"/>
        <w:rPr>
          <w:rFonts w:ascii="Times New Roman" w:hAnsi="Times New Roman"/>
        </w:rPr>
      </w:pPr>
      <w:r w:rsidRPr="007844EE">
        <w:rPr>
          <w:rFonts w:ascii="Times New Roman" w:hAnsi="Times New Roman"/>
        </w:rPr>
        <w:t xml:space="preserve">Morrison, Andrew, The Industries of New Orleans, Her Rank, Resources, Advantages, Trade, Commerce and Manufactures, Conditions of the Past, Present and Future, Representative Industrial Institutions, Historical, Descriptive, and Statistical. New Orleans, J. M. Elstner &amp; Co, 1885. Internet Archive. </w:t>
      </w:r>
    </w:p>
    <w:p w14:paraId="1E2AB7AA" w14:textId="5BEC00D6" w:rsidR="00195DDC" w:rsidRPr="007844EE" w:rsidRDefault="00195DDC" w:rsidP="00B160A3">
      <w:pPr>
        <w:spacing w:line="480" w:lineRule="auto"/>
        <w:ind w:left="720" w:hanging="720"/>
        <w:rPr>
          <w:rFonts w:ascii="Times New Roman" w:hAnsi="Times New Roman"/>
        </w:rPr>
      </w:pPr>
      <w:r w:rsidRPr="007844EE">
        <w:rPr>
          <w:rFonts w:ascii="Times New Roman" w:hAnsi="Times New Roman"/>
        </w:rPr>
        <w:t xml:space="preserve"> “The Colored Committee to the Board,” </w:t>
      </w:r>
      <w:r w:rsidR="00807B9E" w:rsidRPr="007844EE">
        <w:rPr>
          <w:rFonts w:ascii="Times New Roman" w:hAnsi="Times New Roman"/>
          <w:i/>
          <w:iCs/>
        </w:rPr>
        <w:t>New Orleans Weekly Times-Picayune</w:t>
      </w:r>
      <w:r w:rsidR="00807B9E" w:rsidRPr="007844EE">
        <w:rPr>
          <w:rFonts w:ascii="Times New Roman" w:hAnsi="Times New Roman"/>
        </w:rPr>
        <w:t xml:space="preserve">. </w:t>
      </w:r>
      <w:r w:rsidRPr="007844EE">
        <w:rPr>
          <w:rFonts w:ascii="Times New Roman" w:hAnsi="Times New Roman"/>
        </w:rPr>
        <w:t>September 5, 1885.</w:t>
      </w:r>
      <w:r w:rsidR="00301BFD">
        <w:rPr>
          <w:rFonts w:ascii="Times New Roman" w:hAnsi="Times New Roman"/>
        </w:rPr>
        <w:t xml:space="preserve"> </w:t>
      </w:r>
      <w:r w:rsidR="00301BFD" w:rsidRPr="00301BFD">
        <w:rPr>
          <w:rFonts w:ascii="Times New Roman" w:hAnsi="Times New Roman"/>
        </w:rPr>
        <w:t>https://www.newspapers.com/image/333121836/?match=1&amp;terms=%20%E2%80%9CThe%20Colored%20Committee%20to%20the%20Board%E2%80%9D%20</w:t>
      </w:r>
    </w:p>
    <w:p w14:paraId="67D4A41C" w14:textId="61856B04" w:rsidR="00195DDC" w:rsidRPr="007844EE" w:rsidRDefault="00195DDC" w:rsidP="00495B67">
      <w:pPr>
        <w:spacing w:line="480" w:lineRule="auto"/>
        <w:ind w:left="720" w:hanging="720"/>
        <w:rPr>
          <w:rFonts w:ascii="Times New Roman" w:hAnsi="Times New Roman"/>
        </w:rPr>
      </w:pPr>
      <w:r w:rsidRPr="007844EE">
        <w:rPr>
          <w:rFonts w:ascii="Times New Roman" w:hAnsi="Times New Roman"/>
        </w:rPr>
        <w:t xml:space="preserve"> “Observing Emancipation Day,” </w:t>
      </w:r>
      <w:r w:rsidR="002203D7" w:rsidRPr="007844EE">
        <w:rPr>
          <w:rFonts w:ascii="Times New Roman" w:hAnsi="Times New Roman"/>
          <w:i/>
          <w:iCs/>
        </w:rPr>
        <w:t>New York Times.</w:t>
      </w:r>
      <w:r w:rsidR="002203D7" w:rsidRPr="007844EE">
        <w:rPr>
          <w:rFonts w:ascii="Times New Roman" w:hAnsi="Times New Roman"/>
        </w:rPr>
        <w:t xml:space="preserve"> </w:t>
      </w:r>
      <w:r w:rsidRPr="007844EE">
        <w:rPr>
          <w:rFonts w:ascii="Times New Roman" w:hAnsi="Times New Roman"/>
        </w:rPr>
        <w:t>January 2, 1886.</w:t>
      </w:r>
      <w:r w:rsidR="00495B67">
        <w:rPr>
          <w:rFonts w:ascii="Times New Roman" w:hAnsi="Times New Roman"/>
        </w:rPr>
        <w:t xml:space="preserve"> </w:t>
      </w:r>
      <w:r w:rsidR="00495B67" w:rsidRPr="00495B67">
        <w:rPr>
          <w:rFonts w:ascii="Times New Roman" w:hAnsi="Times New Roman"/>
        </w:rPr>
        <w:t>https://www.newspapers.com/image/20642815/?match=1&amp;terms=Observing%20Emancipation%20day</w:t>
      </w:r>
    </w:p>
    <w:p w14:paraId="63A8BE94" w14:textId="404E4339" w:rsidR="00195DDC" w:rsidRPr="007844EE" w:rsidRDefault="00195DDC" w:rsidP="00007F19">
      <w:pPr>
        <w:spacing w:line="480" w:lineRule="auto"/>
        <w:ind w:left="720" w:hanging="720"/>
        <w:rPr>
          <w:rFonts w:ascii="Times New Roman" w:hAnsi="Times New Roman"/>
        </w:rPr>
      </w:pPr>
      <w:r w:rsidRPr="007844EE">
        <w:rPr>
          <w:rFonts w:ascii="Times New Roman" w:hAnsi="Times New Roman"/>
        </w:rPr>
        <w:t xml:space="preserve"> “The Bankrupt Exposition,” </w:t>
      </w:r>
      <w:r w:rsidR="002203D7" w:rsidRPr="007844EE">
        <w:rPr>
          <w:rFonts w:ascii="Times New Roman" w:hAnsi="Times New Roman"/>
          <w:i/>
          <w:iCs/>
        </w:rPr>
        <w:t>New York Times.</w:t>
      </w:r>
      <w:r w:rsidR="002203D7" w:rsidRPr="007844EE">
        <w:rPr>
          <w:rFonts w:ascii="Times New Roman" w:hAnsi="Times New Roman"/>
        </w:rPr>
        <w:t xml:space="preserve"> </w:t>
      </w:r>
      <w:r w:rsidRPr="007844EE">
        <w:rPr>
          <w:rFonts w:ascii="Times New Roman" w:hAnsi="Times New Roman"/>
        </w:rPr>
        <w:t xml:space="preserve">January 30, 1887. </w:t>
      </w:r>
      <w:r w:rsidR="00007F19" w:rsidRPr="00007F19">
        <w:rPr>
          <w:rFonts w:ascii="Times New Roman" w:hAnsi="Times New Roman"/>
        </w:rPr>
        <w:t>https://www.newspapers.com/image/20404291/?match=1&amp;terms=The%20bankrupt%20exposition</w:t>
      </w:r>
    </w:p>
    <w:p w14:paraId="5BA42FFF" w14:textId="73199A9E" w:rsidR="00195DDC" w:rsidRPr="007844EE" w:rsidRDefault="00195DDC" w:rsidP="00AF7057">
      <w:pPr>
        <w:spacing w:line="480" w:lineRule="auto"/>
        <w:rPr>
          <w:rFonts w:ascii="Times New Roman" w:hAnsi="Times New Roman"/>
        </w:rPr>
      </w:pPr>
      <w:r w:rsidRPr="007844EE">
        <w:rPr>
          <w:rFonts w:ascii="Times New Roman" w:hAnsi="Times New Roman"/>
        </w:rPr>
        <w:t>“The New Orleans Exhibition,”</w:t>
      </w:r>
      <w:r w:rsidR="002203D7">
        <w:rPr>
          <w:rFonts w:ascii="Times New Roman" w:hAnsi="Times New Roman"/>
        </w:rPr>
        <w:t xml:space="preserve"> </w:t>
      </w:r>
      <w:r w:rsidR="002203D7" w:rsidRPr="007844EE">
        <w:rPr>
          <w:rFonts w:ascii="Times New Roman" w:hAnsi="Times New Roman"/>
          <w:i/>
          <w:iCs/>
        </w:rPr>
        <w:t>New York Times.</w:t>
      </w:r>
      <w:r w:rsidR="002203D7" w:rsidRPr="007844EE">
        <w:rPr>
          <w:rFonts w:ascii="Times New Roman" w:hAnsi="Times New Roman"/>
        </w:rPr>
        <w:t xml:space="preserve"> </w:t>
      </w:r>
      <w:r w:rsidRPr="007844EE">
        <w:rPr>
          <w:rFonts w:ascii="Times New Roman" w:hAnsi="Times New Roman"/>
        </w:rPr>
        <w:t xml:space="preserve">June 15, 1885. </w:t>
      </w:r>
    </w:p>
    <w:p w14:paraId="44D2299F" w14:textId="37C26AEA" w:rsidR="00195DDC" w:rsidRDefault="00195DDC" w:rsidP="00807B9E">
      <w:pPr>
        <w:spacing w:line="480" w:lineRule="auto"/>
        <w:ind w:left="720" w:hanging="720"/>
        <w:rPr>
          <w:rFonts w:ascii="Times New Roman" w:hAnsi="Times New Roman"/>
        </w:rPr>
      </w:pPr>
      <w:r w:rsidRPr="007844EE">
        <w:rPr>
          <w:rFonts w:ascii="Times New Roman" w:hAnsi="Times New Roman"/>
        </w:rPr>
        <w:lastRenderedPageBreak/>
        <w:t xml:space="preserve">“To Take in Three Americas,” </w:t>
      </w:r>
      <w:r w:rsidR="002203D7" w:rsidRPr="007844EE">
        <w:rPr>
          <w:rFonts w:ascii="Times New Roman" w:hAnsi="Times New Roman"/>
          <w:i/>
          <w:iCs/>
        </w:rPr>
        <w:t>New York Times.</w:t>
      </w:r>
      <w:r w:rsidR="002203D7" w:rsidRPr="007844EE">
        <w:rPr>
          <w:rFonts w:ascii="Times New Roman" w:hAnsi="Times New Roman"/>
        </w:rPr>
        <w:t xml:space="preserve"> </w:t>
      </w:r>
      <w:r w:rsidRPr="007844EE">
        <w:rPr>
          <w:rFonts w:ascii="Times New Roman" w:hAnsi="Times New Roman"/>
        </w:rPr>
        <w:t xml:space="preserve">June 28, 1885. </w:t>
      </w:r>
      <w:hyperlink r:id="rId9" w:history="1">
        <w:r w:rsidR="00535A27" w:rsidRPr="00F57D87">
          <w:rPr>
            <w:rStyle w:val="Hyperlink"/>
            <w:rFonts w:ascii="Times New Roman" w:hAnsi="Times New Roman"/>
          </w:rPr>
          <w:t>https://www.newspapers.com/image/20367256/?match=1&amp;terms=%E2%80%9CTo%20Take%20in%20Three%20Americas%E2%80%9D%20</w:t>
        </w:r>
      </w:hyperlink>
    </w:p>
    <w:p w14:paraId="33870D1D" w14:textId="1555974A" w:rsidR="001A4EAB" w:rsidRPr="007844EE" w:rsidRDefault="00535A27" w:rsidP="001A4EAB">
      <w:pPr>
        <w:spacing w:line="480" w:lineRule="auto"/>
        <w:ind w:left="720" w:hanging="720"/>
        <w:rPr>
          <w:rFonts w:ascii="Times New Roman" w:hAnsi="Times New Roman"/>
        </w:rPr>
      </w:pPr>
      <w:r w:rsidRPr="00535A27">
        <w:rPr>
          <w:rFonts w:ascii="Times New Roman" w:hAnsi="Times New Roman"/>
        </w:rPr>
        <w:t xml:space="preserve">Mrs. Eugene Soniat, “Creole Exhibit,” </w:t>
      </w:r>
      <w:r w:rsidRPr="00535A27">
        <w:rPr>
          <w:rFonts w:ascii="Times New Roman" w:hAnsi="Times New Roman"/>
          <w:i/>
          <w:iCs/>
        </w:rPr>
        <w:t>Times-Picayune</w:t>
      </w:r>
      <w:r w:rsidRPr="00535A27">
        <w:rPr>
          <w:rFonts w:ascii="Times New Roman" w:hAnsi="Times New Roman"/>
        </w:rPr>
        <w:t xml:space="preserve"> New Orleans, LA, August 30, 1885, 8.</w:t>
      </w:r>
      <w:r>
        <w:rPr>
          <w:rFonts w:ascii="Times New Roman" w:hAnsi="Times New Roman"/>
        </w:rPr>
        <w:t xml:space="preserve"> </w:t>
      </w:r>
      <w:r w:rsidR="001A4EAB" w:rsidRPr="001A4EAB">
        <w:rPr>
          <w:rFonts w:ascii="Times New Roman" w:hAnsi="Times New Roman"/>
        </w:rPr>
        <w:t>https://www.newspapers.com/image/28311132/?match=1&amp;terms=Eugene%20Soniat%20creole</w:t>
      </w:r>
    </w:p>
    <w:p w14:paraId="4D938663" w14:textId="60F944F6" w:rsidR="00195DDC" w:rsidRPr="007844EE" w:rsidRDefault="00195DDC" w:rsidP="00B160A3">
      <w:pPr>
        <w:spacing w:line="480" w:lineRule="auto"/>
        <w:ind w:left="720" w:hanging="720"/>
        <w:rPr>
          <w:rFonts w:ascii="Times New Roman" w:hAnsi="Times New Roman"/>
        </w:rPr>
      </w:pPr>
      <w:r w:rsidRPr="007844EE">
        <w:rPr>
          <w:rFonts w:ascii="Times New Roman" w:hAnsi="Times New Roman"/>
        </w:rPr>
        <w:t xml:space="preserve">Strawn, Lydia. 1886. </w:t>
      </w:r>
      <w:r w:rsidRPr="00C83B55">
        <w:rPr>
          <w:rFonts w:ascii="Times New Roman" w:hAnsi="Times New Roman"/>
          <w:i/>
          <w:iCs/>
        </w:rPr>
        <w:t>The North Central and South American Exposition</w:t>
      </w:r>
      <w:r w:rsidRPr="007844EE">
        <w:rPr>
          <w:rFonts w:ascii="Times New Roman" w:hAnsi="Times New Roman"/>
        </w:rPr>
        <w:t xml:space="preserve">, </w:t>
      </w:r>
      <w:r w:rsidR="0012322B">
        <w:rPr>
          <w:rFonts w:ascii="Times New Roman" w:hAnsi="Times New Roman"/>
        </w:rPr>
        <w:t xml:space="preserve">The General </w:t>
      </w:r>
      <w:r w:rsidR="00AE6114">
        <w:rPr>
          <w:rFonts w:ascii="Times New Roman" w:hAnsi="Times New Roman"/>
        </w:rPr>
        <w:t>Passenger</w:t>
      </w:r>
      <w:r w:rsidR="0012322B">
        <w:rPr>
          <w:rFonts w:ascii="Times New Roman" w:hAnsi="Times New Roman"/>
        </w:rPr>
        <w:t xml:space="preserve"> Department</w:t>
      </w:r>
      <w:r w:rsidR="00AE6114">
        <w:rPr>
          <w:rFonts w:ascii="Times New Roman" w:hAnsi="Times New Roman"/>
        </w:rPr>
        <w:t xml:space="preserve">. </w:t>
      </w:r>
      <w:r w:rsidRPr="007844EE">
        <w:rPr>
          <w:rFonts w:ascii="Times New Roman" w:hAnsi="Times New Roman"/>
        </w:rPr>
        <w:t xml:space="preserve">New Orleans. Illinois Central Railroad, 1886. Google Books 2019. </w:t>
      </w:r>
    </w:p>
    <w:p w14:paraId="2F9764B3" w14:textId="77777777" w:rsidR="00195DDC" w:rsidRDefault="00195DDC" w:rsidP="00AF7057">
      <w:pPr>
        <w:spacing w:line="480" w:lineRule="auto"/>
        <w:rPr>
          <w:rFonts w:ascii="Times New Roman" w:hAnsi="Times New Roman"/>
        </w:rPr>
      </w:pPr>
      <w:r w:rsidRPr="007844EE">
        <w:rPr>
          <w:rFonts w:ascii="Times New Roman" w:hAnsi="Times New Roman"/>
        </w:rPr>
        <w:t xml:space="preserve">Ward, Vernon C, </w:t>
      </w:r>
      <w:r w:rsidRPr="00C83B55">
        <w:rPr>
          <w:rFonts w:ascii="Times New Roman" w:hAnsi="Times New Roman"/>
          <w:i/>
          <w:iCs/>
        </w:rPr>
        <w:t>Historical Sketches of New Orleans.</w:t>
      </w:r>
      <w:r w:rsidRPr="007844EE">
        <w:rPr>
          <w:rFonts w:ascii="Times New Roman" w:hAnsi="Times New Roman"/>
        </w:rPr>
        <w:t xml:space="preserve"> Ward Brother, 1885. </w:t>
      </w:r>
      <w:proofErr w:type="spellStart"/>
      <w:r w:rsidRPr="007844EE">
        <w:rPr>
          <w:rFonts w:ascii="Times New Roman" w:hAnsi="Times New Roman"/>
        </w:rPr>
        <w:t>HathiTrust</w:t>
      </w:r>
      <w:proofErr w:type="spellEnd"/>
      <w:r w:rsidRPr="007844EE">
        <w:rPr>
          <w:rFonts w:ascii="Times New Roman" w:hAnsi="Times New Roman"/>
        </w:rPr>
        <w:t xml:space="preserve">. </w:t>
      </w:r>
    </w:p>
    <w:p w14:paraId="6FE9F581" w14:textId="36EC67D4" w:rsidR="00614B3F" w:rsidRDefault="00614B3F" w:rsidP="00807C52">
      <w:pPr>
        <w:spacing w:line="480" w:lineRule="auto"/>
        <w:ind w:left="720" w:hanging="720"/>
        <w:rPr>
          <w:rFonts w:ascii="Times New Roman" w:hAnsi="Times New Roman"/>
        </w:rPr>
      </w:pPr>
      <w:r w:rsidRPr="00614B3F">
        <w:rPr>
          <w:rFonts w:ascii="Times New Roman" w:hAnsi="Times New Roman"/>
          <w:i/>
          <w:iCs/>
        </w:rPr>
        <w:t>The Times-Democrat. New Orleans</w:t>
      </w:r>
      <w:r w:rsidRPr="00614B3F">
        <w:rPr>
          <w:rFonts w:ascii="Times New Roman" w:hAnsi="Times New Roman"/>
        </w:rPr>
        <w:t>, LA. January 14, 1886. Page 3. Accessed March 1, 2026.</w:t>
      </w:r>
      <w:r w:rsidR="00807C52" w:rsidRPr="00807C52">
        <w:t xml:space="preserve"> </w:t>
      </w:r>
      <w:r w:rsidR="00807C52" w:rsidRPr="00807C52">
        <w:rPr>
          <w:rFonts w:ascii="Times New Roman" w:hAnsi="Times New Roman"/>
        </w:rPr>
        <w:t>https://www.newspapers.com/image/132871735/?match=1&amp;terms=The%20Times-Democrat%20</w:t>
      </w:r>
    </w:p>
    <w:p w14:paraId="435A3A75" w14:textId="3692AA27" w:rsidR="00B72BAE" w:rsidRPr="007844EE" w:rsidRDefault="00B72BAE" w:rsidP="00476093">
      <w:pPr>
        <w:spacing w:line="480" w:lineRule="auto"/>
        <w:ind w:left="720" w:hanging="720"/>
        <w:rPr>
          <w:rFonts w:ascii="Times New Roman" w:hAnsi="Times New Roman"/>
        </w:rPr>
      </w:pPr>
      <w:r w:rsidRPr="00B72BAE">
        <w:rPr>
          <w:rFonts w:ascii="Times New Roman" w:hAnsi="Times New Roman"/>
        </w:rPr>
        <w:t xml:space="preserve">“The New Orleans Exposition.” </w:t>
      </w:r>
      <w:r w:rsidRPr="00B72BAE">
        <w:rPr>
          <w:rFonts w:ascii="Times New Roman" w:hAnsi="Times New Roman"/>
          <w:i/>
          <w:iCs/>
        </w:rPr>
        <w:t>The News-Gazette</w:t>
      </w:r>
      <w:r w:rsidRPr="00B72BAE">
        <w:rPr>
          <w:rFonts w:ascii="Times New Roman" w:hAnsi="Times New Roman"/>
        </w:rPr>
        <w:t xml:space="preserve"> (Champaign, IL), December 19, 1885, 1.</w:t>
      </w:r>
      <w:r>
        <w:rPr>
          <w:rFonts w:ascii="Times New Roman" w:hAnsi="Times New Roman"/>
        </w:rPr>
        <w:t xml:space="preserve"> </w:t>
      </w:r>
      <w:r w:rsidR="00476093" w:rsidRPr="00476093">
        <w:rPr>
          <w:rFonts w:ascii="Times New Roman" w:hAnsi="Times New Roman"/>
        </w:rPr>
        <w:t>https://www.newspapers.com/image/668157462/?match=1&amp;terms=Champaign%20Daily%20Gazette%2C%20December%2019%2C%201885</w:t>
      </w:r>
    </w:p>
    <w:p w14:paraId="5DFEED9C" w14:textId="1067EEFC" w:rsidR="00195DDC" w:rsidRPr="007844EE" w:rsidRDefault="00195DDC" w:rsidP="00903A76">
      <w:pPr>
        <w:spacing w:line="480" w:lineRule="auto"/>
        <w:jc w:val="center"/>
        <w:rPr>
          <w:rFonts w:ascii="Times New Roman" w:hAnsi="Times New Roman"/>
          <w:i/>
          <w:iCs/>
        </w:rPr>
      </w:pPr>
      <w:r w:rsidRPr="007844EE">
        <w:rPr>
          <w:rFonts w:ascii="Times New Roman" w:hAnsi="Times New Roman"/>
          <w:i/>
          <w:iCs/>
        </w:rPr>
        <w:t>Secondary Sources</w:t>
      </w:r>
    </w:p>
    <w:p w14:paraId="17EE578F" w14:textId="77777777" w:rsidR="00195DDC" w:rsidRPr="007844EE" w:rsidRDefault="00195DDC" w:rsidP="00903A76">
      <w:pPr>
        <w:spacing w:line="480" w:lineRule="auto"/>
        <w:rPr>
          <w:rFonts w:ascii="Times New Roman" w:hAnsi="Times New Roman"/>
        </w:rPr>
      </w:pPr>
      <w:r w:rsidRPr="007844EE">
        <w:rPr>
          <w:rFonts w:ascii="Times New Roman" w:hAnsi="Times New Roman"/>
        </w:rPr>
        <w:t xml:space="preserve">Ayers, Edward L. The Promise of the New South. Oxford University Press, 1992. </w:t>
      </w:r>
    </w:p>
    <w:p w14:paraId="2DA1D348" w14:textId="0C498743" w:rsidR="00195DDC" w:rsidRPr="007844EE" w:rsidRDefault="00195DDC" w:rsidP="00E94387">
      <w:pPr>
        <w:spacing w:line="480" w:lineRule="auto"/>
        <w:ind w:left="720" w:hanging="720"/>
        <w:rPr>
          <w:rFonts w:ascii="Times New Roman" w:hAnsi="Times New Roman"/>
        </w:rPr>
      </w:pPr>
      <w:r w:rsidRPr="007844EE">
        <w:rPr>
          <w:rFonts w:ascii="Times New Roman" w:hAnsi="Times New Roman"/>
        </w:rPr>
        <w:t xml:space="preserve">Marler, Scott P. </w:t>
      </w:r>
      <w:r w:rsidRPr="007844EE">
        <w:rPr>
          <w:rFonts w:ascii="Times New Roman" w:hAnsi="Times New Roman"/>
          <w:i/>
          <w:iCs/>
        </w:rPr>
        <w:t xml:space="preserve">The Merchants’ </w:t>
      </w:r>
      <w:r w:rsidR="001908AB" w:rsidRPr="007844EE">
        <w:rPr>
          <w:rFonts w:ascii="Times New Roman" w:hAnsi="Times New Roman"/>
          <w:i/>
          <w:iCs/>
        </w:rPr>
        <w:t>Capital</w:t>
      </w:r>
      <w:r w:rsidR="001908AB" w:rsidRPr="007844EE">
        <w:rPr>
          <w:rFonts w:ascii="Times New Roman" w:hAnsi="Times New Roman"/>
        </w:rPr>
        <w:t>:</w:t>
      </w:r>
      <w:r w:rsidRPr="007844EE">
        <w:rPr>
          <w:rFonts w:ascii="Times New Roman" w:hAnsi="Times New Roman"/>
        </w:rPr>
        <w:t xml:space="preserve"> New Orleans and the Political Economy of the </w:t>
      </w:r>
      <w:proofErr w:type="gramStart"/>
      <w:r w:rsidRPr="007844EE">
        <w:rPr>
          <w:rFonts w:ascii="Times New Roman" w:hAnsi="Times New Roman"/>
        </w:rPr>
        <w:t>Nineteenth-Century South</w:t>
      </w:r>
      <w:proofErr w:type="gramEnd"/>
      <w:r w:rsidRPr="007844EE">
        <w:rPr>
          <w:rFonts w:ascii="Times New Roman" w:hAnsi="Times New Roman"/>
        </w:rPr>
        <w:t xml:space="preserve">. Cambridge University Press, 2013. </w:t>
      </w:r>
    </w:p>
    <w:p w14:paraId="34332BD3" w14:textId="77777777" w:rsidR="00195DDC" w:rsidRPr="007844EE" w:rsidRDefault="00195DDC" w:rsidP="00E94387">
      <w:pPr>
        <w:spacing w:line="480" w:lineRule="auto"/>
        <w:ind w:left="720" w:hanging="720"/>
        <w:rPr>
          <w:rFonts w:ascii="Times New Roman" w:hAnsi="Times New Roman"/>
        </w:rPr>
      </w:pPr>
      <w:r w:rsidRPr="007844EE">
        <w:rPr>
          <w:rFonts w:ascii="Times New Roman" w:hAnsi="Times New Roman"/>
        </w:rPr>
        <w:t xml:space="preserve">Motsinger, Sierra et al., “Audubon Park.” Last updated February 12, 2026. Accessed February 16, 2026, https://neworleanshistorical.org/items/show/1093. </w:t>
      </w:r>
    </w:p>
    <w:p w14:paraId="2A25201C" w14:textId="77777777" w:rsidR="00195DDC" w:rsidRPr="007844EE" w:rsidRDefault="00195DDC" w:rsidP="00E94387">
      <w:pPr>
        <w:spacing w:line="480" w:lineRule="auto"/>
        <w:ind w:left="720" w:hanging="720"/>
        <w:rPr>
          <w:rFonts w:ascii="Times New Roman" w:hAnsi="Times New Roman"/>
        </w:rPr>
      </w:pPr>
      <w:r w:rsidRPr="007844EE">
        <w:rPr>
          <w:rFonts w:ascii="Times New Roman" w:hAnsi="Times New Roman"/>
        </w:rPr>
        <w:lastRenderedPageBreak/>
        <w:t>Nelson, Scott R. “</w:t>
      </w:r>
      <w:r w:rsidRPr="007844EE">
        <w:rPr>
          <w:rFonts w:ascii="Times New Roman" w:hAnsi="Times New Roman"/>
          <w:i/>
          <w:iCs/>
        </w:rPr>
        <w:t>The Bourbon South</w:t>
      </w:r>
      <w:r w:rsidRPr="007844EE">
        <w:rPr>
          <w:rFonts w:ascii="Times New Roman" w:hAnsi="Times New Roman"/>
        </w:rPr>
        <w:t xml:space="preserve">” in A New History of the American South, edited by Fitzhugh Brundage, Laura F. Edwards, and John F. </w:t>
      </w:r>
      <w:proofErr w:type="spellStart"/>
      <w:r w:rsidRPr="007844EE">
        <w:rPr>
          <w:rFonts w:ascii="Times New Roman" w:hAnsi="Times New Roman"/>
        </w:rPr>
        <w:t>Sensbach</w:t>
      </w:r>
      <w:proofErr w:type="spellEnd"/>
      <w:r w:rsidRPr="007844EE">
        <w:rPr>
          <w:rFonts w:ascii="Times New Roman" w:hAnsi="Times New Roman"/>
        </w:rPr>
        <w:t xml:space="preserve">. University of North Carolina Press, 2023. </w:t>
      </w:r>
    </w:p>
    <w:p w14:paraId="6D4D9F92" w14:textId="77777777" w:rsidR="00195DDC" w:rsidRPr="007844EE" w:rsidRDefault="00195DDC" w:rsidP="00E94387">
      <w:pPr>
        <w:spacing w:line="480" w:lineRule="auto"/>
        <w:ind w:left="720" w:hanging="720"/>
        <w:rPr>
          <w:rFonts w:ascii="Times New Roman" w:hAnsi="Times New Roman"/>
        </w:rPr>
      </w:pPr>
      <w:r w:rsidRPr="007844EE">
        <w:rPr>
          <w:rFonts w:ascii="Times New Roman" w:hAnsi="Times New Roman"/>
        </w:rPr>
        <w:t xml:space="preserve">Nystrom, Justin A. </w:t>
      </w:r>
      <w:r w:rsidRPr="007844EE">
        <w:rPr>
          <w:rFonts w:ascii="Times New Roman" w:hAnsi="Times New Roman"/>
          <w:i/>
          <w:iCs/>
        </w:rPr>
        <w:t>New Orleans after the Civil War</w:t>
      </w:r>
      <w:r w:rsidRPr="007844EE">
        <w:rPr>
          <w:rFonts w:ascii="Times New Roman" w:hAnsi="Times New Roman"/>
        </w:rPr>
        <w:t xml:space="preserve">. Baltimore: Johns Hopkins University Press, 2010. </w:t>
      </w:r>
    </w:p>
    <w:p w14:paraId="55EF963B" w14:textId="77777777" w:rsidR="00195DDC" w:rsidRPr="007844EE" w:rsidRDefault="00195DDC" w:rsidP="00E94387">
      <w:pPr>
        <w:spacing w:line="480" w:lineRule="auto"/>
        <w:ind w:left="720" w:hanging="720"/>
        <w:rPr>
          <w:rFonts w:ascii="Times New Roman" w:hAnsi="Times New Roman"/>
        </w:rPr>
      </w:pPr>
      <w:r w:rsidRPr="007844EE">
        <w:rPr>
          <w:rFonts w:ascii="Times New Roman" w:hAnsi="Times New Roman"/>
        </w:rPr>
        <w:t xml:space="preserve">Perdue, </w:t>
      </w:r>
      <w:r w:rsidRPr="007844EE">
        <w:rPr>
          <w:rFonts w:ascii="Times New Roman" w:hAnsi="Times New Roman"/>
          <w:i/>
          <w:iCs/>
        </w:rPr>
        <w:t>Theda. Race and the Atlanta Cotton States Exposition of 1895</w:t>
      </w:r>
      <w:r w:rsidRPr="007844EE">
        <w:rPr>
          <w:rFonts w:ascii="Times New Roman" w:hAnsi="Times New Roman"/>
        </w:rPr>
        <w:t xml:space="preserve">. University of Georgia Press, 2011. </w:t>
      </w:r>
    </w:p>
    <w:p w14:paraId="63632861" w14:textId="77777777" w:rsidR="00195DDC" w:rsidRPr="007844EE" w:rsidRDefault="00195DDC" w:rsidP="00E94387">
      <w:pPr>
        <w:spacing w:line="480" w:lineRule="auto"/>
        <w:ind w:left="720" w:hanging="720"/>
        <w:rPr>
          <w:rFonts w:ascii="Times New Roman" w:hAnsi="Times New Roman"/>
        </w:rPr>
      </w:pPr>
      <w:r w:rsidRPr="007844EE">
        <w:rPr>
          <w:rFonts w:ascii="Times New Roman" w:hAnsi="Times New Roman"/>
        </w:rPr>
        <w:t xml:space="preserve">Peters, </w:t>
      </w:r>
      <w:r w:rsidRPr="007844EE">
        <w:rPr>
          <w:rFonts w:ascii="Times New Roman" w:hAnsi="Times New Roman"/>
          <w:i/>
          <w:iCs/>
        </w:rPr>
        <w:t>“Contesting US hegemony: Pan-American infrastructure and South American visions of global transportation, 1880s–1890s.”</w:t>
      </w:r>
      <w:r w:rsidRPr="007844EE">
        <w:rPr>
          <w:rFonts w:ascii="Times New Roman" w:hAnsi="Times New Roman"/>
        </w:rPr>
        <w:t xml:space="preserve"> Journal of Global History 20, no.1. (2025): 21-42. doi:10.1017/S1740022824000135. </w:t>
      </w:r>
    </w:p>
    <w:p w14:paraId="6E10EDFF" w14:textId="77777777" w:rsidR="00195DDC" w:rsidRPr="007844EE" w:rsidRDefault="00195DDC" w:rsidP="00E94387">
      <w:pPr>
        <w:spacing w:line="480" w:lineRule="auto"/>
        <w:ind w:left="720" w:hanging="720"/>
        <w:rPr>
          <w:rFonts w:ascii="Times New Roman" w:hAnsi="Times New Roman"/>
        </w:rPr>
      </w:pPr>
      <w:proofErr w:type="spellStart"/>
      <w:r w:rsidRPr="007844EE">
        <w:rPr>
          <w:rFonts w:ascii="Times New Roman" w:hAnsi="Times New Roman"/>
        </w:rPr>
        <w:t>Skrabec</w:t>
      </w:r>
      <w:proofErr w:type="spellEnd"/>
      <w:r w:rsidRPr="007844EE">
        <w:rPr>
          <w:rFonts w:ascii="Times New Roman" w:hAnsi="Times New Roman"/>
        </w:rPr>
        <w:t xml:space="preserve">, Quentin R. Jr., </w:t>
      </w:r>
      <w:r w:rsidRPr="007844EE">
        <w:rPr>
          <w:rFonts w:ascii="Times New Roman" w:hAnsi="Times New Roman"/>
          <w:i/>
          <w:iCs/>
        </w:rPr>
        <w:t>The 100 Most Important American Financial Crises: An Encyclopedia of the Lowers Points in American Economic History.</w:t>
      </w:r>
      <w:r w:rsidRPr="007844EE">
        <w:rPr>
          <w:rFonts w:ascii="Times New Roman" w:hAnsi="Times New Roman"/>
        </w:rPr>
        <w:t xml:space="preserve"> Greenwood, 2015. </w:t>
      </w:r>
    </w:p>
    <w:p w14:paraId="3FAACEFD" w14:textId="77777777" w:rsidR="004945FA" w:rsidRPr="007844EE" w:rsidRDefault="004945FA" w:rsidP="000B24CC">
      <w:pPr>
        <w:spacing w:line="480" w:lineRule="auto"/>
        <w:ind w:firstLine="720"/>
        <w:rPr>
          <w:rFonts w:ascii="Times New Roman" w:hAnsi="Times New Roman"/>
        </w:rPr>
      </w:pPr>
    </w:p>
    <w:sectPr w:rsidR="004945FA" w:rsidRPr="007844EE" w:rsidSect="00CC05F0">
      <w:headerReference w:type="default" r:id="rId10"/>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C4F9C" w14:textId="77777777" w:rsidR="00567C78" w:rsidRDefault="00567C78" w:rsidP="00CC05F0">
      <w:pPr>
        <w:spacing w:after="0" w:line="240" w:lineRule="auto"/>
      </w:pPr>
      <w:r>
        <w:separator/>
      </w:r>
    </w:p>
  </w:endnote>
  <w:endnote w:type="continuationSeparator" w:id="0">
    <w:p w14:paraId="13E91B27" w14:textId="77777777" w:rsidR="00567C78" w:rsidRDefault="00567C78" w:rsidP="00CC0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E334" w14:textId="77777777" w:rsidR="00CC05F0" w:rsidRDefault="00CC0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5A4B3" w14:textId="77777777" w:rsidR="00567C78" w:rsidRDefault="00567C78" w:rsidP="00CC05F0">
      <w:pPr>
        <w:spacing w:after="0" w:line="240" w:lineRule="auto"/>
      </w:pPr>
      <w:r>
        <w:separator/>
      </w:r>
    </w:p>
  </w:footnote>
  <w:footnote w:type="continuationSeparator" w:id="0">
    <w:p w14:paraId="59E7EDB6" w14:textId="77777777" w:rsidR="00567C78" w:rsidRDefault="00567C78" w:rsidP="00CC05F0">
      <w:pPr>
        <w:spacing w:after="0" w:line="240" w:lineRule="auto"/>
      </w:pPr>
      <w:r>
        <w:continuationSeparator/>
      </w:r>
    </w:p>
  </w:footnote>
  <w:footnote w:id="1">
    <w:p w14:paraId="6DCE6BC8" w14:textId="741604AA" w:rsidR="00153CBC" w:rsidRPr="00756A41" w:rsidRDefault="00153CBC">
      <w:pPr>
        <w:pStyle w:val="FootnoteText"/>
        <w:rPr>
          <w:rFonts w:ascii="Times New Roman" w:hAnsi="Times New Roman" w:cs="Times New Roman"/>
        </w:rPr>
      </w:pPr>
      <w:r w:rsidRPr="00756A41">
        <w:rPr>
          <w:rStyle w:val="FootnoteReference"/>
          <w:rFonts w:ascii="Times New Roman" w:hAnsi="Times New Roman" w:cs="Times New Roman"/>
        </w:rPr>
        <w:footnoteRef/>
      </w:r>
      <w:r w:rsidRPr="00756A41">
        <w:rPr>
          <w:rFonts w:ascii="Times New Roman" w:hAnsi="Times New Roman" w:cs="Times New Roman"/>
        </w:rPr>
        <w:t xml:space="preserve"> </w:t>
      </w:r>
      <w:r w:rsidR="00375619" w:rsidRPr="00756A41">
        <w:rPr>
          <w:rFonts w:ascii="Times New Roman" w:hAnsi="Times New Roman" w:cs="Times New Roman"/>
        </w:rPr>
        <w:t xml:space="preserve">Lydia Strawn, </w:t>
      </w:r>
      <w:r w:rsidR="00375619" w:rsidRPr="00756A41">
        <w:rPr>
          <w:rFonts w:ascii="Times New Roman" w:hAnsi="Times New Roman" w:cs="Times New Roman"/>
          <w:i/>
          <w:iCs/>
        </w:rPr>
        <w:t>The North Central and South American Exposition, New Orleans</w:t>
      </w:r>
      <w:r w:rsidR="00375619" w:rsidRPr="00756A41">
        <w:rPr>
          <w:rFonts w:ascii="Times New Roman" w:hAnsi="Times New Roman" w:cs="Times New Roman"/>
        </w:rPr>
        <w:t xml:space="preserve"> (Illinois Central Railroad, 1886), 2.</w:t>
      </w:r>
    </w:p>
  </w:footnote>
  <w:footnote w:id="2">
    <w:p w14:paraId="4F374CC2" w14:textId="12D69C13" w:rsidR="00375619" w:rsidRPr="00756A41" w:rsidRDefault="00375619">
      <w:pPr>
        <w:pStyle w:val="FootnoteText"/>
        <w:rPr>
          <w:rFonts w:ascii="Times New Roman" w:hAnsi="Times New Roman" w:cs="Times New Roman"/>
        </w:rPr>
      </w:pPr>
      <w:r w:rsidRPr="00756A41">
        <w:rPr>
          <w:rStyle w:val="FootnoteReference"/>
          <w:rFonts w:ascii="Times New Roman" w:hAnsi="Times New Roman" w:cs="Times New Roman"/>
        </w:rPr>
        <w:footnoteRef/>
      </w:r>
      <w:r w:rsidRPr="00756A41">
        <w:rPr>
          <w:rFonts w:ascii="Times New Roman" w:hAnsi="Times New Roman" w:cs="Times New Roman"/>
        </w:rPr>
        <w:t xml:space="preserve"> </w:t>
      </w:r>
      <w:r w:rsidR="0017761A" w:rsidRPr="00756A41">
        <w:rPr>
          <w:rFonts w:ascii="Times New Roman" w:hAnsi="Times New Roman" w:cs="Times New Roman"/>
        </w:rPr>
        <w:t xml:space="preserve">Strawn, </w:t>
      </w:r>
      <w:r w:rsidR="0017761A" w:rsidRPr="00756A41">
        <w:rPr>
          <w:rFonts w:ascii="Times New Roman" w:hAnsi="Times New Roman" w:cs="Times New Roman"/>
          <w:i/>
          <w:iCs/>
        </w:rPr>
        <w:t>North Central and South American Exposition</w:t>
      </w:r>
      <w:r w:rsidR="0017761A" w:rsidRPr="00756A41">
        <w:rPr>
          <w:rFonts w:ascii="Times New Roman" w:hAnsi="Times New Roman" w:cs="Times New Roman"/>
        </w:rPr>
        <w:t>, 2.</w:t>
      </w:r>
    </w:p>
  </w:footnote>
  <w:footnote w:id="3">
    <w:p w14:paraId="1B40EAED" w14:textId="7E954045" w:rsidR="0017761A" w:rsidRPr="00756A41" w:rsidRDefault="0017761A">
      <w:pPr>
        <w:pStyle w:val="FootnoteText"/>
        <w:rPr>
          <w:rFonts w:ascii="Times New Roman" w:hAnsi="Times New Roman" w:cs="Times New Roman"/>
        </w:rPr>
      </w:pPr>
      <w:r w:rsidRPr="00756A41">
        <w:rPr>
          <w:rStyle w:val="FootnoteReference"/>
          <w:rFonts w:ascii="Times New Roman" w:hAnsi="Times New Roman" w:cs="Times New Roman"/>
        </w:rPr>
        <w:footnoteRef/>
      </w:r>
      <w:r w:rsidRPr="00756A41">
        <w:rPr>
          <w:rFonts w:ascii="Times New Roman" w:hAnsi="Times New Roman" w:cs="Times New Roman"/>
        </w:rPr>
        <w:t xml:space="preserve"> </w:t>
      </w:r>
      <w:r w:rsidR="00A049F0" w:rsidRPr="00756A41">
        <w:rPr>
          <w:rFonts w:ascii="Times New Roman" w:hAnsi="Times New Roman" w:cs="Times New Roman"/>
        </w:rPr>
        <w:t xml:space="preserve">“The New Orleans Exhibition,” </w:t>
      </w:r>
      <w:r w:rsidR="00A049F0" w:rsidRPr="00756A41">
        <w:rPr>
          <w:rFonts w:ascii="Times New Roman" w:hAnsi="Times New Roman" w:cs="Times New Roman"/>
          <w:i/>
          <w:iCs/>
        </w:rPr>
        <w:t>New York Times</w:t>
      </w:r>
      <w:r w:rsidR="00A049F0" w:rsidRPr="00756A41">
        <w:rPr>
          <w:rFonts w:ascii="Times New Roman" w:hAnsi="Times New Roman" w:cs="Times New Roman"/>
        </w:rPr>
        <w:t>, June 15, 1885.</w:t>
      </w:r>
    </w:p>
  </w:footnote>
  <w:footnote w:id="4">
    <w:p w14:paraId="6834440C" w14:textId="03A3D13B" w:rsidR="0033513A" w:rsidRPr="005E6060" w:rsidRDefault="0033513A">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Strawn, </w:t>
      </w:r>
      <w:r w:rsidRPr="005E6060">
        <w:rPr>
          <w:rFonts w:ascii="Times New Roman" w:hAnsi="Times New Roman" w:cs="Times New Roman"/>
          <w:i/>
          <w:iCs/>
        </w:rPr>
        <w:t>North Central and South American Exposition</w:t>
      </w:r>
      <w:r w:rsidRPr="005E6060">
        <w:rPr>
          <w:rFonts w:ascii="Times New Roman" w:hAnsi="Times New Roman" w:cs="Times New Roman"/>
        </w:rPr>
        <w:t xml:space="preserve">, </w:t>
      </w:r>
      <w:r w:rsidR="00D032F3" w:rsidRPr="005E6060">
        <w:rPr>
          <w:rFonts w:ascii="Times New Roman" w:hAnsi="Times New Roman" w:cs="Times New Roman"/>
        </w:rPr>
        <w:t>6</w:t>
      </w:r>
      <w:r w:rsidRPr="005E6060">
        <w:rPr>
          <w:rFonts w:ascii="Times New Roman" w:hAnsi="Times New Roman" w:cs="Times New Roman"/>
        </w:rPr>
        <w:t>.</w:t>
      </w:r>
    </w:p>
  </w:footnote>
  <w:footnote w:id="5">
    <w:p w14:paraId="504F281F" w14:textId="7D95C076" w:rsidR="00A049F0" w:rsidRPr="005E6060" w:rsidRDefault="00A049F0">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000B27" w:rsidRPr="005E6060">
        <w:rPr>
          <w:rFonts w:ascii="Times New Roman" w:hAnsi="Times New Roman" w:cs="Times New Roman"/>
        </w:rPr>
        <w:t xml:space="preserve">Strawn, </w:t>
      </w:r>
      <w:r w:rsidR="00000B27" w:rsidRPr="005E6060">
        <w:rPr>
          <w:rFonts w:ascii="Times New Roman" w:hAnsi="Times New Roman" w:cs="Times New Roman"/>
          <w:i/>
          <w:iCs/>
        </w:rPr>
        <w:t>North Central and South American Exposition</w:t>
      </w:r>
      <w:r w:rsidR="00000B27" w:rsidRPr="005E6060">
        <w:rPr>
          <w:rFonts w:ascii="Times New Roman" w:hAnsi="Times New Roman" w:cs="Times New Roman"/>
        </w:rPr>
        <w:t>, 3.</w:t>
      </w:r>
    </w:p>
  </w:footnote>
  <w:footnote w:id="6">
    <w:p w14:paraId="48DC8C2E" w14:textId="4E47E855" w:rsidR="00727264" w:rsidRPr="005E6060" w:rsidRDefault="00727264">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1B2E8D" w:rsidRPr="005E6060">
        <w:rPr>
          <w:rFonts w:ascii="Times New Roman" w:hAnsi="Times New Roman" w:cs="Times New Roman"/>
        </w:rPr>
        <w:t xml:space="preserve">Scott P. Marler, </w:t>
      </w:r>
      <w:r w:rsidR="001B2E8D" w:rsidRPr="005E6060">
        <w:rPr>
          <w:rFonts w:ascii="Times New Roman" w:hAnsi="Times New Roman" w:cs="Times New Roman"/>
          <w:i/>
          <w:iCs/>
        </w:rPr>
        <w:t xml:space="preserve">The Merchants’ Capital: New Orleans and the Political Economy of the </w:t>
      </w:r>
      <w:proofErr w:type="gramStart"/>
      <w:r w:rsidR="001B2E8D" w:rsidRPr="005E6060">
        <w:rPr>
          <w:rFonts w:ascii="Times New Roman" w:hAnsi="Times New Roman" w:cs="Times New Roman"/>
          <w:i/>
          <w:iCs/>
        </w:rPr>
        <w:t>Nineteenth-Century South</w:t>
      </w:r>
      <w:proofErr w:type="gramEnd"/>
      <w:r w:rsidR="001B2E8D" w:rsidRPr="005E6060">
        <w:rPr>
          <w:rFonts w:ascii="Times New Roman" w:hAnsi="Times New Roman" w:cs="Times New Roman"/>
        </w:rPr>
        <w:t xml:space="preserve"> (Cambridge University Press, 2013), 207–208.</w:t>
      </w:r>
    </w:p>
  </w:footnote>
  <w:footnote w:id="7">
    <w:p w14:paraId="18B8D34F" w14:textId="20F1FAEE" w:rsidR="00EA1B89" w:rsidRPr="005E6060" w:rsidRDefault="00EA1B89">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A365ED" w:rsidRPr="005E6060">
        <w:rPr>
          <w:rFonts w:ascii="Times New Roman" w:hAnsi="Times New Roman" w:cs="Times New Roman"/>
        </w:rPr>
        <w:t xml:space="preserve">Theda Perdue, </w:t>
      </w:r>
      <w:r w:rsidR="00A365ED" w:rsidRPr="005E6060">
        <w:rPr>
          <w:rFonts w:ascii="Times New Roman" w:hAnsi="Times New Roman" w:cs="Times New Roman"/>
          <w:i/>
          <w:iCs/>
        </w:rPr>
        <w:t>Race and the Atlanta Cotton States Exposition of 1895</w:t>
      </w:r>
      <w:r w:rsidR="00A365ED" w:rsidRPr="005E6060">
        <w:rPr>
          <w:rFonts w:ascii="Times New Roman" w:hAnsi="Times New Roman" w:cs="Times New Roman"/>
        </w:rPr>
        <w:t xml:space="preserve"> (Athens: University of Georgia Press, 2011), 96–97.</w:t>
      </w:r>
    </w:p>
  </w:footnote>
  <w:footnote w:id="8">
    <w:p w14:paraId="2672A70D" w14:textId="7977AC2B" w:rsidR="005040C6" w:rsidRPr="005E6060" w:rsidRDefault="005040C6">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AC7B85" w:rsidRPr="005E6060">
        <w:rPr>
          <w:rFonts w:ascii="Times New Roman" w:hAnsi="Times New Roman" w:cs="Times New Roman"/>
        </w:rPr>
        <w:t xml:space="preserve">Vernon C. Ward, </w:t>
      </w:r>
      <w:r w:rsidR="00AC7B85" w:rsidRPr="005E6060">
        <w:rPr>
          <w:rFonts w:ascii="Times New Roman" w:hAnsi="Times New Roman" w:cs="Times New Roman"/>
          <w:i/>
          <w:iCs/>
        </w:rPr>
        <w:t>Historical Sketches of New Orleans</w:t>
      </w:r>
      <w:r w:rsidR="00AC7B85" w:rsidRPr="005E6060">
        <w:rPr>
          <w:rFonts w:ascii="Times New Roman" w:hAnsi="Times New Roman" w:cs="Times New Roman"/>
        </w:rPr>
        <w:t xml:space="preserve"> (New Orleans: Ward Brother, 1885), 7–8.</w:t>
      </w:r>
    </w:p>
  </w:footnote>
  <w:footnote w:id="9">
    <w:p w14:paraId="2A122D8C" w14:textId="18BEB362" w:rsidR="007D378C" w:rsidRPr="005E6060" w:rsidRDefault="007D378C">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3B3105" w:rsidRPr="005E6060">
        <w:rPr>
          <w:rFonts w:ascii="Times New Roman" w:hAnsi="Times New Roman" w:cs="Times New Roman"/>
        </w:rPr>
        <w:t xml:space="preserve">Marler, </w:t>
      </w:r>
      <w:r w:rsidR="003B3105" w:rsidRPr="005E6060">
        <w:rPr>
          <w:rFonts w:ascii="Times New Roman" w:hAnsi="Times New Roman" w:cs="Times New Roman"/>
          <w:i/>
          <w:iCs/>
        </w:rPr>
        <w:t>The Merchants’ Capital</w:t>
      </w:r>
      <w:r w:rsidR="003B3105" w:rsidRPr="005E6060">
        <w:rPr>
          <w:rFonts w:ascii="Times New Roman" w:hAnsi="Times New Roman" w:cs="Times New Roman"/>
        </w:rPr>
        <w:t>, 207–208.</w:t>
      </w:r>
    </w:p>
  </w:footnote>
  <w:footnote w:id="10">
    <w:p w14:paraId="66A36629" w14:textId="022477F9" w:rsidR="008E4AD6" w:rsidRPr="005E6060" w:rsidRDefault="008E4AD6">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5E5AFB" w:rsidRPr="005E6060">
        <w:rPr>
          <w:rFonts w:ascii="Times New Roman" w:hAnsi="Times New Roman" w:cs="Times New Roman"/>
        </w:rPr>
        <w:t xml:space="preserve">Edward L. Ayers, </w:t>
      </w:r>
      <w:r w:rsidR="005E5AFB" w:rsidRPr="005E6060">
        <w:rPr>
          <w:rFonts w:ascii="Times New Roman" w:hAnsi="Times New Roman" w:cs="Times New Roman"/>
          <w:i/>
          <w:iCs/>
        </w:rPr>
        <w:t>The Promise of the New South: Life after Reconstruction</w:t>
      </w:r>
      <w:r w:rsidR="005E5AFB" w:rsidRPr="005E6060">
        <w:rPr>
          <w:rFonts w:ascii="Times New Roman" w:hAnsi="Times New Roman" w:cs="Times New Roman"/>
        </w:rPr>
        <w:t xml:space="preserve"> (Oxford University Press, 1992),</w:t>
      </w:r>
      <w:r w:rsidR="009029E2" w:rsidRPr="005E6060">
        <w:rPr>
          <w:rFonts w:ascii="Times New Roman" w:hAnsi="Times New Roman" w:cs="Times New Roman"/>
        </w:rPr>
        <w:t xml:space="preserve"> </w:t>
      </w:r>
      <w:r w:rsidR="005E5AFB" w:rsidRPr="005E6060">
        <w:rPr>
          <w:rFonts w:ascii="Times New Roman" w:hAnsi="Times New Roman" w:cs="Times New Roman"/>
        </w:rPr>
        <w:t>61–62.</w:t>
      </w:r>
    </w:p>
  </w:footnote>
  <w:footnote w:id="11">
    <w:p w14:paraId="0068CB39" w14:textId="77D6D837" w:rsidR="001A14C0" w:rsidRPr="005E6060" w:rsidRDefault="001A14C0">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Scott Reynolds Nelson, “The Bourbon South,” in </w:t>
      </w:r>
      <w:r w:rsidRPr="005E6060">
        <w:rPr>
          <w:rFonts w:ascii="Times New Roman" w:hAnsi="Times New Roman" w:cs="Times New Roman"/>
          <w:i/>
          <w:iCs/>
        </w:rPr>
        <w:t>A New History of the American South</w:t>
      </w:r>
      <w:r w:rsidRPr="005E6060">
        <w:rPr>
          <w:rFonts w:ascii="Times New Roman" w:hAnsi="Times New Roman" w:cs="Times New Roman"/>
        </w:rPr>
        <w:t xml:space="preserve">, ed. Fitzhugh Brundage, </w:t>
      </w:r>
    </w:p>
  </w:footnote>
  <w:footnote w:id="12">
    <w:p w14:paraId="2847F769" w14:textId="05F4A4E2" w:rsidR="004E6BBC" w:rsidRPr="005E6060" w:rsidRDefault="004E6BBC">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AB14C8" w:rsidRPr="005E6060">
        <w:rPr>
          <w:rFonts w:ascii="Times New Roman" w:hAnsi="Times New Roman" w:cs="Times New Roman"/>
        </w:rPr>
        <w:t xml:space="preserve">Marler, </w:t>
      </w:r>
      <w:r w:rsidR="00AB14C8" w:rsidRPr="005E6060">
        <w:rPr>
          <w:rFonts w:ascii="Times New Roman" w:hAnsi="Times New Roman" w:cs="Times New Roman"/>
          <w:i/>
          <w:iCs/>
        </w:rPr>
        <w:t>The Merchants’ Capital</w:t>
      </w:r>
      <w:r w:rsidR="00AB14C8" w:rsidRPr="005E6060">
        <w:rPr>
          <w:rFonts w:ascii="Times New Roman" w:hAnsi="Times New Roman" w:cs="Times New Roman"/>
        </w:rPr>
        <w:t>, 207–208.</w:t>
      </w:r>
    </w:p>
  </w:footnote>
  <w:footnote w:id="13">
    <w:p w14:paraId="5FA75B47" w14:textId="5373D098" w:rsidR="000F6620" w:rsidRPr="005E6060" w:rsidRDefault="000F6620">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A01025" w:rsidRPr="005E6060">
        <w:rPr>
          <w:rFonts w:ascii="Times New Roman" w:hAnsi="Times New Roman" w:cs="Times New Roman"/>
        </w:rPr>
        <w:t xml:space="preserve">Theda Perdue, </w:t>
      </w:r>
      <w:r w:rsidR="00A01025" w:rsidRPr="005E6060">
        <w:rPr>
          <w:rFonts w:ascii="Times New Roman" w:hAnsi="Times New Roman" w:cs="Times New Roman"/>
          <w:i/>
          <w:iCs/>
        </w:rPr>
        <w:t>Race and the Atlanta Cotton States Exposition of 1895</w:t>
      </w:r>
      <w:r w:rsidR="00A01025" w:rsidRPr="005E6060">
        <w:rPr>
          <w:rFonts w:ascii="Times New Roman" w:hAnsi="Times New Roman" w:cs="Times New Roman"/>
        </w:rPr>
        <w:t xml:space="preserve"> (Athens: University of Georgia Press, 2011), 2, 96–97, 137.</w:t>
      </w:r>
    </w:p>
  </w:footnote>
  <w:footnote w:id="14">
    <w:p w14:paraId="369EC1E5" w14:textId="5FD11F2B" w:rsidR="00B74FAD" w:rsidRPr="005E6060" w:rsidRDefault="00B74FAD">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Marler, </w:t>
      </w:r>
      <w:r w:rsidRPr="005E6060">
        <w:rPr>
          <w:rFonts w:ascii="Times New Roman" w:hAnsi="Times New Roman" w:cs="Times New Roman"/>
          <w:i/>
          <w:iCs/>
        </w:rPr>
        <w:t>Merchants’ Capital</w:t>
      </w:r>
      <w:r w:rsidRPr="005E6060">
        <w:rPr>
          <w:rFonts w:ascii="Times New Roman" w:hAnsi="Times New Roman" w:cs="Times New Roman"/>
        </w:rPr>
        <w:t xml:space="preserve">, 207–208, 225; Ayers, </w:t>
      </w:r>
      <w:r w:rsidRPr="005E6060">
        <w:rPr>
          <w:rFonts w:ascii="Times New Roman" w:hAnsi="Times New Roman" w:cs="Times New Roman"/>
          <w:i/>
          <w:iCs/>
        </w:rPr>
        <w:t>Promise of the New South</w:t>
      </w:r>
      <w:r w:rsidRPr="005E6060">
        <w:rPr>
          <w:rFonts w:ascii="Times New Roman" w:hAnsi="Times New Roman" w:cs="Times New Roman"/>
        </w:rPr>
        <w:t>, 61–62.</w:t>
      </w:r>
    </w:p>
  </w:footnote>
  <w:footnote w:id="15">
    <w:p w14:paraId="36ED411B" w14:textId="1BDEA16B" w:rsidR="00436297" w:rsidRPr="005E6060" w:rsidRDefault="00436297">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Strawn, </w:t>
      </w:r>
      <w:r w:rsidRPr="005E6060">
        <w:rPr>
          <w:rFonts w:ascii="Times New Roman" w:hAnsi="Times New Roman" w:cs="Times New Roman"/>
          <w:i/>
          <w:iCs/>
        </w:rPr>
        <w:t>North Central and South American Exposition</w:t>
      </w:r>
      <w:r w:rsidRPr="005E6060">
        <w:rPr>
          <w:rFonts w:ascii="Times New Roman" w:hAnsi="Times New Roman" w:cs="Times New Roman"/>
        </w:rPr>
        <w:t>, 1–3.</w:t>
      </w:r>
    </w:p>
  </w:footnote>
  <w:footnote w:id="16">
    <w:p w14:paraId="1EF6D44D" w14:textId="438E002F" w:rsidR="00436297" w:rsidRPr="005E6060" w:rsidRDefault="00436297">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proofErr w:type="spellStart"/>
      <w:r w:rsidR="0098030E" w:rsidRPr="005E6060">
        <w:rPr>
          <w:rFonts w:ascii="Times New Roman" w:hAnsi="Times New Roman" w:cs="Times New Roman"/>
        </w:rPr>
        <w:t>Skrabec</w:t>
      </w:r>
      <w:proofErr w:type="spellEnd"/>
      <w:r w:rsidR="0098030E" w:rsidRPr="005E6060">
        <w:rPr>
          <w:rFonts w:ascii="Times New Roman" w:hAnsi="Times New Roman" w:cs="Times New Roman"/>
        </w:rPr>
        <w:t xml:space="preserve">, </w:t>
      </w:r>
      <w:r w:rsidR="0098030E" w:rsidRPr="005E6060">
        <w:rPr>
          <w:rFonts w:ascii="Times New Roman" w:hAnsi="Times New Roman" w:cs="Times New Roman"/>
          <w:i/>
          <w:iCs/>
        </w:rPr>
        <w:t>100 Most Important American Financial Crises</w:t>
      </w:r>
      <w:r w:rsidR="0098030E" w:rsidRPr="005E6060">
        <w:rPr>
          <w:rFonts w:ascii="Times New Roman" w:hAnsi="Times New Roman" w:cs="Times New Roman"/>
        </w:rPr>
        <w:t>, 101–103; Peters, “Contesting US Hegemony,” 26–29.</w:t>
      </w:r>
    </w:p>
  </w:footnote>
  <w:footnote w:id="17">
    <w:p w14:paraId="082890C2" w14:textId="0A37C019" w:rsidR="00E634BF" w:rsidRPr="005E6060" w:rsidRDefault="00E634BF">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“Exposition Ordinance,” </w:t>
      </w:r>
      <w:r w:rsidRPr="005E6060">
        <w:rPr>
          <w:rFonts w:ascii="Times New Roman" w:hAnsi="Times New Roman" w:cs="Times New Roman"/>
          <w:i/>
          <w:iCs/>
        </w:rPr>
        <w:t>Times-Democrat</w:t>
      </w:r>
      <w:r w:rsidRPr="005E6060">
        <w:rPr>
          <w:rFonts w:ascii="Times New Roman" w:hAnsi="Times New Roman" w:cs="Times New Roman"/>
        </w:rPr>
        <w:t xml:space="preserve"> (New Orleans, LA), January 14, 1886, 3, </w:t>
      </w:r>
      <w:hyperlink r:id="rId1" w:tgtFrame="_new" w:history="1">
        <w:r w:rsidRPr="005E6060">
          <w:rPr>
            <w:rStyle w:val="Hyperlink"/>
            <w:rFonts w:ascii="Times New Roman" w:hAnsi="Times New Roman" w:cs="Times New Roman"/>
          </w:rPr>
          <w:t>https://www.newspapers.com/image/132871735/</w:t>
        </w:r>
      </w:hyperlink>
      <w:r w:rsidRPr="005E6060">
        <w:rPr>
          <w:rFonts w:ascii="Times New Roman" w:hAnsi="Times New Roman" w:cs="Times New Roman"/>
        </w:rPr>
        <w:t>.</w:t>
      </w:r>
    </w:p>
  </w:footnote>
  <w:footnote w:id="18">
    <w:p w14:paraId="140BA2DA" w14:textId="3326D3C2" w:rsidR="000121BE" w:rsidRPr="005E6060" w:rsidRDefault="000121BE">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0A5EAB" w:rsidRPr="005E6060">
        <w:rPr>
          <w:rFonts w:ascii="Times New Roman" w:hAnsi="Times New Roman" w:cs="Times New Roman"/>
        </w:rPr>
        <w:t>Ibid</w:t>
      </w:r>
    </w:p>
  </w:footnote>
  <w:footnote w:id="19">
    <w:p w14:paraId="498E79C1" w14:textId="7C8B7C56" w:rsidR="005C4E82" w:rsidRPr="005E6060" w:rsidRDefault="005C4E82">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B307ED" w:rsidRPr="005E6060">
        <w:rPr>
          <w:rFonts w:ascii="Times New Roman" w:hAnsi="Times New Roman" w:cs="Times New Roman"/>
        </w:rPr>
        <w:t xml:space="preserve">Ward, </w:t>
      </w:r>
      <w:r w:rsidR="00B307ED" w:rsidRPr="005E6060">
        <w:rPr>
          <w:rFonts w:ascii="Times New Roman" w:hAnsi="Times New Roman" w:cs="Times New Roman"/>
          <w:i/>
          <w:iCs/>
        </w:rPr>
        <w:t>Historical Sketches of New Orleans</w:t>
      </w:r>
      <w:r w:rsidR="00B307ED" w:rsidRPr="005E6060">
        <w:rPr>
          <w:rFonts w:ascii="Times New Roman" w:hAnsi="Times New Roman" w:cs="Times New Roman"/>
        </w:rPr>
        <w:t>, 7–8.</w:t>
      </w:r>
    </w:p>
  </w:footnote>
  <w:footnote w:id="20">
    <w:p w14:paraId="645B8161" w14:textId="48D3697F" w:rsidR="00B307ED" w:rsidRPr="005E6060" w:rsidRDefault="00B307ED">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232118" w:rsidRPr="005E6060">
        <w:rPr>
          <w:rFonts w:ascii="Times New Roman" w:hAnsi="Times New Roman" w:cs="Times New Roman"/>
        </w:rPr>
        <w:t>Peters, “</w:t>
      </w:r>
      <w:r w:rsidR="00232118" w:rsidRPr="007B57BA">
        <w:rPr>
          <w:rFonts w:ascii="Times New Roman" w:hAnsi="Times New Roman" w:cs="Times New Roman"/>
          <w:i/>
          <w:iCs/>
        </w:rPr>
        <w:t>Contesting US Hegemony</w:t>
      </w:r>
      <w:r w:rsidR="00232118" w:rsidRPr="005E6060">
        <w:rPr>
          <w:rFonts w:ascii="Times New Roman" w:hAnsi="Times New Roman" w:cs="Times New Roman"/>
        </w:rPr>
        <w:t>,” 29.</w:t>
      </w:r>
    </w:p>
  </w:footnote>
  <w:footnote w:id="21">
    <w:p w14:paraId="5DE4BD33" w14:textId="4DD51555" w:rsidR="00BB493C" w:rsidRPr="005E6060" w:rsidRDefault="00BB493C">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Strawn, </w:t>
      </w:r>
      <w:r w:rsidRPr="005E6060">
        <w:rPr>
          <w:rFonts w:ascii="Times New Roman" w:hAnsi="Times New Roman" w:cs="Times New Roman"/>
          <w:i/>
          <w:iCs/>
        </w:rPr>
        <w:t>North Central and South American Exposition</w:t>
      </w:r>
      <w:r w:rsidRPr="005E6060">
        <w:rPr>
          <w:rFonts w:ascii="Times New Roman" w:hAnsi="Times New Roman" w:cs="Times New Roman"/>
        </w:rPr>
        <w:t>, 2.</w:t>
      </w:r>
    </w:p>
  </w:footnote>
  <w:footnote w:id="22">
    <w:p w14:paraId="0061C3C8" w14:textId="3C6DD562" w:rsidR="003B6A6D" w:rsidRPr="005E6060" w:rsidRDefault="003B6A6D">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Ibi</w:t>
      </w:r>
      <w:r w:rsidR="00E37BC6" w:rsidRPr="005E6060">
        <w:rPr>
          <w:rFonts w:ascii="Times New Roman" w:hAnsi="Times New Roman" w:cs="Times New Roman"/>
        </w:rPr>
        <w:t>d</w:t>
      </w:r>
    </w:p>
  </w:footnote>
  <w:footnote w:id="23">
    <w:p w14:paraId="4B58C528" w14:textId="25F147AF" w:rsidR="00091413" w:rsidRPr="005E6060" w:rsidRDefault="00091413">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496858" w:rsidRPr="005E6060">
        <w:rPr>
          <w:rFonts w:ascii="Times New Roman" w:hAnsi="Times New Roman" w:cs="Times New Roman"/>
        </w:rPr>
        <w:t xml:space="preserve">Strawn, </w:t>
      </w:r>
      <w:r w:rsidR="00496858" w:rsidRPr="005E6060">
        <w:rPr>
          <w:rFonts w:ascii="Times New Roman" w:hAnsi="Times New Roman" w:cs="Times New Roman"/>
          <w:i/>
          <w:iCs/>
        </w:rPr>
        <w:t>North Central and South American Exposition</w:t>
      </w:r>
      <w:r w:rsidR="00496858" w:rsidRPr="005E6060">
        <w:rPr>
          <w:rFonts w:ascii="Times New Roman" w:hAnsi="Times New Roman" w:cs="Times New Roman"/>
        </w:rPr>
        <w:t>, 1, 3.</w:t>
      </w:r>
    </w:p>
  </w:footnote>
  <w:footnote w:id="24">
    <w:p w14:paraId="38EC6D36" w14:textId="422B71C4" w:rsidR="00BF0461" w:rsidRPr="005E6060" w:rsidRDefault="00BF0461">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Strawn, </w:t>
      </w:r>
      <w:r w:rsidRPr="005E6060">
        <w:rPr>
          <w:rFonts w:ascii="Times New Roman" w:hAnsi="Times New Roman" w:cs="Times New Roman"/>
          <w:i/>
          <w:iCs/>
        </w:rPr>
        <w:t>North Central and South American Exposition</w:t>
      </w:r>
      <w:r w:rsidRPr="005E6060">
        <w:rPr>
          <w:rFonts w:ascii="Times New Roman" w:hAnsi="Times New Roman" w:cs="Times New Roman"/>
        </w:rPr>
        <w:t>, 3.</w:t>
      </w:r>
    </w:p>
  </w:footnote>
  <w:footnote w:id="25">
    <w:p w14:paraId="77845010" w14:textId="77602990" w:rsidR="00C72C61" w:rsidRPr="005E6060" w:rsidRDefault="00C72C61">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Strawn, </w:t>
      </w:r>
      <w:r w:rsidRPr="005E6060">
        <w:rPr>
          <w:rFonts w:ascii="Times New Roman" w:hAnsi="Times New Roman" w:cs="Times New Roman"/>
          <w:i/>
          <w:iCs/>
        </w:rPr>
        <w:t>North Central and South American Exposition</w:t>
      </w:r>
      <w:r w:rsidRPr="005E6060">
        <w:rPr>
          <w:rFonts w:ascii="Times New Roman" w:hAnsi="Times New Roman" w:cs="Times New Roman"/>
        </w:rPr>
        <w:t>, 7.</w:t>
      </w:r>
    </w:p>
  </w:footnote>
  <w:footnote w:id="26">
    <w:p w14:paraId="3BF6BB93" w14:textId="02DEA23D" w:rsidR="0022640C" w:rsidRPr="005E6060" w:rsidRDefault="0022640C">
      <w:pPr>
        <w:pStyle w:val="FootnoteText"/>
        <w:rPr>
          <w:rFonts w:ascii="Times New Roman" w:hAnsi="Times New Roman" w:cs="Times New Roman"/>
        </w:rPr>
      </w:pPr>
      <w:r w:rsidRPr="005E6060">
        <w:rPr>
          <w:rStyle w:val="FootnoteReference"/>
          <w:rFonts w:ascii="Times New Roman" w:hAnsi="Times New Roman" w:cs="Times New Roman"/>
        </w:rPr>
        <w:footnoteRef/>
      </w:r>
      <w:r w:rsidR="00C72C61" w:rsidRPr="005E6060">
        <w:rPr>
          <w:rFonts w:ascii="Times New Roman" w:hAnsi="Times New Roman" w:cs="Times New Roman"/>
        </w:rPr>
        <w:t>Ibid</w:t>
      </w:r>
    </w:p>
  </w:footnote>
  <w:footnote w:id="27">
    <w:p w14:paraId="45B600FC" w14:textId="59F877AA" w:rsidR="0086229C" w:rsidRPr="005E6060" w:rsidRDefault="0086229C">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162C8A" w:rsidRPr="005E6060">
        <w:rPr>
          <w:rFonts w:ascii="Times New Roman" w:hAnsi="Times New Roman" w:cs="Times New Roman"/>
        </w:rPr>
        <w:t xml:space="preserve">Strawn, </w:t>
      </w:r>
      <w:r w:rsidR="00162C8A" w:rsidRPr="005E6060">
        <w:rPr>
          <w:rFonts w:ascii="Times New Roman" w:hAnsi="Times New Roman" w:cs="Times New Roman"/>
          <w:i/>
          <w:iCs/>
        </w:rPr>
        <w:t>North Central and South American Exposition</w:t>
      </w:r>
      <w:r w:rsidR="00162C8A" w:rsidRPr="005E6060">
        <w:rPr>
          <w:rFonts w:ascii="Times New Roman" w:hAnsi="Times New Roman" w:cs="Times New Roman"/>
        </w:rPr>
        <w:t>, 9.</w:t>
      </w:r>
    </w:p>
  </w:footnote>
  <w:footnote w:id="28">
    <w:p w14:paraId="696DF17B" w14:textId="6F69FC7F" w:rsidR="00233E51" w:rsidRPr="005E6060" w:rsidRDefault="00233E51">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46524A" w:rsidRPr="005E6060">
        <w:rPr>
          <w:rFonts w:ascii="Times New Roman" w:hAnsi="Times New Roman" w:cs="Times New Roman"/>
        </w:rPr>
        <w:t xml:space="preserve">Strawn, </w:t>
      </w:r>
      <w:r w:rsidR="0046524A" w:rsidRPr="005E6060">
        <w:rPr>
          <w:rFonts w:ascii="Times New Roman" w:hAnsi="Times New Roman" w:cs="Times New Roman"/>
          <w:i/>
          <w:iCs/>
        </w:rPr>
        <w:t>North Central and South American Exposition</w:t>
      </w:r>
      <w:r w:rsidR="0046524A" w:rsidRPr="005E6060">
        <w:rPr>
          <w:rFonts w:ascii="Times New Roman" w:hAnsi="Times New Roman" w:cs="Times New Roman"/>
        </w:rPr>
        <w:t>, 6.</w:t>
      </w:r>
    </w:p>
  </w:footnote>
  <w:footnote w:id="29">
    <w:p w14:paraId="727ACCC7" w14:textId="455A0727" w:rsidR="000C3FAA" w:rsidRPr="005E6060" w:rsidRDefault="000C3FAA">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46524A" w:rsidRPr="005E6060">
        <w:rPr>
          <w:rFonts w:ascii="Times New Roman" w:hAnsi="Times New Roman" w:cs="Times New Roman"/>
        </w:rPr>
        <w:t xml:space="preserve">Strawn, </w:t>
      </w:r>
      <w:r w:rsidR="0046524A" w:rsidRPr="005E6060">
        <w:rPr>
          <w:rFonts w:ascii="Times New Roman" w:hAnsi="Times New Roman" w:cs="Times New Roman"/>
          <w:i/>
          <w:iCs/>
        </w:rPr>
        <w:t>North Central and South American Exposition</w:t>
      </w:r>
      <w:r w:rsidR="0046524A" w:rsidRPr="005E6060">
        <w:rPr>
          <w:rFonts w:ascii="Times New Roman" w:hAnsi="Times New Roman" w:cs="Times New Roman"/>
        </w:rPr>
        <w:t>, 9.</w:t>
      </w:r>
    </w:p>
  </w:footnote>
  <w:footnote w:id="30">
    <w:p w14:paraId="7F06F8E0" w14:textId="3B65933E" w:rsidR="00900EC1" w:rsidRPr="005E6060" w:rsidRDefault="00900EC1">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6346ED" w:rsidRPr="005E6060">
        <w:rPr>
          <w:rFonts w:ascii="Times New Roman" w:hAnsi="Times New Roman" w:cs="Times New Roman"/>
        </w:rPr>
        <w:t xml:space="preserve">Strawn, </w:t>
      </w:r>
      <w:r w:rsidR="006346ED" w:rsidRPr="005E6060">
        <w:rPr>
          <w:rFonts w:ascii="Times New Roman" w:hAnsi="Times New Roman" w:cs="Times New Roman"/>
          <w:i/>
          <w:iCs/>
        </w:rPr>
        <w:t>North Central and South American Exposition</w:t>
      </w:r>
      <w:r w:rsidR="006346ED" w:rsidRPr="005E6060">
        <w:rPr>
          <w:rFonts w:ascii="Times New Roman" w:hAnsi="Times New Roman" w:cs="Times New Roman"/>
        </w:rPr>
        <w:t>, 5.</w:t>
      </w:r>
    </w:p>
  </w:footnote>
  <w:footnote w:id="31">
    <w:p w14:paraId="2445BB6F" w14:textId="0B9A4BF6" w:rsidR="006346ED" w:rsidRPr="005E6060" w:rsidRDefault="006346ED">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Ibid</w:t>
      </w:r>
    </w:p>
  </w:footnote>
  <w:footnote w:id="32">
    <w:p w14:paraId="76729CB0" w14:textId="480D3399" w:rsidR="00313FF5" w:rsidRPr="005E6060" w:rsidRDefault="00313FF5">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6346ED" w:rsidRPr="005E6060">
        <w:rPr>
          <w:rFonts w:ascii="Times New Roman" w:hAnsi="Times New Roman" w:cs="Times New Roman"/>
        </w:rPr>
        <w:t>Ibid</w:t>
      </w:r>
      <w:r w:rsidRPr="005E6060">
        <w:rPr>
          <w:rFonts w:ascii="Times New Roman" w:hAnsi="Times New Roman" w:cs="Times New Roman"/>
        </w:rPr>
        <w:t>.</w:t>
      </w:r>
    </w:p>
  </w:footnote>
  <w:footnote w:id="33">
    <w:p w14:paraId="7F95DDBB" w14:textId="51CC7E35" w:rsidR="00353B98" w:rsidRPr="005E6060" w:rsidRDefault="00353B98">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3A3878" w:rsidRPr="005E6060">
        <w:rPr>
          <w:rFonts w:ascii="Times New Roman" w:hAnsi="Times New Roman" w:cs="Times New Roman"/>
          <w:i/>
          <w:iCs/>
        </w:rPr>
        <w:t>Pontiac Michigan Sentinel</w:t>
      </w:r>
      <w:r w:rsidR="003A3878" w:rsidRPr="005E6060">
        <w:rPr>
          <w:rFonts w:ascii="Times New Roman" w:hAnsi="Times New Roman" w:cs="Times New Roman"/>
        </w:rPr>
        <w:t xml:space="preserve">, October 9, 1885; </w:t>
      </w:r>
      <w:r w:rsidR="003A3878" w:rsidRPr="005E6060">
        <w:rPr>
          <w:rFonts w:ascii="Times New Roman" w:hAnsi="Times New Roman" w:cs="Times New Roman"/>
          <w:i/>
          <w:iCs/>
        </w:rPr>
        <w:t>Champaign Daily Gazette</w:t>
      </w:r>
      <w:r w:rsidR="003A3878" w:rsidRPr="005E6060">
        <w:rPr>
          <w:rFonts w:ascii="Times New Roman" w:hAnsi="Times New Roman" w:cs="Times New Roman"/>
        </w:rPr>
        <w:t>, December 19, 1885.</w:t>
      </w:r>
    </w:p>
  </w:footnote>
  <w:footnote w:id="34">
    <w:p w14:paraId="3A1E69DA" w14:textId="067A1861" w:rsidR="005E6060" w:rsidRPr="005E6060" w:rsidRDefault="005E6060">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“The New Orleans Exposition,” </w:t>
      </w:r>
      <w:r w:rsidRPr="005E6060">
        <w:rPr>
          <w:rFonts w:ascii="Times New Roman" w:hAnsi="Times New Roman" w:cs="Times New Roman"/>
          <w:i/>
          <w:iCs/>
        </w:rPr>
        <w:t>The News-Gazette</w:t>
      </w:r>
      <w:r w:rsidRPr="005E6060">
        <w:rPr>
          <w:rFonts w:ascii="Times New Roman" w:hAnsi="Times New Roman" w:cs="Times New Roman"/>
        </w:rPr>
        <w:t xml:space="preserve"> (Champaign, IL), December 19, 1885, 1, </w:t>
      </w:r>
      <w:hyperlink r:id="rId2" w:tgtFrame="_new" w:history="1">
        <w:r w:rsidRPr="005E6060">
          <w:rPr>
            <w:rStyle w:val="Hyperlink"/>
            <w:rFonts w:ascii="Times New Roman" w:hAnsi="Times New Roman" w:cs="Times New Roman"/>
          </w:rPr>
          <w:t>https://www.newspapers.com/image/668157462/</w:t>
        </w:r>
      </w:hyperlink>
      <w:r w:rsidRPr="005E6060">
        <w:rPr>
          <w:rFonts w:ascii="Times New Roman" w:hAnsi="Times New Roman" w:cs="Times New Roman"/>
        </w:rPr>
        <w:t>.</w:t>
      </w:r>
    </w:p>
  </w:footnote>
  <w:footnote w:id="35">
    <w:p w14:paraId="60E1C508" w14:textId="1F3F40B6" w:rsidR="000A0920" w:rsidRPr="005E6060" w:rsidRDefault="000A0920">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Pr="005E6060">
        <w:rPr>
          <w:rFonts w:ascii="Times New Roman" w:hAnsi="Times New Roman" w:cs="Times New Roman"/>
          <w:i/>
          <w:iCs/>
        </w:rPr>
        <w:t>Butte Montana Miner</w:t>
      </w:r>
      <w:r w:rsidRPr="005E6060">
        <w:rPr>
          <w:rFonts w:ascii="Times New Roman" w:hAnsi="Times New Roman" w:cs="Times New Roman"/>
        </w:rPr>
        <w:t>, June 26, 1885.</w:t>
      </w:r>
    </w:p>
  </w:footnote>
  <w:footnote w:id="36">
    <w:p w14:paraId="5A922C91" w14:textId="434E477D" w:rsidR="00F15F4F" w:rsidRPr="005E6060" w:rsidRDefault="00F15F4F">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A25AD7" w:rsidRPr="005E6060">
        <w:rPr>
          <w:rFonts w:ascii="Times New Roman" w:hAnsi="Times New Roman" w:cs="Times New Roman"/>
        </w:rPr>
        <w:t xml:space="preserve">“To Take in Three Americas,” </w:t>
      </w:r>
      <w:r w:rsidR="00A25AD7" w:rsidRPr="005E6060">
        <w:rPr>
          <w:rFonts w:ascii="Times New Roman" w:hAnsi="Times New Roman" w:cs="Times New Roman"/>
          <w:i/>
          <w:iCs/>
        </w:rPr>
        <w:t>New York Times</w:t>
      </w:r>
      <w:r w:rsidR="00A25AD7" w:rsidRPr="005E6060">
        <w:rPr>
          <w:rFonts w:ascii="Times New Roman" w:hAnsi="Times New Roman" w:cs="Times New Roman"/>
        </w:rPr>
        <w:t>, June 28, 1885.</w:t>
      </w:r>
    </w:p>
  </w:footnote>
  <w:footnote w:id="37">
    <w:p w14:paraId="5F4ECCC8" w14:textId="4A5F08E9" w:rsidR="00A25AD7" w:rsidRPr="005E6060" w:rsidRDefault="00A25AD7">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5732E6" w:rsidRPr="005E6060">
        <w:rPr>
          <w:rFonts w:ascii="Times New Roman" w:hAnsi="Times New Roman" w:cs="Times New Roman"/>
        </w:rPr>
        <w:t xml:space="preserve">“New England at the North American Exposition,” </w:t>
      </w:r>
      <w:r w:rsidR="005732E6" w:rsidRPr="005E6060">
        <w:rPr>
          <w:rFonts w:ascii="Times New Roman" w:hAnsi="Times New Roman" w:cs="Times New Roman"/>
          <w:i/>
          <w:iCs/>
        </w:rPr>
        <w:t>Boston Evening Transcript</w:t>
      </w:r>
      <w:r w:rsidR="005732E6" w:rsidRPr="005E6060">
        <w:rPr>
          <w:rFonts w:ascii="Times New Roman" w:hAnsi="Times New Roman" w:cs="Times New Roman"/>
        </w:rPr>
        <w:t>, September 19, 1885.</w:t>
      </w:r>
    </w:p>
  </w:footnote>
  <w:footnote w:id="38">
    <w:p w14:paraId="05C2FEC5" w14:textId="0652C202" w:rsidR="009D20AF" w:rsidRPr="005E6060" w:rsidRDefault="009D20AF">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Mrs. Eugene Soniat, “Creole Exhibit,” </w:t>
      </w:r>
      <w:r w:rsidRPr="005E6060">
        <w:rPr>
          <w:rFonts w:ascii="Times New Roman" w:hAnsi="Times New Roman" w:cs="Times New Roman"/>
          <w:i/>
          <w:iCs/>
        </w:rPr>
        <w:t>Times-Picayune</w:t>
      </w:r>
      <w:r w:rsidRPr="005E6060">
        <w:rPr>
          <w:rFonts w:ascii="Times New Roman" w:hAnsi="Times New Roman" w:cs="Times New Roman"/>
        </w:rPr>
        <w:t xml:space="preserve"> (New Orleans, LA), August 30, 1885, 8, </w:t>
      </w:r>
      <w:hyperlink r:id="rId3" w:tgtFrame="_new" w:history="1">
        <w:r w:rsidRPr="005E6060">
          <w:rPr>
            <w:rStyle w:val="Hyperlink"/>
            <w:rFonts w:ascii="Times New Roman" w:hAnsi="Times New Roman" w:cs="Times New Roman"/>
          </w:rPr>
          <w:t>https://www.newspapers.com/image/28311132/?match=1&amp;terms=Eugene%20Soniat%20creole</w:t>
        </w:r>
      </w:hyperlink>
      <w:r w:rsidRPr="005E6060">
        <w:rPr>
          <w:rFonts w:ascii="Times New Roman" w:hAnsi="Times New Roman" w:cs="Times New Roman"/>
        </w:rPr>
        <w:t>.</w:t>
      </w:r>
    </w:p>
  </w:footnote>
  <w:footnote w:id="39">
    <w:p w14:paraId="66F93B2D" w14:textId="645934A0" w:rsidR="00BC3DE8" w:rsidRPr="005E6060" w:rsidRDefault="00BC3DE8">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Ibid</w:t>
      </w:r>
    </w:p>
  </w:footnote>
  <w:footnote w:id="40">
    <w:p w14:paraId="604A5469" w14:textId="77777777" w:rsidR="0011377E" w:rsidRPr="005E6060" w:rsidRDefault="0011377E" w:rsidP="0011377E">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“The Colored Committee to the Board,” </w:t>
      </w:r>
      <w:r w:rsidRPr="005E6060">
        <w:rPr>
          <w:rFonts w:ascii="Times New Roman" w:hAnsi="Times New Roman" w:cs="Times New Roman"/>
          <w:i/>
          <w:iCs/>
        </w:rPr>
        <w:t>Weekly Times-Picayune</w:t>
      </w:r>
      <w:r w:rsidRPr="005E6060">
        <w:rPr>
          <w:rFonts w:ascii="Times New Roman" w:hAnsi="Times New Roman" w:cs="Times New Roman"/>
        </w:rPr>
        <w:t xml:space="preserve"> (New Orleans, LA), September 5, 1885, </w:t>
      </w:r>
      <w:hyperlink r:id="rId4" w:tgtFrame="_new" w:history="1">
        <w:r w:rsidRPr="005E6060">
          <w:rPr>
            <w:rStyle w:val="Hyperlink"/>
            <w:rFonts w:ascii="Times New Roman" w:hAnsi="Times New Roman" w:cs="Times New Roman"/>
          </w:rPr>
          <w:t>https://www.newspapers.com/image/</w:t>
        </w:r>
      </w:hyperlink>
      <w:r w:rsidRPr="005E6060">
        <w:rPr>
          <w:rFonts w:ascii="Times New Roman" w:hAnsi="Times New Roman" w:cs="Times New Roman"/>
        </w:rPr>
        <w:t>.</w:t>
      </w:r>
    </w:p>
  </w:footnote>
  <w:footnote w:id="41">
    <w:p w14:paraId="21CED491" w14:textId="2CC56B3F" w:rsidR="00863633" w:rsidRPr="005E6060" w:rsidRDefault="00863633">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Ibid</w:t>
      </w:r>
    </w:p>
  </w:footnote>
  <w:footnote w:id="42">
    <w:p w14:paraId="09B8BDD0" w14:textId="3405D7EC" w:rsidR="00E526E7" w:rsidRPr="005E6060" w:rsidRDefault="00E526E7">
      <w:pPr>
        <w:pStyle w:val="FootnoteText"/>
        <w:rPr>
          <w:rFonts w:ascii="Times New Roman" w:hAnsi="Times New Roman" w:cs="Times New Roman"/>
        </w:rPr>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8948E3" w:rsidRPr="005E6060">
        <w:rPr>
          <w:rFonts w:ascii="Times New Roman" w:hAnsi="Times New Roman" w:cs="Times New Roman"/>
        </w:rPr>
        <w:t>Ibid</w:t>
      </w:r>
    </w:p>
  </w:footnote>
  <w:footnote w:id="43">
    <w:p w14:paraId="032EB6B0" w14:textId="76CD68E0" w:rsidR="00E526E7" w:rsidRDefault="00E526E7">
      <w:pPr>
        <w:pStyle w:val="FootnoteText"/>
      </w:pPr>
      <w:r w:rsidRPr="005E6060">
        <w:rPr>
          <w:rStyle w:val="FootnoteReference"/>
          <w:rFonts w:ascii="Times New Roman" w:hAnsi="Times New Roman" w:cs="Times New Roman"/>
        </w:rPr>
        <w:footnoteRef/>
      </w:r>
      <w:r w:rsidRPr="005E6060">
        <w:rPr>
          <w:rFonts w:ascii="Times New Roman" w:hAnsi="Times New Roman" w:cs="Times New Roman"/>
        </w:rPr>
        <w:t xml:space="preserve"> </w:t>
      </w:r>
      <w:r w:rsidR="00B45415" w:rsidRPr="005E6060">
        <w:rPr>
          <w:rFonts w:ascii="Times New Roman" w:hAnsi="Times New Roman" w:cs="Times New Roman"/>
        </w:rPr>
        <w:t xml:space="preserve">Justin A. Nystrom, </w:t>
      </w:r>
      <w:r w:rsidR="00B45415" w:rsidRPr="005E6060">
        <w:rPr>
          <w:rFonts w:ascii="Times New Roman" w:hAnsi="Times New Roman" w:cs="Times New Roman"/>
          <w:i/>
          <w:iCs/>
        </w:rPr>
        <w:t>New Orleans after the Civil War</w:t>
      </w:r>
      <w:r w:rsidR="00B45415" w:rsidRPr="005E6060">
        <w:rPr>
          <w:rFonts w:ascii="Times New Roman" w:hAnsi="Times New Roman" w:cs="Times New Roman"/>
        </w:rPr>
        <w:t xml:space="preserve"> (Baltimore: Johns Hopkins University Press, 2010).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D974" w14:textId="0C41F3C2" w:rsidR="00CC05F0" w:rsidRDefault="00CC05F0">
    <w:pPr>
      <w:pStyle w:val="Header"/>
    </w:pPr>
  </w:p>
  <w:p w14:paraId="77C05427" w14:textId="77777777" w:rsidR="00CC05F0" w:rsidRDefault="00CC05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840179"/>
      <w:docPartObj>
        <w:docPartGallery w:val="Page Numbers (Top of Page)"/>
        <w:docPartUnique/>
      </w:docPartObj>
    </w:sdtPr>
    <w:sdtEndPr>
      <w:rPr>
        <w:noProof/>
      </w:rPr>
    </w:sdtEndPr>
    <w:sdtContent>
      <w:p w14:paraId="6E2776BB" w14:textId="77777777" w:rsidR="00CC05F0" w:rsidRDefault="00CC05F0">
        <w:pPr>
          <w:pStyle w:val="Header"/>
        </w:pPr>
        <w:r w:rsidRPr="00CC05F0">
          <w:rPr>
            <w:rFonts w:ascii="Times New Roman" w:hAnsi="Times New Roman" w:cs="Times New Roman"/>
          </w:rPr>
          <w:t xml:space="preserve">Dee </w:t>
        </w:r>
        <w:r w:rsidRPr="00CC05F0">
          <w:rPr>
            <w:rFonts w:ascii="Times New Roman" w:hAnsi="Times New Roman" w:cs="Times New Roman"/>
          </w:rPr>
          <w:fldChar w:fldCharType="begin"/>
        </w:r>
        <w:r w:rsidRPr="00CC05F0">
          <w:rPr>
            <w:rFonts w:ascii="Times New Roman" w:hAnsi="Times New Roman" w:cs="Times New Roman"/>
          </w:rPr>
          <w:instrText xml:space="preserve"> PAGE   \* MERGEFORMAT </w:instrText>
        </w:r>
        <w:r w:rsidRPr="00CC05F0">
          <w:rPr>
            <w:rFonts w:ascii="Times New Roman" w:hAnsi="Times New Roman" w:cs="Times New Roman"/>
          </w:rPr>
          <w:fldChar w:fldCharType="separate"/>
        </w:r>
        <w:r w:rsidRPr="00CC05F0">
          <w:rPr>
            <w:rFonts w:ascii="Times New Roman" w:hAnsi="Times New Roman" w:cs="Times New Roman"/>
            <w:noProof/>
          </w:rPr>
          <w:t>2</w:t>
        </w:r>
        <w:r w:rsidRPr="00CC05F0">
          <w:rPr>
            <w:rFonts w:ascii="Times New Roman" w:hAnsi="Times New Roman" w:cs="Times New Roman"/>
            <w:noProof/>
          </w:rPr>
          <w:fldChar w:fldCharType="end"/>
        </w:r>
      </w:p>
    </w:sdtContent>
  </w:sdt>
  <w:p w14:paraId="7B02D572" w14:textId="77777777" w:rsidR="00CC05F0" w:rsidRDefault="00CC05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0555E"/>
    <w:multiLevelType w:val="multilevel"/>
    <w:tmpl w:val="6DB89E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4878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8D"/>
    <w:rsid w:val="00000B27"/>
    <w:rsid w:val="00002A10"/>
    <w:rsid w:val="00007F19"/>
    <w:rsid w:val="000121BE"/>
    <w:rsid w:val="0001454D"/>
    <w:rsid w:val="000260D1"/>
    <w:rsid w:val="00032F86"/>
    <w:rsid w:val="00041A12"/>
    <w:rsid w:val="000451B0"/>
    <w:rsid w:val="00051BBD"/>
    <w:rsid w:val="0005202C"/>
    <w:rsid w:val="00056CDA"/>
    <w:rsid w:val="00062D53"/>
    <w:rsid w:val="00065290"/>
    <w:rsid w:val="0006687B"/>
    <w:rsid w:val="00071274"/>
    <w:rsid w:val="00072B21"/>
    <w:rsid w:val="000805D5"/>
    <w:rsid w:val="00091413"/>
    <w:rsid w:val="0009444A"/>
    <w:rsid w:val="00095C8B"/>
    <w:rsid w:val="000961AF"/>
    <w:rsid w:val="000A0920"/>
    <w:rsid w:val="000A5EAB"/>
    <w:rsid w:val="000B24CC"/>
    <w:rsid w:val="000C3FAA"/>
    <w:rsid w:val="000F0873"/>
    <w:rsid w:val="000F6620"/>
    <w:rsid w:val="001017E3"/>
    <w:rsid w:val="00104199"/>
    <w:rsid w:val="0011377E"/>
    <w:rsid w:val="0012322B"/>
    <w:rsid w:val="001248DD"/>
    <w:rsid w:val="00134B72"/>
    <w:rsid w:val="00135041"/>
    <w:rsid w:val="0013740B"/>
    <w:rsid w:val="0014065D"/>
    <w:rsid w:val="00146E72"/>
    <w:rsid w:val="0015238F"/>
    <w:rsid w:val="00153CBC"/>
    <w:rsid w:val="001557B7"/>
    <w:rsid w:val="00162C8A"/>
    <w:rsid w:val="00164399"/>
    <w:rsid w:val="001651E6"/>
    <w:rsid w:val="00165837"/>
    <w:rsid w:val="00167D85"/>
    <w:rsid w:val="0017761A"/>
    <w:rsid w:val="001867C9"/>
    <w:rsid w:val="0018762B"/>
    <w:rsid w:val="001908AB"/>
    <w:rsid w:val="00195DDC"/>
    <w:rsid w:val="001A07FE"/>
    <w:rsid w:val="001A14C0"/>
    <w:rsid w:val="001A4EAB"/>
    <w:rsid w:val="001A5ADB"/>
    <w:rsid w:val="001A6912"/>
    <w:rsid w:val="001B14CD"/>
    <w:rsid w:val="001B2E8D"/>
    <w:rsid w:val="001B3EE9"/>
    <w:rsid w:val="001B4B41"/>
    <w:rsid w:val="001B7B61"/>
    <w:rsid w:val="001D11E7"/>
    <w:rsid w:val="001F2288"/>
    <w:rsid w:val="001F24FA"/>
    <w:rsid w:val="001F4ADF"/>
    <w:rsid w:val="00216C56"/>
    <w:rsid w:val="00217CBE"/>
    <w:rsid w:val="002203D7"/>
    <w:rsid w:val="0022049B"/>
    <w:rsid w:val="00220638"/>
    <w:rsid w:val="002218C4"/>
    <w:rsid w:val="0022640C"/>
    <w:rsid w:val="002277D4"/>
    <w:rsid w:val="00232118"/>
    <w:rsid w:val="00233E51"/>
    <w:rsid w:val="00237289"/>
    <w:rsid w:val="002413B2"/>
    <w:rsid w:val="00242FCC"/>
    <w:rsid w:val="00246F01"/>
    <w:rsid w:val="002519D2"/>
    <w:rsid w:val="00272ED0"/>
    <w:rsid w:val="00272F7D"/>
    <w:rsid w:val="00276551"/>
    <w:rsid w:val="002803AD"/>
    <w:rsid w:val="00283D34"/>
    <w:rsid w:val="00296728"/>
    <w:rsid w:val="002A1AFE"/>
    <w:rsid w:val="002A4F69"/>
    <w:rsid w:val="002A6C0F"/>
    <w:rsid w:val="002B7823"/>
    <w:rsid w:val="002C3C46"/>
    <w:rsid w:val="002D63DC"/>
    <w:rsid w:val="002E0F91"/>
    <w:rsid w:val="002E6021"/>
    <w:rsid w:val="002E6423"/>
    <w:rsid w:val="002F0C5A"/>
    <w:rsid w:val="002F113D"/>
    <w:rsid w:val="002F1F55"/>
    <w:rsid w:val="00301BFD"/>
    <w:rsid w:val="00311A59"/>
    <w:rsid w:val="0031225C"/>
    <w:rsid w:val="00313FF5"/>
    <w:rsid w:val="003218CD"/>
    <w:rsid w:val="0033513A"/>
    <w:rsid w:val="003378E6"/>
    <w:rsid w:val="00337A7D"/>
    <w:rsid w:val="00340E0F"/>
    <w:rsid w:val="00341570"/>
    <w:rsid w:val="00353B98"/>
    <w:rsid w:val="00366DCA"/>
    <w:rsid w:val="00375619"/>
    <w:rsid w:val="00385E35"/>
    <w:rsid w:val="003940B1"/>
    <w:rsid w:val="0039495B"/>
    <w:rsid w:val="00396F16"/>
    <w:rsid w:val="003A3878"/>
    <w:rsid w:val="003B095A"/>
    <w:rsid w:val="003B1CFD"/>
    <w:rsid w:val="003B2C6F"/>
    <w:rsid w:val="003B3105"/>
    <w:rsid w:val="003B6A6D"/>
    <w:rsid w:val="003C30E1"/>
    <w:rsid w:val="003D0E8A"/>
    <w:rsid w:val="003D7C7E"/>
    <w:rsid w:val="003E3E9D"/>
    <w:rsid w:val="003F30D9"/>
    <w:rsid w:val="003F64CF"/>
    <w:rsid w:val="004030D8"/>
    <w:rsid w:val="00407B00"/>
    <w:rsid w:val="00413E1D"/>
    <w:rsid w:val="004160C7"/>
    <w:rsid w:val="0041721C"/>
    <w:rsid w:val="0042063E"/>
    <w:rsid w:val="0042634B"/>
    <w:rsid w:val="004360E4"/>
    <w:rsid w:val="00436297"/>
    <w:rsid w:val="00442172"/>
    <w:rsid w:val="00443EEA"/>
    <w:rsid w:val="00447D71"/>
    <w:rsid w:val="0045164B"/>
    <w:rsid w:val="0046524A"/>
    <w:rsid w:val="00476093"/>
    <w:rsid w:val="0048300F"/>
    <w:rsid w:val="004855DE"/>
    <w:rsid w:val="0049342B"/>
    <w:rsid w:val="004945FA"/>
    <w:rsid w:val="004951B1"/>
    <w:rsid w:val="00495B67"/>
    <w:rsid w:val="00496858"/>
    <w:rsid w:val="00497FDF"/>
    <w:rsid w:val="004D011B"/>
    <w:rsid w:val="004D119D"/>
    <w:rsid w:val="004D3628"/>
    <w:rsid w:val="004D7C7B"/>
    <w:rsid w:val="004E2DA9"/>
    <w:rsid w:val="004E551A"/>
    <w:rsid w:val="004E5F91"/>
    <w:rsid w:val="004E6BBC"/>
    <w:rsid w:val="004E7598"/>
    <w:rsid w:val="004F49D9"/>
    <w:rsid w:val="005040C6"/>
    <w:rsid w:val="005108BB"/>
    <w:rsid w:val="0052145A"/>
    <w:rsid w:val="00535A27"/>
    <w:rsid w:val="00546E6A"/>
    <w:rsid w:val="00550DFA"/>
    <w:rsid w:val="005515AB"/>
    <w:rsid w:val="0055438B"/>
    <w:rsid w:val="00563E55"/>
    <w:rsid w:val="00567C78"/>
    <w:rsid w:val="00572251"/>
    <w:rsid w:val="0057284C"/>
    <w:rsid w:val="005732E6"/>
    <w:rsid w:val="00577DD9"/>
    <w:rsid w:val="00590034"/>
    <w:rsid w:val="005A7151"/>
    <w:rsid w:val="005B29C1"/>
    <w:rsid w:val="005B4DF5"/>
    <w:rsid w:val="005B5A8A"/>
    <w:rsid w:val="005B692D"/>
    <w:rsid w:val="005B6CD5"/>
    <w:rsid w:val="005C4E82"/>
    <w:rsid w:val="005C5F34"/>
    <w:rsid w:val="005C77C4"/>
    <w:rsid w:val="005D0297"/>
    <w:rsid w:val="005D46D6"/>
    <w:rsid w:val="005E144C"/>
    <w:rsid w:val="005E5AFB"/>
    <w:rsid w:val="005E6060"/>
    <w:rsid w:val="005E6FD8"/>
    <w:rsid w:val="005F139B"/>
    <w:rsid w:val="005F2EC4"/>
    <w:rsid w:val="005F582D"/>
    <w:rsid w:val="00605873"/>
    <w:rsid w:val="00614B3F"/>
    <w:rsid w:val="00614DDF"/>
    <w:rsid w:val="0062318D"/>
    <w:rsid w:val="00626425"/>
    <w:rsid w:val="0062765D"/>
    <w:rsid w:val="006346ED"/>
    <w:rsid w:val="00642105"/>
    <w:rsid w:val="0065167D"/>
    <w:rsid w:val="00667D84"/>
    <w:rsid w:val="00667FBE"/>
    <w:rsid w:val="00671401"/>
    <w:rsid w:val="00673B55"/>
    <w:rsid w:val="00682403"/>
    <w:rsid w:val="006A2742"/>
    <w:rsid w:val="006A4425"/>
    <w:rsid w:val="006A7BB4"/>
    <w:rsid w:val="006B0896"/>
    <w:rsid w:val="006C082D"/>
    <w:rsid w:val="006C3069"/>
    <w:rsid w:val="006C79FD"/>
    <w:rsid w:val="006D0B16"/>
    <w:rsid w:val="006E35C7"/>
    <w:rsid w:val="006E5C2C"/>
    <w:rsid w:val="006F0E52"/>
    <w:rsid w:val="006F4622"/>
    <w:rsid w:val="00703043"/>
    <w:rsid w:val="00717BAD"/>
    <w:rsid w:val="00721B8E"/>
    <w:rsid w:val="00727264"/>
    <w:rsid w:val="0073016E"/>
    <w:rsid w:val="0073306A"/>
    <w:rsid w:val="00750698"/>
    <w:rsid w:val="00756244"/>
    <w:rsid w:val="00756A41"/>
    <w:rsid w:val="00773480"/>
    <w:rsid w:val="00775A71"/>
    <w:rsid w:val="00781FD7"/>
    <w:rsid w:val="007844EE"/>
    <w:rsid w:val="00787D7E"/>
    <w:rsid w:val="00792714"/>
    <w:rsid w:val="007937B4"/>
    <w:rsid w:val="00794A17"/>
    <w:rsid w:val="007A2025"/>
    <w:rsid w:val="007A6857"/>
    <w:rsid w:val="007A7B09"/>
    <w:rsid w:val="007B57BA"/>
    <w:rsid w:val="007C2678"/>
    <w:rsid w:val="007D378C"/>
    <w:rsid w:val="007D3BD8"/>
    <w:rsid w:val="007E0DFD"/>
    <w:rsid w:val="007F79C5"/>
    <w:rsid w:val="007F7ACD"/>
    <w:rsid w:val="00800828"/>
    <w:rsid w:val="00803147"/>
    <w:rsid w:val="00806C6D"/>
    <w:rsid w:val="00807B9E"/>
    <w:rsid w:val="00807C52"/>
    <w:rsid w:val="008139C4"/>
    <w:rsid w:val="00831D42"/>
    <w:rsid w:val="0084391C"/>
    <w:rsid w:val="00845685"/>
    <w:rsid w:val="008544DD"/>
    <w:rsid w:val="00857039"/>
    <w:rsid w:val="0086229C"/>
    <w:rsid w:val="00863633"/>
    <w:rsid w:val="00863B20"/>
    <w:rsid w:val="00867056"/>
    <w:rsid w:val="008750C8"/>
    <w:rsid w:val="008821F5"/>
    <w:rsid w:val="008879EA"/>
    <w:rsid w:val="008948E3"/>
    <w:rsid w:val="008A4C78"/>
    <w:rsid w:val="008B16C2"/>
    <w:rsid w:val="008B358C"/>
    <w:rsid w:val="008B7ABC"/>
    <w:rsid w:val="008C42C7"/>
    <w:rsid w:val="008D3CCB"/>
    <w:rsid w:val="008D6B1A"/>
    <w:rsid w:val="008E4AD6"/>
    <w:rsid w:val="008F3A50"/>
    <w:rsid w:val="008F59DE"/>
    <w:rsid w:val="00900C51"/>
    <w:rsid w:val="00900EC1"/>
    <w:rsid w:val="009029E2"/>
    <w:rsid w:val="00903A76"/>
    <w:rsid w:val="00907561"/>
    <w:rsid w:val="00912708"/>
    <w:rsid w:val="00920248"/>
    <w:rsid w:val="00947878"/>
    <w:rsid w:val="00951450"/>
    <w:rsid w:val="0098030E"/>
    <w:rsid w:val="00980365"/>
    <w:rsid w:val="00986ECB"/>
    <w:rsid w:val="00992219"/>
    <w:rsid w:val="009B06BD"/>
    <w:rsid w:val="009B3D83"/>
    <w:rsid w:val="009B493C"/>
    <w:rsid w:val="009B68C9"/>
    <w:rsid w:val="009C0407"/>
    <w:rsid w:val="009D20AF"/>
    <w:rsid w:val="009D3682"/>
    <w:rsid w:val="009D428C"/>
    <w:rsid w:val="009D577C"/>
    <w:rsid w:val="009D66DA"/>
    <w:rsid w:val="009E06FA"/>
    <w:rsid w:val="009F392D"/>
    <w:rsid w:val="00A01025"/>
    <w:rsid w:val="00A0194D"/>
    <w:rsid w:val="00A01FC9"/>
    <w:rsid w:val="00A020FC"/>
    <w:rsid w:val="00A049F0"/>
    <w:rsid w:val="00A06062"/>
    <w:rsid w:val="00A16DF9"/>
    <w:rsid w:val="00A17B3D"/>
    <w:rsid w:val="00A2027B"/>
    <w:rsid w:val="00A25AD7"/>
    <w:rsid w:val="00A30FA7"/>
    <w:rsid w:val="00A365ED"/>
    <w:rsid w:val="00A477A6"/>
    <w:rsid w:val="00A53844"/>
    <w:rsid w:val="00A546BA"/>
    <w:rsid w:val="00A83631"/>
    <w:rsid w:val="00A85B31"/>
    <w:rsid w:val="00A90C75"/>
    <w:rsid w:val="00A96C38"/>
    <w:rsid w:val="00AA5A2D"/>
    <w:rsid w:val="00AB14C8"/>
    <w:rsid w:val="00AB3820"/>
    <w:rsid w:val="00AC3B8B"/>
    <w:rsid w:val="00AC7B85"/>
    <w:rsid w:val="00AD63CA"/>
    <w:rsid w:val="00AD6F42"/>
    <w:rsid w:val="00AE2639"/>
    <w:rsid w:val="00AE3354"/>
    <w:rsid w:val="00AE33F2"/>
    <w:rsid w:val="00AE6114"/>
    <w:rsid w:val="00AF14FF"/>
    <w:rsid w:val="00AF7057"/>
    <w:rsid w:val="00B0054D"/>
    <w:rsid w:val="00B11A75"/>
    <w:rsid w:val="00B160A3"/>
    <w:rsid w:val="00B20B09"/>
    <w:rsid w:val="00B30039"/>
    <w:rsid w:val="00B307ED"/>
    <w:rsid w:val="00B31BD4"/>
    <w:rsid w:val="00B330D7"/>
    <w:rsid w:val="00B3389D"/>
    <w:rsid w:val="00B42A73"/>
    <w:rsid w:val="00B45415"/>
    <w:rsid w:val="00B53491"/>
    <w:rsid w:val="00B6368A"/>
    <w:rsid w:val="00B72BAE"/>
    <w:rsid w:val="00B74FAD"/>
    <w:rsid w:val="00B827CD"/>
    <w:rsid w:val="00B90F5B"/>
    <w:rsid w:val="00B92C04"/>
    <w:rsid w:val="00BA5E6E"/>
    <w:rsid w:val="00BB1587"/>
    <w:rsid w:val="00BB493C"/>
    <w:rsid w:val="00BB4FAE"/>
    <w:rsid w:val="00BB5FE3"/>
    <w:rsid w:val="00BC3DE8"/>
    <w:rsid w:val="00BC6E8D"/>
    <w:rsid w:val="00BD6278"/>
    <w:rsid w:val="00BE159A"/>
    <w:rsid w:val="00BE3434"/>
    <w:rsid w:val="00BE44C4"/>
    <w:rsid w:val="00BF0461"/>
    <w:rsid w:val="00BF57BB"/>
    <w:rsid w:val="00C00939"/>
    <w:rsid w:val="00C053FC"/>
    <w:rsid w:val="00C05E2B"/>
    <w:rsid w:val="00C11A4B"/>
    <w:rsid w:val="00C11BD3"/>
    <w:rsid w:val="00C205FF"/>
    <w:rsid w:val="00C2097C"/>
    <w:rsid w:val="00C20E12"/>
    <w:rsid w:val="00C21F28"/>
    <w:rsid w:val="00C37BC3"/>
    <w:rsid w:val="00C60178"/>
    <w:rsid w:val="00C60295"/>
    <w:rsid w:val="00C6109F"/>
    <w:rsid w:val="00C66947"/>
    <w:rsid w:val="00C72C61"/>
    <w:rsid w:val="00C807B5"/>
    <w:rsid w:val="00C8284B"/>
    <w:rsid w:val="00C83B55"/>
    <w:rsid w:val="00C86A70"/>
    <w:rsid w:val="00C94EBE"/>
    <w:rsid w:val="00C96227"/>
    <w:rsid w:val="00CA5480"/>
    <w:rsid w:val="00CB5CA7"/>
    <w:rsid w:val="00CB6DE8"/>
    <w:rsid w:val="00CC02A6"/>
    <w:rsid w:val="00CC05F0"/>
    <w:rsid w:val="00CC4DC6"/>
    <w:rsid w:val="00CE693D"/>
    <w:rsid w:val="00CE7310"/>
    <w:rsid w:val="00D00464"/>
    <w:rsid w:val="00D02F0E"/>
    <w:rsid w:val="00D032F3"/>
    <w:rsid w:val="00D04E3D"/>
    <w:rsid w:val="00D11D13"/>
    <w:rsid w:val="00D128D3"/>
    <w:rsid w:val="00D15112"/>
    <w:rsid w:val="00D15FBB"/>
    <w:rsid w:val="00D25707"/>
    <w:rsid w:val="00D40069"/>
    <w:rsid w:val="00D5128F"/>
    <w:rsid w:val="00D52E9C"/>
    <w:rsid w:val="00D635C9"/>
    <w:rsid w:val="00D838EA"/>
    <w:rsid w:val="00D85C0F"/>
    <w:rsid w:val="00D942BF"/>
    <w:rsid w:val="00DA4C38"/>
    <w:rsid w:val="00DA5949"/>
    <w:rsid w:val="00DB05D3"/>
    <w:rsid w:val="00DB3778"/>
    <w:rsid w:val="00DC5229"/>
    <w:rsid w:val="00DD3FD4"/>
    <w:rsid w:val="00DE2F37"/>
    <w:rsid w:val="00DE689B"/>
    <w:rsid w:val="00DE7842"/>
    <w:rsid w:val="00DF49F6"/>
    <w:rsid w:val="00DF5D34"/>
    <w:rsid w:val="00E00185"/>
    <w:rsid w:val="00E001FE"/>
    <w:rsid w:val="00E04240"/>
    <w:rsid w:val="00E06BF9"/>
    <w:rsid w:val="00E1178E"/>
    <w:rsid w:val="00E13752"/>
    <w:rsid w:val="00E24C52"/>
    <w:rsid w:val="00E2533E"/>
    <w:rsid w:val="00E25A8F"/>
    <w:rsid w:val="00E27BC1"/>
    <w:rsid w:val="00E365A5"/>
    <w:rsid w:val="00E37BC6"/>
    <w:rsid w:val="00E47894"/>
    <w:rsid w:val="00E50165"/>
    <w:rsid w:val="00E526E7"/>
    <w:rsid w:val="00E5350E"/>
    <w:rsid w:val="00E5354B"/>
    <w:rsid w:val="00E634BF"/>
    <w:rsid w:val="00E66368"/>
    <w:rsid w:val="00E67E0C"/>
    <w:rsid w:val="00E67EB3"/>
    <w:rsid w:val="00E74BF9"/>
    <w:rsid w:val="00E76F4D"/>
    <w:rsid w:val="00E92D52"/>
    <w:rsid w:val="00E94387"/>
    <w:rsid w:val="00EA1B89"/>
    <w:rsid w:val="00EA3F8D"/>
    <w:rsid w:val="00EC1E08"/>
    <w:rsid w:val="00EC4D36"/>
    <w:rsid w:val="00EE2207"/>
    <w:rsid w:val="00EE5484"/>
    <w:rsid w:val="00F040A0"/>
    <w:rsid w:val="00F05CD3"/>
    <w:rsid w:val="00F127D7"/>
    <w:rsid w:val="00F14A99"/>
    <w:rsid w:val="00F14E02"/>
    <w:rsid w:val="00F15F4F"/>
    <w:rsid w:val="00F16B1B"/>
    <w:rsid w:val="00F22C55"/>
    <w:rsid w:val="00F33D0F"/>
    <w:rsid w:val="00F450BD"/>
    <w:rsid w:val="00F57577"/>
    <w:rsid w:val="00F6463A"/>
    <w:rsid w:val="00F836C0"/>
    <w:rsid w:val="00F83738"/>
    <w:rsid w:val="00F8481F"/>
    <w:rsid w:val="00F94AB4"/>
    <w:rsid w:val="00FA1D82"/>
    <w:rsid w:val="00FA480C"/>
    <w:rsid w:val="00FB0321"/>
    <w:rsid w:val="00FC779F"/>
    <w:rsid w:val="00FC7D13"/>
    <w:rsid w:val="00FD42E5"/>
    <w:rsid w:val="00FE124A"/>
    <w:rsid w:val="00FE1915"/>
    <w:rsid w:val="00FE5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187CC"/>
  <w15:chartTrackingRefBased/>
  <w15:docId w15:val="{942858FD-81C4-4EC1-A56D-A3F776FB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E8D"/>
    <w:rPr>
      <w:rFonts w:eastAsiaTheme="majorEastAsia" w:cstheme="majorBidi"/>
      <w:color w:val="272727" w:themeColor="text1" w:themeTint="D8"/>
    </w:rPr>
  </w:style>
  <w:style w:type="paragraph" w:styleId="Title">
    <w:name w:val="Title"/>
    <w:basedOn w:val="Normal"/>
    <w:next w:val="Normal"/>
    <w:link w:val="TitleChar"/>
    <w:uiPriority w:val="10"/>
    <w:qFormat/>
    <w:rsid w:val="00BC6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E8D"/>
    <w:pPr>
      <w:spacing w:before="160"/>
      <w:jc w:val="center"/>
    </w:pPr>
    <w:rPr>
      <w:i/>
      <w:iCs/>
      <w:color w:val="404040" w:themeColor="text1" w:themeTint="BF"/>
    </w:rPr>
  </w:style>
  <w:style w:type="character" w:customStyle="1" w:styleId="QuoteChar">
    <w:name w:val="Quote Char"/>
    <w:basedOn w:val="DefaultParagraphFont"/>
    <w:link w:val="Quote"/>
    <w:uiPriority w:val="29"/>
    <w:rsid w:val="00BC6E8D"/>
    <w:rPr>
      <w:i/>
      <w:iCs/>
      <w:color w:val="404040" w:themeColor="text1" w:themeTint="BF"/>
    </w:rPr>
  </w:style>
  <w:style w:type="paragraph" w:styleId="ListParagraph">
    <w:name w:val="List Paragraph"/>
    <w:basedOn w:val="Normal"/>
    <w:uiPriority w:val="34"/>
    <w:qFormat/>
    <w:rsid w:val="00BC6E8D"/>
    <w:pPr>
      <w:ind w:left="720"/>
      <w:contextualSpacing/>
    </w:pPr>
  </w:style>
  <w:style w:type="character" w:styleId="IntenseEmphasis">
    <w:name w:val="Intense Emphasis"/>
    <w:basedOn w:val="DefaultParagraphFont"/>
    <w:uiPriority w:val="21"/>
    <w:qFormat/>
    <w:rsid w:val="00BC6E8D"/>
    <w:rPr>
      <w:i/>
      <w:iCs/>
      <w:color w:val="0F4761" w:themeColor="accent1" w:themeShade="BF"/>
    </w:rPr>
  </w:style>
  <w:style w:type="paragraph" w:styleId="IntenseQuote">
    <w:name w:val="Intense Quote"/>
    <w:basedOn w:val="Normal"/>
    <w:next w:val="Normal"/>
    <w:link w:val="IntenseQuoteChar"/>
    <w:uiPriority w:val="30"/>
    <w:qFormat/>
    <w:rsid w:val="00BC6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E8D"/>
    <w:rPr>
      <w:i/>
      <w:iCs/>
      <w:color w:val="0F4761" w:themeColor="accent1" w:themeShade="BF"/>
    </w:rPr>
  </w:style>
  <w:style w:type="character" w:styleId="IntenseReference">
    <w:name w:val="Intense Reference"/>
    <w:basedOn w:val="DefaultParagraphFont"/>
    <w:uiPriority w:val="32"/>
    <w:qFormat/>
    <w:rsid w:val="00BC6E8D"/>
    <w:rPr>
      <w:b/>
      <w:bCs/>
      <w:smallCaps/>
      <w:color w:val="0F4761" w:themeColor="accent1" w:themeShade="BF"/>
      <w:spacing w:val="5"/>
    </w:rPr>
  </w:style>
  <w:style w:type="paragraph" w:styleId="Header">
    <w:name w:val="header"/>
    <w:basedOn w:val="Normal"/>
    <w:link w:val="HeaderChar"/>
    <w:uiPriority w:val="99"/>
    <w:unhideWhenUsed/>
    <w:rsid w:val="00CC0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5F0"/>
  </w:style>
  <w:style w:type="paragraph" w:styleId="Footer">
    <w:name w:val="footer"/>
    <w:basedOn w:val="Normal"/>
    <w:link w:val="FooterChar"/>
    <w:uiPriority w:val="99"/>
    <w:unhideWhenUsed/>
    <w:rsid w:val="00CC0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5F0"/>
  </w:style>
  <w:style w:type="paragraph" w:styleId="FootnoteText">
    <w:name w:val="footnote text"/>
    <w:basedOn w:val="Normal"/>
    <w:link w:val="FootnoteTextChar"/>
    <w:uiPriority w:val="99"/>
    <w:semiHidden/>
    <w:unhideWhenUsed/>
    <w:rsid w:val="00667F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7FBE"/>
    <w:rPr>
      <w:sz w:val="20"/>
      <w:szCs w:val="20"/>
    </w:rPr>
  </w:style>
  <w:style w:type="character" w:styleId="FootnoteReference">
    <w:name w:val="footnote reference"/>
    <w:basedOn w:val="DefaultParagraphFont"/>
    <w:uiPriority w:val="99"/>
    <w:semiHidden/>
    <w:unhideWhenUsed/>
    <w:rsid w:val="00667FBE"/>
    <w:rPr>
      <w:vertAlign w:val="superscript"/>
    </w:rPr>
  </w:style>
  <w:style w:type="paragraph" w:styleId="NormalWeb">
    <w:name w:val="Normal (Web)"/>
    <w:basedOn w:val="Normal"/>
    <w:uiPriority w:val="99"/>
    <w:semiHidden/>
    <w:unhideWhenUsed/>
    <w:rsid w:val="00237289"/>
    <w:rPr>
      <w:rFonts w:ascii="Times New Roman" w:hAnsi="Times New Roman" w:cs="Times New Roman"/>
    </w:rPr>
  </w:style>
  <w:style w:type="character" w:styleId="Hyperlink">
    <w:name w:val="Hyperlink"/>
    <w:basedOn w:val="DefaultParagraphFont"/>
    <w:uiPriority w:val="99"/>
    <w:unhideWhenUsed/>
    <w:rsid w:val="00900C51"/>
    <w:rPr>
      <w:color w:val="467886" w:themeColor="hyperlink"/>
      <w:u w:val="single"/>
    </w:rPr>
  </w:style>
  <w:style w:type="character" w:styleId="UnresolvedMention">
    <w:name w:val="Unresolved Mention"/>
    <w:basedOn w:val="DefaultParagraphFont"/>
    <w:uiPriority w:val="99"/>
    <w:semiHidden/>
    <w:unhideWhenUsed/>
    <w:rsid w:val="00900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newspapers.com/image/20367256/?match=1&amp;terms=%E2%80%9CTo%20Take%20in%20Three%20Americas%E2%80%9D%20"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newspapers.com/image/28311132/?match=1&amp;terms=Eugene%20Soniat%20creole" TargetMode="External"/><Relationship Id="rId2" Type="http://schemas.openxmlformats.org/officeDocument/2006/relationships/hyperlink" Target="https://www.newspapers.com/image/668157462/" TargetMode="External"/><Relationship Id="rId1" Type="http://schemas.openxmlformats.org/officeDocument/2006/relationships/hyperlink" Target="https://www.newspapers.com/image/132871735/" TargetMode="External"/><Relationship Id="rId4" Type="http://schemas.openxmlformats.org/officeDocument/2006/relationships/hyperlink" Target="https://www.newspapers.com/image/3331218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80FD4-7CA6-4DC8-9240-C269440AF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4737</Words>
  <Characters>27004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 Dee</dc:creator>
  <cp:keywords/>
  <dc:description/>
  <cp:lastModifiedBy>Jeb Dee</cp:lastModifiedBy>
  <cp:revision>4</cp:revision>
  <dcterms:created xsi:type="dcterms:W3CDTF">2026-03-17T04:22:00Z</dcterms:created>
  <dcterms:modified xsi:type="dcterms:W3CDTF">2026-03-17T04:27:00Z</dcterms:modified>
</cp:coreProperties>
</file>