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before="0" w:after="0"/>
        <w:ind w:firstLine="709"/>
        <w:jc w:val="both"/>
      </w:pPr>
      <w:r>
        <w:rPr>
          <w:rFonts w:ascii="Times New Roman" w:hAnsi="Times New Roman"/>
          <w:color w:val="000000"/>
          <w:sz w:val="28"/>
        </w:rPr>
        <w:t>Информационная безопасность EASY3</w:t>
      </w:r>
    </w:p>
    <w:p>
      <w:pPr>
        <w:pStyle w:val="Heading1"/>
        <w:spacing w:line="360" w:lineRule="auto" w:before="0" w:after="0"/>
        <w:ind w:firstLine="709"/>
        <w:jc w:val="both"/>
      </w:pPr>
      <w:r>
        <w:rPr>
          <w:rFonts w:ascii="Times New Roman" w:hAnsi="Times New Roman"/>
          <w:color w:val="000000"/>
          <w:sz w:val="28"/>
        </w:rPr>
        <w:t>Основные требования к защите информации</w:t>
      </w:r>
    </w:p>
    <w:p>
      <w:pPr>
        <w:spacing w:line="360" w:lineRule="auto" w:before="0" w:after="0"/>
        <w:ind w:firstLine="709"/>
        <w:jc w:val="both"/>
      </w:pPr>
      <w:r>
        <w:rPr>
          <w:rFonts w:ascii="Times New Roman" w:hAnsi="Times New Roman"/>
          <w:color w:val="000000"/>
          <w:sz w:val="28"/>
        </w:rPr>
        <w:t>EASY3 строится как многопользовательская производственная система с изоляцией предприятий, постоянной регистрацией производственных событий и ограниченным доступом к экономическим показателям. Безопасность охватывает клиентские устройства, сетевое взаимодействие, прикладной сервер, базу данных, объектное хранилище, интеграции, резервные копии и административный доступ. Во всех этих контурах применяются проверенные криптографические механизмы, разграничение полномочий, регистрация значимых действий и автоматизированный контроль нарушений.</w:t>
      </w:r>
    </w:p>
    <w:p>
      <w:pPr>
        <w:spacing w:line="360" w:lineRule="auto" w:before="0" w:after="0"/>
        <w:ind w:firstLine="709"/>
        <w:jc w:val="both"/>
      </w:pPr>
      <w:r>
        <w:rPr>
          <w:rFonts w:ascii="Times New Roman" w:hAnsi="Times New Roman"/>
          <w:color w:val="000000"/>
          <w:sz w:val="28"/>
        </w:rPr>
        <w:t>Данные одного предприятия не должны быть доступны пользователям другого предприятия ни через интерфейс, ни через API, прямые ссылки, файлы, экспорт, поиск, WebSocket, аналитические отчёты или искусственный интеллект. Собственник и уполномоченные им сотрудники получают информацию только в границах предоставленных полномочий. Технический администратор EASY3 не приобретает права просматривать производственные, финансовые и персональные сведения клиента только на основании системной роли.</w:t>
      </w:r>
    </w:p>
    <w:p>
      <w:pPr>
        <w:spacing w:line="360" w:lineRule="auto" w:before="0" w:after="0"/>
        <w:ind w:firstLine="709"/>
        <w:jc w:val="both"/>
      </w:pPr>
      <w:r>
        <w:rPr>
          <w:rFonts w:ascii="Times New Roman" w:hAnsi="Times New Roman"/>
          <w:color w:val="000000"/>
          <w:sz w:val="28"/>
        </w:rPr>
        <w:t>Обязательными свойствами системы являются конфиденциальность, целостность, доступность, подотчётность действий и восстановимость данных. Сохранение черновика, публикация плана, назначение исполнителя, принятие производственного факта и исправление события должны иметь подтверждённый серверный результат. Потеря сети или повторное нажатие кнопки не могут порождать повторных заданий, повторного выпуска или дублирования расхода материалов.</w:t>
      </w:r>
    </w:p>
    <w:p>
      <w:pPr>
        <w:spacing w:line="360" w:lineRule="auto" w:before="0" w:after="0"/>
        <w:ind w:firstLine="709"/>
        <w:jc w:val="both"/>
      </w:pPr>
      <w:r>
        <w:rPr>
          <w:rFonts w:ascii="Times New Roman" w:hAnsi="Times New Roman"/>
          <w:color w:val="000000"/>
          <w:sz w:val="28"/>
        </w:rPr>
        <w:t>Под гарантией безопасности в технической спецификации понимается обязательство реализовать конкретный контроль, испытать его и не выпускать функциональность при провале соответствующего теста. Нулевой риск атак, неизвестных уязвимостей или неправомерных действий внешнего провайдера не может подтверждаться одним документом; фактическая защищённость удостоверяется результатами испытаний, конфигурацией инфраструктуры и условиями договоров с поставщиками услуг.</w:t>
      </w:r>
    </w:p>
    <w:p>
      <w:pPr>
        <w:pStyle w:val="Heading1"/>
        <w:spacing w:line="360" w:lineRule="auto" w:before="0" w:after="0"/>
        <w:ind w:firstLine="709"/>
        <w:jc w:val="both"/>
      </w:pPr>
      <w:r>
        <w:rPr>
          <w:rFonts w:ascii="Times New Roman" w:hAnsi="Times New Roman"/>
          <w:color w:val="000000"/>
          <w:sz w:val="28"/>
        </w:rPr>
        <w:t>Нормативная основа и модель соответствия</w:t>
      </w:r>
    </w:p>
    <w:p>
      <w:pPr>
        <w:spacing w:line="360" w:lineRule="auto" w:before="0" w:after="0"/>
        <w:ind w:firstLine="709"/>
        <w:jc w:val="both"/>
      </w:pPr>
      <w:r>
        <w:rPr>
          <w:rFonts w:ascii="Times New Roman" w:hAnsi="Times New Roman"/>
          <w:color w:val="000000"/>
          <w:sz w:val="28"/>
        </w:rPr>
        <w:t>Техническая политика EASY3 учитывает Доктрину информационной безопасности Российской Федерации, утверждённую Указом Президента Российской Федерации от 5 декабря 2016 года № 646. Доктрина закрепляет государственные стратегические подходы к защите информационной сферы, устойчивости инфраструктуры и противодействию угрозам. Она применяется как ориентир архитектурных решений, но не заменяет конкретные требования законодательства к информационным системам персональных данных.</w:t>
      </w:r>
    </w:p>
    <w:p>
      <w:pPr>
        <w:spacing w:line="360" w:lineRule="auto" w:before="0" w:after="0"/>
        <w:ind w:firstLine="709"/>
        <w:jc w:val="both"/>
      </w:pPr>
      <w:r>
        <w:rPr>
          <w:rFonts w:ascii="Times New Roman" w:hAnsi="Times New Roman"/>
          <w:color w:val="000000"/>
          <w:sz w:val="28"/>
        </w:rPr>
        <w:t>Обработка сведений физических лиц осуществляется с учётом Федерального закона от 27 июля 2006 года № 152-ФЗ «О персональных данных», прежде всего требований к законным основаниям обработки, ограничению состава данных, локализации, безопасности, уведомлениям и правам субъектов. Система защиты информационной системы персональных данных определяется после инвентаризации составов данных, анализа актуальных угроз и установления применимого уровня защищённости по постановлению Правительства Российской Федерации от 1 ноября 2012 года № 1119.</w:t>
      </w:r>
    </w:p>
    <w:p>
      <w:pPr>
        <w:spacing w:line="360" w:lineRule="auto" w:before="0" w:after="0"/>
        <w:ind w:firstLine="709"/>
        <w:jc w:val="both"/>
      </w:pPr>
      <w:r>
        <w:rPr>
          <w:rFonts w:ascii="Times New Roman" w:hAnsi="Times New Roman"/>
          <w:color w:val="000000"/>
          <w:sz w:val="28"/>
        </w:rPr>
        <w:t>Организационные и технические меры выбираются с учётом приказа ФСТЭК России от 18 февраля 2013 года № 21 и, при применении средств криптографической защиты информации для выполнения регулируемых требований, соответствующих положений приказа ФСБ России от 10 июля 2014 года № 378. Требования к обезличиванию учитывают приказ Роскомнадзора от 19 июня 2025 года № 140; применимость постановления Правительства Российской Федерации от 1 августа 2025 года № 1154 определяется назначением конкретного процесса передачи обезличенных данных.</w:t>
      </w:r>
    </w:p>
    <w:p>
      <w:pPr>
        <w:spacing w:line="360" w:lineRule="auto" w:before="0" w:after="0"/>
        <w:ind w:firstLine="709"/>
        <w:jc w:val="both"/>
      </w:pPr>
      <w:r>
        <w:rPr>
          <w:rFonts w:ascii="Times New Roman" w:hAnsi="Times New Roman"/>
          <w:color w:val="000000"/>
          <w:sz w:val="28"/>
        </w:rPr>
        <w:t>Режим обработки персональных данных и трансграничной передачи оценивается по фактическому потоку данных, а не по наименованию API или местонахождению посредника. Если REG.ru перенаправляет запрос за пределы Российской Федерации либо сохраняет метаданные, условия обработки и требуемые правовые действия определяются до включения интеграции. Нельзя приравнивать общий факт работы с российским агрегатором к доказательству территориального нахождения всех используемых моделей.</w:t>
      </w:r>
    </w:p>
    <w:p>
      <w:pPr>
        <w:pStyle w:val="Heading1"/>
        <w:spacing w:line="360" w:lineRule="auto" w:before="0" w:after="0"/>
        <w:ind w:firstLine="709"/>
        <w:jc w:val="both"/>
      </w:pPr>
      <w:r>
        <w:rPr>
          <w:rFonts w:ascii="Times New Roman" w:hAnsi="Times New Roman"/>
          <w:color w:val="000000"/>
          <w:sz w:val="28"/>
        </w:rPr>
        <w:t>Модель угроз и защищаемые границы</w:t>
      </w:r>
    </w:p>
    <w:p>
      <w:pPr>
        <w:spacing w:line="360" w:lineRule="auto" w:before="0" w:after="0"/>
        <w:ind w:firstLine="709"/>
        <w:jc w:val="both"/>
      </w:pPr>
      <w:r>
        <w:rPr>
          <w:rFonts w:ascii="Times New Roman" w:hAnsi="Times New Roman"/>
          <w:color w:val="000000"/>
          <w:sz w:val="28"/>
        </w:rPr>
        <w:t>Модель угроз включает внешние атаки на веб- и мобильный интерфейсы, компрометацию учётных записей, подбор паролей и PIN, кражу сессий, вредоносную загрузку файлов, ошибки API, обход разграничения доступа и нарушение изоляции компаний. Учитываются также SQL-инъекции, межсайтовое выполнение скриптов, подделка запросов, SSRF, обращение по подменённым объектным идентификаторам и отказ в обслуживании.</w:t>
      </w:r>
    </w:p>
    <w:p>
      <w:pPr>
        <w:spacing w:line="360" w:lineRule="auto" w:before="0" w:after="0"/>
        <w:ind w:firstLine="709"/>
        <w:jc w:val="both"/>
      </w:pPr>
      <w:r>
        <w:rPr>
          <w:rFonts w:ascii="Times New Roman" w:hAnsi="Times New Roman"/>
          <w:color w:val="000000"/>
          <w:sz w:val="28"/>
        </w:rPr>
        <w:t>Отдельными сценариями считаются злоупотребления сотрудника с законным доступом, создание чрезмерных выгрузок, просмотр чужой экономики через аналитические отчёты, изменение истории производства без полномочий, компрометация CI/CD, заражение зависимости, похищение ключа шифрования и несанкционированный доступ к резервной копии. Раскрытие информации через служебные логи, сообщения об ошибках и инструменты наблюдаемости рассматривается наравне с прямым чтением базы.</w:t>
      </w:r>
    </w:p>
    <w:p>
      <w:pPr>
        <w:spacing w:line="360" w:lineRule="auto" w:before="0" w:after="0"/>
        <w:ind w:firstLine="709"/>
        <w:jc w:val="both"/>
      </w:pPr>
      <w:r>
        <w:rPr>
          <w:rFonts w:ascii="Times New Roman" w:hAnsi="Times New Roman"/>
          <w:color w:val="000000"/>
          <w:sz w:val="28"/>
        </w:rPr>
        <w:t>Для AI-интеграции моделируются утечка персональных данных через текст запроса, косвенное раскрытие личности через комбинацию признаков, повторная идентификация по устойчивым идентификаторам, внедрение инструкций в загруженный документ, возврат вредоносного содержания моделью и хранение запроса внешним посредником. Внешняя нейросеть считается недоверенной по отношению к системе прав, финансовым данным и процедурам утверждения.</w:t>
      </w:r>
    </w:p>
    <w:p>
      <w:pPr>
        <w:spacing w:line="360" w:lineRule="auto" w:before="0" w:after="0"/>
        <w:ind w:firstLine="709"/>
        <w:jc w:val="both"/>
      </w:pPr>
      <w:r>
        <w:rPr>
          <w:rFonts w:ascii="Times New Roman" w:hAnsi="Times New Roman"/>
          <w:color w:val="000000"/>
          <w:sz w:val="28"/>
        </w:rPr>
        <w:t>Граница доверия проходит между клиентом и сервером, между прикладным сервером и базой, между компаниями в многопользовательской системе, между техническим оператором и клиентскими данными, а также между внутренним расчётным контуром и сервисом REG.ru. Пересечение каждой границы допускается только после проверки полномочий, состава передаваемых данных и криптографической защиты соединения.</w:t>
      </w:r>
    </w:p>
    <w:p>
      <w:pPr>
        <w:pStyle w:val="Heading1"/>
        <w:spacing w:line="360" w:lineRule="auto" w:before="0" w:after="0"/>
        <w:ind w:firstLine="709"/>
        <w:jc w:val="both"/>
      </w:pPr>
      <w:r>
        <w:rPr>
          <w:rFonts w:ascii="Times New Roman" w:hAnsi="Times New Roman"/>
          <w:color w:val="000000"/>
          <w:sz w:val="28"/>
        </w:rPr>
        <w:t>Размещение серверов и сегментация инфраструктуры</w:t>
      </w:r>
    </w:p>
    <w:p>
      <w:pPr>
        <w:spacing w:line="360" w:lineRule="auto" w:before="0" w:after="0"/>
        <w:ind w:firstLine="709"/>
        <w:jc w:val="both"/>
      </w:pPr>
      <w:r>
        <w:rPr>
          <w:rFonts w:ascii="Times New Roman" w:hAnsi="Times New Roman"/>
          <w:color w:val="000000"/>
          <w:sz w:val="28"/>
        </w:rPr>
        <w:t>Продуктивное хранилище персональных данных граждан Российской Федерации размещается на серверах и в базах данных на территории Российской Федерации. При выборе собственного оборудования или облачной площадки документально подтверждаются расположение инфраструктуры, условия доступа администратора, порядок резервирования и наличие процедур удаления данных. Тестовая и продуктивная среды физически или логически изолируются; реальные персональные данные не копируются в разработку без специального основания и защищённой процедуры.</w:t>
      </w:r>
    </w:p>
    <w:p>
      <w:pPr>
        <w:spacing w:line="360" w:lineRule="auto" w:before="0" w:after="0"/>
        <w:ind w:firstLine="709"/>
        <w:jc w:val="both"/>
      </w:pPr>
      <w:r>
        <w:rPr>
          <w:rFonts w:ascii="Times New Roman" w:hAnsi="Times New Roman"/>
          <w:color w:val="000000"/>
          <w:sz w:val="28"/>
        </w:rPr>
        <w:t>Сетевое размещение строится по схеме: клиентское приложение — пограничная защита — обратный прокси — прикладной API — закрытая сеть данных. PostgreSQL, сервер очередей, хранилище файлов, хранилище ключей и служебные панели не получают публичных адресов и не открываются непосредственно в Интернет. Разрешаются только необходимые направления взаимодействия, все остальные входящие и исходящие соединения блокируются политикой межсетевого экрана.</w:t>
      </w:r>
    </w:p>
    <w:p>
      <w:pPr>
        <w:spacing w:line="360" w:lineRule="auto" w:before="0" w:after="0"/>
        <w:ind w:firstLine="709"/>
        <w:jc w:val="both"/>
      </w:pPr>
      <w:r>
        <w:rPr>
          <w:rFonts w:ascii="Times New Roman" w:hAnsi="Times New Roman"/>
          <w:color w:val="000000"/>
          <w:sz w:val="28"/>
        </w:rPr>
        <w:t>Доступ специалистов к продуктивной инфраструктуре проходит через управляемый защищённый канал, например корпоративный VPN с многофакторной аутентификацией и промежуточным узлом доступа. Административные учётные записи персональные, действия протоколируются, доступ предоставляется на ограниченное время. Прямой вход пользователя root и административные интерфейсы без VPN запрещаются; подключение по SSH допускается только по ключам, с отдельным контролем привилегированных действий.</w:t>
      </w:r>
    </w:p>
    <w:p>
      <w:pPr>
        <w:spacing w:line="360" w:lineRule="auto" w:before="0" w:after="0"/>
        <w:ind w:firstLine="709"/>
        <w:jc w:val="both"/>
      </w:pPr>
      <w:r>
        <w:rPr>
          <w:rFonts w:ascii="Times New Roman" w:hAnsi="Times New Roman"/>
          <w:color w:val="000000"/>
          <w:sz w:val="28"/>
        </w:rPr>
        <w:t>На границе сети применяются ограничение частоты запросов, фильтрация типовых веб-атак, контроль объёмов загрузок, защита от DDoS и запрет неожиданных исходящих соединений. Для AI-шлюза на уровне egress разрешается обращение только к проверенным доменам и адресам API REG.ru. Подмена DNS, перенаправление на непроверенный хост или отключение проверки сертификатов должны приводить к блокированию запроса.</w:t>
      </w:r>
    </w:p>
    <w:p>
      <w:pPr>
        <w:pStyle w:val="Heading1"/>
        <w:spacing w:line="360" w:lineRule="auto" w:before="0" w:after="0"/>
        <w:ind w:firstLine="709"/>
        <w:jc w:val="both"/>
      </w:pPr>
      <w:r>
        <w:rPr>
          <w:rFonts w:ascii="Times New Roman" w:hAnsi="Times New Roman"/>
          <w:color w:val="000000"/>
          <w:sz w:val="28"/>
        </w:rPr>
        <w:t>Шифрование каналов связи и защищённые алгоритмы</w:t>
      </w:r>
    </w:p>
    <w:p>
      <w:pPr>
        <w:spacing w:line="360" w:lineRule="auto" w:before="0" w:after="0"/>
        <w:ind w:firstLine="709"/>
        <w:jc w:val="both"/>
      </w:pPr>
      <w:r>
        <w:rPr>
          <w:rFonts w:ascii="Times New Roman" w:hAnsi="Times New Roman"/>
          <w:color w:val="000000"/>
          <w:sz w:val="28"/>
        </w:rPr>
        <w:t>Все пользовательские и межсервисные соединения, по которым передаются учетные, производственные или персональные данные, защищаются TLS 1.3 с обязательной проверкой действительности и имени сертификата. При вынужденной совместимости с устаревшим корпоративным клиентом TLS 1.2 допускается только как отдельно утверждённое исключение с ECDHE и стойкими наборами шифров. Передача по незащищённому HTTP, поддержка SSL, TLS 1.0/1.1, RC4, 3DES и статического RSA-обмена ключами запрещаются.</w:t>
      </w:r>
    </w:p>
    <w:p>
      <w:pPr>
        <w:spacing w:line="360" w:lineRule="auto" w:before="0" w:after="0"/>
        <w:ind w:firstLine="709"/>
        <w:jc w:val="both"/>
      </w:pPr>
      <w:r>
        <w:rPr>
          <w:rFonts w:ascii="Times New Roman" w:hAnsi="Times New Roman"/>
          <w:color w:val="000000"/>
          <w:sz w:val="28"/>
        </w:rPr>
        <w:t>Для TLS 1.3 используются современные согласованные комплекты, например TLS_AES_256_GCM_SHA384 либо TLS_CHACHA20_POLY1305_SHA256, а также прямой секретностью сессионных ключей на основе ECDHE. Перечень допустимых групп обмена ключами и сертификатов определяется актуальным криптографическим профилем сервера. Отдельное прикладное «шифрование поверх HTTPS» не требуется без конкретной модели угроз; самодельные криптографические алгоритмы и отключение проверки сертификата не допускаются.</w:t>
      </w:r>
    </w:p>
    <w:p>
      <w:pPr>
        <w:spacing w:line="360" w:lineRule="auto" w:before="0" w:after="0"/>
        <w:ind w:firstLine="709"/>
        <w:jc w:val="both"/>
      </w:pPr>
      <w:r>
        <w:rPr>
          <w:rFonts w:ascii="Times New Roman" w:hAnsi="Times New Roman"/>
          <w:color w:val="000000"/>
          <w:sz w:val="28"/>
        </w:rPr>
        <w:t>Обмен в реальном времени ведётся через WSS с теми же требованиями TLS, что и HTTPS. Для внутренних сервисов и критичных подключений применяется взаимная аутентификация сертификатами mTLS либо эквивалентная защищённая схема с проверяемой идентичностью сервисов. Передача файлов, импорт из внешних систем, вебхуки и административные API используют HTTPS или защищённый выделенный канал; ключи доступа не помещаются в URL и журналы запросов.</w:t>
      </w:r>
    </w:p>
    <w:p>
      <w:pPr>
        <w:spacing w:line="360" w:lineRule="auto" w:before="0" w:after="0"/>
        <w:ind w:firstLine="709"/>
        <w:jc w:val="both"/>
      </w:pPr>
      <w:r>
        <w:rPr>
          <w:rFonts w:ascii="Times New Roman" w:hAnsi="Times New Roman"/>
          <w:color w:val="000000"/>
          <w:sz w:val="28"/>
        </w:rPr>
        <w:t>Клиент получает заголовки HSTS, Content-Security-Policy, X-Content-Type-Options и другие политики защиты браузера в соответствии с реализованными функциями. Cookie сессии имеют атрибуты Secure, HttpOnly и подходящую политику SameSite. При изменении домена или маршрута запрос не должен понижать уровень шифрования.</w:t>
      </w:r>
    </w:p>
    <w:p>
      <w:pPr>
        <w:pStyle w:val="Heading1"/>
        <w:spacing w:line="360" w:lineRule="auto" w:before="0" w:after="0"/>
        <w:ind w:firstLine="709"/>
        <w:jc w:val="both"/>
      </w:pPr>
      <w:r>
        <w:rPr>
          <w:rFonts w:ascii="Times New Roman" w:hAnsi="Times New Roman"/>
          <w:color w:val="000000"/>
          <w:sz w:val="28"/>
        </w:rPr>
        <w:t>Шифрование серверного хранения</w:t>
      </w:r>
    </w:p>
    <w:p>
      <w:pPr>
        <w:spacing w:line="360" w:lineRule="auto" w:before="0" w:after="0"/>
        <w:ind w:firstLine="709"/>
        <w:jc w:val="both"/>
      </w:pPr>
      <w:r>
        <w:rPr>
          <w:rFonts w:ascii="Times New Roman" w:hAnsi="Times New Roman"/>
          <w:color w:val="000000"/>
          <w:sz w:val="28"/>
        </w:rPr>
        <w:t>Все постоянные носители продуктивной системы шифруются: тома операционной системы с прикладными данными, PostgreSQL, объектное хранилище, файлы импорта, очереди, временные каталоги, служебные журналы и резервные копии. Для блочного хранения применяется проверенное полнодисковое шифрование, например LUKS2/dm-crypt с AES-XTS при корректном выборе длины ключа. Шифрование диска защищает прежде всего от чтения снятого носителя; оно не отменяет ограничений доступа к запущенной базе данных.</w:t>
      </w:r>
    </w:p>
    <w:p>
      <w:pPr>
        <w:spacing w:line="360" w:lineRule="auto" w:before="0" w:after="0"/>
        <w:ind w:firstLine="709"/>
        <w:jc w:val="both"/>
      </w:pPr>
      <w:r>
        <w:rPr>
          <w:rFonts w:ascii="Times New Roman" w:hAnsi="Times New Roman"/>
          <w:color w:val="000000"/>
          <w:sz w:val="28"/>
        </w:rPr>
        <w:t>Поля, по которым можно непосредственно идентифицировать физическое лицо, дополнительно защищаются на прикладном уровне аутентифицированным шифрованием AES-256-GCM с уникальным случайным nonce для каждого значения. Такая защита распространяется на ФИО, контактные данные, служебные заметки с персональными сведениями и иные поля, определённые инвентаризацией. Каждый зашифрованный объект содержит номер версии алгоритма и ключа, nonce и проверяемый тег аутентификации; неуспешная проверка тега приводит к отказу в чтении.</w:t>
      </w:r>
    </w:p>
    <w:p>
      <w:pPr>
        <w:spacing w:line="360" w:lineRule="auto" w:before="0" w:after="0"/>
        <w:ind w:firstLine="709"/>
        <w:jc w:val="both"/>
      </w:pPr>
      <w:r>
        <w:rPr>
          <w:rFonts w:ascii="Times New Roman" w:hAnsi="Times New Roman"/>
          <w:color w:val="000000"/>
          <w:sz w:val="28"/>
        </w:rPr>
        <w:t>Если для поиска требуется телефон или адрес электронной почты, обычный хеш от исходной строки в базе не используется как самостоятельная защита: он может подбираться по словарю. Допускается отдельно защищённый индекс HMAC-SHA-256 с секретным ключом, не хранящимся в таблицах данных. Поиск выполняется внутри доверенного сервиса после проверки прав, без выдачи индекса клиенту или внешнему AI.</w:t>
      </w:r>
    </w:p>
    <w:p>
      <w:pPr>
        <w:spacing w:line="360" w:lineRule="auto" w:before="0" w:after="0"/>
        <w:ind w:firstLine="709"/>
        <w:jc w:val="both"/>
      </w:pPr>
      <w:r>
        <w:rPr>
          <w:rFonts w:ascii="Times New Roman" w:hAnsi="Times New Roman"/>
          <w:color w:val="000000"/>
          <w:sz w:val="28"/>
        </w:rPr>
        <w:t>Документы, фотографии, технологические файлы и результаты импорта хранятся в закрытом объектном хранилище; используются шифрование объектов, контроль типов, разграничение по компании и краткоживущие подписанные ссылки либо выдача через авторизованный backend. Публичный ACL на контейнере запрещён. Оригиналы файлов недоступны ни по прямому угадываемому адресу, ни по идентификатору чужой компании.</w:t>
      </w:r>
    </w:p>
    <w:p>
      <w:pPr>
        <w:spacing w:line="360" w:lineRule="auto" w:before="0" w:after="0"/>
        <w:ind w:firstLine="709"/>
        <w:jc w:val="both"/>
      </w:pPr>
      <w:r>
        <w:rPr>
          <w:rFonts w:ascii="Times New Roman" w:hAnsi="Times New Roman"/>
          <w:color w:val="000000"/>
          <w:sz w:val="28"/>
        </w:rPr>
        <w:t>Все резервные копии перед выгрузкой за пределы продуктивного хранилища шифруются аутентифицированным алгоритмом, например AES-256-GCM, и снабжаются проверкой целостности. Данные ключей, токены, пароли, содержимое памяти приложения и расшифрованные записи не должны попадать в диагностические дампы и архивы. При выполнении разрешённой операции информация может существовать в оперативной памяти в открытом виде; это ограниченный необходимый этап обработки, а не незащищённое постоянное хранение.</w:t>
      </w:r>
    </w:p>
    <w:p>
      <w:pPr>
        <w:pStyle w:val="Heading1"/>
        <w:spacing w:line="360" w:lineRule="auto" w:before="0" w:after="0"/>
        <w:ind w:firstLine="709"/>
        <w:jc w:val="both"/>
      </w:pPr>
      <w:r>
        <w:rPr>
          <w:rFonts w:ascii="Times New Roman" w:hAnsi="Times New Roman"/>
          <w:color w:val="000000"/>
          <w:sz w:val="28"/>
        </w:rPr>
        <w:t>Управление криптографическими ключами и секретами</w:t>
      </w:r>
    </w:p>
    <w:p>
      <w:pPr>
        <w:spacing w:line="360" w:lineRule="auto" w:before="0" w:after="0"/>
        <w:ind w:firstLine="709"/>
        <w:jc w:val="both"/>
      </w:pPr>
      <w:r>
        <w:rPr>
          <w:rFonts w:ascii="Times New Roman" w:hAnsi="Times New Roman"/>
          <w:color w:val="000000"/>
          <w:sz w:val="28"/>
        </w:rPr>
        <w:t>Ключи шифрования отделяются от самих зашифрованных данных. Предпочтительна модель envelope encryption: данные защищаются отдельными ключами DEK, а сами DEK шифруются мастер-ключом KEK в KMS, Vault или аппаратном модуле HSM. Для разных клиентских компаний предусматривается логическое разделение ключей либо версий ключевого материала, чтобы компрометация одного доступа не открывала все клиентские данные.</w:t>
      </w:r>
    </w:p>
    <w:p>
      <w:pPr>
        <w:spacing w:line="360" w:lineRule="auto" w:before="0" w:after="0"/>
        <w:ind w:firstLine="709"/>
        <w:jc w:val="both"/>
      </w:pPr>
      <w:r>
        <w:rPr>
          <w:rFonts w:ascii="Times New Roman" w:hAnsi="Times New Roman"/>
          <w:color w:val="000000"/>
          <w:sz w:val="28"/>
        </w:rPr>
        <w:t>Приложение получает доступ к расшифрованию только через сервис с разрешённой ролью. Мастер-ключи запрещено сохранять в исходном коде, файлах конфигурации репозитория, логах, образах контейнеров и браузере. Токены интеграции с REG.ru, ключи отправки уведомлений и пароль базы выдаются через хранилище секретов с контролем доступа, журналированием операций и ротацией.</w:t>
      </w:r>
    </w:p>
    <w:p>
      <w:pPr>
        <w:spacing w:line="360" w:lineRule="auto" w:before="0" w:after="0"/>
        <w:ind w:firstLine="709"/>
        <w:jc w:val="both"/>
      </w:pPr>
      <w:r>
        <w:rPr>
          <w:rFonts w:ascii="Times New Roman" w:hAnsi="Times New Roman"/>
          <w:color w:val="000000"/>
          <w:sz w:val="28"/>
        </w:rPr>
        <w:t>Ротация ключей выполняется по утверждённому регламенту, при смене ответственных лиц, после подозрения на компрометацию и при изменении криптографической политики. Старая версия ключа остаётся доступной только для контролируемого чтения исторических данных на период переноса, затем выводится из обращения. Удаление пользовательских данных не должно зависеть от хранения общего мастер-ключа; при применимой архитектуре допустимо криптографическое уничтожение выделенного ключа данных.</w:t>
      </w:r>
    </w:p>
    <w:p>
      <w:pPr>
        <w:spacing w:line="360" w:lineRule="auto" w:before="0" w:after="0"/>
        <w:ind w:firstLine="709"/>
        <w:jc w:val="both"/>
      </w:pPr>
      <w:r>
        <w:rPr>
          <w:rFonts w:ascii="Times New Roman" w:hAnsi="Times New Roman"/>
          <w:color w:val="000000"/>
          <w:sz w:val="28"/>
        </w:rPr>
        <w:t>Используются только генераторы случайных чисел, предназначенные для криптографических целей. Применение предсказуемых чисел времени, последовательных идентификаторов или обычных псевдослучайных функций как ключей, nonce и одноразовых токенов запрещено. Хранение, резервирование и восстановление мастер-ключей проходят отдельную процедуру контроля.</w:t>
      </w:r>
    </w:p>
    <w:p>
      <w:pPr>
        <w:pStyle w:val="Heading1"/>
        <w:spacing w:line="360" w:lineRule="auto" w:before="0" w:after="0"/>
        <w:ind w:firstLine="709"/>
        <w:jc w:val="both"/>
      </w:pPr>
      <w:r>
        <w:rPr>
          <w:rFonts w:ascii="Times New Roman" w:hAnsi="Times New Roman"/>
          <w:color w:val="000000"/>
          <w:sz w:val="28"/>
        </w:rPr>
        <w:t>Учетные записи, аутентификация и управление сессиями</w:t>
      </w:r>
    </w:p>
    <w:p>
      <w:pPr>
        <w:spacing w:line="360" w:lineRule="auto" w:before="0" w:after="0"/>
        <w:ind w:firstLine="709"/>
        <w:jc w:val="both"/>
      </w:pPr>
      <w:r>
        <w:rPr>
          <w:rFonts w:ascii="Times New Roman" w:hAnsi="Times New Roman"/>
          <w:color w:val="000000"/>
          <w:sz w:val="28"/>
        </w:rPr>
        <w:t>Для каждой административной и управленческой роли используется индивидуальная учётная запись. Пароль никогда не хранится в расшифровываемом виде: сохраняется только результат специального алгоритма вывода ключа для паролей Argon2id с индивидуальной случайной солью и актуальными параметрами памяти и времени. Простые хеши SHA-256 или MD5 без KDF запрещены для хранения паролей.</w:t>
      </w:r>
    </w:p>
    <w:p>
      <w:pPr>
        <w:spacing w:line="360" w:lineRule="auto" w:before="0" w:after="0"/>
        <w:ind w:firstLine="709"/>
        <w:jc w:val="both"/>
      </w:pPr>
      <w:r>
        <w:rPr>
          <w:rFonts w:ascii="Times New Roman" w:hAnsi="Times New Roman"/>
          <w:color w:val="000000"/>
          <w:sz w:val="28"/>
        </w:rPr>
        <w:t>Для собственников, администраторов компаний, лиц с доступом к экономике и технических администраторов обязательно применяется второй фактор. Предпочтительны passkey/WebAuthn либо приложение одноразовых кодов TOTP; резервные коды выдаются один раз и хранятся как необратимые проверочные значения. Изменение пароля, второго фактора, электронной почты и полномочий требует повторной проверки личности и регистрируется в аудите.</w:t>
      </w:r>
    </w:p>
    <w:p>
      <w:pPr>
        <w:spacing w:line="360" w:lineRule="auto" w:before="0" w:after="0"/>
        <w:ind w:firstLine="709"/>
        <w:jc w:val="both"/>
      </w:pPr>
      <w:r>
        <w:rPr>
          <w:rFonts w:ascii="Times New Roman" w:hAnsi="Times New Roman"/>
          <w:color w:val="000000"/>
          <w:sz w:val="28"/>
        </w:rPr>
        <w:t>Доступ исполнителя с PIN допускается только как упрощение рабочего процесса на доверенном устройстве и не заменяет полноценную защиту Интернет-сервиса. PIN привязан к конкретной учётной записи, устройству и контролируемой сессии; число попыток ограничивается, применяется задержка и блокировка после порога ошибок. QR-код сотрудника сам по себе не является постоянным секретом и не может давать неограниченный доступ к чужим заданиям.</w:t>
      </w:r>
    </w:p>
    <w:p>
      <w:pPr>
        <w:spacing w:line="360" w:lineRule="auto" w:before="0" w:after="0"/>
        <w:ind w:firstLine="709"/>
        <w:jc w:val="both"/>
      </w:pPr>
      <w:r>
        <w:rPr>
          <w:rFonts w:ascii="Times New Roman" w:hAnsi="Times New Roman"/>
          <w:color w:val="000000"/>
          <w:sz w:val="28"/>
        </w:rPr>
        <w:t>Серверные сессии короткоживущие, с возможностью немедленного отзыва при увольнении, потере устройства, подозрительной активности и изменении ролей. Для браузера предпочтительна схема серверной сессии или BFF с защищённой HttpOnly-cookie; долговременные токены не помещаются в localStorage. Если используются JWT, проверяются подпись, аудитория, срок действия, издатель и версия полномочий; refresh-токены ротируются и могут быть отозваны.</w:t>
      </w:r>
    </w:p>
    <w:p>
      <w:pPr>
        <w:spacing w:line="360" w:lineRule="auto" w:before="0" w:after="0"/>
        <w:ind w:firstLine="709"/>
        <w:jc w:val="both"/>
      </w:pPr>
      <w:r>
        <w:rPr>
          <w:rFonts w:ascii="Times New Roman" w:hAnsi="Times New Roman"/>
          <w:color w:val="000000"/>
          <w:sz w:val="28"/>
        </w:rPr>
        <w:t>Срабатывают защитные ограничения при необычной географии и частоте входов, переборе кодов, множественных неуспешных запросах, попытках использования истёкшей сессии. Регистрация нового устройства и повышение привилегий требуют дополнительного подтверждения. Удаление учётной записи не удаляет историю производственных событий, но прекращает доступ человека к новым данным.</w:t>
      </w:r>
    </w:p>
    <w:p>
      <w:pPr>
        <w:pStyle w:val="Heading1"/>
        <w:spacing w:line="360" w:lineRule="auto" w:before="0" w:after="0"/>
        <w:ind w:firstLine="709"/>
        <w:jc w:val="both"/>
      </w:pPr>
      <w:r>
        <w:rPr>
          <w:rFonts w:ascii="Times New Roman" w:hAnsi="Times New Roman"/>
          <w:color w:val="000000"/>
          <w:sz w:val="28"/>
        </w:rPr>
        <w:t>Разграничение доступа и изоляция предприятий</w:t>
      </w:r>
    </w:p>
    <w:p>
      <w:pPr>
        <w:spacing w:line="360" w:lineRule="auto" w:before="0" w:after="0"/>
        <w:ind w:firstLine="709"/>
        <w:jc w:val="both"/>
      </w:pPr>
      <w:r>
        <w:rPr>
          <w:rFonts w:ascii="Times New Roman" w:hAnsi="Times New Roman"/>
          <w:color w:val="000000"/>
          <w:sz w:val="28"/>
        </w:rPr>
        <w:t>Доступ проверяется на backend для каждой операции чтения, изменения, экспорта и подписки на поток событий. Проверка строится по сочетанию роли, компании, подразделения, бригады, конкретного заказа, состояния документа и разрешённого действия. Наличие кнопки в интерфейсе не создаёт права выполнить соответствующий API-запрос; скрытие финансовой карточки не подменяет серверную авторизацию.</w:t>
      </w:r>
    </w:p>
    <w:p>
      <w:pPr>
        <w:spacing w:line="360" w:lineRule="auto" w:before="0" w:after="0"/>
        <w:ind w:firstLine="709"/>
        <w:jc w:val="both"/>
      </w:pPr>
      <w:r>
        <w:rPr>
          <w:rFonts w:ascii="Times New Roman" w:hAnsi="Times New Roman"/>
          <w:color w:val="000000"/>
          <w:sz w:val="28"/>
        </w:rPr>
        <w:t>Каждая производственная сущность, журнал факта, документ и объектное вложение связываются с tenant_id или company_id. При обращении к объекту проверяются одновременно принадлежность компании и конкретные полномочия пользователя. Для PostgreSQL предпочтительно дополнительное ограничение Row-Level Security либо отдельный слой обязательной фильтрации при соединении с приложением; критичные выборки проходят автоматизированные тесты отрицательного доступа.</w:t>
      </w:r>
    </w:p>
    <w:p>
      <w:pPr>
        <w:spacing w:line="360" w:lineRule="auto" w:before="0" w:after="0"/>
        <w:ind w:firstLine="709"/>
        <w:jc w:val="both"/>
      </w:pPr>
      <w:r>
        <w:rPr>
          <w:rFonts w:ascii="Times New Roman" w:hAnsi="Times New Roman"/>
          <w:color w:val="000000"/>
          <w:sz w:val="28"/>
        </w:rPr>
        <w:t>Собственник управляет своим контуром и получает экономическую информацию своей компании. Начальник производства видит согласованный набор показателей управления без доступа к исходным закрытым расходам, технолог работает с операциями и нормами без финансовых реквизитов, бригадир назначает исполнителей в доступной зоне, рабочий видит только порученные задания, а контролёр ОТК — доступные проверки качества. Совмещение ролей допускается, однако итоговое право выводится из явных назначений, а не по совпадению ФИО.</w:t>
      </w:r>
    </w:p>
    <w:p>
      <w:pPr>
        <w:spacing w:line="360" w:lineRule="auto" w:before="0" w:after="0"/>
        <w:ind w:firstLine="709"/>
        <w:jc w:val="both"/>
      </w:pPr>
      <w:r>
        <w:rPr>
          <w:rFonts w:ascii="Times New Roman" w:hAnsi="Times New Roman"/>
          <w:color w:val="000000"/>
          <w:sz w:val="28"/>
        </w:rPr>
        <w:t>Разрешение для просмотра не подразумевает разрешение на изменение или утверждение. Права публикации плана, корректировки факта, просмотра зарплатных сведений, изменения норм, выгрузки персональных записей и выдачи технического доступа предоставляются раздельно. Любое временное расширение полномочий имеет основание, ограниченный срок и запись в аудите.</w:t>
      </w:r>
    </w:p>
    <w:p>
      <w:pPr>
        <w:spacing w:line="360" w:lineRule="auto" w:before="0" w:after="0"/>
        <w:ind w:firstLine="709"/>
        <w:jc w:val="both"/>
      </w:pPr>
      <w:r>
        <w:rPr>
          <w:rFonts w:ascii="Times New Roman" w:hAnsi="Times New Roman"/>
          <w:color w:val="000000"/>
          <w:sz w:val="28"/>
        </w:rPr>
        <w:t>Администратор сервиса следит за доступностью узлов, обновлениями и резервированием, но для диагностики не получает прямой массовый доступ к открытым данным клиентов. Исключительный аварийный доступ разрешается только по двухстороннему подтверждению, с ограниченным временем, видимым журналом действий и последующим разбором. Служебная роль не может использовать административные методы для обхода запрета чтения закрытой экономики.</w:t>
      </w:r>
    </w:p>
    <w:p>
      <w:pPr>
        <w:pStyle w:val="Heading1"/>
        <w:spacing w:line="360" w:lineRule="auto" w:before="0" w:after="0"/>
        <w:ind w:firstLine="709"/>
        <w:jc w:val="both"/>
      </w:pPr>
      <w:r>
        <w:rPr>
          <w:rFonts w:ascii="Times New Roman" w:hAnsi="Times New Roman"/>
          <w:color w:val="000000"/>
          <w:sz w:val="28"/>
        </w:rPr>
        <w:t>Персональные данные: состав, назначение и минимизация</w:t>
      </w:r>
    </w:p>
    <w:p>
      <w:pPr>
        <w:spacing w:line="360" w:lineRule="auto" w:before="0" w:after="0"/>
        <w:ind w:firstLine="709"/>
        <w:jc w:val="both"/>
      </w:pPr>
      <w:r>
        <w:rPr>
          <w:rFonts w:ascii="Times New Roman" w:hAnsi="Times New Roman"/>
          <w:color w:val="000000"/>
          <w:sz w:val="28"/>
        </w:rPr>
        <w:t>В EASY3 могут обрабатываться фамилия, имя и отчество сотрудника, должность, производственная роль, принадлежность подразделению и бригаде, рабочий идентификатор, контактный телефон или служебный адрес электронной почты при необходимости связи, статус доступа, назначенные смены и доступность. Для кадровой интеграции возможны внутренний табельный номер и идентификатор из системы заказчика, если без них невозможно сопоставить работников. Каждое поле включается только при наличии конкретной производственной задачи и правового основания обработки.</w:t>
      </w:r>
    </w:p>
    <w:p>
      <w:pPr>
        <w:spacing w:line="360" w:lineRule="auto" w:before="0" w:after="0"/>
        <w:ind w:firstLine="709"/>
        <w:jc w:val="both"/>
      </w:pPr>
      <w:r>
        <w:rPr>
          <w:rFonts w:ascii="Times New Roman" w:hAnsi="Times New Roman"/>
          <w:color w:val="000000"/>
          <w:sz w:val="28"/>
        </w:rPr>
        <w:t>Производственные события связываются с внутренним идентификатором исполнителя: начало операции, завершение, число единиц продукции, простой, контроль качества и корректировка факта. Внутри EASY3 сочетание идентификатора, времени и рабочего места может относиться к определённому физическому лицу и поэтому защищается как персональная информация. Подробная статистика производительности не раскрывается посторонним компаниям и не отправляется внешнему AI в персонализированном виде.</w:t>
      </w:r>
    </w:p>
    <w:p>
      <w:pPr>
        <w:spacing w:line="360" w:lineRule="auto" w:before="0" w:after="0"/>
        <w:ind w:firstLine="709"/>
        <w:jc w:val="both"/>
      </w:pPr>
      <w:r>
        <w:rPr>
          <w:rFonts w:ascii="Times New Roman" w:hAnsi="Times New Roman"/>
          <w:color w:val="000000"/>
          <w:sz w:val="28"/>
        </w:rPr>
        <w:t>Паспортные данные, СНИЛС, ИНН физического лица, банковские реквизиты работника, домашний адрес, сведения о здоровье, биометрические шаблоны и иные специальные или избыточные категории не включаются в базовую модель EASY3. При возникновении отдельной законной потребности для них проектируется самостоятельный защищённый процесс; такие сведения не должны появляться в свободных комментариях, вложениях и AI-запросах по умолчанию.</w:t>
      </w:r>
    </w:p>
    <w:p>
      <w:pPr>
        <w:spacing w:line="360" w:lineRule="auto" w:before="0" w:after="0"/>
        <w:ind w:firstLine="709"/>
        <w:jc w:val="both"/>
      </w:pPr>
      <w:r>
        <w:rPr>
          <w:rFonts w:ascii="Times New Roman" w:hAnsi="Times New Roman"/>
          <w:color w:val="000000"/>
          <w:sz w:val="28"/>
        </w:rPr>
        <w:t>Качество изделий может подтверждаться фотографиями. Перед сохранением удаляются EXIF-метаданные, координаты, модель и серийный номер камеры, если такие сведения не требуются для функции. Съёмка работников на производстве не является обязательной функцией; при обнаружении лиц на фотографии для отправки внешнему AI файл блокируется или обрабатывается внутри закрытого контура согласно отдельной политике. Сами фотографии производственного брака по умолчанию внешним моделям не передаются.</w:t>
      </w:r>
    </w:p>
    <w:p>
      <w:pPr>
        <w:spacing w:line="360" w:lineRule="auto" w:before="0" w:after="0"/>
        <w:ind w:firstLine="709"/>
        <w:jc w:val="both"/>
      </w:pPr>
      <w:r>
        <w:rPr>
          <w:rFonts w:ascii="Times New Roman" w:hAnsi="Times New Roman"/>
          <w:color w:val="000000"/>
          <w:sz w:val="28"/>
        </w:rPr>
        <w:t>Адрес IP, сведения об устройстве, время входа, идентификатор сеанса и записи об ошибках могут быть данными, относящимися к определяемому лицу в сочетании с другой информацией. Такие сведения используются для защиты сервиса, имеют отдельные сроки хранения и не включаются в полезную нагрузку AI. Метаданные технических журналов не публикуются в интерфейсах других компаний.</w:t>
      </w:r>
    </w:p>
    <w:p>
      <w:pPr>
        <w:pStyle w:val="Heading1"/>
        <w:spacing w:line="360" w:lineRule="auto" w:before="0" w:after="0"/>
        <w:ind w:firstLine="709"/>
        <w:jc w:val="both"/>
      </w:pPr>
      <w:r>
        <w:rPr>
          <w:rFonts w:ascii="Times New Roman" w:hAnsi="Times New Roman"/>
          <w:color w:val="000000"/>
          <w:sz w:val="28"/>
        </w:rPr>
        <w:t>Хранение персональных данных на сервере</w:t>
      </w:r>
    </w:p>
    <w:p>
      <w:pPr>
        <w:spacing w:line="360" w:lineRule="auto" w:before="0" w:after="0"/>
        <w:ind w:firstLine="709"/>
        <w:jc w:val="both"/>
      </w:pPr>
      <w:r>
        <w:rPr>
          <w:rFonts w:ascii="Times New Roman" w:hAnsi="Times New Roman"/>
          <w:color w:val="000000"/>
          <w:sz w:val="28"/>
        </w:rPr>
        <w:t>Персональные сведения находятся в основной базе PostgreSQL на территории Российской Федерации. Содержимое таблиц защищено шифрованием накопителей и резервных копий; идентифицирующие поля дополнительно шифруются на уровне приложения. В таблицах пользователей и сотрудников хранятся внутренние UUID, принадлежность компании, зашифрованные контактные значения, роль и служебное состояние. Пароль представлен только Argon2id-хешем, а не зашифрованным исходным паролем.</w:t>
      </w:r>
    </w:p>
    <w:p>
      <w:pPr>
        <w:spacing w:line="360" w:lineRule="auto" w:before="0" w:after="0"/>
        <w:ind w:firstLine="709"/>
        <w:jc w:val="both"/>
      </w:pPr>
      <w:r>
        <w:rPr>
          <w:rFonts w:ascii="Times New Roman" w:hAnsi="Times New Roman"/>
          <w:color w:val="000000"/>
          <w:sz w:val="28"/>
        </w:rPr>
        <w:t>Идентификатор работника используется во внутренних внешних ключах производственных событий и назначений. Таблица, связывающая идентификатор с ФИО, доступна только доверенному сервису профилей и операциям с отдельным разрешением. Права на расшифрование профиля не включаются автоматически в разрешения технологического расчёта, AI-адаптера или аналитического агрегирования.</w:t>
      </w:r>
    </w:p>
    <w:p>
      <w:pPr>
        <w:spacing w:line="360" w:lineRule="auto" w:before="0" w:after="0"/>
        <w:ind w:firstLine="709"/>
        <w:jc w:val="both"/>
      </w:pPr>
      <w:r>
        <w:rPr>
          <w:rFonts w:ascii="Times New Roman" w:hAnsi="Times New Roman"/>
          <w:color w:val="000000"/>
          <w:sz w:val="28"/>
        </w:rPr>
        <w:t>Для поиска и сопоставления применяются отдельные защищённые индексы. Для отчётов по плану, мощности, рабочим центрам и себестоимости предпочтительны агрегаты, которые вообще не содержат ФИО и контактов. Экспорт личных сведений допускается только уполномоченным пользователем, с ограничением состава, водяным знаком или идентификатором операции экспорта, записью в журнале и защищённым сроком доступа к файлу.</w:t>
      </w:r>
    </w:p>
    <w:p>
      <w:pPr>
        <w:spacing w:line="360" w:lineRule="auto" w:before="0" w:after="0"/>
        <w:ind w:firstLine="709"/>
        <w:jc w:val="both"/>
      </w:pPr>
      <w:r>
        <w:rPr>
          <w:rFonts w:ascii="Times New Roman" w:hAnsi="Times New Roman"/>
          <w:color w:val="000000"/>
          <w:sz w:val="28"/>
        </w:rPr>
        <w:t>Сроки хранения задаются по категориям: профиль — пока необходима учётная запись и производственная связь, данные входа — по политике безопасности, файлы импорта — до завершения и подтверждения разбора с ограниченным периодом восстановления, производственные события — на срок, необходимый для выполнения договорных и законных обязательств заказчика. Удаление, ограничение обработки и обезличивание выполняются с учётом обязательного сохранения законно требуемой истории; бессрочное хранение всех данных по умолчанию запрещено.</w:t>
      </w:r>
    </w:p>
    <w:p>
      <w:pPr>
        <w:spacing w:line="360" w:lineRule="auto" w:before="0" w:after="0"/>
        <w:ind w:firstLine="709"/>
        <w:jc w:val="both"/>
      </w:pPr>
      <w:r>
        <w:rPr>
          <w:rFonts w:ascii="Times New Roman" w:hAnsi="Times New Roman"/>
          <w:color w:val="000000"/>
          <w:sz w:val="28"/>
        </w:rPr>
        <w:t>Права субъекта персональных данных на получение информации об обработке, уточнение и удаление выполняются через организационно-техническую процедуру. Оператор и компания-заказчик определяют свои роли в обработке и основания передачи персональных сведений; до начала обработки оформляются необходимые уведомления и документы. Основания обработки не подменяются формальным согласием там, где применимо иное законное основание.</w:t>
      </w:r>
    </w:p>
    <w:p>
      <w:pPr>
        <w:pStyle w:val="Heading1"/>
        <w:spacing w:line="360" w:lineRule="auto" w:before="0" w:after="0"/>
        <w:ind w:firstLine="709"/>
        <w:jc w:val="both"/>
      </w:pPr>
      <w:r>
        <w:rPr>
          <w:rFonts w:ascii="Times New Roman" w:hAnsi="Times New Roman"/>
          <w:color w:val="000000"/>
          <w:sz w:val="28"/>
        </w:rPr>
        <w:t>Порядок передачи расчётных данных через REG.ru в нейросети</w:t>
      </w:r>
    </w:p>
    <w:p>
      <w:pPr>
        <w:spacing w:line="360" w:lineRule="auto" w:before="0" w:after="0"/>
        <w:ind w:firstLine="709"/>
        <w:jc w:val="both"/>
      </w:pPr>
      <w:r>
        <w:rPr>
          <w:rFonts w:ascii="Times New Roman" w:hAnsi="Times New Roman"/>
          <w:color w:val="000000"/>
          <w:sz w:val="28"/>
        </w:rPr>
        <w:t>Взаимодействие с внешними нейросетевыми моделями выполняется исключительно через серверный AI-шлюз EASY3. Браузер и мобильное приложение не обращаются к REG.ru непосредственно, не получают внешний API-ключ и не могут сформировать произвольную полезную нагрузку. Сервис планирования сначала вычисляет входные данные в закрытом контуре, затем формирует специальный ограниченный пакет для AI-обработки. Модель используется для интерпретации, объяснения сценариев и предложения вариантов; нормативные расчёты и проверка выполнимости остаются в собственном вычислительном движке.</w:t>
      </w:r>
    </w:p>
    <w:p>
      <w:pPr>
        <w:spacing w:line="360" w:lineRule="auto" w:before="0" w:after="0"/>
        <w:ind w:firstLine="709"/>
        <w:jc w:val="both"/>
      </w:pPr>
      <w:r>
        <w:rPr>
          <w:rFonts w:ascii="Times New Roman" w:hAnsi="Times New Roman"/>
          <w:color w:val="000000"/>
          <w:sz w:val="28"/>
        </w:rPr>
        <w:t>Во внешний запрос разрешается включать только необходимую арифметическую и технологическую информацию: техническую метку операции, длительность в минутах, требуемую и доступную мощность, количество единиц, длительность смены, ограничения последовательности, число совместимых машин, загрузку условного ресурса и агрегированные показатели сценариев. Персональные ФИО, телефоны, электронные адреса, табельные номера, номера реальных заказов, реальные идентификаторы компаний, названия клиентов, адреса, IP-адреса, исходные файлы, изображения людей и закрытая экономика не передаются.</w:t>
      </w:r>
    </w:p>
    <w:p>
      <w:pPr>
        <w:spacing w:line="360" w:lineRule="auto" w:before="0" w:after="0"/>
        <w:ind w:firstLine="709"/>
        <w:jc w:val="both"/>
      </w:pPr>
      <w:r>
        <w:rPr>
          <w:rFonts w:ascii="Times New Roman" w:hAnsi="Times New Roman"/>
          <w:color w:val="000000"/>
          <w:sz w:val="28"/>
        </w:rPr>
        <w:t>Для каждого AI-запроса сервер выпускает новые криптографически случайные технические идентификаторы. Если модели необходимо различать исполнителей, они обозначаются нейтральными токенами типа R1, R2 или одноразовыми случайными значениями; при новом независимом запросе соответствие создаётся заново. Значения не являются внутренними UUID работников, не кодируют ФИО, адрес, подразделение или табельный номер и не воспроизводятся по секрету, доступному внешнему сервису. Маппинг токенов на внутренние объекты остаётся внутри EASY3 и никогда не входит в исходящий запрос, заголовки или сообщение об ошибке.</w:t>
      </w:r>
    </w:p>
    <w:p>
      <w:pPr>
        <w:spacing w:line="360" w:lineRule="auto" w:before="0" w:after="0"/>
        <w:ind w:firstLine="709"/>
        <w:jc w:val="both"/>
      </w:pPr>
      <w:r>
        <w:rPr>
          <w:rFonts w:ascii="Times New Roman" w:hAnsi="Times New Roman"/>
          <w:color w:val="000000"/>
          <w:sz w:val="28"/>
        </w:rPr>
        <w:t>Внешний агрегатор получает лишь одноразовые технические обозначения и параметры конкретной вычислительной задачи. Без внутренней таблицы соответствия EASY3 такие токены не раскрывают, какому работнику или клиенту они сопоставлены. Техническая схема специально исключает передачу напрямую идентифицирующих атрибутов; вместе с ограничением набора расчётных значений она устраняет возможность штатной идентификации человека по предоставленному пакету. До выпуска проводится отдельная проверка остаточного риска косвенного узнавания по редким сочетаниям признаков: чрезмерно детальные расписания и уникальные технологические характеристики обобщаются либо не отправляются.</w:t>
      </w:r>
    </w:p>
    <w:p>
      <w:pPr>
        <w:spacing w:line="360" w:lineRule="auto" w:before="0" w:after="0"/>
        <w:ind w:firstLine="709"/>
        <w:jc w:val="both"/>
      </w:pPr>
      <w:r>
        <w:rPr>
          <w:rFonts w:ascii="Times New Roman" w:hAnsi="Times New Roman"/>
          <w:color w:val="000000"/>
          <w:sz w:val="28"/>
        </w:rPr>
        <w:t>В AI-шлюзе действует разрешительный перечень полей по каждому типу задачи, а не фильтр по нескольким запрещённым словам. JSON Schema или аналогичная типизированная схема запрещает дополнительные свойства, произвольные вложенные объекты, свободные комментарии и файлы. При наличии неразрешённого поля запрос не очищается молча, а отклоняется с внутренним кодом ошибки, чтобы разработчики устранили источник данных. Перед фактической отправкой второй независимый контроль проверяет итоговый сериализованный пакет, включая вложенные массивы и метаданные.</w:t>
      </w:r>
    </w:p>
    <w:p>
      <w:pPr>
        <w:spacing w:line="360" w:lineRule="auto" w:before="0" w:after="0"/>
        <w:ind w:firstLine="709"/>
        <w:jc w:val="both"/>
      </w:pPr>
      <w:r>
        <w:rPr>
          <w:rFonts w:ascii="Times New Roman" w:hAnsi="Times New Roman"/>
          <w:color w:val="000000"/>
          <w:sz w:val="28"/>
        </w:rPr>
        <w:t>Текстовые описания изделия, которые могут содержать фамилии, телефонные номера, заказчиков, договорные цены или другие чувствительные сведения, не направляются внешнему AI в исходном виде. Для задач распознавания технологии формируется очищенное технологическое описание без персональных и клиентских атрибутов; неоднозначные фрагменты удаляются или заменяются нейтральными категориями. Если задачу невозможно выполнить с разрешённым набором данных, EASY3 предлагает ручной ввод или локальную обработку без внешней нейросети.</w:t>
      </w:r>
    </w:p>
    <w:p>
      <w:pPr>
        <w:spacing w:line="360" w:lineRule="auto" w:before="0" w:after="0"/>
        <w:ind w:firstLine="709"/>
        <w:jc w:val="both"/>
      </w:pPr>
      <w:r>
        <w:rPr>
          <w:rFonts w:ascii="Times New Roman" w:hAnsi="Times New Roman"/>
          <w:color w:val="000000"/>
          <w:sz w:val="28"/>
        </w:rPr>
        <w:t>Финансовые показатели, способные раскрыть коммерческую тайну конкретного заказчика, проходят отдельную минимизацию. AI разрешено получать рассчитанные индексы, относительные изменения и ограничения в тех случаях, когда для сценария не требуется абсолютная выручка, себестоимость или стоимость договора. Уровни доступа «собственник», «начальник» и «технолог» применяются до формирования контекста: отсутствие у пользователя права на поле означает, что поле отсутствует также в AI-запросе и его ответе.</w:t>
      </w:r>
    </w:p>
    <w:p>
      <w:pPr>
        <w:spacing w:line="360" w:lineRule="auto" w:before="0" w:after="0"/>
        <w:ind w:firstLine="709"/>
        <w:jc w:val="both"/>
      </w:pPr>
      <w:r>
        <w:rPr>
          <w:rFonts w:ascii="Times New Roman" w:hAnsi="Times New Roman"/>
          <w:color w:val="000000"/>
          <w:sz w:val="28"/>
        </w:rPr>
        <w:t>Запрос регистрируется в локальном журнале по случайному идентификатору, типу задачи, версии схемы, времени, результату проверки и криптографическому контрольному отпечатку нормализованной структуры. Содержимое исходного персонализированного контекста, таблица соответствия токенов и полный текст исходящего промпта в общие логи не записываются. Если кратковременное хранение очищенного запроса нужно для диагностики, оно включается отдельно, шифруется, имеет небольшой срок жизни и запрещено по умолчанию в продуктивном окружении.</w:t>
      </w:r>
    </w:p>
    <w:p>
      <w:pPr>
        <w:spacing w:line="360" w:lineRule="auto" w:before="0" w:after="0"/>
        <w:ind w:firstLine="709"/>
        <w:jc w:val="both"/>
      </w:pPr>
      <w:r>
        <w:rPr>
          <w:rFonts w:ascii="Times New Roman" w:hAnsi="Times New Roman"/>
          <w:color w:val="000000"/>
          <w:sz w:val="28"/>
        </w:rPr>
        <w:t>Вызов REG.ru выполняется по TLS 1.3 с проверкой сертификата. Шифрование гарантирует конфиденциальность передачи на участке соединения EASY3 — точка завершения TLS у поставщика; после завершения TLS сервис-получатель технически может обработать открытый обезличенный пакет для вызова модели. Нельзя утверждать, что содержимое остаётся зашифрованным для агрегатора или самой модели, если они должны прочитать входные числовые данные. Именно поэтому обязательна предварительная минимизация и исключение идентифицирующих полей.</w:t>
      </w:r>
    </w:p>
    <w:p>
      <w:pPr>
        <w:spacing w:line="360" w:lineRule="auto" w:before="0" w:after="0"/>
        <w:ind w:firstLine="709"/>
        <w:jc w:val="both"/>
      </w:pPr>
      <w:r>
        <w:rPr>
          <w:rFonts w:ascii="Times New Roman" w:hAnsi="Times New Roman"/>
          <w:color w:val="000000"/>
          <w:sz w:val="28"/>
        </w:rPr>
        <w:t>До включения конкретного API REG.ru документально проверяются допустимые модели, цепочка субподрядчиков, география обработки, режим журналирования, возможное использование запросов для обучения, сроки хранения, доступ сотрудников провайдера, порядок удаления и возможность отключения сохранения содержимого. Если условия не подтверждены, интеграция не получает разрешения на продуктивный трафик. Отсутствие обещания о сохранении у поставщика не компенсируется внутренним шифрованием: ответственность за фактическую работу внешней цепочки должна быть урегулирована отдельно.</w:t>
      </w:r>
    </w:p>
    <w:p>
      <w:pPr>
        <w:spacing w:line="360" w:lineRule="auto" w:before="0" w:after="0"/>
        <w:ind w:firstLine="709"/>
        <w:jc w:val="both"/>
      </w:pPr>
      <w:r>
        <w:rPr>
          <w:rFonts w:ascii="Times New Roman" w:hAnsi="Times New Roman"/>
          <w:color w:val="000000"/>
          <w:sz w:val="28"/>
        </w:rPr>
        <w:t>Ответ модели считается недоверенным текстом или структурой. Сервер проверяет формат, объём, допустимые значения и отсутствие запрещённых атрибутов. Внешняя модель не имеет права выполнять SQL, запускать команды, читать базу, вызывать произвольные URL, изменять цену заказа, назначать работника или публиковать план. Предложение AI отображается человеку как рекомендация с исходными ограничениями; применение изменяющего действия требует обычной проверки прав и явного подтверждения.</w:t>
      </w:r>
    </w:p>
    <w:p>
      <w:pPr>
        <w:spacing w:line="360" w:lineRule="auto" w:before="0" w:after="0"/>
        <w:ind w:firstLine="709"/>
        <w:jc w:val="both"/>
      </w:pPr>
      <w:r>
        <w:rPr>
          <w:rFonts w:ascii="Times New Roman" w:hAnsi="Times New Roman"/>
          <w:color w:val="000000"/>
          <w:sz w:val="28"/>
        </w:rPr>
        <w:t>Таким образом EASY3 устанавливает проверяемую техническую гарантию отсутствия непосредственно идентифицирующих персональных данных в полезной нагрузке внешнего AI-канала. Проверка включает свойства схем, случайность и неповторяемость выдаваемых токенов, невозможность получить внутренний маппинг через API, отсутствие утечки через журналы и отказ в отправке неочищенного контента. Юридическая квалификация конкретного набора как обезличенных данных дополнительно зависит от состава косвенных признаков и действующих требований; факт замены ФИО на ID не используется как единственное основание для такой квалификации.</w:t>
      </w:r>
    </w:p>
    <w:p>
      <w:pPr>
        <w:pStyle w:val="Heading1"/>
        <w:spacing w:line="360" w:lineRule="auto" w:before="0" w:after="0"/>
        <w:ind w:firstLine="709"/>
        <w:jc w:val="both"/>
      </w:pPr>
      <w:r>
        <w:rPr>
          <w:rFonts w:ascii="Times New Roman" w:hAnsi="Times New Roman"/>
          <w:color w:val="000000"/>
          <w:sz w:val="28"/>
        </w:rPr>
        <w:t>Защита от внедрения инструкций и недоверенного контента</w:t>
      </w:r>
    </w:p>
    <w:p>
      <w:pPr>
        <w:spacing w:line="360" w:lineRule="auto" w:before="0" w:after="0"/>
        <w:ind w:firstLine="709"/>
        <w:jc w:val="both"/>
      </w:pPr>
      <w:r>
        <w:rPr>
          <w:rFonts w:ascii="Times New Roman" w:hAnsi="Times New Roman"/>
          <w:color w:val="000000"/>
          <w:sz w:val="28"/>
        </w:rPr>
        <w:t>Описание изделия, импортированная таблица, технологический файл, комментарий и ответ модели рассматриваются как данные, а не как инструкции для серверного кода. Система не исполняет текст из документа в роли системного промпта, не подставляет его в команды операционной системы и не позволяет пользователю изменять набор инструментов AI-агента через свободное поле.</w:t>
      </w:r>
    </w:p>
    <w:p>
      <w:pPr>
        <w:spacing w:line="360" w:lineRule="auto" w:before="0" w:after="0"/>
        <w:ind w:firstLine="709"/>
        <w:jc w:val="both"/>
      </w:pPr>
      <w:r>
        <w:rPr>
          <w:rFonts w:ascii="Times New Roman" w:hAnsi="Times New Roman"/>
          <w:color w:val="000000"/>
          <w:sz w:val="28"/>
        </w:rPr>
        <w:t>Контекст AI формируется из контролируемых программных шаблонов. Пользовательский текст передаётся только как строго ограниченный фрагмент данных после очистки, ограничения длины и проверки разрешённых символов. Если модель возвращает команду «игнорировать ограничения», путь к чужому ресурсу, HTML-скрипт либо просьбу открыть закрытые поля, это содержимое остаётся неприменяемым текстом и не выполняется.</w:t>
      </w:r>
    </w:p>
    <w:p>
      <w:pPr>
        <w:spacing w:line="360" w:lineRule="auto" w:before="0" w:after="0"/>
        <w:ind w:firstLine="709"/>
        <w:jc w:val="both"/>
      </w:pPr>
      <w:r>
        <w:rPr>
          <w:rFonts w:ascii="Times New Roman" w:hAnsi="Times New Roman"/>
          <w:color w:val="000000"/>
          <w:sz w:val="28"/>
        </w:rPr>
        <w:t>При импорте файлов выполняются антивирусная проверка, ограничение типа и размеров, проверка расширения по содержимому, защита от ZIP-бомб и безопасный разбор табличных формул. Макросы не исполняются, ссылки на внешние ресурсы не загружаются автоматически, изображения и HTML в файлах очищаются от активного содержимого. Результат разбора доступен только в компании, выполнившей импорт.</w:t>
      </w:r>
    </w:p>
    <w:p>
      <w:pPr>
        <w:pStyle w:val="Heading1"/>
        <w:spacing w:line="360" w:lineRule="auto" w:before="0" w:after="0"/>
        <w:ind w:firstLine="709"/>
        <w:jc w:val="both"/>
      </w:pPr>
      <w:r>
        <w:rPr>
          <w:rFonts w:ascii="Times New Roman" w:hAnsi="Times New Roman"/>
          <w:color w:val="000000"/>
          <w:sz w:val="28"/>
        </w:rPr>
        <w:t>Целостность производственных операций и расчётов</w:t>
      </w:r>
    </w:p>
    <w:p>
      <w:pPr>
        <w:spacing w:line="360" w:lineRule="auto" w:before="0" w:after="0"/>
        <w:ind w:firstLine="709"/>
        <w:jc w:val="both"/>
      </w:pPr>
      <w:r>
        <w:rPr>
          <w:rFonts w:ascii="Times New Roman" w:hAnsi="Times New Roman"/>
          <w:color w:val="000000"/>
          <w:sz w:val="28"/>
        </w:rPr>
        <w:t>Производственный факт фиксируется как отдельное событие с уникальным идентификатором, временем сервера, автором, рабочим контекстом и идемпотентным ключом запроса. Повторная доставка одного действия возвращает результат ранее принятого события и не создаёт повторный выпуск. Исправление ошибочного факта выполняется новой корректирующей записью с обязательным основанием и полномочием; исходное событие не удаляется и не переписывается.</w:t>
      </w:r>
    </w:p>
    <w:p>
      <w:pPr>
        <w:spacing w:line="360" w:lineRule="auto" w:before="0" w:after="0"/>
        <w:ind w:firstLine="709"/>
        <w:jc w:val="both"/>
      </w:pPr>
      <w:r>
        <w:rPr>
          <w:rFonts w:ascii="Times New Roman" w:hAnsi="Times New Roman"/>
          <w:color w:val="000000"/>
          <w:sz w:val="28"/>
        </w:rPr>
        <w:t>План хранит версии и отметку публикации. Подтверждение рассчитывается относительно конкретной версии исходных данных; если состав ресурсов, календарь, нормы или факт изменились, старая версия не может быть молча опубликована как действующая. Проверяются несовместимое оборудование, пересечение назначения работнику, циклические зависимости, превышение партии и недопустимые отрицательные значения.</w:t>
      </w:r>
    </w:p>
    <w:p>
      <w:pPr>
        <w:spacing w:line="360" w:lineRule="auto" w:before="0" w:after="0"/>
        <w:ind w:firstLine="709"/>
        <w:jc w:val="both"/>
      </w:pPr>
      <w:r>
        <w:rPr>
          <w:rFonts w:ascii="Times New Roman" w:hAnsi="Times New Roman"/>
          <w:color w:val="000000"/>
          <w:sz w:val="28"/>
        </w:rPr>
        <w:t>AI не подменяет вычислительный модуль и не корректирует фактические результаты без согласования. Прогноз сроков рассчитывается детерминированно с регистрацией исходных параметров и версии алгоритма; при неполных данных используется явное состояние «недостаточно оснований», а не выдуманное число. Расхождение результатов двух повторных вычислений при одинаковых исходных данных считается дефектом, требующим анализа.</w:t>
      </w:r>
    </w:p>
    <w:p>
      <w:pPr>
        <w:spacing w:line="360" w:lineRule="auto" w:before="0" w:after="0"/>
        <w:ind w:firstLine="709"/>
        <w:jc w:val="both"/>
      </w:pPr>
      <w:r>
        <w:rPr>
          <w:rFonts w:ascii="Times New Roman" w:hAnsi="Times New Roman"/>
          <w:color w:val="000000"/>
          <w:sz w:val="28"/>
        </w:rPr>
        <w:t>Операции, затрагивающие несколько записей, выполняются в транзакциях PostgreSQL; при параллельной работе используются контроль версий, ограничения уникальности, внешние ключи и блокировки в необходимом объёме. Обновление статистики и уведомлений производится только после фиксации транзакции, например через transactional outbox. Неподтверждённое сообщение нельзя показывать в интерфейсе как завершённую операцию.</w:t>
      </w:r>
    </w:p>
    <w:p>
      <w:pPr>
        <w:pStyle w:val="Heading1"/>
        <w:spacing w:line="360" w:lineRule="auto" w:before="0" w:after="0"/>
        <w:ind w:firstLine="709"/>
        <w:jc w:val="both"/>
      </w:pPr>
      <w:r>
        <w:rPr>
          <w:rFonts w:ascii="Times New Roman" w:hAnsi="Times New Roman"/>
          <w:color w:val="000000"/>
          <w:sz w:val="28"/>
        </w:rPr>
        <w:t>Защита API, веб-интерфейса и мобильных рабочих мест</w:t>
      </w:r>
    </w:p>
    <w:p>
      <w:pPr>
        <w:spacing w:line="360" w:lineRule="auto" w:before="0" w:after="0"/>
        <w:ind w:firstLine="709"/>
        <w:jc w:val="both"/>
      </w:pPr>
      <w:r>
        <w:rPr>
          <w:rFonts w:ascii="Times New Roman" w:hAnsi="Times New Roman"/>
          <w:color w:val="000000"/>
          <w:sz w:val="28"/>
        </w:rPr>
        <w:t>Каждый API-метод проверяет схему входных данных, принадлежность компании, разрешённость операции, состояние объекта и лимиты объёма. На сервере ограничиваются размер JSON, число элементов коллекций, время выполнения и количество запросов. Значения параметров не включаются в SQL путём конкатенации строк; используются подготовленные выражения и безопасный слой доступа к данным.</w:t>
      </w:r>
    </w:p>
    <w:p>
      <w:pPr>
        <w:spacing w:line="360" w:lineRule="auto" w:before="0" w:after="0"/>
        <w:ind w:firstLine="709"/>
        <w:jc w:val="both"/>
      </w:pPr>
      <w:r>
        <w:rPr>
          <w:rFonts w:ascii="Times New Roman" w:hAnsi="Times New Roman"/>
          <w:color w:val="000000"/>
          <w:sz w:val="28"/>
        </w:rPr>
        <w:t>В веб-приложении пользовательский текст кодируется при выводе и очищается для специальных форматов. Применяются строгая политика источников скриптов, ограничение встраивания страниц, защита от CSRF при cookie-авторизации и недопущение открытых перенаправлений. Ошибки возвращают нейтральный код и безопасное описание, не раскрывая SQL, структуру сервера, учетные имена, путь к файлам или значения ключей.</w:t>
      </w:r>
    </w:p>
    <w:p>
      <w:pPr>
        <w:spacing w:line="360" w:lineRule="auto" w:before="0" w:after="0"/>
        <w:ind w:firstLine="709"/>
        <w:jc w:val="both"/>
      </w:pPr>
      <w:r>
        <w:rPr>
          <w:rFonts w:ascii="Times New Roman" w:hAnsi="Times New Roman"/>
          <w:color w:val="000000"/>
          <w:sz w:val="28"/>
        </w:rPr>
        <w:t>На мобильном устройстве не сохраняется полный справочник работников, локальная копия финансовой информации или чужих заданий. Доступ к файлам и заданиям производится по авторизованным краткоживущим ссылкам. При временной потере сети интерфейс показывает неподтверждённый статус; полная офлайн-очередь вводится только при наличии защищённой синхронизации, шифрованного локального хранилища и процедуры устранения конфликтов.</w:t>
      </w:r>
    </w:p>
    <w:p>
      <w:pPr>
        <w:spacing w:line="360" w:lineRule="auto" w:before="0" w:after="0"/>
        <w:ind w:firstLine="709"/>
        <w:jc w:val="both"/>
      </w:pPr>
      <w:r>
        <w:rPr>
          <w:rFonts w:ascii="Times New Roman" w:hAnsi="Times New Roman"/>
          <w:color w:val="000000"/>
          <w:sz w:val="28"/>
        </w:rPr>
        <w:t>QR-код служит идентификатором рабочего задания, партии или оборудования, но не заменяет серверную авторизацию. Любая операция после сканирования проверяет текущего работника и доступную ему работу. Непредсказуемые одноразовые QR-токены имеют срок действия и не содержат ФИО, номер телефона или другие персональные данные; статические QR-коды оборудования не содержат секретов, позволяющих действовать от имени пользователя.</w:t>
      </w:r>
    </w:p>
    <w:p>
      <w:pPr>
        <w:pStyle w:val="Heading1"/>
        <w:spacing w:line="360" w:lineRule="auto" w:before="0" w:after="0"/>
        <w:ind w:firstLine="709"/>
        <w:jc w:val="both"/>
      </w:pPr>
      <w:r>
        <w:rPr>
          <w:rFonts w:ascii="Times New Roman" w:hAnsi="Times New Roman"/>
          <w:color w:val="000000"/>
          <w:sz w:val="28"/>
        </w:rPr>
        <w:t>Журналы событий и наблюдаемость</w:t>
      </w:r>
    </w:p>
    <w:p>
      <w:pPr>
        <w:spacing w:line="360" w:lineRule="auto" w:before="0" w:after="0"/>
        <w:ind w:firstLine="709"/>
        <w:jc w:val="both"/>
      </w:pPr>
      <w:r>
        <w:rPr>
          <w:rFonts w:ascii="Times New Roman" w:hAnsi="Times New Roman"/>
          <w:color w:val="000000"/>
          <w:sz w:val="28"/>
        </w:rPr>
        <w:t>Журнал безопасности фиксирует входы, неуспешные попытки, изменения прав, действия администратора, попытки доступа к чужой компании, экспорт данных, изменение чувствительных настроек, операции с ключами и отправку AI-запросов. Производственный аудит отдельно фиксирует публикацию плана, изменение норм, назначение задания, приём факта, корректировку, заключение ОТК и изменение экономических условий.</w:t>
      </w:r>
    </w:p>
    <w:p>
      <w:pPr>
        <w:spacing w:line="360" w:lineRule="auto" w:before="0" w:after="0"/>
        <w:ind w:firstLine="709"/>
        <w:jc w:val="both"/>
      </w:pPr>
      <w:r>
        <w:rPr>
          <w:rFonts w:ascii="Times New Roman" w:hAnsi="Times New Roman"/>
          <w:color w:val="000000"/>
          <w:sz w:val="28"/>
        </w:rPr>
        <w:t>Записи содержат время сервера, тип действия, технический идентификатор инициатора, идентификатор компании внутри доверенного контура, объект, результат и идентификатор корреляции. Пароли, токены сессий, полные HTTP-заголовки авторизации, контактные данные и тело AI-запросов в журнал не включаются. Права чтения журналов отличаются от прав просмотра персональных и финансовых данных.</w:t>
      </w:r>
    </w:p>
    <w:p>
      <w:pPr>
        <w:spacing w:line="360" w:lineRule="auto" w:before="0" w:after="0"/>
        <w:ind w:firstLine="709"/>
        <w:jc w:val="both"/>
      </w:pPr>
      <w:r>
        <w:rPr>
          <w:rFonts w:ascii="Times New Roman" w:hAnsi="Times New Roman"/>
          <w:color w:val="000000"/>
          <w:sz w:val="28"/>
        </w:rPr>
        <w:t>Логи защищаются шифрованием при хранении и передаче, ограничением доступа и политикой удаления. Важные события передаются в отдельное хранилище с защитой от изменения; поддерживается обнаружение разрыва последовательности либо иной механизм контроля неизменности. Время узлов синхронизировано, чтобы события разных сервисов можно было сопоставлять при расследовании.</w:t>
      </w:r>
    </w:p>
    <w:p>
      <w:pPr>
        <w:spacing w:line="360" w:lineRule="auto" w:before="0" w:after="0"/>
        <w:ind w:firstLine="709"/>
        <w:jc w:val="both"/>
      </w:pPr>
      <w:r>
        <w:rPr>
          <w:rFonts w:ascii="Times New Roman" w:hAnsi="Times New Roman"/>
          <w:color w:val="000000"/>
          <w:sz w:val="28"/>
        </w:rPr>
        <w:t>Система наблюдаемости собирает показатели задержек, доступности, ошибок, нагрузки, количества неуспешных входов, блокировок и отклонённых AI-запросов. Метрики не должны раскрывать коммерческие названия клиентов, фамилии работников и секреты. При подозрении на утечку передача во внешние AI-сервисы останавливается централизованным флагом без остановки ручного ведения производства.</w:t>
      </w:r>
    </w:p>
    <w:p>
      <w:pPr>
        <w:pStyle w:val="Heading1"/>
        <w:spacing w:line="360" w:lineRule="auto" w:before="0" w:after="0"/>
        <w:ind w:firstLine="709"/>
        <w:jc w:val="both"/>
      </w:pPr>
      <w:r>
        <w:rPr>
          <w:rFonts w:ascii="Times New Roman" w:hAnsi="Times New Roman"/>
          <w:color w:val="000000"/>
          <w:sz w:val="28"/>
        </w:rPr>
        <w:t>Резервное копирование и восстановление</w:t>
      </w:r>
    </w:p>
    <w:p>
      <w:pPr>
        <w:spacing w:line="360" w:lineRule="auto" w:before="0" w:after="0"/>
        <w:ind w:firstLine="709"/>
        <w:jc w:val="both"/>
      </w:pPr>
      <w:r>
        <w:rPr>
          <w:rFonts w:ascii="Times New Roman" w:hAnsi="Times New Roman"/>
          <w:color w:val="000000"/>
          <w:sz w:val="28"/>
        </w:rPr>
        <w:t>Резервные копии PostgreSQL создаются автоматически с непрерывным архивированием журнала предзаписи WAL. Целевые показатели восстановления для критичных производственных данных устанавливаются не хуже RPO 15 минут и RTO 4 часа при штатном сбое одного серверного узла; при полном отказе площадки сценарий и сроки оцениваются отдельно. Периодичность полных копий, удержание поколений и объём резервного пространства определяются фактическим потоком событий.</w:t>
      </w:r>
    </w:p>
    <w:p>
      <w:pPr>
        <w:spacing w:line="360" w:lineRule="auto" w:before="0" w:after="0"/>
        <w:ind w:firstLine="709"/>
        <w:jc w:val="both"/>
      </w:pPr>
      <w:r>
        <w:rPr>
          <w:rFonts w:ascii="Times New Roman" w:hAnsi="Times New Roman"/>
          <w:color w:val="000000"/>
          <w:sz w:val="28"/>
        </w:rPr>
        <w:t>Применяется принцип хранения нескольких независимых копий, включая изолированное неизменяемое либо офлайн-хранилище. Копия базы, файлов производства, версий планов и журналов согласуется по контрольной точке. Резервное хранилище не использует тот же доступ, что и продуктивный сервер; удаление основного объекта или компрометация учётной записи приложения не может автоматически уничтожить все резервные копии.</w:t>
      </w:r>
    </w:p>
    <w:p>
      <w:pPr>
        <w:spacing w:line="360" w:lineRule="auto" w:before="0" w:after="0"/>
        <w:ind w:firstLine="709"/>
        <w:jc w:val="both"/>
      </w:pPr>
      <w:r>
        <w:rPr>
          <w:rFonts w:ascii="Times New Roman" w:hAnsi="Times New Roman"/>
          <w:color w:val="000000"/>
          <w:sz w:val="28"/>
        </w:rPr>
        <w:t>Каждая резервная копия шифруется и проверяется контрольной суммой. Не реже одного раза в месяц проводится фактическое восстановление в изолированную среду с проверкой целостности связей заказ — план — задание — факт — корректировка и доступности файлов. Успешное создание архива без пробного восстановления не считается подтверждением работоспособности резервирования.</w:t>
      </w:r>
    </w:p>
    <w:p>
      <w:pPr>
        <w:spacing w:line="360" w:lineRule="auto" w:before="0" w:after="0"/>
        <w:ind w:firstLine="709"/>
        <w:jc w:val="both"/>
      </w:pPr>
      <w:r>
        <w:rPr>
          <w:rFonts w:ascii="Times New Roman" w:hAnsi="Times New Roman"/>
          <w:color w:val="000000"/>
          <w:sz w:val="28"/>
        </w:rPr>
        <w:t>Для ключей шифрования и конфигурации восстановления предусмотрена самостоятельная защищённая копия, доступная ограниченному числу назначенных специалистов. Процедура восстановления предусматривает повторную проверку сертификатов, ограничений внешнего доступа, ролей и возможности отзыва сессий до возвращения системы в продуктивный режим.</w:t>
      </w:r>
    </w:p>
    <w:p>
      <w:pPr>
        <w:pStyle w:val="Heading1"/>
        <w:spacing w:line="360" w:lineRule="auto" w:before="0" w:after="0"/>
        <w:ind w:firstLine="709"/>
        <w:jc w:val="both"/>
      </w:pPr>
      <w:r>
        <w:rPr>
          <w:rFonts w:ascii="Times New Roman" w:hAnsi="Times New Roman"/>
          <w:color w:val="000000"/>
          <w:sz w:val="28"/>
        </w:rPr>
        <w:t>Безопасная разработка, сборка и эксплуатация</w:t>
      </w:r>
    </w:p>
    <w:p>
      <w:pPr>
        <w:spacing w:line="360" w:lineRule="auto" w:before="0" w:after="0"/>
        <w:ind w:firstLine="709"/>
        <w:jc w:val="both"/>
      </w:pPr>
      <w:r>
        <w:rPr>
          <w:rFonts w:ascii="Times New Roman" w:hAnsi="Times New Roman"/>
          <w:color w:val="000000"/>
          <w:sz w:val="28"/>
        </w:rPr>
        <w:t>Разработка ведётся в закрытом репозитории с обязательной проверкой изменений и защитой основной ветки. Для компонентов применяются статический анализ, проверка зависимостей на известные уязвимости, поиск случайно закоммиченных секретов, проверка контейнеров и автоматические тесты разграничения доступа. Публикуемые артефакты связываются с коммитом и проверенной сборкой.</w:t>
      </w:r>
    </w:p>
    <w:p>
      <w:pPr>
        <w:spacing w:line="360" w:lineRule="auto" w:before="0" w:after="0"/>
        <w:ind w:firstLine="709"/>
        <w:jc w:val="both"/>
      </w:pPr>
      <w:r>
        <w:rPr>
          <w:rFonts w:ascii="Times New Roman" w:hAnsi="Times New Roman"/>
          <w:color w:val="000000"/>
          <w:sz w:val="28"/>
        </w:rPr>
        <w:t>В CI/CD секреты выдаются только на время необходимой задачи и не отображаются в журналах. Изменения схемы PostgreSQL исполняются через версионированные миграции. Для продуктивного развёртывания используется отдельное право на выпуск, откат проверяется заранее, а прямые изменения кода на работающем сервере запрещаются.</w:t>
      </w:r>
    </w:p>
    <w:p>
      <w:pPr>
        <w:spacing w:line="360" w:lineRule="auto" w:before="0" w:after="0"/>
        <w:ind w:firstLine="709"/>
        <w:jc w:val="both"/>
      </w:pPr>
      <w:r>
        <w:rPr>
          <w:rFonts w:ascii="Times New Roman" w:hAnsi="Times New Roman"/>
          <w:color w:val="000000"/>
          <w:sz w:val="28"/>
        </w:rPr>
        <w:t>Неподдерживаемые библиотеки, образы контейнеров с неизвестным происхождением и компоненты с критическими неисправленными уязвимостями не допускаются в релиз без зафиксированного компенсирующего контроля. Проводятся регулярная актуализация пакетов, инвентаризация компонентов, контроль конфигурации сети, проверка TLS, журналов и резервирования.</w:t>
      </w:r>
    </w:p>
    <w:p>
      <w:pPr>
        <w:spacing w:line="360" w:lineRule="auto" w:before="0" w:after="0"/>
        <w:ind w:firstLine="709"/>
        <w:jc w:val="both"/>
      </w:pPr>
      <w:r>
        <w:rPr>
          <w:rFonts w:ascii="Times New Roman" w:hAnsi="Times New Roman"/>
          <w:color w:val="000000"/>
          <w:sz w:val="28"/>
        </w:rPr>
        <w:t>До первого размещения реальных персональных данных выполняется тестирование на проникновение или эквивалентная независимая проверка критичных границ, включая смену tenant_id, перебор идентификаторов, доступ к чужим файлам, обход ограничений API, подмену ролей, получение секретов, повтор факта и отправку запрещённого контента в AI. Критичные и высокие дефекты устраняются до продуктивного запуска.</w:t>
      </w:r>
    </w:p>
    <w:p>
      <w:pPr>
        <w:pStyle w:val="Heading1"/>
        <w:spacing w:line="360" w:lineRule="auto" w:before="0" w:after="0"/>
        <w:ind w:firstLine="709"/>
        <w:jc w:val="both"/>
      </w:pPr>
      <w:r>
        <w:rPr>
          <w:rFonts w:ascii="Times New Roman" w:hAnsi="Times New Roman"/>
          <w:color w:val="000000"/>
          <w:sz w:val="28"/>
        </w:rPr>
        <w:t>Организационный контроль и реагирование на инциденты</w:t>
      </w:r>
    </w:p>
    <w:p>
      <w:pPr>
        <w:spacing w:line="360" w:lineRule="auto" w:before="0" w:after="0"/>
        <w:ind w:firstLine="709"/>
        <w:jc w:val="both"/>
      </w:pPr>
      <w:r>
        <w:rPr>
          <w:rFonts w:ascii="Times New Roman" w:hAnsi="Times New Roman"/>
          <w:color w:val="000000"/>
          <w:sz w:val="28"/>
        </w:rPr>
        <w:t>Для продуктивной системы определяются ответственный за защиту информации, ответственный за обработку персональных данных и порядок взаимодействия с компаниями-заказчиками. Сотрудники получают доступ по принципу минимальной достаточности, подписывают необходимые обязательства о конфиденциальности и проходят инструктаж. При прекращении полномочий доступы и активные сессии отзываются немедленно, технические ключи меняются при необходимости.</w:t>
      </w:r>
    </w:p>
    <w:p>
      <w:pPr>
        <w:spacing w:line="360" w:lineRule="auto" w:before="0" w:after="0"/>
        <w:ind w:firstLine="709"/>
        <w:jc w:val="both"/>
      </w:pPr>
      <w:r>
        <w:rPr>
          <w:rFonts w:ascii="Times New Roman" w:hAnsi="Times New Roman"/>
          <w:color w:val="000000"/>
          <w:sz w:val="28"/>
        </w:rPr>
        <w:t>Инцидентом безопасности считается не только подтверждённая утечка, но и доступ к чужому tenant, раскрытие ключа, незаконный экспорт, подмена производственного факта, компрометация резервной копии или выявленная отправка персонального поля в AI. Реагирование включает изоляцию затронутого контура, сохранение доказательств, отзыв секретов, оценку последствий, восстановление и фиксацию профилактических изменений.</w:t>
      </w:r>
    </w:p>
    <w:p>
      <w:pPr>
        <w:spacing w:line="360" w:lineRule="auto" w:before="0" w:after="0"/>
        <w:ind w:firstLine="709"/>
        <w:jc w:val="both"/>
      </w:pPr>
      <w:r>
        <w:rPr>
          <w:rFonts w:ascii="Times New Roman" w:hAnsi="Times New Roman"/>
          <w:color w:val="000000"/>
          <w:sz w:val="28"/>
        </w:rPr>
        <w:t>При инцидентах с неправомерной передачей персональных данных соблюдаются применимые сроки и порядок уведомления Роскомнадзора, включая первичное уведомление в течение 24 часов и сообщение о результатах внутреннего расследования в течение 72 часов в предусмотренных законом случаях. Внутренний регламент устанавливает более короткое время первичного выявления и эскалации, чтобы юридические сроки не зависели от выходных и времени реакции разработчика.</w:t>
      </w:r>
    </w:p>
    <w:p>
      <w:pPr>
        <w:spacing w:line="360" w:lineRule="auto" w:before="0" w:after="0"/>
        <w:ind w:firstLine="709"/>
        <w:jc w:val="both"/>
      </w:pPr>
      <w:r>
        <w:rPr>
          <w:rFonts w:ascii="Times New Roman" w:hAnsi="Times New Roman"/>
          <w:color w:val="000000"/>
          <w:sz w:val="28"/>
        </w:rPr>
        <w:t>Каждый серьёзный инцидент завершается анализом причины и проверкой того, что дефект не повторяется в другом модуле. Действия по восстановлению, исправлению и подтверждению отсутствия повторной передачи запрещённых данных документируются в журнале расследований, доступном ограниченному кругу ответственных лиц.</w:t>
      </w:r>
    </w:p>
    <w:p>
      <w:pPr>
        <w:pStyle w:val="Heading1"/>
        <w:spacing w:line="360" w:lineRule="auto" w:before="0" w:after="0"/>
        <w:ind w:firstLine="709"/>
        <w:jc w:val="both"/>
      </w:pPr>
      <w:r>
        <w:rPr>
          <w:rFonts w:ascii="Times New Roman" w:hAnsi="Times New Roman"/>
          <w:color w:val="000000"/>
          <w:sz w:val="28"/>
        </w:rPr>
        <w:t>Проверяемые критерии безопасности и условия запуска</w:t>
      </w:r>
    </w:p>
    <w:p>
      <w:pPr>
        <w:spacing w:line="360" w:lineRule="auto" w:before="0" w:after="0"/>
        <w:ind w:firstLine="709"/>
        <w:jc w:val="both"/>
      </w:pPr>
      <w:r>
        <w:rPr>
          <w:rFonts w:ascii="Times New Roman" w:hAnsi="Times New Roman"/>
          <w:color w:val="000000"/>
          <w:sz w:val="28"/>
        </w:rPr>
        <w:t>До запуска внешней AI-интеграции автоматизированный тест должен подтвердить, что в исходящем запросе отсутствуют ФИО, телефон, электронная почта, табельный номер, внутренний user_id, tenant_id, имя клиента, реальные номера заказов и дополнительные поля вне утверждённой схемы. Проверка выполняется на уровне сформированного сетевого запроса, а не только исходного объекта приложения. При попадании запрещённых сведений шлюз блокирует отправку, записывает обезличенный технический код отказа и информирует ответственного о необходимости исправления.</w:t>
      </w:r>
    </w:p>
    <w:p>
      <w:pPr>
        <w:spacing w:line="360" w:lineRule="auto" w:before="0" w:after="0"/>
        <w:ind w:firstLine="709"/>
        <w:jc w:val="both"/>
      </w:pPr>
      <w:r>
        <w:rPr>
          <w:rFonts w:ascii="Times New Roman" w:hAnsi="Times New Roman"/>
          <w:color w:val="000000"/>
          <w:sz w:val="28"/>
        </w:rPr>
        <w:t>Тесты случайных идентификаторов подтверждают, что токены не совпадают с первичными ключами базы и не воспроизводятся между независимыми AI-сессиями. Ответ REG.ru не должен содержать путь к восстановлению идентичности работника, а внешние методы не позволяют получить локальную таблицу соответствия. Попытки отправить свободный текст, скрытое поле или вложенную структуру с персональными значениями завершаются отказом по политике deny by default.</w:t>
      </w:r>
    </w:p>
    <w:p>
      <w:pPr>
        <w:spacing w:line="360" w:lineRule="auto" w:before="0" w:after="0"/>
        <w:ind w:firstLine="709"/>
        <w:jc w:val="both"/>
      </w:pPr>
      <w:r>
        <w:rPr>
          <w:rFonts w:ascii="Times New Roman" w:hAnsi="Times New Roman"/>
          <w:color w:val="000000"/>
          <w:sz w:val="28"/>
        </w:rPr>
        <w:t>Для изоляции предприятий создаются минимум два независимых тестовых контура. Пользователь одного предприятия последовательно проверяет чтение заказов, файл, журнал факта, список работников, отчёт, подписку на события, поиск, AI-контекст и экспорт другого предприятия; везде требуется отказ без раскрытия существования чужого объекта. Эти проверки входят в обязательный автоматический регресс при изменениях API и миграций БД.</w:t>
      </w:r>
    </w:p>
    <w:p>
      <w:pPr>
        <w:spacing w:line="360" w:lineRule="auto" w:before="0" w:after="0"/>
        <w:ind w:firstLine="709"/>
        <w:jc w:val="both"/>
      </w:pPr>
      <w:r>
        <w:rPr>
          <w:rFonts w:ascii="Times New Roman" w:hAnsi="Times New Roman"/>
          <w:color w:val="000000"/>
          <w:sz w:val="28"/>
        </w:rPr>
        <w:t>Для хранения выполняются тесты отсутствия открытых персональных значений в SQL-дампе, файлах резервного копирования, объектных ссылках, логах и диагностических архивах. Проверяется невозможность расшифровать зашифрованное поле без отдельного ключа, корректное завершение операции при повреждении тега AES-GCM и недоступность резервных копий из обычной учётной записи приложения.</w:t>
      </w:r>
    </w:p>
    <w:p>
      <w:pPr>
        <w:spacing w:line="360" w:lineRule="auto" w:before="0" w:after="0"/>
        <w:ind w:firstLine="709"/>
        <w:jc w:val="both"/>
      </w:pPr>
      <w:r>
        <w:rPr>
          <w:rFonts w:ascii="Times New Roman" w:hAnsi="Times New Roman"/>
          <w:color w:val="000000"/>
          <w:sz w:val="28"/>
        </w:rPr>
        <w:t>Для каналов связи подтверждаются запрет устаревших протоколов, корректность сертификата, защищённое подключение WSS, отсутствие смешанного HTTP-контента, проверка сервера REG.ru и невозможность отправить AI-запрос при TLS-ошибке. Для сессий проверяются MFA, ограничение подбора PIN, отзыв refresh-токена, блокировка после увольнения и невозможность использовать старую роль после её изменения.</w:t>
      </w:r>
    </w:p>
    <w:p>
      <w:pPr>
        <w:spacing w:line="360" w:lineRule="auto" w:before="0" w:after="0"/>
        <w:ind w:firstLine="709"/>
        <w:jc w:val="both"/>
      </w:pPr>
      <w:r>
        <w:rPr>
          <w:rFonts w:ascii="Times New Roman" w:hAnsi="Times New Roman"/>
          <w:color w:val="000000"/>
          <w:sz w:val="28"/>
        </w:rPr>
        <w:t>Для производственных данных проверяются отсутствие дублей при повторах запроса, невозможность редактирования исходного факта вместо корректировки, отказ при публикации устаревшей версии плана и соблюдение прав на изменение норм. Для восстановления создаётся реальный инцидентный сценарий с проверкой целостности событий и соблюдения целевых показателей RPO/RTO.</w:t>
      </w:r>
    </w:p>
    <w:p>
      <w:pPr>
        <w:spacing w:line="360" w:lineRule="auto" w:before="0" w:after="0"/>
        <w:ind w:firstLine="709"/>
        <w:jc w:val="both"/>
      </w:pPr>
      <w:r>
        <w:rPr>
          <w:rFonts w:ascii="Times New Roman" w:hAnsi="Times New Roman"/>
          <w:color w:val="000000"/>
          <w:sz w:val="28"/>
        </w:rPr>
        <w:t>Продуктивный выпуск запрещён при критической ошибке изоляции tenant, открытом доступе к персональным данным, утечке секретов, возможности отправки сырого текста или идентифицирующих полей во внешнюю нейросеть, неработающем резервном восстановлении либо отсутствии документов на цепочку поставщиков AI. Выполнение перечисленных критериев оформляется протоколом испытаний и конфигурационным снимком релиза.</w:t>
      </w:r>
    </w:p>
    <w:p>
      <w:pPr>
        <w:pStyle w:val="Heading1"/>
        <w:spacing w:line="360" w:lineRule="auto" w:before="0" w:after="0"/>
        <w:ind w:firstLine="709"/>
        <w:jc w:val="both"/>
      </w:pPr>
      <w:r>
        <w:rPr>
          <w:rFonts w:ascii="Times New Roman" w:hAnsi="Times New Roman"/>
          <w:color w:val="000000"/>
          <w:sz w:val="28"/>
        </w:rPr>
        <w:t>Нормативные документы и технические стандарты</w:t>
      </w:r>
    </w:p>
    <w:p>
      <w:pPr>
        <w:spacing w:line="360" w:lineRule="auto" w:before="0" w:after="0"/>
        <w:ind w:firstLine="709"/>
        <w:jc w:val="both"/>
      </w:pPr>
      <w:r>
        <w:rPr>
          <w:rFonts w:ascii="Times New Roman" w:hAnsi="Times New Roman"/>
          <w:color w:val="000000"/>
          <w:sz w:val="28"/>
        </w:rPr>
        <w:t>Нормативные положения применяются в актуальных редакциях на дату ввода системы в эксплуатацию. Указанные ниже ссылки позволяют проверить официальный состав требований и область их применения.</w:t>
      </w:r>
    </w:p>
    <w:p>
      <w:pPr>
        <w:spacing w:line="360" w:lineRule="auto" w:before="0" w:after="0"/>
        <w:ind w:firstLine="709"/>
        <w:jc w:val="both"/>
      </w:pPr>
      <w:r>
        <w:rPr>
          <w:rFonts w:ascii="Times New Roman" w:hAnsi="Times New Roman"/>
          <w:color w:val="000000"/>
          <w:sz w:val="28"/>
        </w:rPr>
        <w:t xml:space="preserve">Доктрина информационной безопасности Российской Федерации. Указ Президента РФ от 05.12.2016 № 646. </w:t>
      </w:r>
      <w:hyperlink r:id="rId9">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Федеральный закон от 27.07.2006 № 152-ФЗ «О персональных данных». </w:t>
      </w:r>
      <w:hyperlink r:id="rId10">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Постановление Правительства РФ от 01.11.2012 № 1119. </w:t>
      </w:r>
      <w:hyperlink r:id="rId11">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Приказ ФСТЭК России от 18.02.2013 № 21. </w:t>
      </w:r>
      <w:hyperlink r:id="rId12">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Приказ ФСБ России от 10.07.2014 № 378. </w:t>
      </w:r>
      <w:hyperlink r:id="rId13">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Приказ Роскомнадзора от 19.06.2025 № 140. </w:t>
      </w:r>
      <w:hyperlink r:id="rId14">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Постановление Правительства РФ от 01.08.2025 № 1154. </w:t>
      </w:r>
      <w:hyperlink r:id="rId15">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Документы и политика обработки персональных данных REG.ru. </w:t>
      </w:r>
      <w:hyperlink r:id="rId16">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Техническая спецификация TLS 1.3: RFC 8446. </w:t>
      </w:r>
      <w:hyperlink r:id="rId17">
        <w:r>
          <w:rPr>
            <w:color w:val="000000"/>
            <w:u w:val="single"/>
            <w:rFonts w:ascii="Times New Roman" w:hAnsi="Times New Roman" w:eastAsia="Times New Roman"/>
            <w:sz w:val="28"/>
          </w:rPr>
          <w:t>Текст документа</w:t>
        </w:r>
      </w:hyperlink>
    </w:p>
    <w:p>
      <w:pPr>
        <w:spacing w:line="360" w:lineRule="auto" w:before="0" w:after="0"/>
        <w:ind w:firstLine="709"/>
        <w:jc w:val="both"/>
      </w:pPr>
      <w:r>
        <w:rPr>
          <w:rFonts w:ascii="Times New Roman" w:hAnsi="Times New Roman"/>
          <w:color w:val="000000"/>
          <w:sz w:val="28"/>
        </w:rPr>
        <w:t xml:space="preserve">Техническая спецификация Argon2: RFC 9106. </w:t>
      </w:r>
      <w:hyperlink r:id="rId18">
        <w:r>
          <w:rPr>
            <w:color w:val="000000"/>
            <w:u w:val="single"/>
            <w:rFonts w:ascii="Times New Roman" w:hAnsi="Times New Roman" w:eastAsia="Times New Roman"/>
            <w:sz w:val="28"/>
          </w:rPr>
          <w:t>Текст документа</w:t>
        </w:r>
      </w:hyperlink>
    </w:p>
    <w:sectPr w:rsidR="00FC693F" w:rsidRPr="0006063C" w:rsidSect="00034616">
      <w:pgSz w:w="12240" w:h="15840"/>
      <w:pgMar w:top="1020" w:right="1020" w:bottom="1020" w:left="119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auto" w:before="0" w:after="0"/>
      <w:ind w:firstLine="709"/>
    </w:pPr>
    <w:rPr>
      <w:rFonts w:ascii="Times New Roman" w:hAnsi="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360" w:lineRule="auto"/>
      <w:ind w:firstLine="709"/>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0" w:after="0" w:line="360" w:lineRule="auto"/>
      <w:ind w:firstLine="709"/>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360" w:lineRule="auto" w:before="0"/>
      <w:ind w:firstLine="709"/>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tal.tatarstan.ru/doktrina-informatsionnoy-bezopasnosti-rossiyskoy.htm" TargetMode="External"/><Relationship Id="rId10" Type="http://schemas.openxmlformats.org/officeDocument/2006/relationships/hyperlink" Target="https://www.consultant.ru/document/cons_doc_LAW_61801/" TargetMode="External"/><Relationship Id="rId11" Type="http://schemas.openxmlformats.org/officeDocument/2006/relationships/hyperlink" Target="https://base.garant.ru/70252506/" TargetMode="External"/><Relationship Id="rId12" Type="http://schemas.openxmlformats.org/officeDocument/2006/relationships/hyperlink" Target="https://www.consultant.ru/document/cons_doc_LAW_146520/" TargetMode="External"/><Relationship Id="rId13" Type="http://schemas.openxmlformats.org/officeDocument/2006/relationships/hyperlink" Target="https://www.consultant.ru/document/cons_doc_LAW_167862/" TargetMode="External"/><Relationship Id="rId14" Type="http://schemas.openxmlformats.org/officeDocument/2006/relationships/hyperlink" Target="https://www.consultant.ru/document/cons_doc_LAW_511184/" TargetMode="External"/><Relationship Id="rId15" Type="http://schemas.openxmlformats.org/officeDocument/2006/relationships/hyperlink" Target="https://www.garant.ru/products/ipo/prime/doc/412343296/" TargetMode="External"/><Relationship Id="rId16" Type="http://schemas.openxmlformats.org/officeDocument/2006/relationships/hyperlink" Target="https://help.reg.ru/support/dokymenty/pravila-i-politiki/politika-obrabotki-personalnyh-dannyh" TargetMode="External"/><Relationship Id="rId17" Type="http://schemas.openxmlformats.org/officeDocument/2006/relationships/hyperlink" Target="https://www.rfc-editor.org/rfc/rfc8446" TargetMode="External"/><Relationship Id="rId18" Type="http://schemas.openxmlformats.org/officeDocument/2006/relationships/hyperlink" Target="https://www.rfc-editor.org/rfc/rfc9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