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before="0" w:after="0"/>
        <w:ind w:firstLine="709"/>
        <w:jc w:val="both"/>
      </w:pPr>
      <w:r>
        <w:t>EASY3. Модуль «ЦЕЛЬ»</w:t>
      </w:r>
    </w:p>
    <w:p>
      <w:pPr>
        <w:pStyle w:val="Heading1"/>
        <w:keepNext/>
        <w:spacing w:line="360" w:lineRule="auto" w:before="0" w:after="0"/>
        <w:ind w:firstLine="709"/>
        <w:jc w:val="both"/>
      </w:pPr>
      <w:r>
        <w:t>Область ответственности контура «ЦЕЛЬ»</w:t>
      </w:r>
    </w:p>
    <w:p>
      <w:pPr>
        <w:spacing w:line="360" w:lineRule="auto" w:before="0" w:after="0"/>
        <w:ind w:firstLine="709"/>
        <w:jc w:val="both"/>
      </w:pPr>
      <w:r>
        <w:t>«ЦЕЛЬ» управляет экономическими и производственными обязательствами компании: что необходимо произвести, сколько, к какому сроку, на каких коммерческих условиях, с какими прямыми затратами и общей нагрузкой компании. Модуль не является бухгалтерией, зарплатным расчётчиком, CRM или системой складских проводок. Сквозная цепь: паспорт → черновик заказа → версия условий → предварительная оценка → подтверждённый план из ПЛАНА → прогноз экономики → факты ПРОИЗВОДСТВА → текущий прогноз → итог заказа и периода.</w:t>
      </w:r>
    </w:p>
    <w:p>
      <w:pPr>
        <w:spacing w:line="360" w:lineRule="auto" w:before="0" w:after="0"/>
        <w:ind w:firstLine="709"/>
        <w:jc w:val="both"/>
      </w:pPr>
      <w:r>
        <w:t>ЦЕЛЬ владеет заказом, его коммерческими условиями и экономическими версиями. ПЛАН владеет технологией, нормативами времени и прогнозом загрузки. ПРОИЗВОДСТВО владеет достоверным фактом выполнения, качеством, простоем и фактом использования ресурсов. Не создавать дублирующие поля для первичных фактов в ЦЕЛИ. В каждом расчёте хранить company_id, order_id/period_id, версию условий, ссылки на использованные версии плана и фактов, полноту входов, временной срез и точность денежных округлений.</w:t>
      </w:r>
    </w:p>
    <w:p>
      <w:pPr>
        <w:pStyle w:val="Heading1"/>
        <w:keepNext/>
        <w:spacing w:line="360" w:lineRule="auto" w:before="0" w:after="0"/>
        <w:ind w:firstLine="709"/>
        <w:jc w:val="both"/>
      </w:pPr>
      <w:r>
        <w:t>Первое знакомство и контекст компании</w:t>
      </w:r>
    </w:p>
    <w:p>
      <w:pPr>
        <w:spacing w:line="360" w:lineRule="auto" w:before="0" w:after="0"/>
        <w:ind w:firstLine="709"/>
        <w:jc w:val="both"/>
      </w:pPr>
      <w:r>
        <w:t>При первом входе собственник создаёт компанию по названию. Валюта, направления, подразделения, графики и статьи расходов могут быть заполнены позже. Создание заказа не зависит от отметки «полностью заполнено» у всех пяти разделов паспорта. Если у пользователя несколько компаний, контекст выбирается явно; данные каждой компании изолированы на сервере. Должность человека не открывает права; доступ вычисляется из назначенных ролей в текущем контексте. Паспорт хранит источники правил: люди и бригады; оборудование, инструменты, рабочие зоны; собственные и предоставленные заказчиком материалы; смены; постоянные и переменные статьи. Поле «не заполнено» нельзя трактовать как 0 при расчёте.</w:t>
      </w:r>
    </w:p>
    <w:p>
      <w:pPr>
        <w:spacing w:line="360" w:lineRule="auto" w:before="0" w:after="0"/>
        <w:ind w:firstLine="709"/>
        <w:jc w:val="both"/>
      </w:pPr>
      <w:r>
        <w:t>При открытии карточки компания передаётся через контекст запроса; прямое открытие order_id другой компании завершается отказом без раскрытия экономических полей.</w:t>
      </w:r>
    </w:p>
    <w:p>
      <w:pPr>
        <w:pStyle w:val="Heading1"/>
        <w:keepNext/>
        <w:spacing w:line="360" w:lineRule="auto" w:before="0" w:after="0"/>
        <w:ind w:firstLine="709"/>
        <w:jc w:val="both"/>
      </w:pPr>
      <w:r>
        <w:t>Реестр заказов, жизненный цикл и категории</w:t>
      </w:r>
    </w:p>
    <w:p>
      <w:pPr>
        <w:spacing w:line="360" w:lineRule="auto" w:before="0" w:after="0"/>
        <w:ind w:firstLine="709"/>
        <w:jc w:val="both"/>
      </w:pPr>
      <w:r>
        <w:t>Заказ содержит номер/код в пределах компании, название, тип OWN или CONTRACT, автора, дату создания, текущий статус, позиции, текущую версию условий, вложения, ссылки на план и факт. Несколько позиций допускаются; для каждой свой объём, единица и технология. Вид OWN («собственная продукция») задаёт целевой предел себестоимости на единицу или на выпуск. Пока цена реализации не введена, система не вычисляет прибыль от продажи как известную величину. Вид CONTRACT («подряд») задаёт договорную стоимость: цена за единицу или общая цена, что включено, дополнительные компенсации, материалы заказчика, условия оплаты. Выручка по договору не приравнивается к поступлению денег на счёт.</w:t>
      </w:r>
    </w:p>
    <w:p>
      <w:pPr>
        <w:spacing w:line="360" w:lineRule="auto" w:before="0" w:after="0"/>
        <w:ind w:firstLine="709"/>
        <w:jc w:val="both"/>
      </w:pPr>
      <w:r>
        <w:t>Статусы: DRAFT — редактируемое обязательство; READY_FOR_PLAN — имеются исходные условия, позволяющие строить план; IN_PLANNING — открыты проектные варианты; APPROVED — актуальный план утверждён; IN_PROGRESS — есть выданная работа/факт; COMPLETED — критерии производственного окончания выполнены; CLOSED — результат и экономический период зафиксированы; CANCELED — заказ прекращён, расходы и история сохранены. Статус не является единственным источником истины: данные о принятом выпуске, факте, окончании смены, публикации и закрытии берутся из авторитетных записей. Каждая допустимая смена состояния проверяет предшествующие данные и разрешение роли.</w:t>
      </w:r>
    </w:p>
    <w:p>
      <w:pPr>
        <w:spacing w:line="360" w:lineRule="auto" w:before="0" w:after="0"/>
        <w:ind w:firstLine="709"/>
        <w:jc w:val="both"/>
      </w:pPr>
      <w:r>
        <w:t>Повторная отправка команды создания заказа с тем же ключом повторения возвращает ранее созданный объект; два одноимённых заказа при осознанном создании возможны, но автоматически не сливаются. При удалении черновика без фактов допускается архивирование/soft-delete по роли. После появления расходов или исполнения физическое удаление, разрушающее историю, не допускается.</w:t>
      </w:r>
    </w:p>
    <w:p>
      <w:pPr>
        <w:pStyle w:val="Heading1"/>
        <w:keepNext/>
        <w:spacing w:line="360" w:lineRule="auto" w:before="0" w:after="0"/>
        <w:ind w:firstLine="709"/>
        <w:jc w:val="both"/>
      </w:pPr>
      <w:r>
        <w:t>Карточка заказа и требования к полям</w:t>
      </w:r>
    </w:p>
    <w:p>
      <w:pPr>
        <w:spacing w:line="360" w:lineRule="auto" w:before="0" w:after="0"/>
        <w:ind w:firstLine="709"/>
        <w:jc w:val="both"/>
      </w:pPr>
      <w:r>
        <w:t>Блок «Заказ»: компания, название, тип, код, заказчик для подряда, производственное направление (при наличии), примечание, вложения, автор и последняя дата изменения. Блок «Что и сколько»: позиции, изделие/описание, количество больше нуля, единица измерения и её размерность, варианты размера/цвета или другие атрибуты предприятия; частичное заполнение разрешено. Нельзя складывать штуки и килограммы в одну количественную метрику. Блок «Экономическая цель»: для OWN максимально допустимая цена изготовления единицы или партии с базой расчёта; для CONTRACT цена договора/единицы, условия включённых материалов и дополнительных выплат; при отсутствии цены показывать «не задана», а не 0 ₽.</w:t>
      </w:r>
    </w:p>
    <w:p>
      <w:pPr>
        <w:spacing w:line="360" w:lineRule="auto" w:before="0" w:after="0"/>
        <w:ind w:firstLine="709"/>
        <w:jc w:val="both"/>
      </w:pPr>
      <w:r>
        <w:t>Блок «Материалы и прямые затраты»: материал, количество, единица, принадлежность заказчику/производству, сторона, которая его приобретает и оплачивает, фактическое использование, сумма с основанием и ссылка на подтверждающий документ. Блок «Срок»: желаемая дата, договорное обязательство, возможная дата начала, обязательные предшествующие события, точность исходного времени. Разделять «желательный срок» и юридически значимый срок заказа, если оба заданы. Форма отображает сначала минимум: что производим, объём, вид заказа. Срок, экономика, документы и материалы раскрываются по мере готовности; незаполненные блоки не мешают сохранению черновика.</w:t>
      </w:r>
    </w:p>
    <w:p>
      <w:pPr>
        <w:spacing w:line="360" w:lineRule="auto" w:before="0" w:after="0"/>
        <w:ind w:firstLine="709"/>
        <w:jc w:val="both"/>
      </w:pPr>
      <w:r>
        <w:t>Изменение значимых условий создаёт новую TermsVersion с authored_at/effective_from/reason. Старая версия нужна для объяснения, почему ранее опубликованный план был выполнимым на старых условиях.</w:t>
      </w:r>
    </w:p>
    <w:p>
      <w:pPr>
        <w:pStyle w:val="Heading1"/>
        <w:keepNext/>
        <w:spacing w:line="360" w:lineRule="auto" w:before="0" w:after="0"/>
        <w:ind w:firstLine="709"/>
        <w:jc w:val="both"/>
      </w:pPr>
      <w:r>
        <w:t>Экономический паспорт и версии правил</w:t>
      </w:r>
    </w:p>
    <w:p>
      <w:pPr>
        <w:spacing w:line="360" w:lineRule="auto" w:before="0" w:after="0"/>
        <w:ind w:firstLine="709"/>
        <w:jc w:val="both"/>
      </w:pPr>
      <w:r>
        <w:t>ExpensePolicy описывает правило возникновения расхода, а ExpenseEntry — применение этого правила к периоду или фактическому событию. Нельзя хранить один «расход» без различения шаблона, начисления и денежного платежа. Постоянная статья: уникальный ID, название, сумма, валюта, период (день/неделя/месяц/иной), дата начала/конца применения, компания, связанный ресурс/человек/зона при необходимости, периодический метод отнесения. Переменная статья: формула из разрешённого набора операций, база расчёта, источник показателя, единица измерения, ставка/тариф и её версия, период факта, правила округления. Формулы произвольного пользовательского JavaScript не исполнять.</w:t>
      </w:r>
    </w:p>
    <w:p>
      <w:pPr>
        <w:spacing w:line="360" w:lineRule="auto" w:before="0" w:after="0"/>
        <w:ind w:firstLine="709"/>
        <w:jc w:val="both"/>
      </w:pPr>
      <w:r>
        <w:t>Допустимые примеры: выпущенные годные единицы × расценка; используемые кВт·ч × тариф; количество списанного материала × цена единицы; определённая база выручки × процент. Расчёт налоговых показателей возможен только при утверждении базы и модели, но не как полноценная налоговая отчётность. Составной расход (например, оклад и сдельная часть) хранить отдельными компонентами без дублирующей полной суммы. Для кредита платёж по основному долгу и процентная часть должны различаться, если известна разбивка. Изменение ставки/суммы действует с явного времени: уже зафиксированные результаты остаются воспроизводимыми по прежней версии. Для исторического пересчёта требуется отдельное санкционированное действие с аудиторским следом.</w:t>
      </w:r>
    </w:p>
    <w:p>
      <w:pPr>
        <w:spacing w:line="360" w:lineRule="auto" w:before="0" w:after="0"/>
        <w:ind w:firstLine="709"/>
        <w:jc w:val="both"/>
      </w:pPr>
      <w:r>
        <w:t>Полнота паспорта отражает наличие необходимых правил для конкретного вычисления, а не абстрактный процент заполненных полей. Неизвестный тариф оставляет результат неполным.</w:t>
      </w:r>
    </w:p>
    <w:p>
      <w:pPr>
        <w:pStyle w:val="Heading1"/>
        <w:keepNext/>
        <w:spacing w:line="360" w:lineRule="auto" w:before="0" w:after="0"/>
        <w:ind w:firstLine="709"/>
        <w:jc w:val="both"/>
      </w:pPr>
      <w:r>
        <w:t>Материалы, закупки, резервы и фактическое использование</w:t>
      </w:r>
    </w:p>
    <w:p>
      <w:pPr>
        <w:spacing w:line="360" w:lineRule="auto" w:before="0" w:after="0"/>
        <w:ind w:firstLine="709"/>
        <w:jc w:val="both"/>
      </w:pPr>
      <w:r>
        <w:t>Для каждой материальной позиции различать собственный запас, материал клиента, плановую потребность, покупку, фактическое поступление, резерв, фактическое использование, возврат и списание брака. Для MVP допускается упрощённая количественная модель без приходных накладных. Покупка 100 единиц по 10 ₽ не означает расход всех 1 000 ₽ на заказ в момент фактического использования 60 единиц; себестоимость потреблённых 60 равна 600 ₽ при выбранной оценке, остаток 40 сохраняется отдельно. Материал клиента не превращается в собственную закупочную себестоимость, если компания его не оплачивает. Если договор предусматривает отдельную компенсацию стоимости или переработку давальческого сырья, денежные условия фиксируются отдельно.</w:t>
      </w:r>
    </w:p>
    <w:p>
      <w:pPr>
        <w:spacing w:line="360" w:lineRule="auto" w:before="0" w:after="0"/>
        <w:ind w:firstLine="709"/>
        <w:jc w:val="both"/>
      </w:pPr>
      <w:r>
        <w:t>Одна запись источника расхода имеет уникальный ключ сопоставления и идемпотентность. Дважды импортированная покупка или операция использования не увеличивает итоговую сумму. Ручные исправления количества выполняются отдельными корректирующими событиями с причиной, временем и автором. Запрещён бесследный возврат материала после подтверждённого использования. Потребление материалов по норме и по факту отображаются раздельно; отсутствие фактического расхода не подменяется нормативом без отметки «оценка».</w:t>
      </w:r>
    </w:p>
    <w:p>
      <w:pPr>
        <w:pStyle w:val="Heading1"/>
        <w:keepNext/>
        <w:spacing w:line="360" w:lineRule="auto" w:before="0" w:after="0"/>
        <w:ind w:firstLine="709"/>
        <w:jc w:val="both"/>
      </w:pPr>
      <w:r>
        <w:t>Экономика заказа: план, прогноз, факт, итог</w:t>
      </w:r>
    </w:p>
    <w:p>
      <w:pPr>
        <w:spacing w:line="360" w:lineRule="auto" w:before="0" w:after="0"/>
        <w:ind w:firstLine="709"/>
        <w:jc w:val="both"/>
      </w:pPr>
      <w:r>
        <w:t>Разделять PLAN (расчёт по утверждённой версии плана), FORECAST (оценка оставшейся работы с актуальным фактом), FACT (подтверждённые понесённые затраты и выпуск), FINAL (закрытый итог периода/заказа). Один показатель без типа состояния и периода не имеет самостоятельного смысла. Плановые прямые затраты включают материалы по утверждённым источникам цены, операции по нормам и известному тарифу, услуги подрядчиков по введённым условиям, логистику и качественный резерв только при обоснованном правиле. Фактическая прямая стоимость складывается из подтверждённых затрат и связанных материальных/трудовых фактов. Нельзя считать «завершение операции» денежным начислением работнику, пока правило оплаты не утверждено.</w:t>
      </w:r>
    </w:p>
    <w:p>
      <w:pPr>
        <w:spacing w:line="360" w:lineRule="auto" w:before="0" w:after="0"/>
        <w:ind w:firstLine="709"/>
        <w:jc w:val="both"/>
      </w:pPr>
      <w:r>
        <w:t>Полная управленческая стоимость заказа = прямые затраты заказа + корректно отнесённая доля общепроизводственной нагрузки. В отображении разделять обе части и показывать период и метод распределения. Для собственной продукции: отклонение стоимости единицы = оценочная стоимость годного выпуска на единицу − установленный потолок; для подряда: результат = сопоставимая выручка − учтённые расходы, процент = результат / утверждённую базу × 100. Деление на ноль или неизвестную базу даёт статус «не вычислено». Для частичного выпуска показывать затраты уже годной продукции, незавершённой работы и неотнесённую нагрузку. Общая сумма не исчезает из компании, когда заказ переходит из производства в НЗП.</w:t>
      </w:r>
    </w:p>
    <w:p>
      <w:pPr>
        <w:spacing w:line="360" w:lineRule="auto" w:before="0" w:after="0"/>
        <w:ind w:firstLine="709"/>
        <w:jc w:val="both"/>
      </w:pPr>
      <w:r>
        <w:t>Нельзя объявлять итоговую себестоимость единицы, если годного выпуска нет. Если вся работа в НЗП — показывать сумму НЗП и незавершённость без нулевой стоимости единицы. Любое число в интерфейсе должно иметь доступную трассировку к источникам: сумма, формула, версия нормы, версия стоимости, данные плана, пакет фактов, дата расчёта и уровень неполноты.</w:t>
      </w:r>
    </w:p>
    <w:p>
      <w:pPr>
        <w:pStyle w:val="Heading1"/>
        <w:keepNext/>
        <w:spacing w:line="360" w:lineRule="auto" w:before="0" w:after="0"/>
        <w:ind w:firstLine="709"/>
        <w:jc w:val="both"/>
      </w:pPr>
      <w:r>
        <w:t>Экономика компании и распределение общей нагрузки</w:t>
      </w:r>
    </w:p>
    <w:p>
      <w:pPr>
        <w:spacing w:line="360" w:lineRule="auto" w:before="0" w:after="0"/>
        <w:ind w:firstLine="709"/>
        <w:jc w:val="both"/>
      </w:pPr>
      <w:r>
        <w:t>Для заданного учётного периода хранить постоянные и переменные расходы компании, прямые затраты заказов, незавершённое производство, выпущенный годный объём, неотнесённые расходы и принятые правила распределения. Постоянные расходы возникают даже в месяц без заказов и выпуска. При отсутствии выпуска отражать расход компании, но не придумывать себестоимость единицы. Инвариант для каждой исходной общей статьи: исходная сумма периода = сумма распределения на заказы/НЗП + сумма нераспределённого остатка. После округлений проверять равенство в минимальной денежной единице.</w:t>
      </w:r>
    </w:p>
    <w:p>
      <w:pPr>
        <w:spacing w:line="360" w:lineRule="auto" w:before="0" w:after="0"/>
        <w:ind w:firstLine="709"/>
        <w:jc w:val="both"/>
      </w:pPr>
      <w:r>
        <w:t>Распределение на несколько заказов выполняется по выбранной владельцем модели базе (время оборудования, труд, годный выпуск, выручка либо иной одобренный способ). Ни один метод не установлен окончательно новыми материалами; универсально применять «делить поровну» нельзя. Расход на аренду за месяц не превращается дважды в дневной расход и месячный расход. Дневной показатель — альтернативная агрегация одного источника; период и знаменатель должны быть показаны. Если есть только один заказ без других НЗП и иных объектов затрат, его отчётная доля общей нагрузки может составлять весь учитываемый расход периода согласно утверждённой модели; при нескольких заказах и НЗП применяются явные правила распределения.</w:t>
      </w:r>
    </w:p>
    <w:p>
      <w:pPr>
        <w:spacing w:line="360" w:lineRule="auto" w:before="0" w:after="0"/>
        <w:ind w:firstLine="709"/>
        <w:jc w:val="both"/>
      </w:pPr>
      <w:r>
        <w:t>Для решений «брать новый заказ / передать на подряд / изменить смену» отдельно рассчитывать изменяемые затраты. Уже существующая аренда не исчезает из модели только потому, что один заказ отдан на подряд. Компания может иметь несколько направлений; метод распределения расходов компании между направлениями должен быть согласован до отчёта по каждому направлению. Суммарный итог должен сходиться на уровне компании.</w:t>
      </w:r>
    </w:p>
    <w:p>
      <w:pPr>
        <w:pStyle w:val="Heading1"/>
        <w:keepNext/>
        <w:spacing w:line="360" w:lineRule="auto" w:before="0" w:after="0"/>
        <w:ind w:firstLine="709"/>
        <w:jc w:val="both"/>
      </w:pPr>
      <w:r>
        <w:t>Источники данных и интеграционные события</w:t>
      </w:r>
    </w:p>
    <w:p>
      <w:pPr>
        <w:spacing w:line="360" w:lineRule="auto" w:before="0" w:after="0"/>
        <w:ind w:firstLine="709"/>
        <w:jc w:val="both"/>
      </w:pPr>
      <w:r>
        <w:t>Источник паспорта передаёт версии расходов, валюты, ресурсов и календаря. Источник ПЛАН передаёт версию маршрута, трудозатраты, плановые материалы, прогноз готовности и потребность в ресурсе. ПРОИЗВОДСТВО передаёт фактический выпуск, время, простои, расход материала, брак и корректировки. Сообщения с одной парой source_event_id + source_system в пределах компании обрабатываются один раз. Повтор транспорта безопасен. При повторном расчёте ссылки на старые записи не теряются. Каждый расчёт фиксирует inputs_hash, calculation_version, observed_at и completeness. При поступлении свежего факта может пересчитываться актуальный прогноз, но опубликованный старый срез остаётся воспроизводимым.</w:t>
      </w:r>
    </w:p>
    <w:p>
      <w:pPr>
        <w:spacing w:line="360" w:lineRule="auto" w:before="0" w:after="0"/>
        <w:ind w:firstLine="709"/>
        <w:jc w:val="both"/>
      </w:pPr>
      <w:r>
        <w:t>Заказ, период и документы доступны по API только с учётом company_id и ролей; материал заказчика и исходная экономика не должны выходить за пределы разрешённых представлений.</w:t>
      </w:r>
    </w:p>
    <w:p>
      <w:pPr>
        <w:pStyle w:val="Heading1"/>
        <w:keepNext/>
        <w:spacing w:line="360" w:lineRule="auto" w:before="0" w:after="0"/>
        <w:ind w:firstLine="709"/>
        <w:jc w:val="both"/>
      </w:pPr>
      <w:r>
        <w:t>Права ролей и защищённые представления</w:t>
      </w:r>
    </w:p>
    <w:p>
      <w:pPr>
        <w:spacing w:line="360" w:lineRule="auto" w:before="0" w:after="0"/>
        <w:ind w:firstLine="709"/>
        <w:jc w:val="both"/>
      </w:pPr>
      <w:r>
        <w:t>Собственник видит исходные суммы, статьи, формулы, собственные материалы, цены и полный итог компании. Только он или явно уполномоченное лицо управляет экономическими правилами. Начальник производства видит состояние всех заказов, сроки, прогноз и разрешённые агрегированные экономические итоги без раскрытия исходных зарплат, налогов, аренды, закупочных цен и других закрытых статей. Технолог видит технологические и временные данные заказов, операционную эффективность, причины отставания; не читает цену, прибыль, исходные расходы, денежные коэффициенты или косвенные производные, раскрывающие секретную экономику.</w:t>
      </w:r>
    </w:p>
    <w:p>
      <w:pPr>
        <w:spacing w:line="360" w:lineRule="auto" w:before="0" w:after="0"/>
        <w:ind w:firstLine="709"/>
        <w:jc w:val="both"/>
      </w:pPr>
      <w:r>
        <w:t>Бригадир и исполнитель получают только свои назначенные работы, время, объёмы и разрешённые сведения о своей смене. Просмотр личного заработка включать только после утверждения отдельного алгоритма. Маскирование на frontend не считается защитой. В API/SQL/экспортах/документах/фоновых заданиях/подсказках AI применяется один набор политик с полями и областями доступа.</w:t>
      </w:r>
    </w:p>
    <w:p>
      <w:pPr>
        <w:pStyle w:val="Heading1"/>
        <w:keepNext/>
        <w:spacing w:line="360" w:lineRule="auto" w:before="0" w:after="0"/>
        <w:ind w:firstLine="709"/>
        <w:jc w:val="both"/>
      </w:pPr>
      <w:r>
        <w:t>API и модель хранения</w:t>
      </w:r>
    </w:p>
    <w:p>
      <w:pPr>
        <w:spacing w:line="360" w:lineRule="auto" w:before="0" w:after="0"/>
        <w:ind w:firstLine="709"/>
        <w:jc w:val="both"/>
      </w:pPr>
      <w:r>
        <w:t>Order: id, company_id, code, kind, status, created_by, created_at, current_terms_version, archived_at. OrderLine: id, order_id, product_ref/description, quantity, unit, attributes, required_quality. TermsVersion: order_id, version, target_cost, contract_amount, unit_price, due_at, effective_from, change_reason, changed_by. DocumentLink: source_file_id, order_id/line_id, visibility_scope. ExpensePolicy: id, company_id, kind, basis, rate, currency, effective_from, effective_to, method_version. ExpenseEntry: id, policy_id?, company_id, period, source_event_id, amount, kind, actual_or_estimate.</w:t>
      </w:r>
    </w:p>
    <w:p>
      <w:pPr>
        <w:spacing w:line="360" w:lineRule="auto" w:before="0" w:after="0"/>
        <w:ind w:firstLine="709"/>
        <w:jc w:val="both"/>
      </w:pPr>
      <w:r>
        <w:t>CostAllocation: id, expense_entry_id, period, target_kind/order_id, allocated_amount, basis_value, rule_version. CalculationSnapshot: id, company_id, order_id/period_id, input_versions, inputs_hash, completeness, outcome, created_at. Контрактные методы: POST /companies/{companyId}/orders; PATCH /orders/{id}/terms с expected_revision; POST /companies/{id}/expenses; POST /orders/{id}/calculate; GET /orders/{id}/economics; GET /companies/{id}/periods/{id}. Конкретные пути подлежат API-review. Ошибки домена: UNKNOWN_COST_BASIS, MISSING_PRICE, NEGATIVE_QUANTITY, WRONG_CURRENCY, STALE_TERMS_VERSION, COMPANY_FORBIDDEN, DUPLICATE_SOURCE, UNAPPROVED_ALLOCATION_RULE. Формат ошибок единый: code, message, field?, request_id.</w:t>
      </w:r>
    </w:p>
    <w:p>
      <w:pPr>
        <w:pStyle w:val="Heading1"/>
        <w:keepNext/>
        <w:spacing w:line="360" w:lineRule="auto" w:before="0" w:after="0"/>
        <w:ind w:firstLine="709"/>
        <w:jc w:val="both"/>
      </w:pPr>
      <w:r>
        <w:t>UX-экранная модель</w:t>
      </w:r>
    </w:p>
    <w:p>
      <w:pPr>
        <w:spacing w:line="360" w:lineRule="auto" w:before="0" w:after="0"/>
        <w:ind w:firstLine="709"/>
        <w:jc w:val="both"/>
      </w:pPr>
      <w:r>
        <w:t>Обзор компании: число активных заказов, готовность по срокам, состояние план/факт и итоговая экономика только для допущенной роли. Избегать бухгалтерских реестров, колонок банковских операций и второстепенных KPI на первом экране. Реестр заказов: поиск, статус, название, выпуск, требуемый срок, краткий прогноз и признак полноты. Карточка заказа отвечает на вопросы «что», «сколько», «когда», «что мешает»; исходные формулы открываются по требованию. Экономический экран собственника: план/факт/прогноз, прямая/общая нагрузка, маржа для подряда, отклонение от себестоимости для своей продукции, период и происхождение цифр. Для числа с неподтверждённым источником — заметное текстовое предупреждение.</w:t>
      </w:r>
    </w:p>
    <w:p>
      <w:pPr>
        <w:spacing w:line="360" w:lineRule="auto" w:before="0" w:after="0"/>
        <w:ind w:firstLine="709"/>
        <w:jc w:val="both"/>
      </w:pPr>
      <w:r>
        <w:t>Пустое состояние: «Создайте первый заказ». Неполное: «Срок пока нельзя рассчитать — не задано время операции». Ошибка: «Невозможно сохранить — заказ изменил другой пользователь; обновите карточку». Изменение коммерческих условий показывается как предварительное, пока не подтверждены последствия для опубликованного плана; изменение не отменяет факт прошлой версии.</w:t>
      </w:r>
    </w:p>
    <w:p>
      <w:pPr>
        <w:pStyle w:val="Heading1"/>
        <w:keepNext/>
        <w:spacing w:line="360" w:lineRule="auto" w:before="0" w:after="0"/>
        <w:ind w:firstLine="709"/>
        <w:jc w:val="both"/>
      </w:pPr>
      <w:r>
        <w:t>Проверки и приёмка модуля</w:t>
      </w:r>
    </w:p>
    <w:p>
      <w:pPr>
        <w:spacing w:line="360" w:lineRule="auto" w:before="0" w:after="0"/>
        <w:ind w:firstLine="709"/>
        <w:jc w:val="both"/>
      </w:pPr>
      <w:r>
        <w:t>Система создаёт черновик без экономических статей и срока; после перезагрузки данные сохранены, точная себестоимость не появляется. При прогнозе 530 ₽/шт. интерфейс показывает отклонение +30 ₽/шт., не выдумывая выручку. Подряд 100 изделий по 1 000 ₽ имеет договорную сумму 100 000 ₽; аванс 20 000 ₽ отображается отдельно от выручки, не снижает себестоимость. Период без заказов с арендой 300 000 ₽ показывает расход 300 000 ₽, не показывает «себестоимость 0 ₽/шт.». Взято 100 материалов по 10 ₽, использовано 60: расход на объект при подтверждённом методе 600 ₽, остаток количественно 40; импорт того же источника не удваивает 600 ₽. Общий расход распределён на три объекта: сумма долей плюс неотнесённая нагрузка равна исходному расходу с точностью копейки.</w:t>
      </w:r>
    </w:p>
    <w:p>
      <w:pPr>
        <w:spacing w:line="360" w:lineRule="auto" w:before="0" w:after="0"/>
        <w:ind w:firstLine="709"/>
        <w:jc w:val="both"/>
      </w:pPr>
      <w:r>
        <w:t>Изменение ставки со следующего дня не изменяет вчерашний экономический снимок, а при новой оценке создаёт новую версию входов. Начальник открывает агрегированный итог и не видит исходных статей даже через DevTools/API; технолог получает отказ по финансовым endpoint. При отсутствии цены материалов или нормы система сообщает недостающие данные, не подставляет ноль, не объявляет точную прибыль. Отмена заказа после фактических затрат сохраняет их в итогах компании и аудите. При исправлении факта другой модуль создаёт компенсирующее событие; результат ЦЕЛИ обновляется по новой версии, старый снимок доступен.</w:t>
      </w:r>
    </w:p>
    <w:p>
      <w:pPr>
        <w:pStyle w:val="Heading1"/>
        <w:keepNext/>
        <w:spacing w:line="360" w:lineRule="auto" w:before="0" w:after="0"/>
        <w:ind w:firstLine="709"/>
        <w:jc w:val="both"/>
      </w:pPr>
      <w:r>
        <w:t>Параметризация экономической модели</w:t>
      </w:r>
    </w:p>
    <w:p>
      <w:pPr>
        <w:spacing w:line="360" w:lineRule="auto" w:before="0" w:after="0"/>
        <w:ind w:firstLine="709"/>
        <w:jc w:val="both"/>
      </w:pPr>
      <w:r>
        <w:t>Определить для предприятия: метод распределения общей нагрузки и НЗП; правила оценки материалов; источники фактической заработной платы; толкование договорной цены и включённых компенсаций; момент фиксации итогов периода; доступ начальника к агрегатам. Если бизнес-правило не утверждено, реализовать только запись исходных данных и статус «неполно», не создавать скрытое значение по умолчанию. Приёмка денежного расчёта откладывается до появления контрольного примера, согласованного владельцем модели.</w:t>
      </w:r>
    </w:p>
    <w:p>
      <w:pPr>
        <w:pStyle w:val="Heading1"/>
        <w:keepNext/>
        <w:spacing w:line="360" w:lineRule="auto" w:before="0" w:after="0"/>
        <w:ind w:firstLine="709"/>
        <w:jc w:val="both"/>
      </w:pPr>
      <w:r>
        <w:t>Схемы предметной области</w:t>
      </w:r>
    </w:p>
    <w:p>
      <w:pPr>
        <w:spacing w:before="0" w:after="0"/>
        <w:ind w:firstLine="0"/>
        <w:jc w:val="center"/>
      </w:pPr>
      <w:r>
        <w:drawing>
          <wp:inline xmlns:a="http://schemas.openxmlformats.org/drawingml/2006/main" xmlns:pic="http://schemas.openxmlformats.org/drawingml/2006/picture">
            <wp:extent cx="5806440" cy="4440218"/>
            <wp:docPr id="1" name="Picture 1"/>
            <wp:cNvGraphicFramePr>
              <a:graphicFrameLocks noChangeAspect="1"/>
            </wp:cNvGraphicFramePr>
            <a:graphic>
              <a:graphicData uri="http://schemas.openxmlformats.org/drawingml/2006/picture">
                <pic:pic>
                  <pic:nvPicPr>
                    <pic:cNvPr id="0" name="07_Диаграмма_последовательности.png"/>
                    <pic:cNvPicPr/>
                  </pic:nvPicPr>
                  <pic:blipFill>
                    <a:blip r:embed="rId9"/>
                    <a:stretch>
                      <a:fillRect/>
                    </a:stretch>
                  </pic:blipFill>
                  <pic:spPr>
                    <a:xfrm>
                      <a:off x="0" y="0"/>
                      <a:ext cx="5806440" cy="4440218"/>
                    </a:xfrm>
                    <a:prstGeom prst="rect"/>
                  </pic:spPr>
                </pic:pic>
              </a:graphicData>
            </a:graphic>
          </wp:inline>
        </w:drawing>
      </w:r>
    </w:p>
    <w:p>
      <w:pPr>
        <w:spacing w:before="0" w:after="0"/>
        <w:ind w:firstLine="0"/>
        <w:jc w:val="center"/>
      </w:pPr>
      <w:r>
        <w:drawing>
          <wp:inline xmlns:a="http://schemas.openxmlformats.org/drawingml/2006/main" xmlns:pic="http://schemas.openxmlformats.org/drawingml/2006/picture">
            <wp:extent cx="5806440" cy="2506305"/>
            <wp:docPr id="2" name="Picture 2"/>
            <wp:cNvGraphicFramePr>
              <a:graphicFrameLocks noChangeAspect="1"/>
            </wp:cNvGraphicFramePr>
            <a:graphic>
              <a:graphicData uri="http://schemas.openxmlformats.org/drawingml/2006/picture">
                <pic:pic>
                  <pic:nvPicPr>
                    <pic:cNvPr id="0" name="02_02_Варианты_использования_детально.png"/>
                    <pic:cNvPicPr/>
                  </pic:nvPicPr>
                  <pic:blipFill>
                    <a:blip r:embed="rId10"/>
                    <a:stretch>
                      <a:fillRect/>
                    </a:stretch>
                  </pic:blipFill>
                  <pic:spPr>
                    <a:xfrm>
                      <a:off x="0" y="0"/>
                      <a:ext cx="5806440" cy="2506305"/>
                    </a:xfrm>
                    <a:prstGeom prst="rect"/>
                  </pic:spPr>
                </pic:pic>
              </a:graphicData>
            </a:graphic>
          </wp:inline>
        </w:drawing>
      </w:r>
    </w:p>
    <w:sectPr w:rsidR="00FC693F" w:rsidRPr="0006063C" w:rsidSect="00034616">
      <w:pgSz w:w="12240" w:h="15840"/>
      <w:pgMar w:top="1020" w:right="1020" w:bottom="1020" w:left="1191"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0"/>
      <w:ind w:firstLine="709"/>
    </w:pPr>
    <w:rPr>
      <w:rFonts w:ascii="Times New Roman" w:hAnsi="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709"/>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