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WithEffects.xml" ContentType="application/vnd.ms-word.stylesWithEffect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pPr>
        <w:pStyle w:val="Title"/>
        <w:rPr/>
      </w:pPr>
      <w:r>
        <w:t>Паспорт производства</w:t>
      </w:r>
    </w:p>
    <w:p w14:paraId="00000002">
      <w:pPr>
        <w:pStyle w:val="Heading1"/>
        <w:rPr/>
      </w:pPr>
      <w:r>
        <w:t>Как собственник начинает работу</w:t>
      </w:r>
    </w:p>
    <w:p w14:paraId="00000003">
      <w:pPr>
        <w:pStyle w:val="ListNumber"/>
        <w:rPr/>
      </w:pPr>
      <w:r>
        <w:t>Создаёт компанию.</w:t>
      </w:r>
    </w:p>
    <w:p w14:paraId="00000004">
      <w:pPr>
        <w:pStyle w:val="ListNumber"/>
        <w:rPr/>
      </w:pPr>
      <w:r>
        <w:t>Вводит её экономику: постоянные расходы, переменные статьи, формулы и параметры.</w:t>
      </w:r>
    </w:p>
    <w:p w14:paraId="00000005">
      <w:pPr>
        <w:pStyle w:val="ListNumber"/>
        <w:rPr/>
      </w:pPr>
      <w:r>
        <w:t>Добавляет ресурсы: оборудование, помещения, материалы и запасы.</w:t>
      </w:r>
    </w:p>
    <w:p w14:paraId="00000006">
      <w:pPr>
        <w:pStyle w:val="ListNumber"/>
        <w:rPr/>
      </w:pPr>
      <w:r>
        <w:t>Добавляет конкретных людей с доступом в систему и назначает им роли.</w:t>
      </w:r>
    </w:p>
    <w:p w14:paraId="00000007">
      <w:pPr>
        <w:pStyle w:val="ListNumber"/>
        <w:rPr/>
      </w:pPr>
      <w:r>
        <w:t>Создаёт бригады, выбирает ответственных бригадиров и входящих в них людей.</w:t>
      </w:r>
    </w:p>
    <w:p w14:paraId="00000008">
      <w:r>
        <w:t>Первоначально весь паспорт заполняет собственник. Передачу отдельных действий другим людям настраиваем отдельно.</w:t>
      </w:r>
    </w:p>
    <w:p w14:paraId="00000009">
      <w:pPr>
        <w:pStyle w:val="Heading1"/>
        <w:rPr/>
      </w:pPr>
      <w:r>
        <w:t>1. Компания (</w:t>
      </w:r>
      <w:r>
        <w:rPr>
          <w:lang w:val="ru-RU"/>
        </w:rPr>
        <w:t>Направление) Например если это строительная компания то там могут быть 2 направления (Заборы, и ландшафт) и т.д.</w:t>
      </w:r>
    </w:p>
    <w:p w14:paraId="0000000A">
      <w:r>
        <w:t>Собственник может создать одну или несколько компаний. У каждой компании свои люди, назначения ролей, бригады, ресурсы и экономика.</w:t>
      </w:r>
    </w:p>
    <w:p w14:paraId="0000000B">
      <w:pPr>
        <w:pStyle w:val="ListBullet"/>
        <w:rPr/>
      </w:pPr>
      <w:r>
        <w:t>Название компании.</w:t>
      </w:r>
    </w:p>
    <w:p w14:paraId="0000000C">
      <w:pPr>
        <w:pStyle w:val="ListBullet"/>
        <w:rPr/>
      </w:pPr>
      <w:r>
        <w:t>Связь с собственником.</w:t>
      </w:r>
    </w:p>
    <w:p w14:paraId="0000000D">
      <w:pPr>
        <w:pStyle w:val="ListBullet"/>
        <w:rPr/>
      </w:pPr>
      <w:r>
        <w:t>Дата, на которую описано состояние компании.</w:t>
      </w:r>
    </w:p>
    <w:p w14:paraId="0000000E">
      <w:pPr>
        <w:pStyle w:val="ListBullet"/>
        <w:rPr/>
      </w:pPr>
      <w:r>
        <w:t>Валюта учёта.</w:t>
      </w:r>
    </w:p>
    <w:p w14:paraId="0000000F">
      <w:r>
        <w:t>При заполнении паспорта и работе в системе выбирается конкретная компания. Роль человека в одной компании сама по себе не даёт доступ к другой.</w:t>
      </w:r>
    </w:p>
    <w:p w14:paraId="00000010">
      <w:pPr>
        <w:pStyle w:val="Heading1"/>
        <w:pageBreakBefore w:val="on"/>
        <w:rPr/>
      </w:pPr>
      <w:r>
        <w:t>2. Люди и структура</w:t>
      </w:r>
    </w:p>
    <w:p w14:paraId="00000011">
      <w:pPr>
        <w:pStyle w:val="Heading2"/>
        <w:rPr/>
      </w:pPr>
      <w:r>
        <w:t>Как устроена компания</w:t>
      </w:r>
    </w:p>
    <w:p w14:paraId="00000012">
      <w:pPr>
        <w:keepLines w:val="on"/>
        <w:spacing w:after="160" w:line="240" w:lineRule="auto"/>
        <w:rPr/>
      </w:pPr>
      <w:r>
        <w:rPr>
          <w:rFonts w:ascii="Consolas" w:hAnsi="Consolas"/>
          <w:sz w:val="19"/>
        </w:rPr>
        <w:t>СОБСТВЕННИК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│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├── КОМПАНИЯ 1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│   ├── Начальник производства — производство в целом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│   ├── Технолог — технология и планирование всех заказов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│   │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│   ├── Бригада 1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│   │   ├── Ответственный бригадир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│   │   └── Исполнители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│   │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│   └── Бригада 2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│       ├── Ответственный бригадир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│       └── Исполнители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│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└── КОМПАНИЯ 2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└── Свои люди, роли, бригады, ресурсы и экономика</w:t>
      </w:r>
    </w:p>
    <w:p w14:paraId="00000013">
      <w:r>
        <w:t>Начальник производства и технолог отвечают за компанию в целом. Бригад может быть несколько; у каждой есть ответственный бригадир. Схема показывает ответственность, а не обязательное количество отдельных людей.</w:t>
      </w:r>
    </w:p>
    <w:p w14:paraId="00000014">
      <w:pPr>
        <w:pStyle w:val="Heading2"/>
        <w:rPr/>
      </w:pPr>
      <w:r>
        <w:t>Как добавляются люди</w:t>
      </w:r>
    </w:p>
    <w:p w14:paraId="00000015">
      <w:r>
        <w:t>Сначала собственник добавляет человека, который будет работать в системе. Затем назначает ему одну или несколько ролей. У каждого человека есть своя учётная запись.</w:t>
      </w:r>
    </w:p>
    <w:p w14:paraId="00000016">
      <w:pPr>
        <w:pStyle w:val="ListBullet"/>
        <w:rPr/>
      </w:pPr>
      <w:r>
        <w:t>Один человек может быть начальником производства, технологом и бригадиром одновременно.</w:t>
      </w:r>
    </w:p>
    <w:p w14:paraId="00000017">
      <w:pPr>
        <w:pStyle w:val="ListBullet"/>
        <w:rPr/>
      </w:pPr>
      <w:r>
        <w:t>Эти же роли могут выполнять три разных человека.</w:t>
      </w:r>
    </w:p>
    <w:p w14:paraId="00000018">
      <w:pPr>
        <w:pStyle w:val="ListBullet"/>
        <w:rPr/>
      </w:pPr>
      <w:r>
        <w:t>Если человек совмещает роли, его заводят один раз. Дополнительные роли добавляют к его записи.</w:t>
      </w:r>
    </w:p>
    <w:p w14:paraId="00000019">
      <w:pPr>
        <w:pStyle w:val="ListBullet"/>
        <w:rPr/>
      </w:pPr>
      <w:r>
        <w:t>Один человек может иметь все роли, включая собственника.</w:t>
      </w:r>
    </w:p>
    <w:p w14:paraId="0000001A">
      <w:r>
        <w:t>Должность указывается у конкретного человека. Отдельный перечень должностей без людей, которые будут работать в системе, не заводится. Количество людей считается по людям, а не по числу их ролей.</w:t>
      </w:r>
    </w:p>
    <w:tbl>
      <w:tblPr>
        <w:tblW w:w="0" w:type="auto"/>
        <w:tblLayout w:type="fixed"/>
        <w:tblLook w:val="04A0"/>
      </w:tblPr>
      <w:tblGrid>
        <w:gridCol w:w="3024"/>
        <w:gridCol w:w="6912"/>
      </w:tblGrid>
      <w:tr>
        <w:trPr>
          <w:cantSplit w:val="on"/>
          <w:tblHeader w:val="on"/>
        </w:trPr>
        <w:tc>
          <w:tcPr>
            <w:cnfStyle w:val="101000000000"/>
            <w:tcW w:w="3024" w:type="dxa"/>
            <w:vAlign w:val="center"/>
          </w:tcPr>
          <w:p w14:paraId="0000001B">
            <w:pPr>
              <w:spacing w:before="0" w:after="0" w:line="254" w:lineRule="auto"/>
              <w:rPr/>
            </w:pPr>
            <w:r>
              <w:rPr>
                <w:b/>
                <w:color w:val="ffffff"/>
                <w:sz w:val="21"/>
              </w:rPr>
              <w:t>Что добавляется</w:t>
            </w:r>
          </w:p>
        </w:tc>
        <w:tc>
          <w:tcPr>
            <w:cnfStyle w:val="100000000000"/>
            <w:tcW w:w="6912" w:type="dxa"/>
            <w:vAlign w:val="center"/>
          </w:tcPr>
          <w:p w14:paraId="0000001C">
            <w:pPr>
              <w:spacing w:before="0" w:after="0" w:line="254" w:lineRule="auto"/>
              <w:rPr/>
            </w:pPr>
            <w:r>
              <w:rPr>
                <w:b/>
                <w:color w:val="ffffff"/>
                <w:sz w:val="21"/>
              </w:rPr>
              <w:t>Что указывается</w:t>
            </w:r>
          </w:p>
        </w:tc>
      </w:tr>
      <w:tr>
        <w:trPr>
          <w:cantSplit w:val="on"/>
        </w:trPr>
        <w:tc>
          <w:tcPr>
            <w:cnfStyle w:val="001000100000"/>
            <w:tcW w:w="3024" w:type="dxa"/>
            <w:vAlign w:val="center"/>
          </w:tcPr>
          <w:p w14:paraId="0000001D">
            <w:pPr>
              <w:spacing w:before="0" w:after="0" w:line="254" w:lineRule="auto"/>
              <w:rPr/>
            </w:pPr>
            <w:r>
              <w:rPr>
                <w:sz w:val="21"/>
              </w:rPr>
              <w:t>Подразделение, если есть</w:t>
            </w:r>
          </w:p>
        </w:tc>
        <w:tc>
          <w:tcPr>
            <w:cnfStyle w:val="000000100000"/>
            <w:tcW w:w="6912" w:type="dxa"/>
            <w:vAlign w:val="center"/>
          </w:tcPr>
          <w:p w14:paraId="0000001E">
            <w:pPr>
              <w:spacing w:before="0" w:after="0" w:line="254" w:lineRule="auto"/>
              <w:rPr/>
            </w:pPr>
            <w:r>
              <w:rPr>
                <w:sz w:val="21"/>
              </w:rPr>
              <w:t>Название</w:t>
            </w:r>
          </w:p>
        </w:tc>
      </w:tr>
      <w:tr>
        <w:trPr>
          <w:cantSplit w:val="on"/>
        </w:trPr>
        <w:tc>
          <w:tcPr>
            <w:cnfStyle w:val="001000010000"/>
            <w:tcW w:w="3024" w:type="dxa"/>
            <w:vAlign w:val="center"/>
          </w:tcPr>
          <w:p w14:paraId="0000001F">
            <w:pPr>
              <w:spacing w:before="0" w:after="0" w:line="254" w:lineRule="auto"/>
              <w:rPr/>
            </w:pPr>
            <w:r>
              <w:rPr>
                <w:sz w:val="21"/>
              </w:rPr>
              <w:t>Человек</w:t>
            </w:r>
          </w:p>
        </w:tc>
        <w:tc>
          <w:tcPr>
            <w:cnfStyle w:val="000000010000"/>
            <w:tcW w:w="6912" w:type="dxa"/>
            <w:vAlign w:val="center"/>
          </w:tcPr>
          <w:p w14:paraId="00000020">
            <w:pPr>
              <w:spacing w:before="0" w:after="0" w:line="254" w:lineRule="auto"/>
              <w:rPr/>
            </w:pPr>
            <w:r>
              <w:rPr>
                <w:sz w:val="21"/>
              </w:rPr>
              <w:t>Имя; учётная запись; должность; роли в выбранной компании; подразделение или бригада, если есть</w:t>
            </w:r>
          </w:p>
        </w:tc>
      </w:tr>
      <w:tr>
        <w:trPr>
          <w:cantSplit w:val="on"/>
        </w:trPr>
        <w:tc>
          <w:tcPr>
            <w:cnfStyle w:val="001000100000"/>
            <w:tcW w:w="3024" w:type="dxa"/>
            <w:vAlign w:val="center"/>
          </w:tcPr>
          <w:p w14:paraId="00000021">
            <w:pPr>
              <w:spacing w:before="0" w:after="0" w:line="254" w:lineRule="auto"/>
              <w:rPr/>
            </w:pPr>
            <w:r>
              <w:rPr>
                <w:sz w:val="21"/>
              </w:rPr>
              <w:t>Бригада</w:t>
            </w:r>
          </w:p>
        </w:tc>
        <w:tc>
          <w:tcPr>
            <w:cnfStyle w:val="000000100000"/>
            <w:tcW w:w="6912" w:type="dxa"/>
            <w:vAlign w:val="center"/>
          </w:tcPr>
          <w:p w14:paraId="00000022">
            <w:pPr>
              <w:spacing w:before="0" w:after="0" w:line="254" w:lineRule="auto"/>
              <w:rPr/>
            </w:pPr>
            <w:r>
              <w:rPr>
                <w:sz w:val="21"/>
              </w:rPr>
              <w:t>Название; подразделение, если есть; ответственный бригадир; входящие в неё люди</w:t>
            </w:r>
          </w:p>
        </w:tc>
      </w:tr>
    </w:tbl>
    <w:p w14:paraId="00000023">
      <w:pPr>
        <w:spacing w:before="0" w:after="0" w:line="80" w:lineRule="exact"/>
        <w:rPr/>
      </w:pPr>
    </w:p>
    <w:p w14:paraId="00000024">
      <w:r>
        <w:t>Ответственный бригадир выбирается из добавленных людей с назначенной ролью бригадира. Люди в составе бригады также выбираются из существующих записей.</w:t>
      </w:r>
    </w:p>
    <w:p w14:paraId="00000025">
      <w:pPr>
        <w:pStyle w:val="Heading2"/>
        <w:rPr/>
      </w:pPr>
      <w:r>
        <w:t>Кто за что отвечает</w:t>
      </w:r>
    </w:p>
    <w:p w14:paraId="00000026">
      <w:r>
        <w:t>Собственник имеет общий доступ. Начальник производства работает на стратегическом уровне в ЦЕЛИ, технолог — на управленческом в ПЛАНЕ, бригадир и исполнители — на исполнительном в ДЕЙСТВИИ.</w:t>
      </w:r>
    </w:p>
    <w:tbl>
      <w:tblPr>
        <w:tblW w:w="0" w:type="auto"/>
        <w:tblLayout w:type="fixed"/>
        <w:tblLook w:val="04A0"/>
      </w:tblPr>
      <w:tblGrid>
        <w:gridCol w:w="2160"/>
        <w:gridCol w:w="2808"/>
        <w:gridCol w:w="4968"/>
      </w:tblGrid>
      <w:tr>
        <w:trPr>
          <w:cantSplit w:val="on"/>
          <w:tblHeader w:val="on"/>
        </w:trPr>
        <w:tc>
          <w:tcPr>
            <w:cnfStyle w:val="101000000000"/>
            <w:tcW w:w="2160" w:type="dxa"/>
            <w:vAlign w:val="center"/>
          </w:tcPr>
          <w:p w14:paraId="00000027">
            <w:pPr>
              <w:spacing w:before="0" w:after="0" w:line="254" w:lineRule="auto"/>
              <w:rPr/>
            </w:pPr>
            <w:r>
              <w:rPr>
                <w:b/>
                <w:color w:val="ffffff"/>
                <w:sz w:val="21"/>
              </w:rPr>
              <w:t>Роль</w:t>
            </w:r>
          </w:p>
        </w:tc>
        <w:tc>
          <w:tcPr>
            <w:cnfStyle w:val="100000000000"/>
            <w:tcW w:w="2808" w:type="dxa"/>
            <w:vAlign w:val="center"/>
          </w:tcPr>
          <w:p w14:paraId="00000028">
            <w:pPr>
              <w:spacing w:before="0" w:after="0" w:line="254" w:lineRule="auto"/>
              <w:rPr/>
            </w:pPr>
            <w:r>
              <w:rPr>
                <w:b/>
                <w:color w:val="ffffff"/>
                <w:sz w:val="21"/>
              </w:rPr>
              <w:t>Задача</w:t>
            </w:r>
          </w:p>
        </w:tc>
        <w:tc>
          <w:tcPr>
            <w:cnfStyle w:val="100000000000"/>
            <w:tcW w:w="4968" w:type="dxa"/>
            <w:vAlign w:val="center"/>
          </w:tcPr>
          <w:p w14:paraId="00000029">
            <w:pPr>
              <w:spacing w:before="0" w:after="0" w:line="254" w:lineRule="auto"/>
              <w:rPr/>
            </w:pPr>
            <w:r>
              <w:rPr>
                <w:b/>
                <w:color w:val="ffffff"/>
                <w:sz w:val="21"/>
              </w:rPr>
              <w:t>Что видит и делает</w:t>
            </w:r>
          </w:p>
        </w:tc>
      </w:tr>
      <w:tr>
        <w:trPr>
          <w:cantSplit w:val="on"/>
        </w:trPr>
        <w:tc>
          <w:tcPr>
            <w:cnfStyle w:val="001000100000"/>
            <w:tcW w:w="2160" w:type="dxa"/>
            <w:vAlign w:val="center"/>
          </w:tcPr>
          <w:p w14:paraId="0000002A">
            <w:pPr>
              <w:spacing w:before="0" w:after="0" w:line="254" w:lineRule="auto"/>
              <w:rPr/>
            </w:pPr>
            <w:r>
              <w:rPr>
                <w:sz w:val="21"/>
              </w:rPr>
              <w:t>Собственник</w:t>
            </w:r>
          </w:p>
        </w:tc>
        <w:tc>
          <w:tcPr>
            <w:cnfStyle w:val="000000100000"/>
            <w:tcW w:w="2808" w:type="dxa"/>
            <w:vAlign w:val="center"/>
          </w:tcPr>
          <w:p w14:paraId="0000002B">
            <w:pPr>
              <w:spacing w:before="0" w:after="0" w:line="254" w:lineRule="auto"/>
              <w:rPr/>
            </w:pPr>
            <w:r>
              <w:rPr>
                <w:sz w:val="21"/>
              </w:rPr>
              <w:t>Настройка компании и ответственность за экономику</w:t>
            </w:r>
          </w:p>
        </w:tc>
        <w:tc>
          <w:tcPr>
            <w:cnfStyle w:val="000000100000"/>
            <w:tcW w:w="4968" w:type="dxa"/>
            <w:vAlign w:val="center"/>
          </w:tcPr>
          <w:p w14:paraId="0000002C">
            <w:pPr>
              <w:spacing w:before="0" w:after="0" w:line="254" w:lineRule="auto"/>
              <w:rPr/>
            </w:pPr>
            <w:r>
              <w:rPr>
                <w:sz w:val="21"/>
              </w:rPr>
              <w:t>Заполняет паспорт, назначает роли, видит все заказы, полную экономику и исходные расходы</w:t>
            </w:r>
          </w:p>
        </w:tc>
      </w:tr>
      <w:tr>
        <w:trPr>
          <w:cantSplit w:val="on"/>
        </w:trPr>
        <w:tc>
          <w:tcPr>
            <w:cnfStyle w:val="001000010000"/>
            <w:tcW w:w="2160" w:type="dxa"/>
            <w:vAlign w:val="center"/>
          </w:tcPr>
          <w:p w14:paraId="0000002D">
            <w:pPr>
              <w:spacing w:before="0" w:after="0" w:line="254" w:lineRule="auto"/>
              <w:rPr/>
            </w:pPr>
            <w:r>
              <w:rPr>
                <w:sz w:val="21"/>
              </w:rPr>
              <w:t>Начальник производства</w:t>
            </w:r>
          </w:p>
        </w:tc>
        <w:tc>
          <w:tcPr>
            <w:cnfStyle w:val="000000010000"/>
            <w:tcW w:w="2808" w:type="dxa"/>
            <w:vAlign w:val="center"/>
          </w:tcPr>
          <w:p w14:paraId="0000002E">
            <w:pPr>
              <w:spacing w:before="0" w:after="0" w:line="254" w:lineRule="auto"/>
              <w:rPr/>
            </w:pPr>
            <w:r>
              <w:rPr>
                <w:sz w:val="21"/>
                <w:lang w:val="ru-RU"/>
              </w:rPr>
              <w:t>Управляет</w:t>
            </w:r>
            <w:r>
              <w:rPr>
                <w:sz w:val="21"/>
              </w:rPr>
              <w:t xml:space="preserve"> производством в целом</w:t>
            </w:r>
          </w:p>
        </w:tc>
        <w:tc>
          <w:tcPr>
            <w:cnfStyle w:val="000000010000"/>
            <w:tcW w:w="4968" w:type="dxa"/>
            <w:vAlign w:val="center"/>
          </w:tcPr>
          <w:p w14:paraId="0000002F">
            <w:pPr>
              <w:spacing w:before="0" w:after="0" w:line="254" w:lineRule="auto"/>
              <w:rPr/>
            </w:pPr>
            <w:r>
              <w:rPr>
                <w:sz w:val="21"/>
                <w:lang w:val="ru-RU"/>
              </w:rPr>
              <w:t>Заводит заказы.</w:t>
            </w:r>
            <w:r>
              <w:rPr>
                <w:sz w:val="21"/>
              </w:rPr>
              <w:t xml:space="preserve"> Видит все заказы, их выполнение и итоговую экономику; наблюдает и подтверждает действия технолога и бригадиров</w:t>
            </w:r>
          </w:p>
        </w:tc>
      </w:tr>
      <w:tr>
        <w:trPr>
          <w:cantSplit w:val="on"/>
        </w:trPr>
        <w:tc>
          <w:tcPr>
            <w:cnfStyle w:val="001000100000"/>
            <w:tcW w:w="2160" w:type="dxa"/>
            <w:vAlign w:val="center"/>
          </w:tcPr>
          <w:p w14:paraId="00000030">
            <w:pPr>
              <w:spacing w:before="0" w:after="0" w:line="254" w:lineRule="auto"/>
              <w:rPr/>
            </w:pPr>
            <w:r>
              <w:rPr>
                <w:sz w:val="21"/>
              </w:rPr>
              <w:t>Технолог</w:t>
            </w:r>
          </w:p>
        </w:tc>
        <w:tc>
          <w:tcPr>
            <w:cnfStyle w:val="000000100000"/>
            <w:tcW w:w="2808" w:type="dxa"/>
            <w:vAlign w:val="center"/>
          </w:tcPr>
          <w:p w14:paraId="00000031">
            <w:pPr>
              <w:spacing w:before="0" w:after="0" w:line="254" w:lineRule="auto"/>
              <w:rPr/>
            </w:pPr>
            <w:r>
              <w:rPr>
                <w:sz w:val="21"/>
              </w:rPr>
              <w:t>Создать техпоследовательности и организовать работу по времени</w:t>
            </w:r>
          </w:p>
        </w:tc>
        <w:tc>
          <w:tcPr>
            <w:cnfStyle w:val="000000100000"/>
            <w:tcW w:w="4968" w:type="dxa"/>
            <w:vAlign w:val="center"/>
          </w:tcPr>
          <w:p w14:paraId="00000032">
            <w:pPr>
              <w:spacing w:before="0" w:after="0" w:line="254" w:lineRule="auto"/>
              <w:rPr/>
            </w:pPr>
            <w:r>
              <w:rPr>
                <w:sz w:val="21"/>
              </w:rPr>
              <w:t>Видит все заказы и их ход по времени: по плану или с отклонением. Распределяет этапы по рабочим местам, зонам или специальностям; наблюдает и подтверждает распределение людей</w:t>
            </w:r>
          </w:p>
        </w:tc>
      </w:tr>
      <w:tr>
        <w:trPr>
          <w:cantSplit w:val="on"/>
        </w:trPr>
        <w:tc>
          <w:tcPr>
            <w:cnfStyle w:val="001000010000"/>
            <w:tcW w:w="2160" w:type="dxa"/>
            <w:vAlign w:val="center"/>
          </w:tcPr>
          <w:p w14:paraId="00000033">
            <w:pPr>
              <w:spacing w:before="0" w:after="0" w:line="254" w:lineRule="auto"/>
              <w:rPr/>
            </w:pPr>
            <w:r>
              <w:rPr>
                <w:sz w:val="21"/>
              </w:rPr>
              <w:t>Бригадир</w:t>
            </w:r>
          </w:p>
        </w:tc>
        <w:tc>
          <w:tcPr>
            <w:cnfStyle w:val="000000010000"/>
            <w:tcW w:w="2808" w:type="dxa"/>
            <w:vAlign w:val="center"/>
          </w:tcPr>
          <w:p w14:paraId="00000034">
            <w:pPr>
              <w:spacing w:before="0" w:after="0" w:line="254" w:lineRule="auto"/>
              <w:rPr/>
            </w:pPr>
            <w:r>
              <w:rPr>
                <w:sz w:val="21"/>
              </w:rPr>
              <w:t>Назначить людей на план технолога и следить за выполнением</w:t>
            </w:r>
          </w:p>
        </w:tc>
        <w:tc>
          <w:tcPr>
            <w:cnfStyle w:val="000000010000"/>
            <w:tcW w:w="4968" w:type="dxa"/>
            <w:vAlign w:val="center"/>
          </w:tcPr>
          <w:p w14:paraId="00000035">
            <w:pPr>
              <w:spacing w:before="0" w:after="0" w:line="254" w:lineRule="auto"/>
              <w:rPr/>
            </w:pPr>
            <w:r>
              <w:rPr>
                <w:sz w:val="21"/>
              </w:rPr>
              <w:t>В своём заказе видит, кто выполняет какую задачу и что выполнено; назначает конкретных людей на подготовленную работу</w:t>
            </w:r>
          </w:p>
        </w:tc>
      </w:tr>
      <w:tr>
        <w:trPr>
          <w:cantSplit w:val="on"/>
        </w:trPr>
        <w:tc>
          <w:tcPr>
            <w:cnfStyle w:val="001000100000"/>
            <w:tcW w:w="2160" w:type="dxa"/>
            <w:vAlign w:val="center"/>
          </w:tcPr>
          <w:p w14:paraId="00000036">
            <w:pPr>
              <w:spacing w:before="0" w:after="0" w:line="254" w:lineRule="auto"/>
              <w:rPr/>
            </w:pPr>
            <w:r>
              <w:rPr>
                <w:sz w:val="21"/>
              </w:rPr>
              <w:t>Исполнитель</w:t>
            </w:r>
          </w:p>
        </w:tc>
        <w:tc>
          <w:tcPr>
            <w:cnfStyle w:val="000000100000"/>
            <w:tcW w:w="2808" w:type="dxa"/>
            <w:vAlign w:val="center"/>
          </w:tcPr>
          <w:p w14:paraId="00000037">
            <w:pPr>
              <w:spacing w:before="0" w:after="0" w:line="254" w:lineRule="auto"/>
              <w:rPr/>
            </w:pPr>
            <w:r>
              <w:rPr>
                <w:sz w:val="21"/>
              </w:rPr>
              <w:t>Выполнять назначенную работу</w:t>
            </w:r>
          </w:p>
        </w:tc>
        <w:tc>
          <w:tcPr>
            <w:cnfStyle w:val="000000100000"/>
            <w:tcW w:w="4968" w:type="dxa"/>
            <w:vAlign w:val="center"/>
          </w:tcPr>
          <w:p w14:paraId="00000038">
            <w:pPr>
              <w:spacing w:before="0" w:after="0" w:line="254" w:lineRule="auto"/>
              <w:rPr/>
            </w:pPr>
            <w:r>
              <w:rPr>
                <w:sz w:val="21"/>
              </w:rPr>
              <w:t>Точные действия и состав рабочего экрана определяются отдельно</w:t>
            </w:r>
          </w:p>
        </w:tc>
      </w:tr>
    </w:tbl>
    <w:p w14:paraId="00000039">
      <w:pPr>
        <w:spacing w:before="0" w:after="0" w:line="80" w:lineRule="exact"/>
        <w:rPr/>
      </w:pPr>
    </w:p>
    <w:p w14:paraId="0000003A">
      <w:r>
        <w:rPr>
          <w:b/>
        </w:rPr>
        <w:t>Технолог распределяет работу. Бригадир назначает на эту работу людей.</w:t>
      </w:r>
    </w:p>
    <w:p w14:paraId="0000003B">
      <w:pPr>
        <w:pStyle w:val="Heading2"/>
        <w:rPr/>
      </w:pPr>
      <w:r>
        <w:t>Доступы и совмещение</w:t>
      </w:r>
    </w:p>
    <w:p w14:paraId="0000003C">
      <w:r>
        <w:t>Доступ определяется ролями, назначенными человеку в выбранной компании. Должность сама по себе не выдаёт доступ.</w:t>
      </w:r>
    </w:p>
    <w:p w14:paraId="0000003D">
      <w:r>
        <w:t>Наблюдать, подтверждать и изменять — разные права. Начальник подтверждает действия технолога и бригадиров. Технолог подтверждает распределение людей, но сам назначает их только тогда, когда ему также назначена роль бригадира. Перечень решений и порядок подтверждений уточняются отдельно.</w:t>
      </w:r>
    </w:p>
    <w:p w14:paraId="0000003E">
      <w:r>
        <w:t>Технолог видит все заказы и их ход по времени, но не видит экономику и не меняет коммерческие условия, например срок сдачи. Бригадир работает в своём исполнительном контуре; подготовленный план получает там, без входа в ПЛАН или ЦЕЛЬ.</w:t>
      </w:r>
    </w:p>
    <w:p w14:paraId="0000003F">
      <w:r>
        <w:t>Один человек может переключаться между назначенными ему ролями. Совмещение начальником ролей технолога и бригадира не открывает исходные расходы. Если он также собственник, полный доступ есть в роли собственника.</w:t>
      </w:r>
    </w:p>
    <w:p w14:paraId="00000040">
      <w:pPr>
        <w:pStyle w:val="Heading2"/>
        <w:rPr/>
      </w:pPr>
      <w:r>
        <w:t>Доступ к экономике</w:t>
      </w:r>
    </w:p>
    <w:p w14:paraId="00000041">
      <w:r>
        <w:t>Начальник производства видит итоговый экономический результат заказов и производства. Ему закрыты исходные расходы: зарплаты, налоги, аренда, кредитная нагрузка, их формулы и финансовые расшифровки причин результата. Полные данные доступны собственнику.</w:t>
      </w:r>
    </w:p>
    <w:p w14:paraId="00000042">
      <w:r>
        <w:t>Технолог оценивает выполнение по времени и не видит экономику заказов. Доступ исполнителя к сведениям о собственной оплате уточняется отдельно.</w:t>
      </w:r>
    </w:p>
    <w:p w14:paraId="00000043">
      <w:r>
        <w:t>Эти ограничения действуют и для документов, выгрузок и ответов AI. Закрытые данные не передаются пользователю с последующим скрытием на экране.</w:t>
      </w:r>
    </w:p>
    <w:p w14:paraId="00000044">
      <w:pPr>
        <w:pStyle w:val="Heading1"/>
        <w:rPr/>
      </w:pPr>
      <w:r>
        <w:t>3. Ресурсы</w:t>
      </w:r>
    </w:p>
    <w:p w14:paraId="00000045">
      <w:r>
        <w:t>Собственник описывает то, чем производство располагает на дату заполнения паспорта.</w:t>
      </w:r>
    </w:p>
    <w:tbl>
      <w:tblPr>
        <w:tblW w:w="0" w:type="auto"/>
        <w:tblLayout w:type="fixed"/>
        <w:tblLook w:val="04A0"/>
      </w:tblPr>
      <w:tblGrid>
        <w:gridCol w:w="3024"/>
        <w:gridCol w:w="6912"/>
      </w:tblGrid>
      <w:tr>
        <w:trPr>
          <w:cantSplit w:val="on"/>
          <w:tblHeader w:val="on"/>
        </w:trPr>
        <w:tc>
          <w:tcPr>
            <w:cnfStyle w:val="101000000000"/>
            <w:tcW w:w="3024" w:type="dxa"/>
            <w:vAlign w:val="center"/>
          </w:tcPr>
          <w:p w14:paraId="00000046">
            <w:pPr>
              <w:spacing w:before="0" w:after="0" w:line="254" w:lineRule="auto"/>
              <w:rPr/>
            </w:pPr>
            <w:r>
              <w:rPr>
                <w:b/>
                <w:color w:val="ffffff"/>
                <w:sz w:val="21"/>
              </w:rPr>
              <w:t>Что добавляется</w:t>
            </w:r>
          </w:p>
        </w:tc>
        <w:tc>
          <w:tcPr>
            <w:cnfStyle w:val="100000000000"/>
            <w:tcW w:w="6912" w:type="dxa"/>
            <w:vAlign w:val="center"/>
          </w:tcPr>
          <w:p w14:paraId="00000047">
            <w:pPr>
              <w:spacing w:before="0" w:after="0" w:line="254" w:lineRule="auto"/>
              <w:rPr/>
            </w:pPr>
            <w:r>
              <w:rPr>
                <w:b/>
                <w:color w:val="ffffff"/>
                <w:sz w:val="21"/>
              </w:rPr>
              <w:t>Что указывается</w:t>
            </w:r>
          </w:p>
        </w:tc>
      </w:tr>
      <w:tr>
        <w:trPr>
          <w:cantSplit w:val="on"/>
        </w:trPr>
        <w:tc>
          <w:tcPr>
            <w:cnfStyle w:val="001000100000"/>
            <w:tcW w:w="3024" w:type="dxa"/>
            <w:vAlign w:val="center"/>
          </w:tcPr>
          <w:p w14:paraId="00000048">
            <w:pPr>
              <w:spacing w:before="0" w:after="0" w:line="254" w:lineRule="auto"/>
              <w:rPr/>
            </w:pPr>
            <w:r>
              <w:rPr>
                <w:sz w:val="21"/>
              </w:rPr>
              <w:t>Оборудование и инструменты</w:t>
            </w:r>
          </w:p>
        </w:tc>
        <w:tc>
          <w:tcPr>
            <w:cnfStyle w:val="000000100000"/>
            <w:tcW w:w="6912" w:type="dxa"/>
            <w:vAlign w:val="center"/>
          </w:tcPr>
          <w:p w14:paraId="00000049">
            <w:pPr>
              <w:spacing w:before="0" w:after="0" w:line="254" w:lineRule="auto"/>
              <w:rPr/>
            </w:pPr>
            <w:r>
              <w:rPr>
                <w:sz w:val="21"/>
              </w:rPr>
              <w:t>Название; тип; количество; местонахождение</w:t>
            </w:r>
          </w:p>
        </w:tc>
      </w:tr>
      <w:tr>
        <w:trPr>
          <w:cantSplit w:val="on"/>
        </w:trPr>
        <w:tc>
          <w:tcPr>
            <w:cnfStyle w:val="001000010000"/>
            <w:tcW w:w="3024" w:type="dxa"/>
            <w:vAlign w:val="center"/>
          </w:tcPr>
          <w:p w14:paraId="0000004A">
            <w:pPr>
              <w:spacing w:before="0" w:after="0" w:line="254" w:lineRule="auto"/>
              <w:rPr/>
            </w:pPr>
            <w:r>
              <w:rPr>
                <w:sz w:val="21"/>
              </w:rPr>
              <w:t>Помещение</w:t>
            </w:r>
          </w:p>
        </w:tc>
        <w:tc>
          <w:tcPr>
            <w:cnfStyle w:val="000000010000"/>
            <w:tcW w:w="6912" w:type="dxa"/>
            <w:vAlign w:val="center"/>
          </w:tcPr>
          <w:p w14:paraId="0000004B">
            <w:pPr>
              <w:spacing w:before="0" w:after="0" w:line="254" w:lineRule="auto"/>
              <w:rPr/>
            </w:pPr>
            <w:r>
              <w:rPr>
                <w:sz w:val="21"/>
              </w:rPr>
              <w:t>Название; условия использования: собственное, арендованное или другое</w:t>
            </w:r>
          </w:p>
        </w:tc>
      </w:tr>
      <w:tr>
        <w:trPr>
          <w:cantSplit w:val="on"/>
        </w:trPr>
        <w:tc>
          <w:tcPr>
            <w:cnfStyle w:val="001000100000"/>
            <w:tcW w:w="3024" w:type="dxa"/>
            <w:vAlign w:val="center"/>
          </w:tcPr>
          <w:p w14:paraId="0000004C">
            <w:pPr>
              <w:spacing w:before="0" w:after="0" w:line="254" w:lineRule="auto"/>
              <w:rPr/>
            </w:pPr>
            <w:r>
              <w:rPr>
                <w:sz w:val="21"/>
              </w:rPr>
              <w:t>Материалы и запасы</w:t>
            </w:r>
          </w:p>
        </w:tc>
        <w:tc>
          <w:tcPr>
            <w:cnfStyle w:val="000000100000"/>
            <w:tcW w:w="6912" w:type="dxa"/>
            <w:vAlign w:val="center"/>
          </w:tcPr>
          <w:p w14:paraId="0000004D">
            <w:pPr>
              <w:spacing w:before="0" w:after="0" w:line="254" w:lineRule="auto"/>
              <w:rPr/>
            </w:pPr>
            <w:r>
              <w:rPr>
                <w:sz w:val="21"/>
              </w:rPr>
              <w:t>Название; количество; единица измерения; принадлежность: свои или предоставленные заказчиком</w:t>
            </w:r>
          </w:p>
        </w:tc>
      </w:tr>
    </w:tbl>
    <w:p w14:paraId="0000004E">
      <w:pPr>
        <w:spacing w:before="0" w:after="0" w:line="80" w:lineRule="exact"/>
        <w:rPr/>
      </w:pPr>
    </w:p>
    <w:p w14:paraId="0000004F">
      <w:r>
        <w:t>Оборудование можно ввести количеством по типу и месту нахождения. Поштучные карточки для первого заполнения не обязательны. Если помещение или подразделение уже заведено, местонахождение связывается с этой записью.</w:t>
      </w:r>
    </w:p>
    <w:p w14:paraId="00000050">
      <w:pPr>
        <w:pStyle w:val="Heading1"/>
        <w:rPr/>
      </w:pPr>
      <w:r>
        <w:t>4. Постоянные расходы</w:t>
      </w:r>
    </w:p>
    <w:p w14:paraId="00000051">
      <w:r>
        <w:t>Собственник самостоятельно добавляет статьи с фиксированной суммой за период. Например: аренда, оклад, абонентская плата, фиксированное обслуживание, регулярный кредитный платёж.</w:t>
      </w:r>
    </w:p>
    <w:p w14:paraId="00000052">
      <w:pPr>
        <w:pStyle w:val="ListBullet"/>
        <w:rPr/>
      </w:pPr>
      <w:r>
        <w:t>Название статьи.</w:t>
      </w:r>
    </w:p>
    <w:p w14:paraId="00000053">
      <w:pPr>
        <w:pStyle w:val="ListBullet"/>
        <w:rPr/>
      </w:pPr>
      <w:r>
        <w:t>Сумма, если известна.</w:t>
      </w:r>
    </w:p>
    <w:p w14:paraId="00000054">
      <w:pPr>
        <w:pStyle w:val="ListBullet"/>
        <w:rPr/>
      </w:pPr>
      <w:r>
        <w:t>Период, к которому относится сумма.</w:t>
      </w:r>
    </w:p>
    <w:p w14:paraId="00000055">
      <w:pPr>
        <w:pStyle w:val="ListBullet"/>
        <w:rPr/>
      </w:pPr>
      <w:r>
        <w:t>Связанный человек, помещение или оборудование, если есть.</w:t>
      </w:r>
    </w:p>
    <w:p w14:paraId="00000056">
      <w:r>
        <w:t xml:space="preserve">Регулярный кредитный платёж можно внести сюда. Погашение долга и проценты сохраняются раздельно, если разбивка известна. Погашение долга не должно автоматически включаться в производственную себестоимость. Если разбивка неизвестна, сохраняется известный платёж с пометкой «разбивка не уточнена». Основание различия — </w:t>
      </w:r>
      <w:r>
        <w:rPr>
          <w:color w:val="1f4e79"/>
          <w:u w:val="single"/>
        </w:rPr>
        <w:fldChar w:fldCharType="begin"/>
      </w:r>
      <w:r>
        <w:rPr>
          <w:color w:val="1f4e79"/>
          <w:u w:val="single"/>
        </w:rPr>
        <w:instrText xml:space="preserve">HYPERLINK "https://www.ifrs.org/content/dam/ifrs/publications/pdf-standards/english/2021/issued/part-a/ias-7-statement-of-cash-flows.pdf" </w:instrText>
      </w:r>
      <w:r>
        <w:rPr>
          <w:color w:val="1f4e79"/>
          <w:u w:val="single"/>
        </w:rPr>
        <w:fldChar w:fldCharType="separate"/>
      </w:r>
      <w:r>
        <w:rPr>
          <w:color w:val="1f4e79"/>
          <w:u w:val="single"/>
        </w:rPr>
        <w:t>IAS 7, пункт 17</w:t>
      </w:r>
      <w:r>
        <w:fldChar w:fldCharType="end"/>
      </w:r>
      <w:r>
        <w:t>.</w:t>
      </w:r>
    </w:p>
    <w:p w14:paraId="00000057">
      <w:pPr>
        <w:pStyle w:val="Heading1"/>
        <w:rPr/>
      </w:pPr>
      <w:r>
        <w:t>5. Переменные расходы</w:t>
      </w:r>
    </w:p>
    <w:p w14:paraId="00000058">
      <w:r>
        <w:t>Собственник добавляет статьи с формулой расчёта от факта: выполненной работы, использования ресурса, начисленной оплаты, дохода или установленной налоговой базы.</w:t>
      </w:r>
    </w:p>
    <w:p w14:paraId="00000059">
      <w:pPr>
        <w:pStyle w:val="ListBullet"/>
        <w:rPr/>
      </w:pPr>
      <w:r>
        <w:t>Название статьи.</w:t>
      </w:r>
    </w:p>
    <w:p w14:paraId="0000005A">
      <w:pPr>
        <w:pStyle w:val="ListBullet"/>
        <w:rPr/>
      </w:pPr>
      <w:r>
        <w:t>Основание расчёта: какой фактический показатель используется и откуда он поступает.</w:t>
      </w:r>
    </w:p>
    <w:p w14:paraId="0000005B">
      <w:pPr>
        <w:pStyle w:val="ListBullet"/>
        <w:rPr/>
      </w:pPr>
      <w:r>
        <w:t>Единица показателя: кг, м, кВт·ч, час, единица работы, сумма денег или другая единица.</w:t>
      </w:r>
    </w:p>
    <w:p w14:paraId="0000005C">
      <w:pPr>
        <w:pStyle w:val="ListBullet"/>
        <w:rPr/>
      </w:pPr>
      <w:r>
        <w:t>Формула расчёта.</w:t>
      </w:r>
    </w:p>
    <w:p w14:paraId="0000005D">
      <w:pPr>
        <w:pStyle w:val="ListBullet"/>
        <w:rPr/>
      </w:pPr>
      <w:r>
        <w:t>Параметры формулы: тариф, процентная ставка и другие необходимые значения.</w:t>
      </w:r>
    </w:p>
    <w:p w14:paraId="0000005E">
      <w:pPr>
        <w:pStyle w:val="ListBullet"/>
        <w:rPr/>
      </w:pPr>
      <w:r>
        <w:t>Период факта, за который выполняется расчёт.</w:t>
      </w:r>
    </w:p>
    <w:p w14:paraId="0000005F">
      <w:pPr>
        <w:pStyle w:val="ListBullet"/>
        <w:rPr/>
      </w:pPr>
      <w:r>
        <w:t>Связанный материал, человек или оборудование, если есть.</w:t>
      </w:r>
    </w:p>
    <w:p w14:paraId="00000060">
      <w:pPr>
        <w:pStyle w:val="Heading2"/>
        <w:rPr/>
      </w:pPr>
      <w:r>
        <w:t>Примеры переменных статей</w:t>
      </w:r>
    </w:p>
    <w:tbl>
      <w:tblPr>
        <w:tblW w:w="0" w:type="auto"/>
        <w:tblLayout w:type="fixed"/>
        <w:tblLook w:val="04A0"/>
      </w:tblPr>
      <w:tblGrid>
        <w:gridCol w:w="3024"/>
        <w:gridCol w:w="3456"/>
        <w:gridCol w:w="3456"/>
      </w:tblGrid>
      <w:tr>
        <w:trPr>
          <w:cantSplit w:val="on"/>
          <w:tblHeader w:val="on"/>
        </w:trPr>
        <w:tc>
          <w:tcPr>
            <w:cnfStyle w:val="101000000000"/>
            <w:tcW w:w="3024" w:type="dxa"/>
            <w:vAlign w:val="center"/>
          </w:tcPr>
          <w:p w14:paraId="00000061">
            <w:pPr>
              <w:spacing w:before="0" w:after="0" w:line="254" w:lineRule="auto"/>
              <w:rPr/>
            </w:pPr>
            <w:r>
              <w:rPr>
                <w:b/>
                <w:color w:val="ffffff"/>
                <w:sz w:val="21"/>
              </w:rPr>
              <w:t>Статья</w:t>
            </w:r>
          </w:p>
        </w:tc>
        <w:tc>
          <w:tcPr>
            <w:cnfStyle w:val="100000000000"/>
            <w:tcW w:w="3456" w:type="dxa"/>
            <w:vAlign w:val="center"/>
          </w:tcPr>
          <w:p w14:paraId="00000062">
            <w:pPr>
              <w:spacing w:before="0" w:after="0" w:line="254" w:lineRule="auto"/>
              <w:rPr/>
            </w:pPr>
            <w:r>
              <w:rPr>
                <w:b/>
                <w:color w:val="ffffff"/>
                <w:sz w:val="21"/>
              </w:rPr>
              <w:t>Основание</w:t>
            </w:r>
          </w:p>
        </w:tc>
        <w:tc>
          <w:tcPr>
            <w:cnfStyle w:val="100000000000"/>
            <w:tcW w:w="3456" w:type="dxa"/>
            <w:vAlign w:val="center"/>
          </w:tcPr>
          <w:p w14:paraId="00000063">
            <w:pPr>
              <w:spacing w:before="0" w:after="0" w:line="254" w:lineRule="auto"/>
              <w:rPr/>
            </w:pPr>
            <w:r>
              <w:rPr>
                <w:b/>
                <w:color w:val="ffffff"/>
                <w:sz w:val="21"/>
              </w:rPr>
              <w:t>Пример записи формулы</w:t>
            </w:r>
          </w:p>
        </w:tc>
      </w:tr>
      <w:tr>
        <w:trPr>
          <w:cantSplit w:val="on"/>
        </w:trPr>
        <w:tc>
          <w:tcPr>
            <w:cnfStyle w:val="001000100000"/>
            <w:tcW w:w="3024" w:type="dxa"/>
            <w:vAlign w:val="center"/>
          </w:tcPr>
          <w:p w14:paraId="00000064">
            <w:pPr>
              <w:spacing w:before="0" w:after="0" w:line="254" w:lineRule="auto"/>
              <w:rPr/>
            </w:pPr>
            <w:r>
              <w:rPr>
                <w:sz w:val="21"/>
              </w:rPr>
              <w:t>Сдельная оплата</w:t>
            </w:r>
          </w:p>
        </w:tc>
        <w:tc>
          <w:tcPr>
            <w:cnfStyle w:val="000000100000"/>
            <w:tcW w:w="3456" w:type="dxa"/>
            <w:vAlign w:val="center"/>
          </w:tcPr>
          <w:p w14:paraId="00000065">
            <w:pPr>
              <w:spacing w:before="0" w:after="0" w:line="254" w:lineRule="auto"/>
              <w:rPr/>
            </w:pPr>
            <w:r>
              <w:rPr>
                <w:sz w:val="21"/>
              </w:rPr>
              <w:t>Фактически выполненный объём соответствующей работы</w:t>
            </w:r>
          </w:p>
        </w:tc>
        <w:tc>
          <w:tcPr>
            <w:cnfStyle w:val="000000100000"/>
            <w:tcW w:w="3456" w:type="dxa"/>
            <w:vAlign w:val="center"/>
          </w:tcPr>
          <w:p w14:paraId="00000066">
            <w:pPr>
              <w:spacing w:before="0" w:after="0" w:line="254" w:lineRule="auto"/>
              <w:rPr/>
            </w:pPr>
            <w:r>
              <w:rPr>
                <w:sz w:val="21"/>
              </w:rPr>
              <w:t>Объём × действующая расценка</w:t>
            </w:r>
          </w:p>
        </w:tc>
      </w:tr>
      <w:tr>
        <w:trPr>
          <w:cantSplit w:val="on"/>
        </w:trPr>
        <w:tc>
          <w:tcPr>
            <w:cnfStyle w:val="001000010000"/>
            <w:tcW w:w="3024" w:type="dxa"/>
            <w:vAlign w:val="center"/>
          </w:tcPr>
          <w:p w14:paraId="00000067">
            <w:pPr>
              <w:spacing w:before="0" w:after="0" w:line="254" w:lineRule="auto"/>
              <w:rPr/>
            </w:pPr>
            <w:r>
              <w:rPr>
                <w:sz w:val="21"/>
              </w:rPr>
              <w:t>Использование материала</w:t>
            </w:r>
          </w:p>
        </w:tc>
        <w:tc>
          <w:tcPr>
            <w:cnfStyle w:val="000000010000"/>
            <w:tcW w:w="3456" w:type="dxa"/>
            <w:vAlign w:val="center"/>
          </w:tcPr>
          <w:p w14:paraId="00000068">
            <w:pPr>
              <w:spacing w:before="0" w:after="0" w:line="254" w:lineRule="auto"/>
              <w:rPr/>
            </w:pPr>
            <w:r>
              <w:rPr>
                <w:sz w:val="21"/>
              </w:rPr>
              <w:t>Фактически использованное количество</w:t>
            </w:r>
          </w:p>
        </w:tc>
        <w:tc>
          <w:tcPr>
            <w:cnfStyle w:val="000000010000"/>
            <w:tcW w:w="3456" w:type="dxa"/>
            <w:vAlign w:val="center"/>
          </w:tcPr>
          <w:p w14:paraId="00000069">
            <w:pPr>
              <w:spacing w:before="0" w:after="0" w:line="254" w:lineRule="auto"/>
              <w:rPr/>
            </w:pPr>
            <w:r>
              <w:rPr>
                <w:sz w:val="21"/>
              </w:rPr>
              <w:t>Количество × стоимость единицы</w:t>
            </w:r>
          </w:p>
        </w:tc>
      </w:tr>
      <w:tr>
        <w:trPr>
          <w:cantSplit w:val="on"/>
        </w:trPr>
        <w:tc>
          <w:tcPr>
            <w:cnfStyle w:val="001000100000"/>
            <w:tcW w:w="3024" w:type="dxa"/>
            <w:vAlign w:val="center"/>
          </w:tcPr>
          <w:p w14:paraId="0000006A">
            <w:pPr>
              <w:spacing w:before="0" w:after="0" w:line="254" w:lineRule="auto"/>
              <w:rPr/>
            </w:pPr>
            <w:r>
              <w:rPr>
                <w:sz w:val="21"/>
              </w:rPr>
              <w:t>Электроэнергия</w:t>
            </w:r>
          </w:p>
        </w:tc>
        <w:tc>
          <w:tcPr>
            <w:cnfStyle w:val="000000100000"/>
            <w:tcW w:w="3456" w:type="dxa"/>
            <w:vAlign w:val="center"/>
          </w:tcPr>
          <w:p w14:paraId="0000006B">
            <w:pPr>
              <w:spacing w:before="0" w:after="0" w:line="254" w:lineRule="auto"/>
              <w:rPr/>
            </w:pPr>
            <w:r>
              <w:rPr>
                <w:sz w:val="21"/>
              </w:rPr>
              <w:t>Фактическое потребление</w:t>
            </w:r>
          </w:p>
        </w:tc>
        <w:tc>
          <w:tcPr>
            <w:cnfStyle w:val="000000100000"/>
            <w:tcW w:w="3456" w:type="dxa"/>
            <w:vAlign w:val="center"/>
          </w:tcPr>
          <w:p w14:paraId="0000006C">
            <w:pPr>
              <w:spacing w:before="0" w:after="0" w:line="254" w:lineRule="auto"/>
              <w:rPr/>
            </w:pPr>
            <w:r>
              <w:rPr>
                <w:sz w:val="21"/>
              </w:rPr>
              <w:t>кВт·ч × тариф</w:t>
            </w:r>
          </w:p>
        </w:tc>
      </w:tr>
      <w:tr>
        <w:trPr>
          <w:cantSplit w:val="on"/>
        </w:trPr>
        <w:tc>
          <w:tcPr>
            <w:cnfStyle w:val="001000010000"/>
            <w:tcW w:w="3024" w:type="dxa"/>
            <w:vAlign w:val="center"/>
          </w:tcPr>
          <w:p w14:paraId="0000006D">
            <w:pPr>
              <w:spacing w:before="0" w:after="0" w:line="254" w:lineRule="auto"/>
              <w:rPr/>
            </w:pPr>
            <w:r>
              <w:rPr>
                <w:sz w:val="21"/>
              </w:rPr>
              <w:t>Налог по процентной ставке</w:t>
            </w:r>
          </w:p>
        </w:tc>
        <w:tc>
          <w:tcPr>
            <w:cnfStyle w:val="000000010000"/>
            <w:tcW w:w="3456" w:type="dxa"/>
            <w:vAlign w:val="center"/>
          </w:tcPr>
          <w:p w14:paraId="0000006E">
            <w:pPr>
              <w:spacing w:before="0" w:after="0" w:line="254" w:lineRule="auto"/>
              <w:rPr/>
            </w:pPr>
            <w:r>
              <w:rPr>
                <w:sz w:val="21"/>
              </w:rPr>
              <w:t>Налоговая база по применяемым правилам</w:t>
            </w:r>
          </w:p>
        </w:tc>
        <w:tc>
          <w:tcPr>
            <w:cnfStyle w:val="000000010000"/>
            <w:tcW w:w="3456" w:type="dxa"/>
            <w:vAlign w:val="center"/>
          </w:tcPr>
          <w:p w14:paraId="0000006F">
            <w:pPr>
              <w:spacing w:before="0" w:after="0" w:line="254" w:lineRule="auto"/>
              <w:rPr/>
            </w:pPr>
            <w:r>
              <w:rPr>
                <w:sz w:val="21"/>
              </w:rPr>
              <w:t>База × ставка / 100</w:t>
            </w:r>
          </w:p>
        </w:tc>
      </w:tr>
      <w:tr>
        <w:trPr>
          <w:cantSplit w:val="on"/>
        </w:trPr>
        <w:tc>
          <w:tcPr>
            <w:cnfStyle w:val="001000100000"/>
            <w:tcW w:w="3024" w:type="dxa"/>
            <w:vAlign w:val="center"/>
          </w:tcPr>
          <w:p w14:paraId="00000070">
            <w:pPr>
              <w:spacing w:before="0" w:after="0" w:line="254" w:lineRule="auto"/>
              <w:rPr/>
            </w:pPr>
            <w:r>
              <w:rPr>
                <w:sz w:val="21"/>
              </w:rPr>
              <w:t>Платёж, зависящий от дохода</w:t>
            </w:r>
          </w:p>
        </w:tc>
        <w:tc>
          <w:tcPr>
            <w:cnfStyle w:val="000000100000"/>
            <w:tcW w:w="3456" w:type="dxa"/>
            <w:vAlign w:val="center"/>
          </w:tcPr>
          <w:p w14:paraId="00000071">
            <w:pPr>
              <w:spacing w:before="0" w:after="0" w:line="254" w:lineRule="auto"/>
              <w:rPr/>
            </w:pPr>
            <w:r>
              <w:rPr>
                <w:sz w:val="21"/>
              </w:rPr>
              <w:t>Определённый показатель дохода за период</w:t>
            </w:r>
          </w:p>
        </w:tc>
        <w:tc>
          <w:tcPr>
            <w:cnfStyle w:val="000000100000"/>
            <w:tcW w:w="3456" w:type="dxa"/>
            <w:vAlign w:val="center"/>
          </w:tcPr>
          <w:p w14:paraId="00000072">
            <w:pPr>
              <w:spacing w:before="0" w:after="0" w:line="254" w:lineRule="auto"/>
              <w:rPr/>
            </w:pPr>
            <w:r>
              <w:rPr>
                <w:sz w:val="21"/>
              </w:rPr>
              <w:t>Доход × процент / 100</w:t>
            </w:r>
          </w:p>
        </w:tc>
      </w:tr>
    </w:tbl>
    <w:p w14:paraId="00000073">
      <w:pPr>
        <w:spacing w:before="0" w:after="0" w:line="80" w:lineRule="exact"/>
        <w:rPr/>
      </w:pPr>
    </w:p>
    <w:p w14:paraId="00000074">
      <w:r>
        <w:t xml:space="preserve">Это примеры структуры формул. Для налоговой статьи отдельно определяется применимая база и полное правило расчёта. Выручка, поступления денег, прибыль и налоговая база — разные показатели. Например, ФНС различает объекты УСН «доходы» и «доходы минус расходы»: </w:t>
      </w:r>
      <w:r>
        <w:rPr>
          <w:color w:val="1f4e79"/>
          <w:u w:val="single"/>
        </w:rPr>
        <w:fldChar w:fldCharType="begin"/>
      </w:r>
      <w:r>
        <w:rPr>
          <w:color w:val="1f4e79"/>
          <w:u w:val="single"/>
        </w:rPr>
        <w:instrText xml:space="preserve">HYPERLINK "https://www.nalog.gov.ru/create_business/ul/in_progress/usn/step2/" </w:instrText>
      </w:r>
      <w:r>
        <w:rPr>
          <w:color w:val="1f4e79"/>
          <w:u w:val="single"/>
        </w:rPr>
        <w:fldChar w:fldCharType="separate"/>
      </w:r>
      <w:r>
        <w:rPr>
          <w:color w:val="1f4e79"/>
          <w:u w:val="single"/>
        </w:rPr>
        <w:t>ФНС — выбор объекта налогообложения</w:t>
      </w:r>
      <w:r>
        <w:fldChar w:fldCharType="end"/>
      </w:r>
      <w:r>
        <w:t>.</w:t>
      </w:r>
    </w:p>
    <w:p w14:paraId="00000075">
      <w:r>
        <w:t>В паспорте сохраняются статьи, формулы и действующие параметры. Значения факта поступают позднее из данных системы или импорта. Если необходимого факта или параметра нет, расчёт остаётся неполным; неизвестное значение не заменяется нулём.</w:t>
      </w:r>
    </w:p>
    <w:p w14:paraId="00000076">
      <w:pPr>
        <w:pStyle w:val="Heading2"/>
        <w:rPr/>
      </w:pPr>
      <w:r>
        <w:t>Общие правила для расходов</w:t>
      </w:r>
    </w:p>
    <w:p w14:paraId="00000077">
      <w:pPr>
        <w:pStyle w:val="ListBullet"/>
        <w:rPr/>
      </w:pPr>
      <w:r>
        <w:t>Названия статей собственник задаёт сам. Вид зависит от условий: зарплата может иметь постоянную и сдельную части, коммунальный платёж — фиксированную плату и плату за потребление.</w:t>
      </w:r>
    </w:p>
    <w:p w14:paraId="00000078">
      <w:pPr>
        <w:pStyle w:val="ListBullet"/>
        <w:rPr/>
      </w:pPr>
      <w:r>
        <w:t>Известные части смешанного расхода предлагается заводить раздельно без повторного добавления общей суммы. Неизвестная разбивка отмечается для уточнения.</w:t>
      </w:r>
    </w:p>
    <w:p w14:paraId="00000079">
      <w:pPr>
        <w:pStyle w:val="ListBullet"/>
        <w:rPr/>
      </w:pPr>
      <w:r>
        <w:t>Для суммы, тарифа, ставки и формулы сохраняется дата начала действия. Изменение действует вперёд; условия уже состоявшейся работы не переписываются.</w:t>
      </w:r>
    </w:p>
    <w:p w14:paraId="0000007A">
      <w:pPr>
        <w:pStyle w:val="ListBullet"/>
        <w:rPr/>
      </w:pPr>
      <w:r>
        <w:t>Формула использует определённые показатели с источником, единицей и периодом. Разработчик предусматривает проверку формулы и вычисление кодом. AI не выдумывает факты, ставки и параметры.</w:t>
      </w:r>
    </w:p>
    <w:p w14:paraId="0000007B">
      <w:pPr>
        <w:pStyle w:val="ListBullet"/>
        <w:rPr/>
      </w:pPr>
      <w:r>
        <w:t>Запас материала и его использование связываются. Само наличие запаса не является расходом.</w:t>
      </w:r>
    </w:p>
    <w:p w14:paraId="0000007C">
      <w:r>
        <w:t>В форме расходы разделены на два блока. Для хранения возможен общий список статей с видом «постоянная» или «переменная»; физическую схему определяет разработчик. Все записи и связи относятся к выбранной компании.</w:t>
      </w:r>
    </w:p>
    <w:sectPr>
      <w:pgSz w:w="12240" w:h="15840"/>
      <w:pgMar w:top="1008" w:right="1152" w:bottom="1008" w:left="115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pPr>
      <w:widowControl w:val="on"/>
      <w:spacing w:after="140" w:line="264" w:lineRule="auto"/>
    </w:pPr>
    <w:rPr>
      <w:rFonts w:ascii="Arial" w:cs="Arial" w:eastAsia="Arial" w:hAnsi="Arial"/>
      <w:b w:val="off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280" w:after="140"/>
    </w:pPr>
    <w:rPr>
      <w:rFonts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80" w:after="140"/>
    </w:pPr>
    <w:rPr>
      <w:rFonts w:asciiTheme="majorHAnsi" w:cstheme="majorBidi" w:eastAsiaTheme="majorEastAsia" w:hAnsiTheme="majorHAns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keepNext w:val="on"/>
      <w:pBdr>
        <w:bottom w:val="single" w:color="4f81bd" w:themeColor="accent1" w:sz="8" w:space="4"/>
      </w:pBdr>
      <w:spacing w:before="0" w:after="240" w:line="240" w:lineRule="auto"/>
      <w:contextualSpacing w:val="on"/>
    </w:pPr>
    <w:rPr>
      <w:rFonts w:asciiTheme="majorHAnsi" w:cstheme="majorBidi" w:eastAsiaTheme="majorEastAsia" w:hAnsiTheme="majorHAnsi"/>
      <w:b w:val="off"/>
      <w:color w:val="000000"/>
      <w:spacing w:val="5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spacing w:after="80" w:line="264" w:lineRule="auto"/>
      <w:contextualSpacing w:val="on"/>
    </w:pPr>
    <w:rPr>
      <w:rFonts w:ascii="Arial" w:cs="Arial" w:eastAsia="Arial" w:hAnsi="Arial"/>
      <w:b w:val="off"/>
      <w:color w:val="000000"/>
      <w:sz w:val="22"/>
    </w:r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spacing w:after="80" w:line="264" w:lineRule="auto"/>
      <w:contextualSpacing w:val="on"/>
    </w:pPr>
    <w:rPr>
      <w:rFonts w:ascii="Arial" w:cs="Arial" w:eastAsia="Arial" w:hAnsi="Arial"/>
      <w:b w:val="off"/>
      <w:color w:val="000000"/>
      <w:sz w:val="22"/>
    </w:r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after="12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after="12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after="12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after="0" w:line="240" w:lineRule="auto"/>
    </w:pPr>
    <w:rPr>
      <w:color w:val="3760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5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60497b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399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2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Relationship Id="rId9" Type="http://schemas.openxmlformats.org/officeDocument/2006/relationships/hyperlink" Target="https://www.ifrs.org/content/dam/ifrs/publications/pdf-standards/english/2021/issued/part-a/ias-7-statement-of-cash-flows.pdf" TargetMode="External"/><Relationship Id="rId10" Type="http://schemas.openxmlformats.org/officeDocument/2006/relationships/hyperlink" Target="https://www.nalog.gov.ru/create_business/ul/in_progress/usn/step2/" TargetMode="Externa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производства EASY3</dc:title>
  <dc:description>generated by python-docx</dc:description>
  <dc:creator>Илья</dc:creator>
  <cp:lastModifiedBy>Илья</cp:lastModifiedBy>
</cp:coreProperties>
</file>