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aa"/>
      </w:pPr>
      <w:r>
        <w:t>ОТЧЕТ О ЗАВЕРШЕНИИ ЭТАПА 2</w:t>
      </w:r>
    </w:p>
    <w:p>
      <w:pPr>
        <w:pStyle w:val="ac"/>
      </w:pPr>
      <w:r>
        <w:t>по Договору возмездного оказания услуг № 37</w:t>
      </w:r>
    </w:p>
    <w:p>
      <w:pPr>
        <w:pStyle w:val="ac"/>
      </w:pPr>
      <w:r>
        <w:t>от 22 сентября 2026 года</w:t>
      </w:r>
    </w:p>
    <w:p>
      <w:pPr>
        <w:keepNext/>
        <w:tabs>
          <w:tab w:pos="9638" w:val="right"/>
        </w:tabs>
        <w:spacing w:before="120" w:after="120"/>
        <w:ind w:firstLine="0"/>
        <w:jc w:val="left"/>
      </w:pPr>
      <w:r>
        <w:t>г. Пенза</w:t>
        <w:tab/>
        <w:t>«05» октября 2026 г.</w:t>
      </w:r>
    </w:p>
    <w:p>
      <w:pPr>
        <w:pStyle w:val="1"/>
      </w:pPr>
      <w:r>
        <w:t>1. Основание и результат этапа</w:t>
      </w:r>
    </w:p>
    <w:p>
      <w:r>
        <w:t>Настоящий отчет подготовлен по результатам выполнения Этапа 2 «Core MVP — backend и web / базовый функционал веб-платформы и серверной части» в рамках Договора возмездного оказания услуг № 37 по разработке и внедрению программного комплекса ЧОППРО (MVP) от 22 сентября 2026 года и Дополнительного соглашения № 1 о завершении Этапа 1 и начале Этапа 2.</w:t>
      </w:r>
    </w:p>
    <w:p>
      <w:r>
        <w:t>Заказчик — ООО «ЧОП «ОБЕРЕГ»». Исполнитель — Шилов Алексей Юрьевич. Стоимость Этапа 2 составляет 50 000 (Пятьдесят тысяч) рублей и соответствует Платежу № 2 по Договору.</w:t>
      </w:r>
    </w:p>
    <w:p>
      <w:r>
        <w:t>Результат этапа — работающий Core MVP с общей серверной частью и базой данных, отдельными веб-приложениями администратора ЧОП, заказчика, оператора платформы и биржи труда. Реализованы сквозные сценарии от создания организации, сотрудников и объектов до графика, назначения, учета присутствия и просмотра опубликованных результатов заказчиком. Результат подготовлен к приемке.</w:t>
      </w:r>
    </w:p>
    <w:p>
      <w:pPr>
        <w:pStyle w:val="1"/>
      </w:pPr>
      <w:r>
        <w:t>2. Выполненные работы</w:t>
      </w:r>
    </w:p>
    <w:p>
      <w:pPr>
        <w:pStyle w:val="21"/>
      </w:pPr>
      <w:r>
        <w:t>2.1. Серверная часть и разграничение доступа</w:t>
      </w:r>
    </w:p>
    <w:p>
      <w:r>
        <w:t>Реализована модульная серверная часть на PHP 8.3 с доступом к MySQL 8 через PDO. REST API используется всеми рабочими приложениями. Запись связанных данных выполняется в транзакциях; изменения учитывают текущую версию записи, чтобы параллельное редактирование не приводило к потере данных.</w:t>
      </w:r>
    </w:p>
    <w:p>
      <w:r>
        <w:t>Реализована изоляция организаций: пользователь получает данные своей организации и разрешенных ему объектов. Область доступа проверяется сервером при просмотре карточек, поиске, изменении данных, скачивании вложений и экспорте. При отключении модуля закрываются соответствующие операции API.</w:t>
      </w:r>
    </w:p>
    <w:p>
      <w:r>
        <w:t>Предусмотрены роли администратора ЧОП, кадрового сотрудника, руководителя операций, ответственного за объект, заказчика, охранника и оператора платформы. Можно создавать собственные роли с набором разрешений. Просмотр чувствительных реквизитов, скачивание файлов и экспорт регулируются отдельными правами.</w:t>
      </w:r>
    </w:p>
    <w:p>
      <w:r>
        <w:t>Реализованы приглашения и активация пользователей, вход, второй фактор, обновление и отзыв сессий. Блокировка пользователя, увольнение сотрудника или приостановка организации прекращают соответствующий доступ. Для серверного контура охранника предусмотрена авторизация по телефону и OTP; демонстрационный режим использует тестовый код.</w:t>
      </w:r>
    </w:p>
    <w:p>
      <w:pPr>
        <w:pStyle w:val="21"/>
      </w:pPr>
      <w:r>
        <w:t>2.2. Сотрудники и кадровые данные</w:t>
      </w:r>
    </w:p>
    <w:p>
      <w:r>
        <w:t>Реализованы карточки сотрудников с ФИО, контактами, табельным номером, разрядом, статусом и сведениями о приеме на работу. Квалификация и активность сотрудника участвуют в проверках назначения на пост. Из карточки доступны связанные документы, назначения и кадровые действия.</w:t>
      </w:r>
    </w:p>
    <w:p>
      <w:r>
        <w:t>Предусмотрены выдача и сдача личной карточки охранника. Соответствующее действие формирует контрольную задачу со сроком на следующий рабочий день. Изменения статуса и кадровых сведений сохраняются в истории.</w:t>
      </w:r>
    </w:p>
    <w:p>
      <w:r>
        <w:t>Для сотрудников, заказчиков и объектов реализован импорт CSV с предварительной проверкой строк. Пользователь видит результат проверки и может импортировать допустимые записи. Предусмотрены откат пакета и выборочный откат по идентификаторам с учетом последующих изменений записей.</w:t>
      </w:r>
    </w:p>
    <w:p>
      <w:pPr>
        <w:pStyle w:val="21"/>
      </w:pPr>
      <w:r>
        <w:t>2.3. Документы сотрудников и работа с файлами</w:t>
      </w:r>
    </w:p>
    <w:p>
      <w:r>
        <w:t>Реализован справочник типов документов с обязательными реквизитами, сроками действия и интервалом предупреждения об истечении. Документ связывается с сотрудником, содержит номер, даты, файл и результат проверки. Система различает действующие, истекающие, истекшие и ожидающие проверки документы; фоновая обработка пересчитывает их состояния.</w:t>
      </w:r>
    </w:p>
    <w:p>
      <w:r>
        <w:t>Создана библиотека документов с поиском по названию, номеру и ФИО, фильтрами сотрудника, типа, состояния, объекта и срока действия. Есть быстрый выбор истекающих в течение 7 или 30 дней, истекших и бессрочных документов. CSV формируется по выбранным условиям.</w:t>
      </w:r>
    </w:p>
    <w:p>
      <w:r>
        <w:t>Документ открывается в отдельной карточке с реквизитами и страницами содержимого. Для демонстрационных PDF текст извлекается из фактически сохраненного файла; доступны также обычный просмотр PDF и скачивание. Подготовлены 3000 отдельных текстовых PDF с русскими реквизитами и отметкой демонстрационного образца.</w:t>
      </w:r>
    </w:p>
    <w:p>
      <w:r>
        <w:t>Загрузка поддерживает PDF, JPEG и PNG размером до 10 МБ с проверкой типа и содержимого. Файлы хранятся приватно, учитываются по контрольной сумме SHA-256 и выдаются после проверки прав. Реализованы карантин и подключение антивирусного сканера: до положительного результата новый файл не становится доступным для скачивания. При отсутствии сканера он остается в карантине.</w:t>
      </w:r>
    </w:p>
    <w:p>
      <w:r>
        <w:t>Ручная проверка документа сохраняет решение и историю; отклонение требует причины. Для пользователей без соответствующего разрешения чувствительные реквизиты маскируются. Загруженные пользователем файлы сохраняются при актуализации системы.</w:t>
      </w:r>
    </w:p>
    <w:p>
      <w:pPr>
        <w:pStyle w:val="21"/>
      </w:pPr>
      <w:r>
        <w:t>2.4. Лицензии, договоры и контроль обязательств</w:t>
      </w:r>
    </w:p>
    <w:p>
      <w:r>
        <w:t>Реализованы карточки заказчиков и контактов, лицензии с периодом действия и перечнем разрешенных услуг, договоры с заказчиком, лицензией, сроками оказания услуг и обязательными реквизитами. Предусмотрены основания оказания услуг, сведения о применении оружия, компенсации и признак переходного договора.</w:t>
      </w:r>
    </w:p>
    <w:p>
      <w:r>
        <w:t>Перед активацией договора сервер проверяет срок лицензии, допустимость услуг и заполнение обязательных сведений. Исключение требует отдельного права и обоснования. Версии договоров, услуг, правил и шаблонов сохраняются; последующее изменение справочника не переписывает прежние редакции.</w:t>
      </w:r>
    </w:p>
    <w:p>
      <w:r>
        <w:t>Реализованы контрольные задачи по началу, изменению и окончанию услуг, а также событиям изменения участников и руководителей. Сроки рассчитываются по версионным правилам и рабочему календарю. В задаче учитываются ответственный, срок, канал, время действия, автор и подтверждающие сведения.</w:t>
      </w:r>
    </w:p>
    <w:p>
      <w:r>
        <w:t>Предусмотрены подготовка и скачивание черновиков документов. Отметка об отправке требует ручного действия и подтверждающих данных; подтверждение получения — квитанции либо входящего номера. Реализованы вложения к лицензиям, договорам и задачам, чек-лист уведомительной таблички, макет и доказательства размещения. Автоматическая подача сведений в государственные органы не выполняется.</w:t>
      </w:r>
    </w:p>
    <w:p>
      <w:pPr>
        <w:pStyle w:val="21"/>
      </w:pPr>
      <w:r>
        <w:t>2.5. Объекты, посты, карты и инструкции</w:t>
      </w:r>
    </w:p>
    <w:p>
      <w:r>
        <w:t>Реализованы объекты с адресом, заказчиком, договором, контактами, статусом и часовым поясом. Пост содержит требования к разряду, численности, режиму работы и инструкции. Из карточек доступны связанные посты, смены, договоры и операционные записи.</w:t>
      </w:r>
    </w:p>
    <w:p>
      <w:r>
        <w:t>Объект можно разместить щелчком на реальной карте Яндекса или перемещением точки. Используется официальный виджет без ключа API. Предусмотрены масштабирование, перемещение карты, открытие Яндекс Карт и перенос точки из полной ссылки. Адрес и положение проверяются при заполнении карточки; вакансия использует адрес и точку связанного объекта.</w:t>
      </w:r>
    </w:p>
    <w:p>
      <w:r>
        <w:t>Геозона задается кругом с радиусом или многоугольником. Вершины можно добавлять и перемещать, последнее действие — отменять. Сервер проверяет геометрию; для многоугольника нужны не менее трех вершин. В демонстрационном наполнении используется каталог реальных адресов и соответствующих координат в пяти городах.</w:t>
      </w:r>
    </w:p>
    <w:p>
      <w:r>
        <w:t>Инструкции поста имеют версии. Подтверждение ознакомления охранником относится к конкретной версии; новая редакция требует нового подтверждения. Реализованы создание, просмотр, перевыпуск и отзыв QR-точек; ранее отозванный токен сервером не принимается.</w:t>
      </w:r>
    </w:p>
    <w:p>
      <w:pPr>
        <w:pStyle w:val="21"/>
      </w:pPr>
      <w:r>
        <w:t>2.6. Графики, смены, назначения и замены</w:t>
      </w:r>
    </w:p>
    <w:p>
      <w:r>
        <w:t>Смены создаются вручную либо по шаблону. Реализованы публикация, отмена и состояния черновика, незаполненной, текущей и завершенной смены. Время хранится единообразно и отображается в часовом поясе объекта. Публикация проверяет активность объекта и поста.</w:t>
      </w:r>
    </w:p>
    <w:p>
      <w:r>
        <w:t>Визуальный конструктор позволяет выбрать рабочие дни, время начала и продолжительность от 1 до 48 часов, увидеть предпросмотр недели и часовую нагрузку. Шаблон можно сохранить или применить к периоду до 62 дней. Генерация формирует черновики для выбранных дней и учитывает уже существующие смены.</w:t>
      </w:r>
    </w:p>
    <w:p>
      <w:r>
        <w:t>Недельный планировщик показывает пост, время, занятые и требуемые места, состояние смены. Есть фильтры объекта, поста и статуса, переход между неделями и представление списком. Черновик можно перенести на другую дату перетаскиванием либо отдельной командой. Сервер сохраняет местное время и длительность, проверяет допустимость новой даты и пересечения назначений.</w:t>
      </w:r>
    </w:p>
    <w:p>
      <w:r>
        <w:t>При назначении проверяются активность сотрудника, разряд, численность поста и пересекающиеся смены. Предусмотрены предупреждение о нагрузке, подтверждение назначения охранником и замена с обязательной причиной. Прежнее назначение остается в истории, а покрытие поста пересчитывается.</w:t>
      </w:r>
    </w:p>
    <w:p>
      <w:pPr>
        <w:pStyle w:val="21"/>
      </w:pPr>
      <w:r>
        <w:t>2.7. Присутствие и фактически отработанное время</w:t>
      </w:r>
    </w:p>
    <w:p>
      <w:r>
        <w:t>Реализованы серверные сценарии заступления и завершения смены. Отметка содержит назначение, время устройства, координаты, точность геолокации, QR и сведения об устройстве. Проверяются опубликованная смена, активное назначение, временное окно, геозона, точность и действующий QR. Доставка события поддерживает ключ идемпотентности.</w:t>
      </w:r>
    </w:p>
    <w:p>
      <w:r>
        <w:t>Подтвержденное заступление фиксирует присутствие, учитывается в фактическом покрытии поста и состоянии смены. Завершение сохраняет длительность работы; итоговое состояние учитывает остальные назначения. Обработчик определяет неявки и пересчитывает операционные состояния.</w:t>
      </w:r>
    </w:p>
    <w:p>
      <w:r>
        <w:t>Спорная отметка сохраняется с причиной проверки. Уполномоченный сотрудник принимает отдельное решение с обоснованием; исходное событие остается неизменным. Проверяется последовательность заступления и завершения. В веб-интерфейсе доступно получение координат устройства, а демонстрационная тестовая точка явно обозначена.</w:t>
      </w:r>
    </w:p>
    <w:p>
      <w:pPr>
        <w:pStyle w:val="21"/>
      </w:pPr>
      <w:r>
        <w:t>2.8. Обходы, происшествия и клиентские отчеты</w:t>
      </w:r>
    </w:p>
    <w:p>
      <w:r>
        <w:t>Реализованы маршруты обходов, контрольные QR-точки, фиксация прохождения и результатов обхода. Серверный контур учитывает прогресс и полноту выполнения маршрута; данные доступны уполномоченным пользователям организации.</w:t>
      </w:r>
    </w:p>
    <w:p>
      <w:r>
        <w:t>Происшествия содержат категорию, критичность, описание, состояние и сведения о принятых мерах. Предусмотрены вложения и управление публикацией для заказчика. Внутренние сведения остаются в рабочем контуре ЧОП.</w:t>
      </w:r>
    </w:p>
    <w:p>
      <w:r>
        <w:t>Клиентский отчет проходит подготовку и публикацию, имеет версии и доступен в PDF. Ознакомление заказчика сохраняется с пользователем, временем, IP и версией отчета. Последующая редакция не заменяет историю опубликованного результата.</w:t>
      </w:r>
    </w:p>
    <w:p>
      <w:pPr>
        <w:pStyle w:val="21"/>
      </w:pPr>
      <w:r>
        <w:t>2.9. Кабинет заказчика</w:t>
      </w:r>
    </w:p>
    <w:p>
      <w:r>
        <w:t>Реализовано самостоятельное веб-приложение заказчика с собственными объектами, показателями планового и фактического покрытия, опубликованными сменами, обходами, происшествиями и отчетами. Из карточки объекта доступны связанные результаты оказания услуг.</w:t>
      </w:r>
    </w:p>
    <w:p>
      <w:r>
        <w:t>Заказчик может просмотреть разрешенную часть происшествия, скачать опубликованный отчет и подтвердить ознакомление. Сервер ограничивает данные его объектами и опубликованными материалами. Кадровые документы, внутренние комментарии и черновики ему недоступны.</w:t>
      </w:r>
    </w:p>
    <w:p>
      <w:pPr>
        <w:pStyle w:val="21"/>
      </w:pPr>
      <w:r>
        <w:t>2.10. Биржа труда и подбор сотрудников</w:t>
      </w:r>
    </w:p>
    <w:p>
      <w:r>
        <w:t>Реализована отдельная публичная биржа труда с карточками вакансий, сведениями о работодателе, оплате, разряде, графике и объекте. Доступны поиск, фильтры города, графика, разряда и зарплаты, сортировка по дате и оплате, избранное и страницы выдачи. Показатели количества вакансий и работодателей рассчитываются по данным.</w:t>
      </w:r>
    </w:p>
    <w:p>
      <w:r>
        <w:t>В админке предусмотрены публикация и закрытие вакансии, ручное назначение закрепа на позиции 1–3 и снятие закрепа. Закрепленные вакансии сохраняют приоритет при сортировке биржи. Этот ручной закреп входит в результат Этапа 2.</w:t>
      </w:r>
    </w:p>
    <w:p>
      <w:r>
        <w:t>Форма отклика содержит имя, телефон, электронную почту и сообщение. Отклик сохраняется у соответствующего работодателя. Подбор представлен доской из пяти состояний: новый отклик, рассмотрение, собеседование, принят и отказ. Карточки можно переносить между колонками либо менять состояние командой; последнее перемещение можно отменить. Есть поиск кандидата, фильтр вакансии и показатели воронки.</w:t>
      </w:r>
    </w:p>
    <w:p>
      <w:pPr>
        <w:pStyle w:val="21"/>
      </w:pPr>
      <w:r>
        <w:t>2.11. Управление платформой</w:t>
      </w:r>
    </w:p>
    <w:p>
      <w:r>
        <w:t>Реализовано отдельное приложение оператора платформы. Оно позволяет создавать организации с владельцем и приглашением, менять реквизиты и статус, включать модули и задавать ограничения ресурсов. Приостановка организации отзывает пользовательские сессии.</w:t>
      </w:r>
    </w:p>
    <w:p>
      <w:r>
        <w:t>Ограничения пользователей, сотрудников, объектов и объема приватных файлов проверяются при создании записи и загрузке. Интерфейс показывает фактическое использование и оставшийся ресурс. Проверка ограничения и изменение данных выполняются в одной транзакции.</w:t>
      </w:r>
    </w:p>
    <w:p>
      <w:r>
        <w:t>Рабочие данные организации открываются поддержке после указания причины на срок от 1 до 30 минут. Доступ можно закрыть досрочно; после истечения срока новые запросы блокируются. Действия поддержки отражаются в аудите и видны заказчику. Панель состояния показывает обработчик, очередь внутренних событий, карантин, состояние интеграций и использование ресурсов организаций.</w:t>
      </w:r>
    </w:p>
    <w:p>
      <w:pPr>
        <w:pStyle w:val="21"/>
      </w:pPr>
      <w:r>
        <w:t>2.12. Аудит и трехлетнее хранение данных</w:t>
      </w:r>
    </w:p>
    <w:p>
      <w:r>
        <w:t>Реализован журнал аудита с пользователем, организацией, действием, типом и идентификатором записи, временем, IP, устройством и идентификатором обращения. События связаны с объектами. Доступны поиск, фильтры автора, объекта, действия, раздела, записи и дат, страницы выдачи и CSV по выбранным условиям. Для экспорта требуется отдельное разрешение; журнал доступен для чтения.</w:t>
      </w:r>
    </w:p>
    <w:p>
      <w:r>
        <w:t>Реализована техническая политика хранения на три года. Для присутствия, аудита, истории и внутренних событий срок считается от времени события; для опубликованных отчетов, завершенных обходов и разрешенных происшествий — от последнего изменения; для документов сотрудников — от истечения срока либо удаления; для договоров — от окончания услуг; для персональных данных деактивированных пользователей и уволенных сотрудников — от деактивации.</w:t>
      </w:r>
    </w:p>
    <w:p>
      <w:r>
        <w:t>Предусмотрена ежедневная очистка записей, индексов и связанных приватных файлов с журналом результата. Действующие договоры и документы, черновики и незавершенные процессы сохраняются. Файл удаляется после проверки связей с сохраняемыми данными; незавершенное удаление ставится на повторную обработку. Администратор действует в пределах своей организации, оператор платформы — в пределах выбранной либо всей системы.</w:t>
      </w:r>
    </w:p>
    <w:p>
      <w:pPr>
        <w:pStyle w:val="21"/>
      </w:pPr>
      <w:r>
        <w:t>2.13. Интерфейсы и повседневная работа</w:t>
      </w:r>
    </w:p>
    <w:p>
      <w:r>
        <w:t>Рабочие приложения получили русские названия полей и действий, тематические иконки, логотип и favicon, согласованное оформление и легкие анимации. Карточки и панели показателей дополнены графиками покрытия, квалификации сотрудников, состояния документов, происшествий и использования ресурсов. Интерфейсы адаптированы для мобильного экрана, клавиатурного управления и режима уменьшения анимации.</w:t>
      </w:r>
    </w:p>
    <w:p>
      <w:r>
        <w:t>Реализован глобальный поиск с переходом в карточку записи и запуском через Ctrl/Cmd+K. Поиск учитывает роль, организацию, модули и доступные объекты. Есть избранные и недавние карточки, сохраненные именованные фильтры, сброс условий, связанные записи и быстрые действия. Пользователь может переходить между сотрудником, документом, объектом, договором, сменой и вакансией без повторного поиска.</w:t>
      </w:r>
    </w:p>
    <w:p>
      <w:pPr>
        <w:pStyle w:val="21"/>
      </w:pPr>
      <w:r>
        <w:t>2.14. Портал проекта и актуализация системы</w:t>
      </w:r>
    </w:p>
    <w:p>
      <w:r>
        <w:t>Портал объединяет обзор, требования, актуальную спецификацию, API, архитектуру, сценарии, результаты этапов и файлы проекта. Демо администратора, заказчика, платформы и биржи труда открываются в отдельных вкладках как самостоятельные приложения.</w:t>
      </w:r>
    </w:p>
    <w:p>
      <w:r>
        <w:t>Источником файлов портала, приложений, документации и миграций является ветка main репозитория GitHub. Новая версия загружается в отдельный каталог; работающий запрос продолжает использовать свой выпуск. Переключение выполняется после проверки целостности и успешного прохождения приемочных проверок соответствующего коммита. Предыдущий выпуск сохраняется при незавершенной загрузке.</w:t>
      </w:r>
    </w:p>
    <w:p>
      <w:r>
        <w:t>При открытии обновленного портала применяются подготовленные миграции, затем включается совместимое демо. Кнопки «Обновить систему» и «Актуализировать БД» позволяют запустить обработку вручную. Первый запуск создает структуру в существующей базе и тестовое наполнение; последующие актуализации сохраняют рабочие записи и применяют необходимые изменения схемы. Панель обновлений открывается без дополнительного пароля и защищает изменяющие запросы от подделки.</w:t>
      </w:r>
    </w:p>
    <w:p>
      <w:pPr>
        <w:pStyle w:val="21"/>
      </w:pPr>
      <w:r>
        <w:t>2.15. Демонстрационные данные</w:t>
      </w:r>
    </w:p>
    <w:p>
      <w:r>
        <w:t>Подготовлено наполнение для проверки связей и рабочих сценариев. Персональные и хозяйственные данные являются синтетическими; документы обозначены как демонстрационные образцы.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bottom w:w="65" w:type="dxa"/>
          <w:left w:w="100" w:type="dxa"/>
          <w:right w:w="100" w:type="dxa"/>
        </w:tblCellMar>
      </w:tblPr>
      <w:tblGrid>
        <w:gridCol w:w="7937"/>
        <w:gridCol w:w="1701"/>
      </w:tblGrid>
      <w:tr>
        <w:trPr>
          <w:cantSplit/>
          <w:tblHeader/>
        </w:trPr>
        <w:tc>
          <w:tcPr>
            <w:tcW w:type="dxa" w:w="7937"/>
            <w:vAlign w:val="center"/>
            <w:shd w:fill="EDEDED"/>
          </w:tcPr>
          <w:p>
            <w:pPr>
              <w:keepNext/>
              <w:spacing w:line="276" w:lineRule="auto" w:after="20"/>
              <w:ind w:firstLine="0"/>
              <w:jc w:val="left"/>
            </w:pPr>
            <w:r>
              <w:rPr>
                <w:b/>
                <w:sz w:val="26"/>
              </w:rPr>
              <w:t>Категория</w:t>
            </w:r>
          </w:p>
        </w:tc>
        <w:tc>
          <w:tcPr>
            <w:tcW w:type="dxa" w:w="1701"/>
            <w:vAlign w:val="center"/>
            <w:shd w:fill="EDEDED"/>
          </w:tcPr>
          <w:p>
            <w:pPr>
              <w:keepNext/>
              <w:spacing w:line="276" w:lineRule="auto" w:after="20"/>
              <w:ind w:firstLine="0"/>
              <w:jc w:val="center"/>
            </w:pPr>
            <w:r>
              <w:rPr>
                <w:b/>
                <w:sz w:val="26"/>
              </w:rPr>
              <w:t>Количество</w:t>
            </w:r>
          </w:p>
        </w:tc>
      </w:tr>
      <w:tr>
        <w:trPr>
          <w:cantSplit/>
        </w:trPr>
        <w:tc>
          <w:tcPr>
            <w:tcW w:type="dxa" w:w="7937"/>
            <w:vAlign w:val="center"/>
          </w:tcPr>
          <w:p>
            <w:pPr>
              <w:keepNext w:val="0"/>
              <w:spacing w:line="276" w:lineRule="auto" w:after="20"/>
              <w:ind w:firstLine="0"/>
              <w:jc w:val="left"/>
            </w:pPr>
            <w:r>
              <w:rPr>
                <w:b w:val="0"/>
                <w:sz w:val="26"/>
              </w:rPr>
              <w:t>Организации</w:t>
            </w:r>
          </w:p>
        </w:tc>
        <w:tc>
          <w:tcPr>
            <w:tcW w:type="dxa" w:w="1701"/>
            <w:vAlign w:val="center"/>
          </w:tcPr>
          <w:p>
            <w:pPr>
              <w:keepNext w:val="0"/>
              <w:spacing w:line="276" w:lineRule="auto" w:after="20"/>
              <w:ind w:firstLine="0"/>
              <w:jc w:val="center"/>
            </w:pPr>
            <w:r>
              <w:rPr>
                <w:b w:val="0"/>
                <w:sz w:val="26"/>
              </w:rPr>
              <w:t>5</w:t>
            </w:r>
          </w:p>
        </w:tc>
      </w:tr>
      <w:tr>
        <w:trPr>
          <w:cantSplit/>
        </w:trPr>
        <w:tc>
          <w:tcPr>
            <w:tcW w:type="dxa" w:w="7937"/>
            <w:vAlign w:val="center"/>
          </w:tcPr>
          <w:p>
            <w:pPr>
              <w:keepNext w:val="0"/>
              <w:spacing w:line="276" w:lineRule="auto" w:after="20"/>
              <w:ind w:firstLine="0"/>
              <w:jc w:val="left"/>
            </w:pPr>
            <w:r>
              <w:rPr>
                <w:b w:val="0"/>
                <w:sz w:val="26"/>
              </w:rPr>
              <w:t>Сотрудники</w:t>
            </w:r>
          </w:p>
        </w:tc>
        <w:tc>
          <w:tcPr>
            <w:tcW w:type="dxa" w:w="1701"/>
            <w:vAlign w:val="center"/>
          </w:tcPr>
          <w:p>
            <w:pPr>
              <w:keepNext w:val="0"/>
              <w:spacing w:line="276" w:lineRule="auto" w:after="20"/>
              <w:ind w:firstLine="0"/>
              <w:jc w:val="center"/>
            </w:pPr>
            <w:r>
              <w:rPr>
                <w:b w:val="0"/>
                <w:sz w:val="26"/>
              </w:rPr>
              <w:t>1 000</w:t>
            </w:r>
          </w:p>
        </w:tc>
      </w:tr>
      <w:tr>
        <w:trPr>
          <w:cantSplit/>
        </w:trPr>
        <w:tc>
          <w:tcPr>
            <w:tcW w:type="dxa" w:w="7937"/>
            <w:vAlign w:val="center"/>
          </w:tcPr>
          <w:p>
            <w:pPr>
              <w:keepNext w:val="0"/>
              <w:spacing w:line="276" w:lineRule="auto" w:after="20"/>
              <w:ind w:firstLine="0"/>
              <w:jc w:val="left"/>
            </w:pPr>
            <w:r>
              <w:rPr>
                <w:b w:val="0"/>
                <w:sz w:val="26"/>
              </w:rPr>
              <w:t>Документы сотрудников в PDF</w:t>
            </w:r>
          </w:p>
        </w:tc>
        <w:tc>
          <w:tcPr>
            <w:tcW w:type="dxa" w:w="1701"/>
            <w:vAlign w:val="center"/>
          </w:tcPr>
          <w:p>
            <w:pPr>
              <w:keepNext w:val="0"/>
              <w:spacing w:line="276" w:lineRule="auto" w:after="20"/>
              <w:ind w:firstLine="0"/>
              <w:jc w:val="center"/>
            </w:pPr>
            <w:r>
              <w:rPr>
                <w:b w:val="0"/>
                <w:sz w:val="26"/>
              </w:rPr>
              <w:t>3 000</w:t>
            </w:r>
          </w:p>
        </w:tc>
      </w:tr>
      <w:tr>
        <w:trPr>
          <w:cantSplit/>
        </w:trPr>
        <w:tc>
          <w:tcPr>
            <w:tcW w:type="dxa" w:w="7937"/>
            <w:vAlign w:val="center"/>
          </w:tcPr>
          <w:p>
            <w:pPr>
              <w:keepNext w:val="0"/>
              <w:spacing w:line="276" w:lineRule="auto" w:after="20"/>
              <w:ind w:firstLine="0"/>
              <w:jc w:val="left"/>
            </w:pPr>
            <w:r>
              <w:rPr>
                <w:b w:val="0"/>
                <w:sz w:val="26"/>
              </w:rPr>
              <w:t>Объекты</w:t>
            </w:r>
          </w:p>
        </w:tc>
        <w:tc>
          <w:tcPr>
            <w:tcW w:type="dxa" w:w="1701"/>
            <w:vAlign w:val="center"/>
          </w:tcPr>
          <w:p>
            <w:pPr>
              <w:keepNext w:val="0"/>
              <w:spacing w:line="276" w:lineRule="auto" w:after="20"/>
              <w:ind w:firstLine="0"/>
              <w:jc w:val="center"/>
            </w:pPr>
            <w:r>
              <w:rPr>
                <w:b w:val="0"/>
                <w:sz w:val="26"/>
              </w:rPr>
              <w:t>120</w:t>
            </w:r>
          </w:p>
        </w:tc>
      </w:tr>
      <w:tr>
        <w:trPr>
          <w:cantSplit/>
        </w:trPr>
        <w:tc>
          <w:tcPr>
            <w:tcW w:type="dxa" w:w="7937"/>
            <w:vAlign w:val="center"/>
          </w:tcPr>
          <w:p>
            <w:pPr>
              <w:keepNext w:val="0"/>
              <w:spacing w:line="276" w:lineRule="auto" w:after="20"/>
              <w:ind w:firstLine="0"/>
              <w:jc w:val="left"/>
            </w:pPr>
            <w:r>
              <w:rPr>
                <w:b w:val="0"/>
                <w:sz w:val="26"/>
              </w:rPr>
              <w:t>Посты</w:t>
            </w:r>
          </w:p>
        </w:tc>
        <w:tc>
          <w:tcPr>
            <w:tcW w:type="dxa" w:w="1701"/>
            <w:vAlign w:val="center"/>
          </w:tcPr>
          <w:p>
            <w:pPr>
              <w:keepNext w:val="0"/>
              <w:spacing w:line="276" w:lineRule="auto" w:after="20"/>
              <w:ind w:firstLine="0"/>
              <w:jc w:val="center"/>
            </w:pPr>
            <w:r>
              <w:rPr>
                <w:b w:val="0"/>
                <w:sz w:val="26"/>
              </w:rPr>
              <w:t>360</w:t>
            </w:r>
          </w:p>
        </w:tc>
      </w:tr>
      <w:tr>
        <w:trPr>
          <w:cantSplit/>
        </w:trPr>
        <w:tc>
          <w:tcPr>
            <w:tcW w:type="dxa" w:w="7937"/>
            <w:vAlign w:val="center"/>
          </w:tcPr>
          <w:p>
            <w:pPr>
              <w:keepNext w:val="0"/>
              <w:spacing w:line="276" w:lineRule="auto" w:after="20"/>
              <w:ind w:firstLine="0"/>
              <w:jc w:val="left"/>
            </w:pPr>
            <w:r>
              <w:rPr>
                <w:b w:val="0"/>
                <w:sz w:val="26"/>
              </w:rPr>
              <w:t>Смены</w:t>
            </w:r>
          </w:p>
        </w:tc>
        <w:tc>
          <w:tcPr>
            <w:tcW w:type="dxa" w:w="1701"/>
            <w:vAlign w:val="center"/>
          </w:tcPr>
          <w:p>
            <w:pPr>
              <w:keepNext w:val="0"/>
              <w:spacing w:line="276" w:lineRule="auto" w:after="20"/>
              <w:ind w:firstLine="0"/>
              <w:jc w:val="center"/>
            </w:pPr>
            <w:r>
              <w:rPr>
                <w:b w:val="0"/>
                <w:sz w:val="26"/>
              </w:rPr>
              <w:t>10 080</w:t>
            </w:r>
          </w:p>
        </w:tc>
      </w:tr>
      <w:tr>
        <w:trPr>
          <w:cantSplit/>
        </w:trPr>
        <w:tc>
          <w:tcPr>
            <w:tcW w:type="dxa" w:w="7937"/>
            <w:vAlign w:val="center"/>
          </w:tcPr>
          <w:p>
            <w:pPr>
              <w:keepNext w:val="0"/>
              <w:spacing w:line="276" w:lineRule="auto" w:after="20"/>
              <w:ind w:firstLine="0"/>
              <w:jc w:val="left"/>
            </w:pPr>
            <w:r>
              <w:rPr>
                <w:b w:val="0"/>
                <w:sz w:val="26"/>
              </w:rPr>
              <w:t>Вакансии</w:t>
            </w:r>
          </w:p>
        </w:tc>
        <w:tc>
          <w:tcPr>
            <w:tcW w:type="dxa" w:w="1701"/>
            <w:vAlign w:val="center"/>
          </w:tcPr>
          <w:p>
            <w:pPr>
              <w:keepNext w:val="0"/>
              <w:spacing w:line="276" w:lineRule="auto" w:after="20"/>
              <w:ind w:firstLine="0"/>
              <w:jc w:val="center"/>
            </w:pPr>
            <w:r>
              <w:rPr>
                <w:b w:val="0"/>
                <w:sz w:val="26"/>
              </w:rPr>
              <w:t>80</w:t>
            </w:r>
          </w:p>
        </w:tc>
      </w:tr>
      <w:tr>
        <w:trPr>
          <w:cantSplit/>
        </w:trPr>
        <w:tc>
          <w:tcPr>
            <w:tcW w:type="dxa" w:w="7937"/>
            <w:vAlign w:val="center"/>
          </w:tcPr>
          <w:p>
            <w:pPr>
              <w:keepNext w:val="0"/>
              <w:spacing w:line="276" w:lineRule="auto" w:after="20"/>
              <w:ind w:firstLine="0"/>
              <w:jc w:val="left"/>
            </w:pPr>
            <w:r>
              <w:rPr>
                <w:b w:val="0"/>
                <w:sz w:val="26"/>
              </w:rPr>
              <w:t>Кандидаты и отклики</w:t>
            </w:r>
          </w:p>
        </w:tc>
        <w:tc>
          <w:tcPr>
            <w:tcW w:type="dxa" w:w="1701"/>
            <w:vAlign w:val="center"/>
          </w:tcPr>
          <w:p>
            <w:pPr>
              <w:keepNext w:val="0"/>
              <w:spacing w:line="276" w:lineRule="auto" w:after="20"/>
              <w:ind w:firstLine="0"/>
              <w:jc w:val="center"/>
            </w:pPr>
            <w:r>
              <w:rPr>
                <w:b w:val="0"/>
                <w:sz w:val="26"/>
              </w:rPr>
              <w:t>320</w:t>
            </w:r>
          </w:p>
        </w:tc>
      </w:tr>
    </w:tbl>
    <w:p>
      <w:pPr>
        <w:spacing w:line="240" w:lineRule="auto" w:after="0"/>
        <w:ind w:firstLine="0"/>
      </w:pPr>
      <w:r>
        <w:rPr>
          <w:sz w:val="6"/>
        </w:rPr>
      </w:r>
    </w:p>
    <w:p>
      <w:r>
        <w:t>В наполнение входят также связанные заказчики, лицензии, договоры, задачи, назначения, присутствие, обходы, происшествия и отчеты. Однократные преобразования тестового наполнения учитываются отдельным журналом и сохраняют последующие пользовательские изменения.</w:t>
      </w:r>
    </w:p>
    <w:p>
      <w:pPr>
        <w:pStyle w:val="1"/>
      </w:pPr>
      <w:r>
        <w:t>3. Переданный результат</w:t>
      </w:r>
    </w:p>
    <w:p>
      <w:r>
        <w:t xml:space="preserve">Результат размещен в репозитории проекта: </w:t>
      </w:r>
      <w:hyperlink r:id="rId10">
        <w:r>
          <w:rPr>
            <w:color w:val="000000"/>
            <w:u w:val="single"/>
          </w:rPr>
          <w:t>https://github.com/Jebvo777/CHOPPRO</w:t>
        </w:r>
      </w:hyperlink>
      <w:r>
        <w:t>. Рабочая ветка — main. К отчету относится функциональная версия 2.2; проверенная программная реализация зафиксирована коммитом 1273d21b57e7fb624b566f552ee9ac3f74c050cc от 05 октября 2026 года.</w:t>
      </w:r>
    </w:p>
    <w:p>
      <w:r>
        <w:t>В состав поставки входят исходный код серверной части, четырех веб-приложений и портала; миграции 001–006 и средства создания тестового наполнения и демонстрационных документов; актуальная спецификация и OpenAPI; модель данных, архитектурные материалы и матрица требований; сценарии приемки Этапа 2; автоматические проверки и сборка комплекта для хостинга.</w:t>
      </w:r>
    </w:p>
    <w:p>
      <w:r>
        <w:t>Серверный API подготовлен для интеграции мобильных приложений следующего этапа. Документация и схема базы соответствуют реализованным сценариям Core MVP.</w:t>
      </w:r>
    </w:p>
    <w:p>
      <w:pPr>
        <w:pStyle w:val="1"/>
      </w:pPr>
      <w:r>
        <w:t>4. Проверка результата</w:t>
      </w:r>
    </w:p>
    <w:p>
      <w:r>
        <w:t>Для указанной программной версии 05 октября 2026 года успешно завершены проверки GitHub Actions «Stage 2 acceptance» и «Проверка проекта».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bottom w:w="65" w:type="dxa"/>
          <w:left w:w="100" w:type="dxa"/>
          <w:right w:w="100" w:type="dxa"/>
        </w:tblCellMar>
      </w:tblPr>
      <w:tblGrid>
        <w:gridCol w:w="7937"/>
        <w:gridCol w:w="1701"/>
      </w:tblGrid>
      <w:tr>
        <w:trPr>
          <w:cantSplit/>
          <w:tblHeader/>
        </w:trPr>
        <w:tc>
          <w:tcPr>
            <w:tcW w:type="dxa" w:w="7937"/>
            <w:vAlign w:val="center"/>
            <w:shd w:fill="EDEDED"/>
          </w:tcPr>
          <w:p>
            <w:pPr>
              <w:keepNext/>
              <w:spacing w:line="276" w:lineRule="auto" w:after="20"/>
              <w:ind w:firstLine="0"/>
              <w:jc w:val="left"/>
            </w:pPr>
            <w:r>
              <w:rPr>
                <w:b/>
                <w:sz w:val="26"/>
              </w:rPr>
              <w:t>Группа автоматических проверок</w:t>
            </w:r>
          </w:p>
        </w:tc>
        <w:tc>
          <w:tcPr>
            <w:tcW w:type="dxa" w:w="1701"/>
            <w:vAlign w:val="center"/>
            <w:shd w:fill="EDEDED"/>
          </w:tcPr>
          <w:p>
            <w:pPr>
              <w:keepNext/>
              <w:spacing w:line="276" w:lineRule="auto" w:after="20"/>
              <w:ind w:firstLine="0"/>
              <w:jc w:val="center"/>
            </w:pPr>
            <w:r>
              <w:rPr>
                <w:b/>
                <w:sz w:val="26"/>
              </w:rPr>
              <w:t>Пройдено</w:t>
            </w:r>
          </w:p>
        </w:tc>
      </w:tr>
      <w:tr>
        <w:trPr>
          <w:cantSplit/>
        </w:trPr>
        <w:tc>
          <w:tcPr>
            <w:tcW w:type="dxa" w:w="7937"/>
            <w:vAlign w:val="center"/>
          </w:tcPr>
          <w:p>
            <w:pPr>
              <w:keepNext w:val="0"/>
              <w:spacing w:line="276" w:lineRule="auto" w:after="20"/>
              <w:ind w:firstLine="0"/>
              <w:jc w:val="left"/>
            </w:pPr>
            <w:r>
              <w:rPr>
                <w:b w:val="0"/>
                <w:sz w:val="26"/>
              </w:rPr>
              <w:t>Интеграционные сценарии PHP и MySQL</w:t>
            </w:r>
          </w:p>
        </w:tc>
        <w:tc>
          <w:tcPr>
            <w:tcW w:type="dxa" w:w="1701"/>
            <w:vAlign w:val="center"/>
          </w:tcPr>
          <w:p>
            <w:pPr>
              <w:keepNext w:val="0"/>
              <w:spacing w:line="276" w:lineRule="auto" w:after="20"/>
              <w:ind w:firstLine="0"/>
              <w:jc w:val="center"/>
            </w:pPr>
            <w:r>
              <w:rPr>
                <w:b w:val="0"/>
                <w:sz w:val="26"/>
              </w:rPr>
              <w:t>185</w:t>
            </w:r>
          </w:p>
        </w:tc>
      </w:tr>
      <w:tr>
        <w:trPr>
          <w:cantSplit/>
        </w:trPr>
        <w:tc>
          <w:tcPr>
            <w:tcW w:type="dxa" w:w="7937"/>
            <w:vAlign w:val="center"/>
          </w:tcPr>
          <w:p>
            <w:pPr>
              <w:keepNext w:val="0"/>
              <w:spacing w:line="276" w:lineRule="auto" w:after="20"/>
              <w:ind w:firstLine="0"/>
              <w:jc w:val="left"/>
            </w:pPr>
            <w:r>
              <w:rPr>
                <w:b w:val="0"/>
                <w:sz w:val="26"/>
              </w:rPr>
              <w:t>Обновление установленной предыдущей версии</w:t>
            </w:r>
          </w:p>
        </w:tc>
        <w:tc>
          <w:tcPr>
            <w:tcW w:type="dxa" w:w="1701"/>
            <w:vAlign w:val="center"/>
          </w:tcPr>
          <w:p>
            <w:pPr>
              <w:keepNext w:val="0"/>
              <w:spacing w:line="276" w:lineRule="auto" w:after="20"/>
              <w:ind w:firstLine="0"/>
              <w:jc w:val="center"/>
            </w:pPr>
            <w:r>
              <w:rPr>
                <w:b w:val="0"/>
                <w:sz w:val="26"/>
              </w:rPr>
              <w:t>15</w:t>
            </w:r>
          </w:p>
        </w:tc>
      </w:tr>
      <w:tr>
        <w:trPr>
          <w:cantSplit/>
        </w:trPr>
        <w:tc>
          <w:tcPr>
            <w:tcW w:type="dxa" w:w="7937"/>
            <w:vAlign w:val="center"/>
          </w:tcPr>
          <w:p>
            <w:pPr>
              <w:keepNext w:val="0"/>
              <w:spacing w:line="276" w:lineRule="auto" w:after="20"/>
              <w:ind w:firstLine="0"/>
              <w:jc w:val="left"/>
            </w:pPr>
            <w:r>
              <w:rPr>
                <w:b w:val="0"/>
                <w:sz w:val="26"/>
              </w:rPr>
              <w:t>Загрузка и переключение выпусков</w:t>
            </w:r>
          </w:p>
        </w:tc>
        <w:tc>
          <w:tcPr>
            <w:tcW w:type="dxa" w:w="1701"/>
            <w:vAlign w:val="center"/>
          </w:tcPr>
          <w:p>
            <w:pPr>
              <w:keepNext w:val="0"/>
              <w:spacing w:line="276" w:lineRule="auto" w:after="20"/>
              <w:ind w:firstLine="0"/>
              <w:jc w:val="center"/>
            </w:pPr>
            <w:r>
              <w:rPr>
                <w:b w:val="0"/>
                <w:sz w:val="26"/>
              </w:rPr>
              <w:t>11</w:t>
            </w:r>
          </w:p>
        </w:tc>
      </w:tr>
      <w:tr>
        <w:trPr>
          <w:cantSplit/>
        </w:trPr>
        <w:tc>
          <w:tcPr>
            <w:tcW w:type="dxa" w:w="7937"/>
            <w:vAlign w:val="center"/>
          </w:tcPr>
          <w:p>
            <w:pPr>
              <w:keepNext w:val="0"/>
              <w:spacing w:line="276" w:lineRule="auto" w:after="20"/>
              <w:ind w:firstLine="0"/>
              <w:jc w:val="left"/>
            </w:pPr>
            <w:r>
              <w:rPr>
                <w:b w:val="0"/>
                <w:sz w:val="26"/>
              </w:rPr>
              <w:t>Соответствие координат и работы карты</w:t>
            </w:r>
          </w:p>
        </w:tc>
        <w:tc>
          <w:tcPr>
            <w:tcW w:type="dxa" w:w="1701"/>
            <w:vAlign w:val="center"/>
          </w:tcPr>
          <w:p>
            <w:pPr>
              <w:keepNext w:val="0"/>
              <w:spacing w:line="276" w:lineRule="auto" w:after="20"/>
              <w:ind w:firstLine="0"/>
              <w:jc w:val="center"/>
            </w:pPr>
            <w:r>
              <w:rPr>
                <w:b w:val="0"/>
                <w:sz w:val="26"/>
              </w:rPr>
              <w:t>31</w:t>
            </w:r>
          </w:p>
        </w:tc>
      </w:tr>
      <w:tr>
        <w:trPr>
          <w:cantSplit/>
        </w:trPr>
        <w:tc>
          <w:tcPr>
            <w:tcW w:type="dxa" w:w="7937"/>
            <w:vAlign w:val="center"/>
          </w:tcPr>
          <w:p>
            <w:pPr>
              <w:keepNext w:val="0"/>
              <w:spacing w:line="276" w:lineRule="auto" w:after="20"/>
              <w:ind w:firstLine="0"/>
              <w:jc w:val="left"/>
            </w:pPr>
            <w:r>
              <w:rPr>
                <w:b w:val="0"/>
                <w:sz w:val="26"/>
              </w:rPr>
              <w:t>Синхронизация и безопасность портала</w:t>
            </w:r>
          </w:p>
        </w:tc>
        <w:tc>
          <w:tcPr>
            <w:tcW w:type="dxa" w:w="1701"/>
            <w:vAlign w:val="center"/>
          </w:tcPr>
          <w:p>
            <w:pPr>
              <w:keepNext w:val="0"/>
              <w:spacing w:line="276" w:lineRule="auto" w:after="20"/>
              <w:ind w:firstLine="0"/>
              <w:jc w:val="center"/>
            </w:pPr>
            <w:r>
              <w:rPr>
                <w:b w:val="0"/>
                <w:sz w:val="26"/>
              </w:rPr>
              <w:t>28</w:t>
            </w:r>
          </w:p>
        </w:tc>
      </w:tr>
    </w:tbl>
    <w:p>
      <w:pPr>
        <w:spacing w:line="240" w:lineRule="auto" w:after="0"/>
        <w:ind w:firstLine="0"/>
      </w:pPr>
      <w:r>
        <w:rPr>
          <w:sz w:val="6"/>
        </w:rPr>
      </w:r>
    </w:p>
    <w:p>
      <w:r>
        <w:t>Браузерный прогон проверил четыре самостоятельных приложения, обновление установленной версии и работу кнопки базы данных, глобальный поиск, избранное, документы и фильтры, перенос и отмену действий с кандидатами, конструктор графика, перенос черновика смены, ограничения поддержки, биржу труда и отображение на мобильном экране. Выполнены проверки синтаксиса PHP и JavaScript.</w:t>
      </w:r>
    </w:p>
    <w:p>
      <w:r>
        <w:t>Результаты проверок доступны в GitHub Actions. Чек-лист Этапа 2 размещен отдельно для проверки Заказчиком; автоматические проверки не выставляют отметку договорной приемки.</w:t>
      </w:r>
    </w:p>
    <w:p>
      <w:pPr>
        <w:pStyle w:val="1"/>
      </w:pPr>
      <w:r>
        <w:t>5. Границы результата и следующие этапы</w:t>
      </w:r>
    </w:p>
    <w:p>
      <w:r>
        <w:t>Рабочие Android- и iOS-приложения с камерой, платформенной геолокацией и локальной офлайн-очередью относятся к Этапу 3. На Этапе 2 переданы веб-приложения и серверная основа этих сценариев.</w:t>
      </w:r>
    </w:p>
    <w:p>
      <w:r>
        <w:t>Подключение сервисов доставки OTP и уведомлений, включая платные SMS, почту и другие внешние каналы, выполняется на Этапе 4. Текущая версия содержит внутренние события, контроль сроков, подготовку документов и тестовый OTP. Внешняя доставка не заявляется как включенная.</w:t>
      </w:r>
    </w:p>
    <w:p>
      <w:r>
        <w:t>В бирже труда выполнен ручной закреп вакансий администратором. Платное повышение позиции, перебивание ставки и аукцион закрепа требуют отдельного согласования денежного сценария. Финальная приемка всего комплекса, production-сборки и публикация приложений осуществляются в порядке Договора.</w:t>
      </w:r>
    </w:p>
    <w:p>
      <w:pPr>
        <w:pStyle w:val="1"/>
      </w:pPr>
      <w:r>
        <w:t>6. Заключение</w:t>
      </w:r>
    </w:p>
    <w:p>
      <w:r>
        <w:t>Работы по Этапу 2 завершены. Результат Core MVP подготовлен к приемке Заказчиком в порядке, установленном Договором № 37. Переход к Этапу 3 оформляется Дополнительным соглашением № 2; начало работ и Платеж № 3 определяются его условиями и Договором.</w:t>
      </w:r>
    </w:p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keepNext/>
              <w:spacing w:line="276" w:lineRule="auto" w:after="20"/>
              <w:ind w:firstLine="0"/>
              <w:jc w:val="left"/>
            </w:pPr>
            <w:r>
              <w:rPr>
                <w:b/>
                <w:sz w:val="24"/>
              </w:rPr>
              <w:t>Заказчик:</w:t>
            </w:r>
          </w:p>
          <w:p>
            <w:pPr>
              <w:keepNext/>
              <w:spacing w:line="276" w:lineRule="auto" w:after="20"/>
              <w:ind w:firstLine="0"/>
              <w:jc w:val="left"/>
            </w:pPr>
            <w:r>
              <w:rPr>
                <w:b w:val="0"/>
                <w:sz w:val="24"/>
              </w:rPr>
              <w:t>ООО «ЧОП «ОБЕРЕГ»»</w:t>
            </w:r>
          </w:p>
          <w:p>
            <w:pPr>
              <w:keepNext/>
              <w:spacing w:line="276" w:lineRule="auto" w:after="20"/>
              <w:ind w:firstLine="0"/>
              <w:jc w:val="left"/>
            </w:pPr>
            <w:r>
              <w:rPr>
                <w:b w:val="0"/>
                <w:sz w:val="24"/>
              </w:rPr>
            </w:r>
          </w:p>
          <w:p>
            <w:pPr>
              <w:keepNext/>
              <w:spacing w:line="276" w:lineRule="auto" w:after="20"/>
              <w:ind w:firstLine="0"/>
              <w:jc w:val="left"/>
            </w:pPr>
            <w:r>
              <w:rPr>
                <w:b w:val="0"/>
                <w:sz w:val="24"/>
              </w:rPr>
            </w:r>
          </w:p>
          <w:p>
            <w:pPr>
              <w:keepNext/>
              <w:spacing w:line="276" w:lineRule="auto" w:after="20"/>
              <w:ind w:firstLine="0"/>
              <w:jc w:val="left"/>
            </w:pPr>
            <w:r>
              <w:rPr>
                <w:b w:val="0"/>
                <w:sz w:val="24"/>
              </w:rPr>
              <w:t>______________ / ______________ /</w:t>
            </w:r>
          </w:p>
          <w:p>
            <w:pPr>
              <w:keepNext w:val="0"/>
              <w:spacing w:line="276" w:lineRule="auto" w:after="20"/>
              <w:ind w:firstLine="0"/>
              <w:jc w:val="left"/>
            </w:pPr>
            <w:r>
              <w:rPr>
                <w:b w:val="0"/>
                <w:sz w:val="24"/>
              </w:rPr>
              <w:t>М.П. (при наличии)</w:t>
            </w:r>
          </w:p>
        </w:tc>
        <w:tc>
          <w:tcPr>
            <w:tcW w:type="dxa" w:w="4819"/>
          </w:tcPr>
          <w:p>
            <w:pPr>
              <w:keepNext/>
              <w:spacing w:line="276" w:lineRule="auto" w:after="20"/>
              <w:ind w:firstLine="0"/>
              <w:jc w:val="left"/>
            </w:pPr>
            <w:r>
              <w:rPr>
                <w:b/>
                <w:sz w:val="24"/>
              </w:rPr>
              <w:t>Исполнитель:</w:t>
            </w:r>
          </w:p>
          <w:p>
            <w:pPr>
              <w:keepNext/>
              <w:spacing w:line="276" w:lineRule="auto" w:after="20"/>
              <w:ind w:firstLine="0"/>
              <w:jc w:val="left"/>
            </w:pPr>
            <w:r>
              <w:rPr>
                <w:b w:val="0"/>
                <w:sz w:val="24"/>
              </w:rPr>
              <w:t>Шилов Алексей Юрьевич</w:t>
            </w:r>
          </w:p>
          <w:p>
            <w:pPr>
              <w:keepNext/>
              <w:spacing w:line="276" w:lineRule="auto" w:after="20"/>
              <w:ind w:firstLine="0"/>
              <w:jc w:val="left"/>
            </w:pPr>
            <w:r>
              <w:rPr>
                <w:b w:val="0"/>
                <w:sz w:val="24"/>
              </w:rPr>
            </w:r>
          </w:p>
          <w:p>
            <w:pPr>
              <w:keepNext/>
              <w:spacing w:line="276" w:lineRule="auto" w:after="20"/>
              <w:ind w:firstLine="0"/>
              <w:jc w:val="left"/>
            </w:pPr>
            <w:r>
              <w:rPr>
                <w:b w:val="0"/>
                <w:sz w:val="24"/>
              </w:rPr>
            </w:r>
          </w:p>
          <w:p>
            <w:pPr>
              <w:keepNext/>
              <w:spacing w:line="276" w:lineRule="auto" w:after="20"/>
              <w:ind w:firstLine="0"/>
              <w:jc w:val="left"/>
            </w:pPr>
            <w:r>
              <w:rPr>
                <w:b w:val="0"/>
                <w:sz w:val="24"/>
              </w:rPr>
              <w:t>______________ / Шилов А.Ю. /</w:t>
            </w:r>
          </w:p>
          <w:p>
            <w:pPr>
              <w:keepNext w:val="0"/>
              <w:spacing w:line="276" w:lineRule="auto" w:after="20"/>
              <w:ind w:firstLine="0"/>
              <w:jc w:val="left"/>
            </w:pPr>
            <w:r>
              <w:rPr>
                <w:b w:val="0"/>
                <w:sz w:val="24"/>
              </w:rPr>
            </w:r>
          </w:p>
        </w:tc>
      </w:tr>
    </w:tbl>
    <w:sectPr w:rsidR="00066391" w:rsidRPr="0005226E" w:rsidSect="00034616">
      <w:footerReference w:type="default" r:id="rId9"/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r>
      <w:rPr>
        <w:rFonts w:ascii="Times New Roman" w:hAnsi="Times New Roman"/>
        <w:color w:val="000000"/>
        <w:sz w:val="22"/>
      </w:rPr>
    </w: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25607558">
    <w:abstractNumId w:val="8"/>
  </w:num>
  <w:num w:numId="2" w16cid:durableId="586034377">
    <w:abstractNumId w:val="6"/>
  </w:num>
  <w:num w:numId="3" w16cid:durableId="801390456">
    <w:abstractNumId w:val="5"/>
  </w:num>
  <w:num w:numId="4" w16cid:durableId="105973479">
    <w:abstractNumId w:val="4"/>
  </w:num>
  <w:num w:numId="5" w16cid:durableId="1349257916">
    <w:abstractNumId w:val="7"/>
  </w:num>
  <w:num w:numId="6" w16cid:durableId="1708026509">
    <w:abstractNumId w:val="3"/>
  </w:num>
  <w:num w:numId="7" w16cid:durableId="1646813989">
    <w:abstractNumId w:val="2"/>
  </w:num>
  <w:num w:numId="8" w16cid:durableId="879980555">
    <w:abstractNumId w:val="1"/>
  </w:num>
  <w:num w:numId="9" w16cid:durableId="6977055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226E"/>
    <w:rsid w:val="0006063C"/>
    <w:rsid w:val="00066391"/>
    <w:rsid w:val="0015074B"/>
    <w:rsid w:val="0029639D"/>
    <w:rsid w:val="00326F90"/>
    <w:rsid w:val="003E3ADA"/>
    <w:rsid w:val="00AA1D8D"/>
    <w:rsid w:val="00AE2ADA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C27D12F"/>
  <w14:defaultImageDpi w14:val="300"/>
  <w15:docId w15:val="{62B33838-456C-4032-91CA-ADC55E9B8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keepNext w:val="0"/>
      <w:keepLines w:val="0"/>
      <w:widowControl/>
      <w:spacing w:after="0" w:line="360" w:lineRule="auto" w:before="0"/>
      <w:ind w:firstLine="709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pageBreakBefore w:val="0"/>
      <w:spacing w:before="140" w:line="360" w:lineRule="auto" w:after="40"/>
      <w:ind w:firstLine="709"/>
      <w:jc w:val="left"/>
      <w:outlineLvl w:val="0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pageBreakBefore w:val="0"/>
      <w:spacing w:before="140" w:line="360" w:lineRule="auto" w:after="40"/>
      <w:ind w:firstLine="709"/>
      <w:jc w:val="left"/>
      <w:outlineLvl w:val="1"/>
    </w:pPr>
    <w:rPr>
      <w:rFonts w:ascii="Times New Roman" w:hAnsi="Times New Roman" w:eastAsia="Times New Roman" w:cs="Times New Roman"/>
      <w:b/>
      <w:bCs/>
      <w:color w:val="000000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pageBreakBefore w:val="0"/>
      <w:spacing w:before="140" w:line="360" w:lineRule="auto" w:after="40"/>
      <w:ind w:firstLine="709"/>
      <w:jc w:val="left"/>
      <w:outlineLvl w:val="2"/>
    </w:pPr>
    <w:rPr>
      <w:rFonts w:ascii="Times New Roman" w:hAnsi="Times New Roman" w:eastAsia="Times New Roman" w:cs="Times New Roman"/>
      <w:b/>
      <w:bCs/>
      <w:color w:val="000000"/>
      <w:sz w:val="28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  <w:rPr>
      <w:rFonts w:ascii="Times New Roman" w:hAnsi="Times New Roman" w:eastAsia="Times New Roman" w:cs="Times New Roman"/>
      <w:color w:val="000000"/>
      <w:sz w:val="28"/>
    </w:rPr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  <w:rPr>
      <w:rFonts w:ascii="Times New Roman" w:hAnsi="Times New Roman" w:eastAsia="Times New Roman" w:cs="Times New Roman"/>
      <w:color w:val="000000"/>
      <w:sz w:val="28"/>
    </w:r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spacing w:after="0" w:line="360" w:lineRule="auto" w:before="0"/>
      <w:ind w:firstLine="0"/>
      <w:contextualSpacing/>
      <w:jc w:val="center"/>
    </w:pPr>
    <w:rPr>
      <w:rFonts w:ascii="Times New Roman" w:hAnsi="Times New Roman" w:eastAsia="Times New Roman" w:cs="Times New Roman"/>
      <w:b/>
      <w:i w:val="0"/>
      <w:iCs w:val="0"/>
      <w:color w:val="000000"/>
      <w:kern w:val="28"/>
      <w:sz w:val="28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keepNext/>
      <w:numPr>
        <w:ilvl w:val="1"/>
      </w:numPr>
      <w:spacing w:line="360" w:lineRule="auto" w:before="0" w:after="0"/>
      <w:ind w:firstLine="0"/>
      <w:jc w:val="center"/>
    </w:pPr>
    <w:rPr>
      <w:rFonts w:ascii="Times New Roman" w:hAnsi="Times New Roman" w:eastAsia="Times New Roman" w:cs="Times New Roman"/>
      <w:b/>
      <w:i w:val="0"/>
      <w:iCs w:val="0"/>
      <w:color w:val="000000"/>
      <w:sz w:val="28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0" Type="http://schemas.openxmlformats.org/officeDocument/2006/relationships/hyperlink" Target="https://github.com/Jebvo777/CHOPPR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400</Words>
  <Characters>2286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о завершении Этапа 2</dc:title>
  <dc:subject>ЧОППРО — Договор № 37 от 22 сентября 2026 года</dc:subject>
  <dc:creator>ЧОППРО</dc:creator>
  <cp:keywords/>
  <dc:description/>
  <cp:lastModifiedBy>ЧОППРО</cp:lastModifiedBy>
  <cp:revision>1</cp:revision>
  <dcterms:created xsi:type="dcterms:W3CDTF">2026-10-05T12:11:00Z</dcterms:created>
  <dcterms:modified xsi:type="dcterms:W3CDTF">2026-10-05T12:11:00Z</dcterms:modified>
  <cp:category/>
</cp:coreProperties>
</file>