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  <w:keepNext/>
        <w:widowControl/>
      </w:pPr>
      <w:r>
        <w:t>ДОПОЛНИТЕЛЬНОЕ СОГЛАШЕНИЕ № 3</w:t>
      </w:r>
    </w:p>
    <w:p>
      <w:pPr>
        <w:pStyle w:val="ac"/>
        <w:keepNext/>
        <w:widowControl/>
      </w:pPr>
      <w:r>
        <w:t>к Договору возмездного оказания услуг № 37 от 22 сентября 2026 года</w:t>
      </w:r>
    </w:p>
    <w:p>
      <w:pPr>
        <w:pStyle w:val="ac"/>
        <w:keepNext/>
        <w:widowControl/>
      </w:pPr>
      <w:r>
        <w:t>о завершении Этапа 3 и выполнении Этапа 4</w:t>
      </w:r>
    </w:p>
    <w:p>
      <w:pPr>
        <w:keepNext/>
        <w:tabs>
          <w:tab w:pos="9638" w:val="right"/>
        </w:tabs>
        <w:spacing w:before="120" w:after="120"/>
        <w:ind w:firstLine="0"/>
        <w:jc w:val="left"/>
      </w:pPr>
      <w:r>
        <w:t>г. Пенза</w:t>
        <w:tab/>
        <w:t>«09» октября 2026 г.</w:t>
      </w:r>
    </w:p>
    <w:p>
      <w:pPr>
        <w:widowControl/>
      </w:pPr>
      <w:r>
        <w:t>ООО «ЧОП «ОБЕРЕГ»» (далее — «Заказчик»), с одной стороны, и Шилов Алексей Юрьевич, являющийся плательщиком налога на профессиональный доход (далее — «Исполнитель»), с другой стороны, совместно именуемые «Стороны», заключили настоящее Дополнительное соглашение о нижеследующем.</w:t>
      </w:r>
    </w:p>
    <w:p>
      <w:pPr>
        <w:pStyle w:val="1"/>
        <w:keepNext/>
        <w:keepLines/>
        <w:widowControl/>
      </w:pPr>
      <w:r>
        <w:t>1. Завершение Этапа 3</w:t>
      </w:r>
    </w:p>
    <w:p>
      <w:pPr>
        <w:widowControl/>
      </w:pPr>
      <w:r>
        <w:t>1.1. Подписанием настоящего Дополнительного соглашения Стороны подтверждают завершение и приемку разработки Этапа 3 «Мобильные приложения и операционный функционал» в тестовом составе, указанном в настоящем разделе и Отчете о завершении Этапа 3 от «09» октября 2026 года.</w:t>
      </w:r>
    </w:p>
    <w:p>
      <w:pPr>
        <w:widowControl/>
      </w:pPr>
      <w:r>
        <w:t>1.2. Результат включает приложения охранника Android/iOS на React Native, авторизацию и сессии, назначения и инструкции, отметки начала и завершения смены, QR и геолокацию, обходы, происшествия с фото и аудио, устойчивую офлайн-очередь, синхронизацию и серверную интеграцию. Передаются CHOPPRO_Android_test.apk, CHOPPRO_iOS_simulator.zip и архивы исходных проектов CHOPPRO_Android.zip и CHOPPRO_iOS.zip.</w:t>
      </w:r>
    </w:p>
    <w:p>
      <w:pPr>
        <w:widowControl/>
      </w:pPr>
      <w:r>
        <w:t>1.3. Контрольная версия результата: репозиторий https://github.com/Jebvo777/CHOPPRO, ветка main, коммит d96fe5e84e0243e8a092c4c02e81740257d01326 от 08 октября 2026 года, мобильная версия 3.0.2. Приложение iOS в переданном тестовом комплекте предназначено для Simulator; подписанный IPA для физического iPhone в указанный комплект не входит.</w:t>
      </w:r>
    </w:p>
    <w:p>
      <w:pPr>
        <w:widowControl/>
      </w:pPr>
      <w:r>
        <w:t>1.4. Проверка полевых сценариев на физических Android/iOS-устройствах, production-подпись и технически исправные production-сборки сохраняются в составе Этапа 4. Приемка указанного тестового состава Этапа 3 не заменяет финальную приемку комплекса и не подтверждает публикацию в магазинах.</w:t>
      </w:r>
    </w:p>
    <w:p>
      <w:pPr>
        <w:pStyle w:val="1"/>
        <w:keepNext/>
        <w:keepLines/>
        <w:widowControl/>
      </w:pPr>
      <w:r>
        <w:t>2. Состав и результат Этапа 4</w:t>
      </w:r>
    </w:p>
    <w:p>
      <w:pPr>
        <w:widowControl/>
      </w:pPr>
      <w:r>
        <w:t>2.1. Стороны согласовали выполнение Этапа 4 «Отчетность, безопасность, QA и финальная поставка» с учетом фактически реализованного результата, отраженного в Отчете о результатах Этапа 4 от «09» октября 2026 года.</w:t>
      </w:r>
    </w:p>
    <w:p>
      <w:pPr>
        <w:widowControl/>
      </w:pPr>
      <w:r>
        <w:t>2.2. В состав Этапа 4 входят:</w:t>
      </w:r>
    </w:p>
    <w:p>
      <w:pPr>
        <w:widowControl/>
      </w:pPr>
      <w:r>
        <w:t>2.2.1. Операционные и месячные отчеты, табели, покрытие смен, обходы, происшествия и сроки документов; экспорт CSV/XLSX/PDF, публикация неизменяемых версий и доступ заказчика к разрешенным результатам.</w:t>
      </w:r>
    </w:p>
    <w:p>
      <w:pPr>
        <w:widowControl/>
      </w:pPr>
      <w:r>
        <w:t>2.2.2. Настраиваемая бухгалтерская выгрузка и контрольный импорт в согласованную конфигурацию 1С на основании образца, предоставленного Заказчиком. Подключение внешнего API 1С в текущий состав не включается.</w:t>
      </w:r>
    </w:p>
    <w:p>
      <w:pPr>
        <w:widowControl/>
      </w:pPr>
      <w:r>
        <w:t>2.2.3. Разграничение доступа, аудит, защита приватных файлов, техническое хранение на три года, контроль очистки и обработка незавершенных операций.</w:t>
      </w:r>
    </w:p>
    <w:p>
      <w:pPr>
        <w:widowControl/>
      </w:pPr>
      <w:r>
        <w:t>2.2.4. Зашифрованные резервные копии, регулярный серверный запуск фоновых задач, мониторинг и проверенное восстановление на реальном либо согласованном эквивалентном объеме; фиксация измеренных RPO/RTO.</w:t>
      </w:r>
    </w:p>
    <w:p>
      <w:pPr>
        <w:widowControl/>
      </w:pPr>
      <w:r>
        <w:t>2.2.5. Финальные функциональные, нагрузочные и security-проверки, устранение блокирующих замечаний, проверка AT-01–AT-24 с учетом подписанных уточнений и подтверждение отсутствия Critical/High дефектов.</w:t>
      </w:r>
    </w:p>
    <w:p>
      <w:pPr>
        <w:widowControl/>
      </w:pPr>
      <w:r>
        <w:t>2.2.6. Проверки мобильных сценариев на физических Android/iOS-устройствах; подготовка технически исправных production-сборок с необходимой подписью и профилями при предоставлении Заказчиком аккаунтов, ключей и доступов.</w:t>
      </w:r>
    </w:p>
    <w:p>
      <w:pPr>
        <w:widowControl/>
      </w:pPr>
      <w:r>
        <w:t>2.2.7. Развертывание согласованной версии при наличии инфраструктуры и доступов Заказчика; передача исходного кода, миграций, актуальных API-материалов, матрицы требований, инструкций и итоговых результатов проверок.</w:t>
      </w:r>
    </w:p>
    <w:p>
      <w:pPr>
        <w:widowControl/>
      </w:pPr>
      <w:r>
        <w:t>2.3. Автоматические проверки и результаты уже выполненных работ учитываются при сдаче. Повторная разработка принятого функционала не требуется; остающиеся условия завершаются и документируются. Отчет о результатах Этапа 4 сам по себе не является финальным актом приемки.</w:t>
      </w:r>
    </w:p>
    <w:p>
      <w:pPr>
        <w:pStyle w:val="1"/>
        <w:keepNext/>
        <w:keepLines/>
        <w:widowControl/>
      </w:pPr>
      <w:r>
        <w:t>3. Уточнение состава интеграций и уведомлений</w:t>
      </w:r>
    </w:p>
    <w:p>
      <w:pPr>
        <w:widowControl/>
      </w:pPr>
      <w:r>
        <w:t>3.1. Стороны исключают из текущего состава Этапа 4 подключение внешних сервисов и интеграций, в том числе провайдеров доставки SMS и OTP, электронной почты, push и иных уведомлений. Включение и проверка доставки in-app уведомлений также не входят в текущий состав. Данное уточнение заменяет предусмотренный проектными материалами и пунктом 3.3 Дополнительного соглашения № 2 перенос подключения указанных каналов на Этап 4.</w:t>
      </w:r>
    </w:p>
    <w:p>
      <w:pPr>
        <w:widowControl/>
      </w:pPr>
      <w:r>
        <w:t>3.2. В текущем составе сохраняются демонстрационный OTP, внутренние события, контроль сроков и операционная отчетность. Для приемки не требуется оплачивать или подключать указанные в пункте 3.1 сервисы. Последующее подключение, перечень провайдеров, стоимость и сроки определяются отдельным письменным согласованием.</w:t>
      </w:r>
    </w:p>
    <w:p>
      <w:pPr>
        <w:widowControl/>
      </w:pPr>
      <w:r>
        <w:t>3.3. Исключение интеграций не отменяет обязательства по внутреннему API комплекса, мобильной синхронизации, бухгалтерской файловой выгрузке и ее контрольной проверке, защите данных, резервному копированию и финальной поставке. Must-требования и критерии AT, относящиеся непосредственно к исключенным каналам, применяются с учетом пунктов 3.1–3.2; остальные критерии сохраняются.</w:t>
      </w:r>
    </w:p>
    <w:p>
      <w:pPr>
        <w:widowControl/>
      </w:pPr>
      <w:r>
        <w:t>3.4. Ранее согласованные технические уточнения PHP 8.3 / PDO / MySQL 8 и трехлетнего технического хранения сохраняются. Ручной закреп вакансий на позициях 1–3 входит в результат; платное повышение позиции и аукцион закрепа требуют отдельного письменного согласования.</w:t>
      </w:r>
    </w:p>
    <w:p>
      <w:pPr>
        <w:pStyle w:val="1"/>
        <w:keepNext/>
        <w:keepLines/>
        <w:widowControl/>
      </w:pPr>
      <w:r>
        <w:t>4. Стоимость, сроки и условия сдачи</w:t>
      </w:r>
    </w:p>
    <w:p>
      <w:pPr>
        <w:widowControl/>
      </w:pPr>
      <w:r>
        <w:t>4.1. Стоимость Этапа 4 составляет 50 000 (Пятьдесят тысяч) рублей; общая цена четырех этапов Договора сохраняется — 200 000 (Двести тысяч) рублей. Настоящее Дополнительное соглашение не изменяет стоимость Этапа 3, порядок Платежа № 3 и не подтверждает факт поступления платежей.</w:t>
      </w:r>
    </w:p>
    <w:p>
      <w:pPr>
        <w:widowControl/>
      </w:pPr>
      <w:r>
        <w:t>4.2. Платеж № 4 производится после завершения Этапа 4, успешного прохождения финальной приемки и устранения блокирующих замечаний. Срок оплаты — 3 (три) календарных дня с момента наступления соответствующего срока в соответствии с пунктами 4.4 и 4.5.2 Договора. Предоплата Этапа 4 настоящим Дополнительным соглашением не устанавливается.</w:t>
      </w:r>
    </w:p>
    <w:p>
      <w:pPr>
        <w:widowControl/>
      </w:pPr>
      <w:r>
        <w:t>4.3. Этап 4 соответствует дням 23–30 календарного плана. Общий месячный срок и предусмотренный Договором порядок изменения сроков сохраняются. Дата настоящего Дополнительного соглашения сама по себе не устанавливает новую дату начала общего срока разработки.</w:t>
      </w:r>
    </w:p>
    <w:p>
      <w:pPr>
        <w:widowControl/>
      </w:pPr>
      <w:r>
        <w:t>4.4. Заказчик предоставляет необходимые production-доступы, материалы для проверки и аккаунты Apple Developer / Google Play с ключами и профилями для соответствующих работ в порядке Договора. Условия предоставления, оплаты аккаунтов и подготовки инфраструктуры сохраняются.</w:t>
      </w:r>
    </w:p>
    <w:p>
      <w:pPr>
        <w:widowControl/>
      </w:pPr>
      <w:r>
        <w:t>4.5. Финальная приемка включает согласованный Must-состав, прохождение AT-01–AT-24 с учетом настоящего Дополнительного соглашения, отсутствие Critical/High и блокирующих функциональных дефектов, передачу исходного кода, актуальной документации и технически исправных production-сборок Android/iOS. Результат оформляется итоговым актом в порядке Договора.</w:t>
      </w:r>
    </w:p>
    <w:p>
      <w:pPr>
        <w:widowControl/>
      </w:pPr>
      <w:r>
        <w:t>4.6. Подготовка production-сборок входит в основной объем Договора. Фактическая публикация обоих приложений в App Store и Google Play оплачивается дополнительным вознаграждением 50 000 (Пятьдесят тысяч) рублей при достижении результата в порядке пункта 4.11 Договора. Передача тестового APK или приложения Simulator не подтверждает достижение этого результата.</w:t>
      </w:r>
    </w:p>
    <w:p>
      <w:pPr>
        <w:pStyle w:val="1"/>
        <w:keepNext/>
        <w:keepLines/>
        <w:widowControl/>
      </w:pPr>
      <w:r>
        <w:t>5. Заключительные положения</w:t>
      </w:r>
    </w:p>
    <w:p>
      <w:pPr>
        <w:widowControl/>
      </w:pPr>
      <w:r>
        <w:t>5.1. Настоящее Дополнительное соглашение является неотъемлемой частью Договора № 37 от 22 сентября 2026 года и вступает в силу с момента подписания Сторонами. До подписания документ является проектом и не подтверждает состоявшуюся приемку Этапа 3 или изменение договорного состава.</w:t>
      </w:r>
    </w:p>
    <w:p>
      <w:pPr>
        <w:widowControl/>
      </w:pPr>
      <w:r>
        <w:t>5.2. В части прямо измененных условий применяются положения настоящего Дополнительного соглашения. Остальные условия Договора и подписанных ранее дополнительных соглашений сохраняют силу.</w:t>
      </w:r>
    </w:p>
    <w:p>
      <w:pPr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  <w:cantSplit/>
        </w:trPr>
        <w:tc>
          <w:tcPr>
            <w:tcW w:type="dxa" w:w="4819"/>
          </w:tcPr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/>
                <w:sz w:val="24"/>
              </w:rPr>
              <w:t>Заказчик:</w:t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  <w:t>ООО «ЧОП «ОБЕРЕГ»»</w:t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  <w:t>______________ / ______________ /</w:t>
            </w:r>
          </w:p>
          <w:p>
            <w:pPr>
              <w:keepNext w:val="0"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  <w:t>М.П. (при наличии)</w:t>
            </w:r>
          </w:p>
        </w:tc>
        <w:tc>
          <w:tcPr>
            <w:tcW w:type="dxa" w:w="4819"/>
          </w:tcPr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/>
                <w:sz w:val="24"/>
              </w:rPr>
              <w:t>Исполнитель:</w:t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  <w:t>Шилов Алексей Юрьевич</w:t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  <w:t>______________ / Шилов А.Ю. /</w:t>
            </w:r>
          </w:p>
          <w:p>
            <w:pPr>
              <w:keepNext w:val="0"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</w:r>
          </w:p>
        </w:tc>
      </w:tr>
    </w:tbl>
    <w:sectPr w:rsidR="00FE5E21" w:rsidRPr="003D605D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color w:val="000000"/>
        <w:sz w:val="22"/>
      </w:rPr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9474323">
    <w:abstractNumId w:val="8"/>
  </w:num>
  <w:num w:numId="2" w16cid:durableId="1337683632">
    <w:abstractNumId w:val="6"/>
  </w:num>
  <w:num w:numId="3" w16cid:durableId="58676128">
    <w:abstractNumId w:val="5"/>
  </w:num>
  <w:num w:numId="4" w16cid:durableId="1932277303">
    <w:abstractNumId w:val="4"/>
  </w:num>
  <w:num w:numId="5" w16cid:durableId="461122287">
    <w:abstractNumId w:val="7"/>
  </w:num>
  <w:num w:numId="6" w16cid:durableId="295570860">
    <w:abstractNumId w:val="3"/>
  </w:num>
  <w:num w:numId="7" w16cid:durableId="377828228">
    <w:abstractNumId w:val="2"/>
  </w:num>
  <w:num w:numId="8" w16cid:durableId="447045009">
    <w:abstractNumId w:val="1"/>
  </w:num>
  <w:num w:numId="9" w16cid:durableId="169804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605D"/>
    <w:rsid w:val="005640C5"/>
    <w:rsid w:val="00AA1D8D"/>
    <w:rsid w:val="00AE2ADA"/>
    <w:rsid w:val="00B47730"/>
    <w:rsid w:val="00CB0664"/>
    <w:rsid w:val="00FC693F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CC7BD6"/>
  <w14:defaultImageDpi w14:val="300"/>
  <w15:docId w15:val="{62B33838-456C-4032-91CA-ADC55E9B8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keepNext w:val="0"/>
      <w:keepLines w:val="0"/>
      <w:widowControl/>
      <w:spacing w:after="0" w:line="360" w:lineRule="auto" w:before="0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 w:val="0"/>
      <w:spacing w:before="140" w:line="360" w:lineRule="auto" w:after="40"/>
      <w:ind w:firstLine="709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pageBreakBefore w:val="0"/>
      <w:spacing w:before="140" w:line="360" w:lineRule="auto" w:after="40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pageBreakBefore w:val="0"/>
      <w:spacing w:before="140" w:line="360" w:lineRule="auto" w:after="40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  <w:sz w:val="28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i w:val="0"/>
      <w:iCs w:val="0"/>
      <w:color w:val="000000"/>
      <w:kern w:val="28"/>
      <w:sz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line="360" w:lineRule="auto" w:before="0" w:after="0"/>
      <w:ind w:firstLine="0"/>
      <w:jc w:val="center"/>
    </w:pPr>
    <w:rPr>
      <w:rFonts w:ascii="Times New Roman" w:hAnsi="Times New Roman" w:eastAsia="Times New Roman" w:cs="Times New Roman"/>
      <w:b/>
      <w:i w:val="0"/>
      <w:iCs w:val="0"/>
      <w:color w:val="000000"/>
      <w:sz w:val="28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0" Type="http://schemas.openxmlformats.org/officeDocument/2006/relationships/hyperlink" Target="https://github.com/Jebvo777/CHOPP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ДОПОЛНИТЕЛЬНОЕ СОГЛАШЕНИЕ № 3</dc:title>
  <dc:subject>ЧОППРО — Договор № 37 от 22 сентября 2026 года</dc:subject>
  <dc:creator>Шилов Алексей Юрьевич</dc:creator>
  <cp:keywords/>
  <dc:description/>
  <cp:lastModifiedBy>Шилов Алексей Юрьевич</cp:lastModifiedBy>
  <cp:revision>1</cp:revision>
  <dcterms:created xsi:type="dcterms:W3CDTF">2026-10-05T12:11:00Z</dcterms:created>
  <dcterms:modified xsi:type="dcterms:W3CDTF">2026-10-05T12:11:00Z</dcterms:modified>
  <cp:category/>
</cp:coreProperties>
</file>