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及其中的必需维度集合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，计算当前可计算维度对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中存在不可计算维度或者coverage_change小于变化证据覆盖阈值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仅拼写或别名变化、名称被替换和名称匹配歧义之一；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输出名称匹配歧义状态，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名称未变的实体对分类为保持不变，综合变化度不大于同一性阈值但存在名称变化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批原子发布。</w:t>
      </w:r>
    </w:p>
    <w:p>
      <w:pPr>
        <w:spacing w:before="0" w:after="120" w:line="264" w:lineRule="auto"/>
        <w:ind w:hanging="198" w:left="198"/>
      </w:pPr>
      <w:r>
        <w:rPr>
          <w:rFonts w:ascii="Calibri" w:hAnsi="Calibri" w:eastAsia="SimSun"/>
          <w:sz w:val="22"/>
        </w:rPr>
        <w:t>39.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40.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41.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42.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43.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44. 根据权利要求43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45. 根据权利要求43所述的方法，其特征在于，所述拓扑摘要包括边界环数量、相邻面集合、面-边-面邻接关系、连通分量数量和局部拓扑子图指纹中的一种或多种。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46. 根据权利要求43所述的方法，其特征在于，所述参数摘要包括特征参数、草图尺寸、约束参数、阵列参数、孔参数、倒角参数和圆角参数中的一种或多种。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47.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48.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49.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50.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51.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52.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53. 根据权利要求52所述的系统，其特征在于，所述既有命名关系读取模块还用于在所述两个待比较CAD模型来自不同CAD系统且已存在永久命名映射关系时读取所述永久命名映射关系，并基于所述既有键对应关系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54. 根据权利要求52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55. 根据权利要求52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56. 一种电子设备，其特征在于，包括处理器和存储器，所述存储器存储有计算机程序，所述计算机程序被所述处理器执行时实现权利要求1至51中任一项所述的方法。</w:t>
      </w:r>
    </w:p>
    <w:p>
      <w:pPr>
        <w:spacing w:before="0" w:after="120" w:line="264" w:lineRule="auto"/>
        <w:ind w:hanging="198" w:left="198"/>
      </w:pPr>
      <w:r>
        <w:rPr>
          <w:rFonts w:ascii="Calibri" w:hAnsi="Calibri" w:eastAsia="SimSun"/>
          <w:sz w:val="22"/>
        </w:rPr>
        <w:t>57. 一种计算机可读存储介质，其特征在于，其上存储有计算机程序，所述计算机程序被处理器执行时使所述处理器实现权利要求1至51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三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可靠装配谱系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可靠装配谱系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的候选快照，再物化一个完整冻结超图分量对应的待复核事件；复核通过后才同批原子发布。不沿用旧快照，也不将这三个端点转报新增或删除。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批原子发布；此时指纹未覆盖的变化维度将被漏报，且未经闭包的结论会被提前发布。</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