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1A41E59">
      <w:pPr>
        <w:wordWrap w:val="0"/>
        <w:jc w:val="center"/>
        <w:rPr>
          <w:rFonts w:ascii="宋体" w:hAnsi="宋体"/>
          <w:b/>
          <w:sz w:val="44"/>
          <w:szCs w:val="44"/>
        </w:rPr>
      </w:pPr>
      <w:r>
        <w:rPr>
          <w:rFonts w:hint="eastAsia" w:ascii="宋体" w:hAnsi="宋体"/>
          <w:b/>
          <w:sz w:val="44"/>
          <w:szCs w:val="44"/>
        </w:rPr>
        <w:t>专利申请技术交底书</w:t>
      </w:r>
    </w:p>
    <w:p w14:paraId="22A83971">
      <w:pPr>
        <w:rPr>
          <w:rFonts w:ascii="宋体" w:hAnsi="宋体"/>
          <w:b/>
          <w:color w:val="FF0000"/>
          <w:sz w:val="18"/>
          <w:szCs w:val="18"/>
        </w:rPr>
      </w:pPr>
      <w:r>
        <w:rPr>
          <w:rFonts w:hint="eastAsia" w:ascii="宋体" w:hAnsi="宋体"/>
          <w:b/>
          <w:color w:val="FF0000"/>
          <w:sz w:val="18"/>
          <w:szCs w:val="18"/>
        </w:rPr>
        <w:t>请认真阅读表格各项的要求，按要求如实、详尽地填写相关内容，可自行增加附页。</w:t>
      </w:r>
    </w:p>
    <w:p w14:paraId="6E77545A">
      <w:pPr>
        <w:spacing w:line="360" w:lineRule="auto"/>
        <w:rPr>
          <w:rFonts w:hint="eastAsia" w:eastAsia="楷体_GB2312"/>
          <w:sz w:val="24"/>
        </w:rPr>
      </w:pPr>
      <w:r>
        <w:rPr>
          <w:b w:val="0"/>
          <w:sz w:val="21"/>
        </w:rPr>
        <w:t>专利申请名称：跨CAD内核模型差异快速对比方法</w:t>
      </w:r>
    </w:p>
    <w:p w14:paraId="7AA2AC7C">
      <w:pPr>
        <w:spacing w:line="360" w:lineRule="auto"/>
        <w:rPr>
          <w:rFonts w:hint="eastAsia" w:eastAsia="楷体_GB2312"/>
          <w:sz w:val="24"/>
        </w:rPr>
      </w:pPr>
      <w:r>
        <w:rPr>
          <w:b w:val="0"/>
          <w:sz w:val="21"/>
        </w:rPr>
        <w:t>此专利是否已经公开：否</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4"/>
        <w:gridCol w:w="1800"/>
        <w:gridCol w:w="1800"/>
        <w:gridCol w:w="1800"/>
        <w:gridCol w:w="1801"/>
      </w:tblGrid>
      <w:tr w14:paraId="58A2B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4A797CA1">
            <w:pPr>
              <w:spacing w:line="360" w:lineRule="auto"/>
              <w:rPr>
                <w:rFonts w:hint="eastAsia" w:eastAsia="楷体_GB2312"/>
                <w:sz w:val="24"/>
                <w:vertAlign w:val="baseline"/>
              </w:rPr>
            </w:pPr>
          </w:p>
        </w:tc>
        <w:tc>
          <w:tcPr>
            <w:tcW w:w="1800" w:type="dxa"/>
          </w:tcPr>
          <w:p w14:paraId="3223726E">
            <w:pPr>
              <w:spacing w:line="360" w:lineRule="auto"/>
              <w:rPr>
                <w:rFonts w:hint="default" w:eastAsia="楷体_GB2312"/>
                <w:sz w:val="24"/>
                <w:vertAlign w:val="baseline"/>
                <w:lang w:val="en-US" w:eastAsia="zh-CN"/>
              </w:rPr>
            </w:pPr>
            <w:r>
              <w:rPr>
                <w:rFonts w:hint="eastAsia" w:eastAsia="楷体_GB2312"/>
                <w:sz w:val="24"/>
                <w:vertAlign w:val="baseline"/>
                <w:lang w:val="en-US" w:eastAsia="zh-CN"/>
              </w:rPr>
              <w:t>第一发明人</w:t>
            </w:r>
          </w:p>
        </w:tc>
        <w:tc>
          <w:tcPr>
            <w:tcW w:w="1800" w:type="dxa"/>
          </w:tcPr>
          <w:p w14:paraId="68F7E868">
            <w:pPr>
              <w:spacing w:line="360" w:lineRule="auto"/>
              <w:rPr>
                <w:rFonts w:hint="eastAsia" w:eastAsia="楷体_GB2312"/>
                <w:sz w:val="24"/>
                <w:vertAlign w:val="baseline"/>
                <w:lang w:val="en-US" w:eastAsia="zh-CN"/>
              </w:rPr>
            </w:pPr>
            <w:r>
              <w:rPr>
                <w:rFonts w:hint="eastAsia" w:eastAsia="楷体_GB2312"/>
                <w:sz w:val="24"/>
                <w:vertAlign w:val="baseline"/>
                <w:lang w:val="en-US" w:eastAsia="zh-CN"/>
              </w:rPr>
              <w:t>第二发明人</w:t>
            </w:r>
          </w:p>
        </w:tc>
        <w:tc>
          <w:tcPr>
            <w:tcW w:w="1800" w:type="dxa"/>
          </w:tcPr>
          <w:p w14:paraId="3CB8A120">
            <w:pPr>
              <w:spacing w:line="360" w:lineRule="auto"/>
              <w:rPr>
                <w:rFonts w:hint="default" w:eastAsia="楷体_GB2312"/>
                <w:sz w:val="24"/>
                <w:vertAlign w:val="baseline"/>
                <w:lang w:val="en-US" w:eastAsia="zh-CN"/>
              </w:rPr>
            </w:pPr>
            <w:r>
              <w:rPr>
                <w:rFonts w:hint="eastAsia" w:eastAsia="楷体_GB2312"/>
                <w:sz w:val="24"/>
                <w:vertAlign w:val="baseline"/>
                <w:lang w:val="en-US" w:eastAsia="zh-CN"/>
              </w:rPr>
              <w:t>第三发明人</w:t>
            </w:r>
          </w:p>
        </w:tc>
        <w:tc>
          <w:tcPr>
            <w:tcW w:w="1801" w:type="dxa"/>
          </w:tcPr>
          <w:p w14:paraId="17E98B76">
            <w:pPr>
              <w:spacing w:line="360" w:lineRule="auto"/>
              <w:rPr>
                <w:rFonts w:hint="default" w:eastAsia="楷体_GB2312"/>
                <w:sz w:val="24"/>
                <w:vertAlign w:val="baseline"/>
                <w:lang w:val="en-US" w:eastAsia="zh-CN"/>
              </w:rPr>
            </w:pPr>
            <w:r>
              <w:rPr>
                <w:rFonts w:hint="eastAsia" w:eastAsia="楷体_GB2312"/>
                <w:sz w:val="24"/>
                <w:vertAlign w:val="baseline"/>
                <w:lang w:val="en-US" w:eastAsia="zh-CN"/>
              </w:rPr>
              <w:t>……</w:t>
            </w:r>
          </w:p>
        </w:tc>
      </w:tr>
      <w:tr w14:paraId="4DE6A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11706F34">
            <w:pPr>
              <w:spacing w:line="360" w:lineRule="auto"/>
              <w:rPr>
                <w:rFonts w:hint="eastAsia" w:eastAsia="楷体_GB2312"/>
                <w:sz w:val="24"/>
                <w:vertAlign w:val="baseline"/>
                <w:lang w:val="en-US" w:eastAsia="zh-CN"/>
              </w:rPr>
            </w:pPr>
            <w:r>
              <w:rPr>
                <w:rFonts w:hint="eastAsia" w:eastAsia="楷体_GB2312"/>
                <w:sz w:val="24"/>
                <w:vertAlign w:val="baseline"/>
                <w:lang w:val="en-US" w:eastAsia="zh-CN"/>
              </w:rPr>
              <w:t>姓名</w:t>
            </w:r>
          </w:p>
        </w:tc>
        <w:tc>
          <w:tcPr>
            <w:tcW w:w="1800" w:type="dxa"/>
          </w:tcPr>
          <w:p>
            <w:r>
              <w:t>待补充</w:t>
            </w:r>
          </w:p>
        </w:tc>
        <w:tc>
          <w:tcPr>
            <w:tcW w:w="1800" w:type="dxa"/>
          </w:tcPr>
          <w:p>
            <w:r>
              <w:t>待补充</w:t>
            </w:r>
          </w:p>
        </w:tc>
        <w:tc>
          <w:tcPr>
            <w:tcW w:w="1800" w:type="dxa"/>
          </w:tcPr>
          <w:p>
            <w:r>
              <w:t>待补充</w:t>
            </w:r>
          </w:p>
        </w:tc>
        <w:tc>
          <w:tcPr>
            <w:tcW w:w="1801" w:type="dxa"/>
          </w:tcPr>
          <w:p>
            <w:r>
              <w:t>待补充</w:t>
            </w:r>
          </w:p>
        </w:tc>
      </w:tr>
      <w:tr w14:paraId="228A8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66A46831">
            <w:pPr>
              <w:spacing w:line="360" w:lineRule="auto"/>
              <w:rPr>
                <w:rFonts w:hint="default" w:eastAsia="楷体_GB2312"/>
                <w:sz w:val="24"/>
                <w:vertAlign w:val="baseline"/>
                <w:lang w:val="en-US" w:eastAsia="zh-CN"/>
              </w:rPr>
            </w:pPr>
            <w:r>
              <w:rPr>
                <w:rFonts w:hint="eastAsia" w:eastAsia="楷体_GB2312"/>
                <w:sz w:val="24"/>
                <w:vertAlign w:val="baseline"/>
                <w:lang w:val="en-US" w:eastAsia="zh-CN"/>
              </w:rPr>
              <w:t>专利贡献比例(%)</w:t>
            </w:r>
          </w:p>
        </w:tc>
        <w:tc>
          <w:tcPr>
            <w:tcW w:w="1800" w:type="dxa"/>
          </w:tcPr>
          <w:p>
            <w:r>
              <w:t>待补充</w:t>
            </w:r>
          </w:p>
        </w:tc>
        <w:tc>
          <w:tcPr>
            <w:tcW w:w="1800" w:type="dxa"/>
          </w:tcPr>
          <w:p>
            <w:r>
              <w:t>待补充</w:t>
            </w:r>
          </w:p>
        </w:tc>
        <w:tc>
          <w:tcPr>
            <w:tcW w:w="1800" w:type="dxa"/>
          </w:tcPr>
          <w:p>
            <w:r>
              <w:t>待补充</w:t>
            </w:r>
          </w:p>
        </w:tc>
        <w:tc>
          <w:tcPr>
            <w:tcW w:w="1801" w:type="dxa"/>
          </w:tcPr>
          <w:p>
            <w:r>
              <w:t>待补充</w:t>
            </w:r>
          </w:p>
        </w:tc>
      </w:tr>
    </w:tbl>
    <w:p w14:paraId="69CA7000">
      <w:pPr>
        <w:spacing w:line="360" w:lineRule="auto"/>
        <w:rPr>
          <w:rFonts w:hint="default" w:eastAsia="宋体"/>
          <w:sz w:val="24"/>
          <w:lang w:val="en-US" w:eastAsia="zh-CN"/>
        </w:rPr>
      </w:pPr>
      <w:r>
        <w:rPr>
          <w:b w:val="0"/>
          <w:sz w:val="21"/>
        </w:rPr>
        <w:t>申请人及部门：待补充</w:t>
      </w:r>
    </w:p>
    <w:p w14:paraId="3E1B556F">
      <w:pPr>
        <w:spacing w:line="360" w:lineRule="auto"/>
        <w:rPr>
          <w:rFonts w:hint="default" w:eastAsia="宋体"/>
          <w:sz w:val="24"/>
          <w:lang w:val="en-US" w:eastAsia="zh-CN"/>
        </w:rPr>
      </w:pPr>
      <w:r>
        <w:rPr>
          <w:b w:val="0"/>
          <w:sz w:val="21"/>
        </w:rPr>
        <w:t>发明人或撰写人：待补充</w:t>
      </w:r>
    </w:p>
    <w:p w14:paraId="38DDE4B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eastAsia="宋体"/>
          <w:sz w:val="24"/>
          <w:lang w:val="en-US" w:eastAsia="zh-CN"/>
        </w:rPr>
      </w:pPr>
      <w:r>
        <w:rPr>
          <w:b w:val="0"/>
          <w:sz w:val="21"/>
        </w:rPr>
        <w:t>发明人或撰写人的电话：待补充</w:t>
      </w:r>
    </w:p>
    <w:p w14:paraId="505BA6E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eastAsia="楷体_GB2312"/>
          <w:sz w:val="24"/>
        </w:rPr>
      </w:pPr>
      <w:r>
        <w:rPr>
          <w:b w:val="0"/>
          <w:sz w:val="21"/>
        </w:rPr>
        <w:t>类型：发明专利</w:t>
      </w:r>
    </w:p>
    <w:p w14:paraId="220C87F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eastAsia="楷体_GB2312"/>
          <w:sz w:val="24"/>
        </w:rPr>
      </w:pPr>
      <w:r>
        <w:rPr>
          <w:b w:val="0"/>
          <w:sz w:val="21"/>
        </w:rPr>
        <w:t>内部编号：待补充</w:t>
      </w:r>
    </w:p>
    <w:tbl>
      <w:tblPr>
        <w:tblStyle w:val="6"/>
        <w:tblW w:w="90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3"/>
      </w:tblGrid>
      <w:tr w14:paraId="6D6F4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8" w:hRule="atLeast"/>
        </w:trPr>
        <w:tc>
          <w:tcPr>
            <w:tcW w:w="9073" w:type="dxa"/>
            <w:tcBorders>
              <w:top w:val="single" w:color="auto" w:sz="4" w:space="0"/>
              <w:left w:val="single" w:color="auto" w:sz="4" w:space="0"/>
              <w:right w:val="single" w:color="auto" w:sz="4" w:space="0"/>
            </w:tcBorders>
          </w:tcPr>
          <w:p>
            <w:r>
              <w:rPr>
                <w:b/>
                <w:sz w:val="24"/>
              </w:rPr>
              <w:t>专利申请名称</w:t>
            </w:r>
          </w:p>
          <w:p>
            <w:pPr>
              <w:spacing w:after="80"/>
            </w:pPr>
            <w:r>
              <w:rPr>
                <w:sz w:val="21"/>
              </w:rPr>
              <w:t>一种面向跨CAD内核的基于轻量化多层摘要的CAD模型差异快速筛选与对比方法及系统</w:t>
            </w:r>
          </w:p>
        </w:tc>
      </w:tr>
      <w:tr w14:paraId="2A158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0" w:hRule="atLeast"/>
        </w:trPr>
        <w:tc>
          <w:tcPr>
            <w:tcW w:w="9073" w:type="dxa"/>
            <w:tcBorders>
              <w:top w:val="single" w:color="auto" w:sz="4" w:space="0"/>
              <w:left w:val="single" w:color="auto" w:sz="4" w:space="0"/>
              <w:bottom w:val="single" w:color="auto" w:sz="4" w:space="0"/>
              <w:right w:val="single" w:color="auto" w:sz="4" w:space="0"/>
            </w:tcBorders>
          </w:tcPr>
          <w:p>
            <w:r>
              <w:rPr>
                <w:b/>
                <w:sz w:val="24"/>
              </w:rPr>
              <w:t>同类技术的发展状况、缺陷和不足</w:t>
            </w:r>
          </w:p>
          <w:p>
            <w:pPr>
              <w:spacing w:after="80"/>
            </w:pPr>
            <w:r>
              <w:rPr>
                <w:sz w:val="21"/>
              </w:rPr>
              <w:t>CAD模型版本比对、供应商模型验收和跨格式转换验证通常需要识别两个三维模型之间的实体级差异和设计语义级差异。现有方法常依赖同一CAD内核下的永久命名、完整BREP逐项比较、关键点匹配、点云距离或图匹配。</w:t>
            </w:r>
          </w:p>
          <w:p>
            <w:pPr>
              <w:spacing w:after="80"/>
            </w:pPr>
            <w:r>
              <w:rPr>
                <w:sz w:val="21"/>
              </w:rPr>
              <w:t>在跨CAD内核、跨文件格式或第三方模型交换场景中，永久命名可能缺失、不可比较或不可信；完整BREP结构也可能因内核差异和格式转换而不一致。若直接进行全量BREP实体逐项比较或实体两两几何匹配，计算量容易接近平方级，并且容易把位姿、尺度或仿射变换误判为设计差异。</w:t>
            </w:r>
          </w:p>
        </w:tc>
      </w:tr>
      <w:tr w14:paraId="5FC38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9" w:hRule="atLeast"/>
        </w:trPr>
        <w:tc>
          <w:tcPr>
            <w:tcW w:w="9073" w:type="dxa"/>
            <w:tcBorders>
              <w:top w:val="single" w:color="auto" w:sz="4" w:space="0"/>
              <w:left w:val="single" w:color="auto" w:sz="4" w:space="0"/>
              <w:bottom w:val="single" w:color="auto" w:sz="4" w:space="0"/>
              <w:right w:val="single" w:color="auto" w:sz="4" w:space="0"/>
            </w:tcBorders>
          </w:tcPr>
          <w:p>
            <w:r>
              <w:rPr>
                <w:b/>
                <w:sz w:val="24"/>
              </w:rPr>
              <w:t>专利技术方案</w:t>
            </w:r>
          </w:p>
          <w:p>
            <w:pPr>
              <w:spacing w:after="80"/>
            </w:pPr>
            <w:r>
              <w:rPr>
                <w:sz w:val="21"/>
              </w:rPr>
              <w:t>本方案在不要求两个CAD模型存在可比较永久命名、且初始筛选阶段不执行完整BREP实体逐项比较的前提下，先提取全局摘要、局部实体摘要、语义摘要和关系摘要中的至少两类轻量化摘要。</w:t>
            </w:r>
          </w:p>
          <w:p>
            <w:pPr>
              <w:spacing w:after="80"/>
            </w:pPr>
            <w:r>
              <w:rPr>
                <w:sz w:val="21"/>
              </w:rPr>
              <w:t>系统基于摘要确定位姿、尺度或仿射变换关系，并进行归一化；对于无法归一化或不满足业务规则的仿射变换，作为全局差异输出。</w:t>
            </w:r>
          </w:p>
          <w:p>
            <w:pPr>
              <w:spacing w:after="80"/>
            </w:pPr>
            <w:r>
              <w:rPr>
                <w:sz w:val="21"/>
              </w:rPr>
              <w:t>在执行完整BREP实体逐项比较之前，系统建立摘要索引，并执行全局摘要闸门、局部摘要闸门和关系摘要闸门中的至少两个闸门。每一闸门均包括输入摘要、闸门规则和闸门输出，输出候选关系、排除关系或匹配置信度。</w:t>
            </w:r>
          </w:p>
          <w:p>
            <w:pPr>
              <w:spacing w:after="80"/>
            </w:pPr>
            <w:r>
              <w:rPr>
                <w:sz w:val="21"/>
              </w:rPr>
              <w:t>只有通过摘要闸门的候选实体进入局部验证；必要时仅读取或比较候选实体邻域内的局部BREP数据。最终将实体级新增、删除、修改和保持不变结果聚合为孔变化、倒角变化、圆角变化、阵列变化、装配约束变化等设计语义级差异。</w:t>
            </w:r>
          </w:p>
        </w:tc>
      </w:tr>
      <w:tr w14:paraId="6F9B4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9" w:hRule="atLeast"/>
        </w:trPr>
        <w:tc>
          <w:tcPr>
            <w:tcW w:w="9073" w:type="dxa"/>
            <w:tcBorders>
              <w:top w:val="single" w:color="auto" w:sz="4" w:space="0"/>
              <w:left w:val="single" w:color="auto" w:sz="4" w:space="0"/>
              <w:bottom w:val="single" w:color="auto" w:sz="4" w:space="0"/>
              <w:right w:val="single" w:color="auto" w:sz="4" w:space="0"/>
            </w:tcBorders>
          </w:tcPr>
          <w:p>
            <w:r>
              <w:rPr>
                <w:b/>
                <w:sz w:val="24"/>
              </w:rPr>
              <w:t>附图说明</w:t>
            </w:r>
          </w:p>
          <w:p>
            <w:pPr>
              <w:spacing w:after="80"/>
            </w:pPr>
            <w:r>
              <w:rPr>
                <w:sz w:val="21"/>
              </w:rPr>
              <w:t>本交底书建议配套以下附图，附图用于说明方法流程、系统模块和关键判断流程。</w:t>
            </w:r>
          </w:p>
          <w:p>
            <w:pPr>
              <w:jc w:val="center"/>
            </w:pPr>
            <w:r>
              <w:drawing>
                <wp:inline xmlns:a="http://schemas.openxmlformats.org/drawingml/2006/main" xmlns:pic="http://schemas.openxmlformats.org/drawingml/2006/picture">
                  <wp:extent cx="5029200" cy="6370320"/>
                  <wp:docPr id="1" name="Picture 1"/>
                  <wp:cNvGraphicFramePr>
                    <a:graphicFrameLocks noChangeAspect="1"/>
                  </wp:cNvGraphicFramePr>
                  <a:graphic>
                    <a:graphicData uri="http://schemas.openxmlformats.org/drawingml/2006/picture">
                      <pic:pic>
                        <pic:nvPicPr>
                          <pic:cNvPr id="0" name="lightweight-fig1-method.png"/>
                          <pic:cNvPicPr/>
                        </pic:nvPicPr>
                        <pic:blipFill>
                          <a:blip r:embed="rId11"/>
                          <a:stretch>
                            <a:fillRect/>
                          </a:stretch>
                        </pic:blipFill>
                        <pic:spPr>
                          <a:xfrm>
                            <a:off x="0" y="0"/>
                            <a:ext cx="5029200" cy="6370320"/>
                          </a:xfrm>
                          <a:prstGeom prst="rect"/>
                        </pic:spPr>
                      </pic:pic>
                    </a:graphicData>
                  </a:graphic>
                </wp:inline>
              </w:drawing>
            </w:r>
          </w:p>
          <w:p>
            <w:pPr>
              <w:jc w:val="center"/>
            </w:pPr>
            <w:r>
              <w:rPr>
                <w:sz w:val="18"/>
              </w:rPr>
              <w:t>图1 CAD模型差异快速筛选与对比方法流程图</w:t>
            </w:r>
          </w:p>
          <w:p>
            <w:pPr>
              <w:jc w:val="center"/>
            </w:pPr>
            <w:r>
              <w:drawing>
                <wp:inline xmlns:a="http://schemas.openxmlformats.org/drawingml/2006/main" xmlns:pic="http://schemas.openxmlformats.org/drawingml/2006/picture">
                  <wp:extent cx="5029200" cy="3845859"/>
                  <wp:docPr id="2" name="Picture 2"/>
                  <wp:cNvGraphicFramePr>
                    <a:graphicFrameLocks noChangeAspect="1"/>
                  </wp:cNvGraphicFramePr>
                  <a:graphic>
                    <a:graphicData uri="http://schemas.openxmlformats.org/drawingml/2006/picture">
                      <pic:pic>
                        <pic:nvPicPr>
                          <pic:cNvPr id="0" name="lightweight-fig2-system.png"/>
                          <pic:cNvPicPr/>
                        </pic:nvPicPr>
                        <pic:blipFill>
                          <a:blip r:embed="rId12"/>
                          <a:stretch>
                            <a:fillRect/>
                          </a:stretch>
                        </pic:blipFill>
                        <pic:spPr>
                          <a:xfrm>
                            <a:off x="0" y="0"/>
                            <a:ext cx="5029200" cy="3845859"/>
                          </a:xfrm>
                          <a:prstGeom prst="rect"/>
                        </pic:spPr>
                      </pic:pic>
                    </a:graphicData>
                  </a:graphic>
                </wp:inline>
              </w:drawing>
            </w:r>
          </w:p>
          <w:p>
            <w:pPr>
              <w:jc w:val="center"/>
            </w:pPr>
            <w:r>
              <w:rPr>
                <w:sz w:val="18"/>
              </w:rPr>
              <w:t>图2 CAD模型差异快速筛选与对比系统结构图</w:t>
            </w:r>
          </w:p>
          <w:p>
            <w:pPr>
              <w:jc w:val="center"/>
            </w:pPr>
            <w:r>
              <w:drawing>
                <wp:inline xmlns:a="http://schemas.openxmlformats.org/drawingml/2006/main" xmlns:pic="http://schemas.openxmlformats.org/drawingml/2006/picture">
                  <wp:extent cx="5029200" cy="3550024"/>
                  <wp:docPr id="3" name="Picture 3"/>
                  <wp:cNvGraphicFramePr>
                    <a:graphicFrameLocks noChangeAspect="1"/>
                  </wp:cNvGraphicFramePr>
                  <a:graphic>
                    <a:graphicData uri="http://schemas.openxmlformats.org/drawingml/2006/picture">
                      <pic:pic>
                        <pic:nvPicPr>
                          <pic:cNvPr id="0" name="lightweight-fig3-decision.png"/>
                          <pic:cNvPicPr/>
                        </pic:nvPicPr>
                        <pic:blipFill>
                          <a:blip r:embed="rId13"/>
                          <a:stretch>
                            <a:fillRect/>
                          </a:stretch>
                        </pic:blipFill>
                        <pic:spPr>
                          <a:xfrm>
                            <a:off x="0" y="0"/>
                            <a:ext cx="5029200" cy="3550024"/>
                          </a:xfrm>
                          <a:prstGeom prst="rect"/>
                        </pic:spPr>
                      </pic:pic>
                    </a:graphicData>
                  </a:graphic>
                </wp:inline>
              </w:drawing>
            </w:r>
          </w:p>
          <w:p>
            <w:pPr>
              <w:jc w:val="center"/>
            </w:pPr>
            <w:r>
              <w:rPr>
                <w:sz w:val="18"/>
              </w:rPr>
              <w:t>图3 变换判别与多层摘要闸门预筛流程图</w:t>
            </w:r>
          </w:p>
        </w:tc>
      </w:tr>
      <w:tr w14:paraId="3CB86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9" w:hRule="atLeast"/>
        </w:trPr>
        <w:tc>
          <w:tcPr>
            <w:tcW w:w="9073" w:type="dxa"/>
            <w:tcBorders>
              <w:top w:val="single" w:color="auto" w:sz="4" w:space="0"/>
              <w:left w:val="single" w:color="auto" w:sz="4" w:space="0"/>
              <w:bottom w:val="single" w:color="auto" w:sz="4" w:space="0"/>
              <w:right w:val="single" w:color="auto" w:sz="4" w:space="0"/>
            </w:tcBorders>
          </w:tcPr>
          <w:p>
            <w:r>
              <w:rPr>
                <w:b/>
                <w:sz w:val="24"/>
              </w:rPr>
              <w:t>本专利技术的优点和有益效果</w:t>
            </w:r>
          </w:p>
          <w:p>
            <w:pPr>
              <w:spacing w:after="60"/>
              <w:ind w:left="280" w:hanging="200"/>
            </w:pPr>
            <w:r>
              <w:rPr>
                <w:sz w:val="21"/>
              </w:rPr>
              <w:t>• 适用于跨CAD内核、跨格式转换、供应商模型验收和永久命名不可比较场景。</w:t>
            </w:r>
          </w:p>
          <w:p>
            <w:pPr>
              <w:spacing w:after="60"/>
              <w:ind w:left="280" w:hanging="200"/>
            </w:pPr>
            <w:r>
              <w:rPr>
                <w:sz w:val="21"/>
              </w:rPr>
              <w:t>• 在完整BREP逐项比较之前筛除大量不相关特征或实体，减少全量几何匹配和BREP读取成本。</w:t>
            </w:r>
          </w:p>
          <w:p>
            <w:pPr>
              <w:spacing w:after="60"/>
              <w:ind w:left="280" w:hanging="200"/>
            </w:pPr>
            <w:r>
              <w:rPr>
                <w:sz w:val="21"/>
              </w:rPr>
              <w:t>• 通过位姿、尺度和仿射变换处理，降低坐标系变化、单位变化或导入导出变换造成的误判。</w:t>
            </w:r>
          </w:p>
          <w:p>
            <w:pPr>
              <w:spacing w:after="60"/>
              <w:ind w:left="280" w:hanging="200"/>
            </w:pPr>
            <w:r>
              <w:rPr>
                <w:sz w:val="21"/>
              </w:rPr>
              <w:t>• 输出设计语义级差异，便于工程变更审查、制造影响评估和模型版本管理。</w:t>
            </w:r>
          </w:p>
        </w:tc>
      </w:tr>
      <w:tr w14:paraId="39278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2" w:hRule="atLeast"/>
        </w:trPr>
        <w:tc>
          <w:tcPr>
            <w:tcW w:w="9073" w:type="dxa"/>
            <w:tcBorders>
              <w:top w:val="single" w:color="auto" w:sz="4" w:space="0"/>
              <w:left w:val="single" w:color="auto" w:sz="4" w:space="0"/>
              <w:right w:val="single" w:color="auto" w:sz="4" w:space="0"/>
            </w:tcBorders>
          </w:tcPr>
          <w:p>
            <w:r>
              <w:rPr>
                <w:b/>
                <w:sz w:val="24"/>
              </w:rPr>
              <w:t>需要保护的关键创新点</w:t>
            </w:r>
          </w:p>
          <w:p>
            <w:pPr>
              <w:spacing w:after="60"/>
              <w:ind w:left="280" w:hanging="200"/>
            </w:pPr>
            <w:r>
              <w:rPr>
                <w:sz w:val="21"/>
              </w:rPr>
              <w:t>• 不以两个CAD模型中的面、边或顶点具有相同永久命名为匹配前提。</w:t>
            </w:r>
          </w:p>
          <w:p>
            <w:pPr>
              <w:spacing w:after="60"/>
              <w:ind w:left="280" w:hanging="200"/>
            </w:pPr>
            <w:r>
              <w:rPr>
                <w:sz w:val="21"/>
              </w:rPr>
              <w:t>• 在完整BREP实体逐项比较之前执行多层轻量化摘要索引和摘要闸门。</w:t>
            </w:r>
          </w:p>
          <w:p>
            <w:pPr>
              <w:spacing w:after="60"/>
              <w:ind w:left="280" w:hanging="200"/>
            </w:pPr>
            <w:r>
              <w:rPr>
                <w:sz w:val="21"/>
              </w:rPr>
              <w:t>• 摘要闸门的输出是候选关系、排除关系或匹配置信度，而不是最终相同判定。</w:t>
            </w:r>
          </w:p>
          <w:p>
            <w:pPr>
              <w:spacing w:after="60"/>
              <w:ind w:left="280" w:hanging="200"/>
            </w:pPr>
            <w:r>
              <w:rPr>
                <w:sz w:val="21"/>
              </w:rPr>
              <w:t>• 仅对候选实体或候选邻域执行局部验证，并将实体级差异聚合为设计语义级差异。</w:t>
            </w:r>
          </w:p>
          <w:p>
            <w:pPr>
              <w:spacing w:after="60"/>
              <w:ind w:left="280" w:hanging="200"/>
            </w:pPr>
            <w:r>
              <w:rPr>
                <w:sz w:val="21"/>
              </w:rPr>
              <w:t>• 不以NURBS控制点关键点匹配、全模型点云距离比较或Ullmann子图同构作为必要步骤。</w:t>
            </w:r>
          </w:p>
        </w:tc>
      </w:tr>
    </w:tbl>
    <w:p w14:paraId="12957240">
      <w:pPr>
        <w:rPr>
          <w:color w:val="0000FF"/>
        </w:rPr>
      </w:pPr>
    </w:p>
    <w:sectPr>
      <w:headerReference r:id="rId3" w:type="default"/>
      <w:footerReference r:id="rId4" w:type="default"/>
      <w:pgSz w:w="11906" w:h="16838"/>
      <w:pgMar w:top="1418" w:right="1418" w:bottom="1418" w:left="1418" w:header="851" w:footer="567"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roman"/>
    <w:pitch w:val="default"/>
    <w:sig w:usb0="00000000" w:usb1="00000000" w:usb2="00000012" w:usb3="00000000" w:csb0="4002009F" w:csb1="DFD70000"/>
  </w:font>
  <w:font w:name="Yu Gothic UI">
    <w:panose1 w:val="020B0500000000000000"/>
    <w:charset w:val="80"/>
    <w:family w:val="auto"/>
    <w:pitch w:val="default"/>
    <w:sig w:usb0="E00002FF" w:usb1="2AC7FDFF" w:usb2="00000016" w:usb3="00000000" w:csb0="2002009F"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A7437">
    <w:pPr>
      <w:pStyle w:val="4"/>
      <w:jc w:val="right"/>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10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5291589">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wps:txbx>
                    <wps:bodyPr wrap="none" lIns="0" tIns="0" rIns="0" bIns="0" upright="0">
                      <a:spAutoFit/>
                    </wps:bodyPr>
                  </wps:wsp>
                </a:graphicData>
              </a:graphic>
            </wp:anchor>
          </w:drawing>
        </mc:Choice>
        <mc:Fallback>
          <w:pict>
            <v:shape id="文本框 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G05ranLAQAAnAMAAA4AAAAAAAAAAQAgAAAAHgEAAGRycy9lMm9E&#10;b2MueG1sUEsFBgAAAAAGAAYAWQEAAFsFAAAAAA==&#10;">
              <v:fill on="f" focussize="0,0"/>
              <v:stroke on="f"/>
              <v:imagedata o:title=""/>
              <o:lock v:ext="edit" aspectratio="f"/>
              <v:textbox inset="0mm,0mm,0mm,0mm" style="mso-fit-shape-to-text:t;">
                <w:txbxContent>
                  <w:p w14:paraId="35291589">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v:textbox>
            </v:shape>
          </w:pict>
        </mc:Fallback>
      </mc:AlternateContent>
    </w:r>
  </w:p>
  <w:p w14:paraId="283FC339">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D9E86">
    <w:pPr>
      <w:pStyle w:val="5"/>
      <w:tabs>
        <w:tab w:val="left" w:pos="6643"/>
      </w:tabs>
      <w:jc w:val="both"/>
    </w:pPr>
    <w:r>
      <w:rPr>
        <w:rFonts w:hint="eastAsia"/>
        <w:sz w:val="18"/>
        <w:lang w:val="en-US" w:eastAsia="zh-CN"/>
      </w:rPr>
      <w:t>重庆诺源工业软件科技有限公司</w:t>
    </w:r>
    <w:r>
      <w:rPr>
        <w:rFonts w:hint="eastAsia"/>
      </w:rPr>
      <w:t xml:space="preserve">                                                           </w:t>
    </w:r>
    <w:r>
      <w:rPr>
        <w:rFonts w:hint="eastAsia"/>
        <w:lang w:eastAsia="zh-CN"/>
      </w:rPr>
      <w:t>交底书</w:t>
    </w:r>
    <w:r>
      <w:rPr>
        <w:rFonts w:hint="eastAsia"/>
      </w:rPr>
      <w:t>模板</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drawingGridVerticalSpacing w:val="156"/>
  <w:noPunctuationKerning w:val="1"/>
  <w:characterSpacingControl w:val="compressPunctuation"/>
  <w:doNotValidateAgainstSchema/>
  <w:doNotDemarcateInvalidXml/>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YxOGVjMmU0YTU4ZDIzNTkzMzQxNzZkNzQ3YWMxNTMifQ=="/>
  </w:docVars>
  <w:rsids>
    <w:rsidRoot w:val="0051419A"/>
    <w:rsid w:val="0011721B"/>
    <w:rsid w:val="001C3E2E"/>
    <w:rsid w:val="004B25F5"/>
    <w:rsid w:val="0051419A"/>
    <w:rsid w:val="006B41C4"/>
    <w:rsid w:val="00731467"/>
    <w:rsid w:val="008434DF"/>
    <w:rsid w:val="008C0ABB"/>
    <w:rsid w:val="009250E9"/>
    <w:rsid w:val="00A75181"/>
    <w:rsid w:val="00C66894"/>
    <w:rsid w:val="00E3308E"/>
    <w:rsid w:val="00E4617A"/>
    <w:rsid w:val="00F76BC1"/>
    <w:rsid w:val="00FF2264"/>
    <w:rsid w:val="2BDF4A8C"/>
    <w:rsid w:val="31AF7A8F"/>
    <w:rsid w:val="3E1710C0"/>
    <w:rsid w:val="403E3E98"/>
    <w:rsid w:val="45713EEF"/>
    <w:rsid w:val="55571651"/>
    <w:rsid w:val="57A11BD9"/>
    <w:rsid w:val="66262254"/>
    <w:rsid w:val="74F628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line="360" w:lineRule="auto"/>
    </w:pPr>
    <w:rPr>
      <w:color w:val="0000FF"/>
      <w:sz w:val="24"/>
    </w:rPr>
  </w:style>
  <w:style w:type="paragraph" w:styleId="3">
    <w:name w:val="Balloon Text"/>
    <w:basedOn w:val="1"/>
    <w:link w:val="15"/>
    <w:qFormat/>
    <w:uiPriority w:val="0"/>
    <w:rPr>
      <w:sz w:val="18"/>
      <w:szCs w:val="18"/>
    </w:rPr>
  </w:style>
  <w:style w:type="paragraph" w:styleId="4">
    <w:name w:val="footer"/>
    <w:basedOn w:val="1"/>
    <w:link w:val="16"/>
    <w:qFormat/>
    <w:uiPriority w:val="99"/>
    <w:pPr>
      <w:tabs>
        <w:tab w:val="center" w:pos="4153"/>
        <w:tab w:val="right" w:pos="8306"/>
      </w:tabs>
      <w:snapToGrid w:val="0"/>
      <w:jc w:val="left"/>
    </w:pPr>
    <w:rPr>
      <w:sz w:val="18"/>
      <w:szCs w:val="18"/>
    </w:rPr>
  </w:style>
  <w:style w:type="paragraph" w:styleId="5">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table" w:styleId="7">
    <w:name w:val="Table Grid"/>
    <w:basedOn w:val="6"/>
    <w:semiHidden/>
    <w:unhideWhenUse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qFormat/>
    <w:uiPriority w:val="0"/>
    <w:rPr>
      <w:b/>
      <w:bCs/>
    </w:rPr>
  </w:style>
  <w:style w:type="character" w:styleId="10">
    <w:name w:val="page number"/>
    <w:basedOn w:val="8"/>
    <w:qFormat/>
    <w:uiPriority w:val="0"/>
  </w:style>
  <w:style w:type="character" w:styleId="11">
    <w:name w:val="Hyperlink"/>
    <w:qFormat/>
    <w:uiPriority w:val="0"/>
    <w:rPr>
      <w:color w:val="0000FF"/>
      <w:u w:val="single"/>
    </w:rPr>
  </w:style>
  <w:style w:type="paragraph" w:customStyle="1" w:styleId="12">
    <w:name w:val="缺省文本"/>
    <w:basedOn w:val="1"/>
    <w:qFormat/>
    <w:uiPriority w:val="0"/>
    <w:pPr>
      <w:autoSpaceDE w:val="0"/>
      <w:autoSpaceDN w:val="0"/>
      <w:adjustRightInd w:val="0"/>
      <w:spacing w:line="360" w:lineRule="auto"/>
      <w:jc w:val="left"/>
    </w:pPr>
    <w:rPr>
      <w:kern w:val="0"/>
    </w:rPr>
  </w:style>
  <w:style w:type="paragraph" w:customStyle="1" w:styleId="13">
    <w:name w:val="references"/>
    <w:qFormat/>
    <w:uiPriority w:val="0"/>
    <w:pPr>
      <w:tabs>
        <w:tab w:val="left" w:pos="360"/>
      </w:tabs>
      <w:spacing w:after="50" w:line="180" w:lineRule="exact"/>
      <w:ind w:left="360" w:hanging="360"/>
      <w:jc w:val="both"/>
    </w:pPr>
    <w:rPr>
      <w:rFonts w:ascii="Times New Roman" w:hAnsi="Times New Roman" w:eastAsia="MS Mincho" w:cs="Times New Roman"/>
      <w:sz w:val="16"/>
      <w:szCs w:val="16"/>
      <w:lang w:val="en-US" w:eastAsia="en-US" w:bidi="ar-SA"/>
    </w:rPr>
  </w:style>
  <w:style w:type="character" w:customStyle="1" w:styleId="14">
    <w:name w:val="页眉 Char"/>
    <w:basedOn w:val="8"/>
    <w:link w:val="5"/>
    <w:qFormat/>
    <w:uiPriority w:val="0"/>
    <w:rPr>
      <w:kern w:val="2"/>
      <w:sz w:val="18"/>
      <w:szCs w:val="18"/>
    </w:rPr>
  </w:style>
  <w:style w:type="character" w:customStyle="1" w:styleId="15">
    <w:name w:val="批注框文本 Char"/>
    <w:basedOn w:val="8"/>
    <w:link w:val="3"/>
    <w:qFormat/>
    <w:uiPriority w:val="0"/>
    <w:rPr>
      <w:kern w:val="2"/>
      <w:sz w:val="18"/>
      <w:szCs w:val="18"/>
    </w:rPr>
  </w:style>
  <w:style w:type="character" w:customStyle="1" w:styleId="16">
    <w:name w:val="页脚 Char"/>
    <w:basedOn w:val="8"/>
    <w:link w:val="4"/>
    <w:qFormat/>
    <w:uiPriority w:val="99"/>
    <w:rPr>
      <w:kern w:val="2"/>
      <w:sz w:val="18"/>
      <w:szCs w:val="18"/>
    </w:rPr>
  </w:style>
  <w:style w:type="paragraph" w:styleId="17">
    <w:name w:val="List Paragraph"/>
    <w:basedOn w:val="1"/>
    <w:qFormat/>
    <w:uiPriority w:val="34"/>
    <w:pPr>
      <w:ind w:firstLine="420" w:firstLineChars="200"/>
    </w:pPr>
    <w:rPr>
      <w:rFonts w:eastAsia="仿宋" w:cstheme="minorBidi"/>
      <w:sz w:val="24"/>
      <w:szCs w:val="2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hamilton</Company>
  <Pages>5</Pages>
  <Words>2869</Words>
  <Characters>2893</Characters>
  <Lines>6</Lines>
  <Paragraphs>1</Paragraphs>
  <TotalTime>18</TotalTime>
  <ScaleCrop>false</ScaleCrop>
  <LinksUpToDate>false</LinksUpToDate>
  <CharactersWithSpaces>2912</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2019-02-21T11:31:00Z</dcterms:created>
  <dc:creator>yumw</dc:creator>
  <cp:lastModifiedBy>xiaodi.su</cp:lastModifiedBy>
  <dcterms:modified xsi:type="dcterms:W3CDTF">2026-07-08T07:28:19Z</dcterms:modified>
  <dc:title>技术交底书*</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6D24395B66264B73B9ABB9AE86E2CAF7_13</vt:lpwstr>
  </property>
  <property fmtid="{D5CDD505-2E9C-101B-9397-08002B2CF9AE}" pid="4" name="KSOTemplateDocerSaveRecord">
    <vt:lpwstr>eyJoZGlkIjoiZmRmNGRhYzFhM2M0ODNiOTFiNDFjZjhhZDRhNTc2ZjYiLCJ1c2VySWQiOiIyNzY3NDkyMjcifQ==</vt:lpwstr>
  </property>
</Properties>
</file>