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1A41E59">
      <w:pPr>
        <w:wordWrap w:val="0"/>
        <w:jc w:val="center"/>
        <w:rPr>
          <w:rFonts w:ascii="宋体" w:hAnsi="宋体"/>
          <w:b/>
          <w:sz w:val="44"/>
          <w:szCs w:val="44"/>
        </w:rPr>
      </w:pPr>
      <w:r>
        <w:rPr>
          <w:rFonts w:hint="eastAsia" w:ascii="宋体" w:hAnsi="宋体"/>
          <w:b/>
          <w:sz w:val="44"/>
          <w:szCs w:val="44"/>
        </w:rPr>
        <w:t>专利申请技术交底书</w:t>
      </w:r>
    </w:p>
    <w:p w14:paraId="22A83971">
      <w:pPr>
        <w:rPr>
          <w:rFonts w:ascii="宋体" w:hAnsi="宋体"/>
          <w:b/>
          <w:color w:val="FF0000"/>
          <w:sz w:val="18"/>
          <w:szCs w:val="18"/>
        </w:rPr>
      </w:pPr>
      <w:r>
        <w:rPr>
          <w:rFonts w:hint="eastAsia" w:ascii="宋体" w:hAnsi="宋体"/>
          <w:b/>
          <w:color w:val="FF0000"/>
          <w:sz w:val="18"/>
          <w:szCs w:val="18"/>
        </w:rPr>
        <w:t>请认真阅读表格各项的要求，按要求如实、详尽地填写相关内容，可自行增加附页。</w:t>
      </w:r>
    </w:p>
    <w:p w14:paraId="6E77545A">
      <w:pPr>
        <w:spacing w:line="360" w:lineRule="auto"/>
        <w:rPr>
          <w:rFonts w:hint="eastAsia" w:eastAsia="楷体_GB2312"/>
          <w:sz w:val="24"/>
        </w:rPr>
      </w:pPr>
      <w:r>
        <w:rPr>
          <w:b w:val="0"/>
          <w:sz w:val="21"/>
        </w:rPr>
        <w:t>专利申请名称：基于永久命名的CAD模型差异对比方法</w:t>
      </w:r>
    </w:p>
    <w:p w14:paraId="7AA2AC7C">
      <w:pPr>
        <w:spacing w:line="360" w:lineRule="auto"/>
        <w:rPr>
          <w:rFonts w:hint="eastAsia" w:eastAsia="楷体_GB2312"/>
          <w:sz w:val="24"/>
        </w:rPr>
      </w:pPr>
      <w:r>
        <w:rPr>
          <w:b w:val="0"/>
          <w:sz w:val="21"/>
        </w:rPr>
        <w:t>此专利是否已经公开：否</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1800"/>
        <w:gridCol w:w="1800"/>
        <w:gridCol w:w="1800"/>
        <w:gridCol w:w="1801"/>
      </w:tblGrid>
      <w:tr w14:paraId="58A2B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4A797CA1">
            <w:pPr>
              <w:spacing w:line="360" w:lineRule="auto"/>
              <w:rPr>
                <w:rFonts w:hint="eastAsia" w:eastAsia="楷体_GB2312"/>
                <w:sz w:val="24"/>
                <w:vertAlign w:val="baseline"/>
              </w:rPr>
            </w:pPr>
          </w:p>
        </w:tc>
        <w:tc>
          <w:tcPr>
            <w:tcW w:w="1800" w:type="dxa"/>
          </w:tcPr>
          <w:p w14:paraId="3223726E">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第一发明人</w:t>
            </w:r>
          </w:p>
        </w:tc>
        <w:tc>
          <w:tcPr>
            <w:tcW w:w="1800" w:type="dxa"/>
          </w:tcPr>
          <w:p w14:paraId="68F7E868">
            <w:pPr>
              <w:spacing w:line="360" w:lineRule="auto"/>
              <w:rPr>
                <w:rFonts w:hint="eastAsia" w:eastAsia="楷体_GB2312"/>
                <w:sz w:val="24"/>
                <w:vertAlign w:val="baseline"/>
                <w:lang w:val="en-US" w:eastAsia="zh-CN"/>
              </w:rPr>
            </w:pPr>
            <w:r>
              <w:rPr>
                <w:rFonts w:hint="eastAsia" w:eastAsia="楷体_GB2312"/>
                <w:sz w:val="24"/>
                <w:vertAlign w:val="baseline"/>
                <w:lang w:val="en-US" w:eastAsia="zh-CN"/>
              </w:rPr>
              <w:t>第二发明人</w:t>
            </w:r>
          </w:p>
        </w:tc>
        <w:tc>
          <w:tcPr>
            <w:tcW w:w="1800" w:type="dxa"/>
          </w:tcPr>
          <w:p w14:paraId="3CB8A120">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第三发明人</w:t>
            </w:r>
          </w:p>
        </w:tc>
        <w:tc>
          <w:tcPr>
            <w:tcW w:w="1801" w:type="dxa"/>
          </w:tcPr>
          <w:p w14:paraId="17E98B76">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w:t>
            </w:r>
          </w:p>
        </w:tc>
      </w:tr>
      <w:tr w14:paraId="4DE6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11706F34">
            <w:pPr>
              <w:spacing w:line="360" w:lineRule="auto"/>
              <w:rPr>
                <w:rFonts w:hint="eastAsia" w:eastAsia="楷体_GB2312"/>
                <w:sz w:val="24"/>
                <w:vertAlign w:val="baseline"/>
                <w:lang w:val="en-US" w:eastAsia="zh-CN"/>
              </w:rPr>
            </w:pPr>
            <w:r>
              <w:rPr>
                <w:rFonts w:hint="eastAsia" w:eastAsia="楷体_GB2312"/>
                <w:sz w:val="24"/>
                <w:vertAlign w:val="baseline"/>
                <w:lang w:val="en-US" w:eastAsia="zh-CN"/>
              </w:rPr>
              <w:t>姓名</w:t>
            </w:r>
          </w:p>
        </w:tc>
        <w:tc>
          <w:tcPr>
            <w:tcW w:w="1800" w:type="dxa"/>
          </w:tcPr>
          <w:p>
            <w:r>
              <w:t>待补充</w:t>
            </w:r>
          </w:p>
        </w:tc>
        <w:tc>
          <w:tcPr>
            <w:tcW w:w="1800" w:type="dxa"/>
          </w:tcPr>
          <w:p>
            <w:r>
              <w:t>待补充</w:t>
            </w:r>
          </w:p>
        </w:tc>
        <w:tc>
          <w:tcPr>
            <w:tcW w:w="1800" w:type="dxa"/>
          </w:tcPr>
          <w:p>
            <w:r>
              <w:t>待补充</w:t>
            </w:r>
          </w:p>
        </w:tc>
        <w:tc>
          <w:tcPr>
            <w:tcW w:w="1801" w:type="dxa"/>
          </w:tcPr>
          <w:p>
            <w:r>
              <w:t>待补充</w:t>
            </w:r>
          </w:p>
        </w:tc>
      </w:tr>
      <w:tr w14:paraId="228A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66A46831">
            <w:pPr>
              <w:spacing w:line="360" w:lineRule="auto"/>
              <w:rPr>
                <w:rFonts w:hint="default" w:eastAsia="楷体_GB2312"/>
                <w:sz w:val="24"/>
                <w:vertAlign w:val="baseline"/>
                <w:lang w:val="en-US" w:eastAsia="zh-CN"/>
              </w:rPr>
            </w:pPr>
            <w:r>
              <w:rPr>
                <w:rFonts w:hint="eastAsia" w:eastAsia="楷体_GB2312"/>
                <w:sz w:val="24"/>
                <w:vertAlign w:val="baseline"/>
                <w:lang w:val="en-US" w:eastAsia="zh-CN"/>
              </w:rPr>
              <w:t>专利贡献比例(%)</w:t>
            </w:r>
          </w:p>
        </w:tc>
        <w:tc>
          <w:tcPr>
            <w:tcW w:w="1800" w:type="dxa"/>
          </w:tcPr>
          <w:p>
            <w:r>
              <w:t>待补充</w:t>
            </w:r>
          </w:p>
        </w:tc>
        <w:tc>
          <w:tcPr>
            <w:tcW w:w="1800" w:type="dxa"/>
          </w:tcPr>
          <w:p>
            <w:r>
              <w:t>待补充</w:t>
            </w:r>
          </w:p>
        </w:tc>
        <w:tc>
          <w:tcPr>
            <w:tcW w:w="1800" w:type="dxa"/>
          </w:tcPr>
          <w:p>
            <w:r>
              <w:t>待补充</w:t>
            </w:r>
          </w:p>
        </w:tc>
        <w:tc>
          <w:tcPr>
            <w:tcW w:w="1801" w:type="dxa"/>
          </w:tcPr>
          <w:p>
            <w:r>
              <w:t>待补充</w:t>
            </w:r>
          </w:p>
        </w:tc>
      </w:tr>
    </w:tbl>
    <w:p w14:paraId="69CA7000">
      <w:pPr>
        <w:spacing w:line="360" w:lineRule="auto"/>
        <w:rPr>
          <w:rFonts w:hint="default" w:eastAsia="宋体"/>
          <w:sz w:val="24"/>
          <w:lang w:val="en-US" w:eastAsia="zh-CN"/>
        </w:rPr>
      </w:pPr>
      <w:r>
        <w:rPr>
          <w:b w:val="0"/>
          <w:sz w:val="21"/>
        </w:rPr>
        <w:t>申请人及部门：待补充</w:t>
      </w:r>
    </w:p>
    <w:p w14:paraId="3E1B556F">
      <w:pPr>
        <w:spacing w:line="360" w:lineRule="auto"/>
        <w:rPr>
          <w:rFonts w:hint="default" w:eastAsia="宋体"/>
          <w:sz w:val="24"/>
          <w:lang w:val="en-US" w:eastAsia="zh-CN"/>
        </w:rPr>
      </w:pPr>
      <w:r>
        <w:rPr>
          <w:b w:val="0"/>
          <w:sz w:val="21"/>
        </w:rPr>
        <w:t>发明人或撰写人：待补充</w:t>
      </w:r>
    </w:p>
    <w:p w14:paraId="38DDE4B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eastAsia="宋体"/>
          <w:sz w:val="24"/>
          <w:lang w:val="en-US" w:eastAsia="zh-CN"/>
        </w:rPr>
      </w:pPr>
      <w:r>
        <w:rPr>
          <w:b w:val="0"/>
          <w:sz w:val="21"/>
        </w:rPr>
        <w:t>发明人或撰写人的电话：待补充</w:t>
      </w:r>
    </w:p>
    <w:p w14:paraId="505BA6E1">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eastAsia="楷体_GB2312"/>
          <w:sz w:val="24"/>
        </w:rPr>
      </w:pPr>
      <w:r>
        <w:rPr>
          <w:b w:val="0"/>
          <w:sz w:val="21"/>
        </w:rPr>
        <w:t>类型：发明专利</w:t>
      </w:r>
    </w:p>
    <w:p w14:paraId="220C87F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eastAsia="楷体_GB2312"/>
          <w:sz w:val="24"/>
        </w:rPr>
      </w:pPr>
      <w:r>
        <w:rPr>
          <w:b w:val="0"/>
          <w:sz w:val="21"/>
        </w:rPr>
        <w:t>内部编号：待补充</w:t>
      </w:r>
    </w:p>
    <w:tbl>
      <w:tblPr>
        <w:tblStyle w:val="6"/>
        <w:tblW w:w="90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3"/>
      </w:tblGrid>
      <w:tr w14:paraId="6D6F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8" w:hRule="atLeast"/>
        </w:trPr>
        <w:tc>
          <w:tcPr>
            <w:tcW w:w="9073" w:type="dxa"/>
            <w:tcBorders>
              <w:top w:val="single" w:color="auto" w:sz="4" w:space="0"/>
              <w:left w:val="single" w:color="auto" w:sz="4" w:space="0"/>
              <w:right w:val="single" w:color="auto" w:sz="4" w:space="0"/>
            </w:tcBorders>
          </w:tcPr>
          <w:p>
            <w:r>
              <w:rPr>
                <w:b/>
                <w:sz w:val="24"/>
              </w:rPr>
              <w:t>专利申请名称</w:t>
            </w:r>
          </w:p>
          <w:p>
            <w:pPr>
              <w:spacing w:after="80"/>
            </w:pPr>
            <w:r>
              <w:rPr>
                <w:sz w:val="21"/>
              </w:rPr>
              <w:t>一种基于CAD永久命名的模型差异对比方法及系统</w:t>
            </w:r>
          </w:p>
        </w:tc>
      </w:tr>
      <w:tr w14:paraId="2A15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0" w:hRule="atLeast"/>
        </w:trPr>
        <w:tc>
          <w:tcPr>
            <w:tcW w:w="9073" w:type="dxa"/>
            <w:tcBorders>
              <w:top w:val="single" w:color="auto" w:sz="4" w:space="0"/>
              <w:left w:val="single" w:color="auto" w:sz="4" w:space="0"/>
              <w:bottom w:val="single" w:color="auto" w:sz="4" w:space="0"/>
              <w:right w:val="single" w:color="auto" w:sz="4" w:space="0"/>
            </w:tcBorders>
          </w:tcPr>
          <w:p>
            <w:r>
              <w:rPr>
                <w:b/>
                <w:sz w:val="24"/>
              </w:rPr>
              <w:t>同类技术的发展状况、缺陷和不足</w:t>
            </w:r>
          </w:p>
          <w:p>
            <w:pPr>
              <w:spacing w:after="80"/>
            </w:pPr>
            <w:r>
              <w:rPr>
                <w:sz w:val="21"/>
              </w:rPr>
              <w:t>在同一命名域或者同一产品数据管理链路中，CAD模型的体、面、边、顶点、特征、草图、参数、装配零部件和装配约束通常在比较开始之前就已经具有由CAD系统、CAD内核或产品数据管理系统写入的永久命名标识。该标识用于在编辑、更新或版本迭代后追踪实体来源和演化关系，因而可以作为模型差异对比的既有输入被读取。</w:t>
            </w:r>
          </w:p>
          <w:p>
            <w:pPr>
              <w:spacing w:after="80"/>
            </w:pPr>
            <w:r>
              <w:rPr>
                <w:sz w:val="21"/>
              </w:rPr>
              <w:t>然而实际编辑过程会使已有永久命名与实体之间的关系偏离一一对应，至少存在六种情形：同一比较规范键在同一模型内命中多个实体，或同一实体携带多个不等价名称，形成命名重复与多重关联；特征重排、参考更换或拓扑重构使名称与实体的绑定发生迁移，形成命名漂移；布尔运算、阵列调整、圆角重建或特征拆分使一个命名实体在另一模型中对应多个实体，或多个命名实体收敛为一个实体组，形成命名分裂与命名合并；部分实体名称缺失或被替换，形成命名失效；部分实体可用于判定的证据维度过少，形成低信息命名；局部B-rep数据、索引记录或跨命名域映射表在读取时失败或超出预定预算，使部分端点在本次比较中不具备可判定的证据。若差异对比系统直接信任永久命名，就可能把真实修改判为未变化，或把命名异常判为新增与删除。</w:t>
            </w:r>
          </w:p>
          <w:p>
            <w:pPr>
              <w:spacing w:after="80"/>
            </w:pPr>
            <w:r>
              <w:rPr>
                <w:sz w:val="21"/>
              </w:rPr>
              <w:t>现有做法主要沿三条路线展开。其一关注永久命名标识本身的生成与维持，例如US6445388B1和US7206661B2，其目标是产生名称，未处理名称已经不可靠时的差异判定。其二在两侧元素已经建立直接对应的前提下比较并列出差异，例如CN119312543A和US10192023B2，其把实体对应关系视为已知输入，未处理命名重复、漂移、分裂与合并造成的对应关系不确定。其三以高置信匹配辅助低置信匹配，并在匹配阶段结束后把剩余未匹配元素判为新增或删除，例如US10816957B2和US11288411B2，其在剩余元素上不区分确有增删与证据不足或读取失败，也未要求在输出确定性结论之前先使两侧实体形成完备且互不相交的归属。其四不使用实体身份标识，而按父子关系、共享拓扑实体的邻接关系和包围盒相交的空间重叠关系推断可能受影响的构件子集，只重新生成该子集而不重新生成其余构件，例如US8305376B2，其适用前提是不存在可读取的实体身份标识，故只能由关系推断代替身份对应，所得子集是随关系传播深度扩张的保守上界，且该路线服务于单个模型编辑会话中的局部重新生成，输入是一次修改动作而非两个已存模型版本，不解决版本间的实体对应确定问题。本方案关注的正是在永久命名部分可靠的条件下，把两个模型之间的实体对应关系作为待求解对象而不是已知输入，并在取得双侧互斥且完备的归属之后才输出确定性差异。</w:t>
            </w:r>
          </w:p>
        </w:tc>
      </w:tr>
      <w:tr w14:paraId="5FC3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r>
              <w:rPr>
                <w:b/>
                <w:sz w:val="24"/>
              </w:rPr>
              <w:t>专利技术方案</w:t>
            </w:r>
          </w:p>
          <w:p>
            <w:pPr>
              <w:spacing w:after="80"/>
            </w:pPr>
            <w:r>
              <w:rPr>
                <w:sz w:val="21"/>
              </w:rPr>
              <w:t>本方案以下述七个步骤为唯一主线，并按所列顺序建立前后依赖，不存在绕过该主线的旁路功能。步骤一读取既有永久命名关系并保真映射基数；步骤二计算命名质量状态、分离四类字段用途并执行门控；步骤三形成临时种子关系并生成稀疏候选边与三类关系假设；步骤四在同一局部分量内联合互斥选择并冻结未决端点；步骤五执行双侧完备不交分区检查与失败回流；步骤六在闭包通过后才分类；步骤七物化统一类型化差异事件与证据。</w:t>
            </w:r>
          </w:p>
          <w:p>
            <w:pPr>
              <w:spacing w:after="80"/>
            </w:pPr>
            <w:r>
              <w:rPr>
                <w:sz w:val="21"/>
              </w:rPr>
              <w:t>步骤一，获取待比较的第一CAD模型和第二CAD模型，读取两个模型中在比较开始前已经存在且可读取的永久命名实体索引、实体与比较规范键的关联关系以及既有键对应关系</w:t>
            </w:r>
            <w:r>
              <w:rPr>
                <w:sz w:val="21"/>
              </w:rPr>
              <w:t>L</w:t>
            </w:r>
            <w:r>
              <w:rPr>
                <w:sz w:val="21"/>
                <w:vertAlign w:val="subscript"/>
              </w:rPr>
              <w:t>AB</w:t>
            </w:r>
            <w:r>
              <w:rPr>
                <w:sz w:val="21"/>
              </w:rPr>
              <w:t>，按预先选定的比较层级l从B-rep面、边、顶点、特征、草图、参数、装配零部件和装配约束中形成第一侧可审计实体集合</w:t>
            </w:r>
            <w:r>
              <w:rPr>
                <w:sz w:val="21"/>
              </w:rPr>
              <w:t>U</w:t>
            </w:r>
            <w:r>
              <w:rPr>
                <w:sz w:val="21"/>
                <w:vertAlign w:val="subscript"/>
              </w:rPr>
              <w:t>A</w:t>
            </w:r>
            <w:r>
              <w:rPr>
                <w:sz w:val="21"/>
                <w:vertAlign w:val="superscript"/>
              </w:rPr>
              <w:t>l</w:t>
            </w:r>
            <w:r>
              <w:rPr>
                <w:sz w:val="21"/>
              </w:rPr>
              <w:t>和第二侧可审计实体集合</w:t>
            </w:r>
            <w:r>
              <w:rPr>
                <w:sz w:val="21"/>
              </w:rPr>
              <w:t>U</w:t>
            </w:r>
            <w:r>
              <w:rPr>
                <w:sz w:val="21"/>
                <w:vertAlign w:val="subscript"/>
              </w:rPr>
              <w:t>B</w:t>
            </w:r>
            <w:r>
              <w:rPr>
                <w:sz w:val="21"/>
                <w:vertAlign w:val="superscript"/>
              </w:rPr>
              <w:t>l</w:t>
            </w:r>
            <w:r>
              <w:rPr>
                <w:sz w:val="21"/>
              </w:rPr>
              <w:t>，并保留一个实体关联多个非等价键、一个键关联多个实体以及跨命名域键对应的原始关系基数。比较规范键仅由已有名称经统一字符编码、去除前后空白、大小写归一、分隔符归一和保留命名域前缀五个规范化步骤得到，不推导缺失名称。实体权重</w:t>
            </w:r>
            <w:r>
              <w:rPr>
                <w:sz w:val="21"/>
              </w:rPr>
              <w:t>w</w:t>
            </w:r>
            <w:r>
              <w:rPr>
                <w:sz w:val="21"/>
                <w:vertAlign w:val="subscript"/>
              </w:rPr>
              <w:t>e</w:t>
            </w:r>
            <w:r>
              <w:rPr>
                <w:sz w:val="21"/>
              </w:rPr>
              <w:t>在读取任何名称之前按比较层级固定且严格为正，不因名称读取结果或评分结果调整。既有键对应关系</w:t>
            </w:r>
            <w:r>
              <w:rPr>
                <w:sz w:val="21"/>
              </w:rPr>
              <w:t>L</w:t>
            </w:r>
            <w:r>
              <w:rPr>
                <w:sz w:val="21"/>
                <w:vertAlign w:val="subscript"/>
              </w:rPr>
              <w:t>AB</w:t>
            </w:r>
            <w:r>
              <w:rPr>
                <w:sz w:val="21"/>
              </w:rPr>
              <w:t>的每条记录为源命名域、源比较规范键、目标命名域、目标比较规范键、映射版本和映射有效期六元组，只有在当前比较时刻有效的映射边才参与键对应。可比较唯一键对集合</w:t>
            </w:r>
            <w:r>
              <w:rPr>
                <w:sz w:val="21"/>
              </w:rPr>
              <w:t>K</w:t>
            </w:r>
            <w:r>
              <w:rPr>
                <w:sz w:val="21"/>
                <w:vertAlign w:val="subscript"/>
              </w:rPr>
              <w:t>11</w:t>
            </w:r>
            <w:r>
              <w:rPr>
                <w:sz w:val="21"/>
              </w:rPr>
              <w:t>要求键侧唯一、实体端点唯一和映射唯一三重唯一同时成立。</w:t>
            </w:r>
          </w:p>
          <w:p>
            <w:pPr>
              <w:spacing w:after="80"/>
            </w:pPr>
            <w:r>
              <w:rPr>
                <w:sz w:val="21"/>
              </w:rPr>
              <w:t>步骤二之一，四类字段用途互斥分离。不可违反的硬身份约束取自永久命名实体索引中的实体维度、不可跨越的实体类型族和经可靠装配谱系确认的无关部件；语义类别、父级特征与拓扑邻接角色不作为硬身份约束，分别归入语义组、层级上下文组和关系角色组，层级、一般上下文、模型树位置、邻接关系和关系角色均不得提升为硬身份否决；软身份证据与关系证据用于形成键对一致性得分</w:t>
            </w:r>
            <w:r>
              <w:rPr>
                <w:sz w:val="21"/>
              </w:rPr>
              <w:t>q</w:t>
            </w:r>
            <w:r>
              <w:rPr>
                <w:sz w:val="21"/>
                <w:vertAlign w:val="subscript"/>
              </w:rPr>
              <w:t>κ</w:t>
            </w:r>
            <w:r>
              <w:rPr>
                <w:sz w:val="21"/>
              </w:rPr>
              <w:t>并支持关系验证；允许变化属性取自尺寸、参数和修剪几何，仅在实体对已进入一对一关系集合</w:t>
            </w:r>
            <w:r>
              <w:rPr>
                <w:sz w:val="21"/>
              </w:rPr>
              <w:t>R</w:t>
            </w:r>
            <w:r>
              <w:rPr>
                <w:sz w:val="21"/>
                <w:vertAlign w:val="subscript"/>
              </w:rPr>
              <w:t>11</w:t>
            </w:r>
            <w:r>
              <w:rPr>
                <w:sz w:val="21"/>
              </w:rPr>
              <w:t>且身份验证通过之后才被读取和计算；组聚合不变量仅用于分裂与合并假设的必要条件验证。同一字段不得同时承担两类用途，已经用于身份否决或身份确认的字段不再进入变化度计算。</w:t>
            </w:r>
          </w:p>
          <w:p>
            <w:pPr>
              <w:spacing w:after="80"/>
            </w:pPr>
            <w:r>
              <w:rPr>
                <w:sz w:val="21"/>
              </w:rPr>
              <w:t>步骤二之二，覆盖类指标口径。取具有至少一个比较规范键的实体集合</w:t>
            </w:r>
            <w:r>
              <w:rPr>
                <w:sz w:val="21"/>
              </w:rPr>
              <w:t>N</w:t>
            </w:r>
            <w:r>
              <w:rPr>
                <w:sz w:val="21"/>
                <w:vertAlign w:val="subscript"/>
              </w:rPr>
              <w:t>X</w:t>
            </w:r>
            <w:r>
              <w:rPr>
                <w:sz w:val="21"/>
              </w:rPr>
              <w:t>，命名覆盖率</w:t>
            </w:r>
            <w:r>
              <w:rPr>
                <w:sz w:val="21"/>
              </w:rPr>
              <w:t>C</w:t>
            </w:r>
            <w:r>
              <w:rPr>
                <w:sz w:val="21"/>
                <w:vertAlign w:val="subscript"/>
              </w:rPr>
              <w:t>cov,X</w:t>
            </w:r>
            <w:r>
              <w:rPr>
                <w:sz w:val="21"/>
              </w:rPr>
              <w:t>等于</w:t>
            </w:r>
            <w:r>
              <w:rPr>
                <w:sz w:val="21"/>
              </w:rPr>
              <w:t>N</w:t>
            </w:r>
            <w:r>
              <w:rPr>
                <w:sz w:val="21"/>
                <w:vertAlign w:val="subscript"/>
              </w:rPr>
              <w:t>X</w:t>
            </w:r>
            <w:r>
              <w:rPr>
                <w:sz w:val="21"/>
              </w:rPr>
              <w:t>的权重和与</w:t>
            </w:r>
            <w:r>
              <w:rPr>
                <w:sz w:val="21"/>
              </w:rPr>
              <w:t>U</w:t>
            </w:r>
            <w:r>
              <w:rPr>
                <w:sz w:val="21"/>
                <w:vertAlign w:val="subscript"/>
              </w:rPr>
              <w:t>X</w:t>
            </w:r>
            <w:r>
              <w:rPr>
                <w:sz w:val="21"/>
                <w:vertAlign w:val="superscript"/>
              </w:rPr>
              <w:t>l</w:t>
            </w:r>
            <w:r>
              <w:rPr>
                <w:sz w:val="21"/>
              </w:rPr>
              <w:t>的权重和之比；实体即使关联多个有效比较规范键在该分子中也只计一次。取唯一可用实体集合</w:t>
            </w:r>
            <w:r>
              <w:rPr>
                <w:sz w:val="21"/>
              </w:rPr>
              <w:t>G</w:t>
            </w:r>
            <w:r>
              <w:rPr>
                <w:sz w:val="21"/>
                <w:vertAlign w:val="subscript"/>
              </w:rPr>
              <w:t>X</w:t>
            </w:r>
            <w:r>
              <w:rPr>
                <w:sz w:val="21"/>
              </w:rPr>
              <w:t>，即</w:t>
            </w:r>
            <w:r>
              <w:rPr>
                <w:sz w:val="21"/>
              </w:rPr>
              <w:t>N</w:t>
            </w:r>
            <w:r>
              <w:rPr>
                <w:sz w:val="21"/>
                <w:vertAlign w:val="subscript"/>
              </w:rPr>
              <w:t>X</w:t>
            </w:r>
            <w:r>
              <w:rPr>
                <w:sz w:val="21"/>
              </w:rPr>
              <w:t>中同时满足</w:t>
            </w:r>
            <w:r>
              <w:rPr>
                <w:sz w:val="21"/>
              </w:rPr>
              <w:t>K</w:t>
            </w:r>
            <w:r>
              <w:rPr>
                <w:sz w:val="21"/>
                <w:vertAlign w:val="subscript"/>
              </w:rPr>
              <w:t>X</w:t>
            </w:r>
            <w:r>
              <w:rPr>
                <w:sz w:val="21"/>
              </w:rPr>
              <w:t>(e)仅含一个非等价比较规范键k、且</w:t>
            </w:r>
            <w:r>
              <w:rPr>
                <w:sz w:val="21"/>
              </w:rPr>
              <w:t>E</w:t>
            </w:r>
            <w:r>
              <w:rPr>
                <w:sz w:val="21"/>
                <w:vertAlign w:val="subscript"/>
              </w:rPr>
              <w:t>X</w:t>
            </w:r>
            <w:r>
              <w:rPr>
                <w:sz w:val="21"/>
              </w:rPr>
              <w:t>(k)仅含该实体本身这两个条件的实体集合，唯一可用覆盖率</w:t>
            </w:r>
            <w:r>
              <w:rPr>
                <w:sz w:val="21"/>
              </w:rPr>
              <w:t>C</w:t>
            </w:r>
            <w:r>
              <w:rPr>
                <w:sz w:val="21"/>
                <w:vertAlign w:val="subscript"/>
              </w:rPr>
              <w:t>unique,X</w:t>
            </w:r>
            <w:r>
              <w:rPr>
                <w:sz w:val="21"/>
              </w:rPr>
              <w:t>等于</w:t>
            </w:r>
            <w:r>
              <w:rPr>
                <w:sz w:val="21"/>
              </w:rPr>
              <w:t>G</w:t>
            </w:r>
            <w:r>
              <w:rPr>
                <w:sz w:val="21"/>
                <w:vertAlign w:val="subscript"/>
              </w:rPr>
              <w:t>X</w:t>
            </w:r>
            <w:r>
              <w:rPr>
                <w:sz w:val="21"/>
              </w:rPr>
              <w:t>的权重和与</w:t>
            </w:r>
            <w:r>
              <w:rPr>
                <w:sz w:val="21"/>
              </w:rPr>
              <w:t>U</w:t>
            </w:r>
            <w:r>
              <w:rPr>
                <w:sz w:val="21"/>
                <w:vertAlign w:val="subscript"/>
              </w:rPr>
              <w:t>X</w:t>
            </w:r>
            <w:r>
              <w:rPr>
                <w:sz w:val="21"/>
                <w:vertAlign w:val="superscript"/>
              </w:rPr>
              <w:t>l</w:t>
            </w:r>
            <w:r>
              <w:rPr>
                <w:sz w:val="21"/>
              </w:rPr>
              <w:t>的权重和之比。两个覆盖率的分子均按有效命名实体计数或实体权重计算，不按有效键数量计算，且必须同时报告。直接可比覆盖率</w:t>
            </w:r>
            <w:r>
              <w:rPr>
                <w:sz w:val="21"/>
              </w:rPr>
              <w:t>C</w:t>
            </w:r>
            <w:r>
              <w:rPr>
                <w:sz w:val="21"/>
                <w:vertAlign w:val="subscript"/>
              </w:rPr>
              <w:t>direct</w:t>
            </w:r>
            <w:r>
              <w:rPr>
                <w:sz w:val="21"/>
              </w:rPr>
              <w:t>等于临时种子关系</w:t>
            </w:r>
            <w:r>
              <w:rPr>
                <w:sz w:val="21"/>
              </w:rPr>
              <w:t>R</w:t>
            </w:r>
            <w:r>
              <w:rPr>
                <w:sz w:val="21"/>
                <w:vertAlign w:val="subscript"/>
              </w:rPr>
              <w:t>seed</w:t>
            </w:r>
            <w:r>
              <w:rPr>
                <w:sz w:val="21"/>
              </w:rPr>
              <w:t>规模的二倍与两侧可审计实体集合规模之和之比，仅表示可进入潜在直接验证路径的双侧实体端点比例，属于效率指标而不属于覆盖类指标，不作为命名域可信度的强制门槛，也不参与全局三态路由的阈值条件判定；合法的新增和删除会降低该指标但不据此判定命名域失效，该指标也不等于候选边比或边数减少比例。指标始终并列报告无权重计数结果；使用实体权重时权重只依赖预先声明的实体层级、业务类别或业务重要度，与实体是否有名称、是否唯一、是否冲突及最终路由状态无关，同一指标的分子分母使用同一套权重，且不得以零权重或事后调权隐藏无名称、重复名称、映射冲突或低信息实体。</w:t>
            </w:r>
          </w:p>
          <w:p>
            <w:pPr>
              <w:spacing w:after="80"/>
            </w:pPr>
            <w:r>
              <w:rPr>
                <w:sz w:val="21"/>
              </w:rPr>
              <w:t>步骤二之三，一致性类指标把通过率与平均分分别计算，不合并为同一公式。先把软身份证据按来源划分为彼此独立的软证据组，全集为软身份组</w:t>
            </w:r>
            <w:r>
              <w:rPr>
                <w:sz w:val="21"/>
              </w:rPr>
              <w:t>g</w:t>
            </w:r>
            <w:r>
              <w:rPr>
                <w:sz w:val="21"/>
                <w:vertAlign w:val="subscript"/>
              </w:rPr>
              <w:t>I</w:t>
            </w:r>
            <w:r>
              <w:rPr>
                <w:sz w:val="21"/>
              </w:rPr>
              <w:t>、层级上下文组</w:t>
            </w:r>
            <w:r>
              <w:rPr>
                <w:sz w:val="21"/>
              </w:rPr>
              <w:t>g</w:t>
            </w:r>
            <w:r>
              <w:rPr>
                <w:sz w:val="21"/>
                <w:vertAlign w:val="subscript"/>
              </w:rPr>
              <w:t>H</w:t>
            </w:r>
            <w:r>
              <w:rPr>
                <w:sz w:val="21"/>
              </w:rPr>
              <w:t>、关系角色组</w:t>
            </w:r>
            <w:r>
              <w:rPr>
                <w:sz w:val="21"/>
              </w:rPr>
              <w:t>g</w:t>
            </w:r>
            <w:r>
              <w:rPr>
                <w:sz w:val="21"/>
                <w:vertAlign w:val="subscript"/>
              </w:rPr>
              <w:t>R</w:t>
            </w:r>
            <w:r>
              <w:rPr>
                <w:sz w:val="21"/>
              </w:rPr>
              <w:t>、语义组</w:t>
            </w:r>
            <w:r>
              <w:rPr>
                <w:sz w:val="21"/>
              </w:rPr>
              <w:t>g</w:t>
            </w:r>
            <w:r>
              <w:rPr>
                <w:sz w:val="21"/>
                <w:vertAlign w:val="subscript"/>
              </w:rPr>
              <w:t>S</w:t>
            </w:r>
            <w:r>
              <w:rPr>
                <w:sz w:val="21"/>
              </w:rPr>
              <w:t>和来源映射组</w:t>
            </w:r>
            <w:r>
              <w:rPr>
                <w:sz w:val="21"/>
              </w:rPr>
              <w:t>g</w:t>
            </w:r>
            <w:r>
              <w:rPr>
                <w:sz w:val="21"/>
                <w:vertAlign w:val="subscript"/>
              </w:rPr>
              <w:t>M</w:t>
            </w:r>
            <w:r>
              <w:rPr>
                <w:sz w:val="21"/>
              </w:rPr>
              <w:t>；同一原始字段只能分配到一个组，强相关字段必须合并到同一组并对该组总贡献设置上限，以防同源字段重复计权。对每个键对κ取当前可计算、被启用且权重严格为正的软证据组子集</w:t>
            </w:r>
            <w:r>
              <w:rPr>
                <w:sz w:val="21"/>
              </w:rPr>
              <w:t>J</w:t>
            </w:r>
            <w:r>
              <w:rPr>
                <w:sz w:val="21"/>
                <w:vertAlign w:val="subscript"/>
              </w:rPr>
              <w:t>κ</w:t>
            </w:r>
            <w:r>
              <w:rPr>
                <w:sz w:val="21"/>
                <w:vertAlign w:val="superscript"/>
              </w:rPr>
              <w:t>+</w:t>
            </w:r>
            <w:r>
              <w:rPr>
                <w:sz w:val="21"/>
              </w:rPr>
              <w:t>；完整权重向量α、启用组集合</w:t>
            </w:r>
            <w:r>
              <w:rPr>
                <w:sz w:val="21"/>
              </w:rPr>
              <w:t>G</w:t>
            </w:r>
            <w:r>
              <w:rPr>
                <w:sz w:val="21"/>
                <w:vertAlign w:val="subscript"/>
              </w:rPr>
              <w:t>on</w:t>
            </w:r>
            <w:r>
              <w:rPr>
                <w:sz w:val="21"/>
              </w:rPr>
              <w:t>、证据覆盖策略</w:t>
            </w:r>
            <w:r>
              <w:rPr>
                <w:sz w:val="21"/>
              </w:rPr>
              <w:t>Π</w:t>
            </w:r>
            <w:r>
              <w:rPr>
                <w:sz w:val="21"/>
                <w:vertAlign w:val="subscript"/>
              </w:rPr>
              <w:t>ev</w:t>
            </w:r>
            <w:r>
              <w:rPr>
                <w:sz w:val="21"/>
              </w:rPr>
              <w:t>与各组归一化函数及其版本必须作为同一版本化配置在任何评分发生之前共同固定，不得在读取评分结果后调整或放宽。任何证据覆盖策略都必须满足不可降低的底线，即</w:t>
            </w:r>
            <w:r>
              <w:rPr>
                <w:sz w:val="21"/>
              </w:rPr>
              <w:t>J</w:t>
            </w:r>
            <w:r>
              <w:rPr>
                <w:sz w:val="21"/>
                <w:vertAlign w:val="subscript"/>
              </w:rPr>
              <w:t>κ</w:t>
            </w:r>
            <w:r>
              <w:rPr>
                <w:sz w:val="21"/>
                <w:vertAlign w:val="superscript"/>
              </w:rPr>
              <w:t>+</w:t>
            </w:r>
            <w:r>
              <w:rPr>
                <w:sz w:val="21"/>
              </w:rPr>
              <w:t>至少覆盖两个彼此独立的软证据组，必需组策略只能在此底线上叠加而不能允许单组证据通过。</w:t>
            </w:r>
            <w:r>
              <w:rPr>
                <w:sz w:val="21"/>
              </w:rPr>
              <w:t>J</w:t>
            </w:r>
            <w:r>
              <w:rPr>
                <w:sz w:val="21"/>
                <w:vertAlign w:val="subscript"/>
              </w:rPr>
              <w:t>κ</w:t>
            </w:r>
            <w:r>
              <w:rPr>
                <w:sz w:val="21"/>
                <w:vertAlign w:val="superscript"/>
              </w:rPr>
              <w:t>+</w:t>
            </w:r>
            <w:r>
              <w:rPr>
                <w:sz w:val="21"/>
              </w:rPr>
              <w:t>所含独立软证据组数量小于二、或缺失任一预先声明的必需组的键对归入低信息键对集合</w:t>
            </w:r>
            <w:r>
              <w:rPr>
                <w:sz w:val="21"/>
              </w:rPr>
              <w:t>K</w:t>
            </w:r>
            <w:r>
              <w:rPr>
                <w:sz w:val="21"/>
                <w:vertAlign w:val="subscript"/>
              </w:rPr>
              <w:t>lowinfo</w:t>
            </w:r>
            <w:r>
              <w:rPr>
                <w:sz w:val="21"/>
              </w:rPr>
              <w:t>；两个实体端点违反任一硬身份约束的键对归入硬冲突键对集合</w:t>
            </w:r>
            <w:r>
              <w:rPr>
                <w:sz w:val="21"/>
              </w:rPr>
              <w:t>K</w:t>
            </w:r>
            <w:r>
              <w:rPr>
                <w:sz w:val="21"/>
                <w:vertAlign w:val="subscript"/>
              </w:rPr>
              <w:t>hard</w:t>
            </w:r>
            <w:r>
              <w:rPr>
                <w:sz w:val="21"/>
              </w:rPr>
              <w:t>；其余归入可评分键对集合</w:t>
            </w:r>
            <w:r>
              <w:rPr>
                <w:sz w:val="21"/>
              </w:rPr>
              <w:t>K</w:t>
            </w:r>
            <w:r>
              <w:rPr>
                <w:sz w:val="21"/>
                <w:vertAlign w:val="subscript"/>
              </w:rPr>
              <w:t>score</w:t>
            </w:r>
            <w:r>
              <w:rPr>
                <w:sz w:val="21"/>
              </w:rPr>
              <w:t>，并按</w:t>
            </w:r>
            <w:r>
              <w:rPr>
                <w:sz w:val="21"/>
              </w:rPr>
              <w:t>J</w:t>
            </w:r>
            <w:r>
              <w:rPr>
                <w:sz w:val="21"/>
                <w:vertAlign w:val="subscript"/>
              </w:rPr>
              <w:t>κ</w:t>
            </w:r>
            <w:r>
              <w:rPr>
                <w:sz w:val="21"/>
                <w:vertAlign w:val="superscript"/>
              </w:rPr>
              <w:t>+</w:t>
            </w:r>
            <w:r>
              <w:rPr>
                <w:sz w:val="21"/>
              </w:rPr>
              <w:t>中各组得分及其严格正权重的加权平均得到</w:t>
            </w:r>
            <w:r>
              <w:rPr>
                <w:sz w:val="21"/>
              </w:rPr>
              <w:t>q</w:t>
            </w:r>
            <w:r>
              <w:rPr>
                <w:sz w:val="21"/>
                <w:vertAlign w:val="subscript"/>
              </w:rPr>
              <w:t>κ</w:t>
            </w:r>
            <w:r>
              <w:rPr>
                <w:sz w:val="21"/>
              </w:rPr>
              <w:t>。硬身份约束数据、单实体允许变化属性和组聚合不变量均不能使</w:t>
            </w:r>
            <w:r>
              <w:rPr>
                <w:sz w:val="21"/>
              </w:rPr>
              <w:t>J</w:t>
            </w:r>
            <w:r>
              <w:rPr>
                <w:sz w:val="21"/>
                <w:vertAlign w:val="subscript"/>
              </w:rPr>
              <w:t>κ</w:t>
            </w:r>
            <w:r>
              <w:rPr>
                <w:sz w:val="21"/>
                <w:vertAlign w:val="superscript"/>
              </w:rPr>
              <w:t>+</w:t>
            </w:r>
            <w:r>
              <w:rPr>
                <w:sz w:val="21"/>
              </w:rPr>
              <w:t>非空，缺失组从</w:t>
            </w:r>
            <w:r>
              <w:rPr>
                <w:sz w:val="21"/>
              </w:rPr>
              <w:t>J</w:t>
            </w:r>
            <w:r>
              <w:rPr>
                <w:sz w:val="21"/>
                <w:vertAlign w:val="subscript"/>
              </w:rPr>
              <w:t>κ</w:t>
            </w:r>
            <w:r>
              <w:rPr>
                <w:sz w:val="21"/>
                <w:vertAlign w:val="superscript"/>
              </w:rPr>
              <w:t>+</w:t>
            </w:r>
            <w:r>
              <w:rPr>
                <w:sz w:val="21"/>
              </w:rPr>
              <w:t>、分子和分母中同时移除而不按零分处理。一致性通过率</w:t>
            </w:r>
            <w:r>
              <w:rPr>
                <w:sz w:val="21"/>
              </w:rPr>
              <w:t>R</w:t>
            </w:r>
            <w:r>
              <w:rPr>
                <w:sz w:val="21"/>
                <w:vertAlign w:val="subscript"/>
              </w:rPr>
              <w:t>cons</w:t>
            </w:r>
            <w:r>
              <w:rPr>
                <w:sz w:val="21"/>
              </w:rPr>
              <w:t>以</w:t>
            </w:r>
            <w:r>
              <w:rPr>
                <w:sz w:val="21"/>
              </w:rPr>
              <w:t>K</w:t>
            </w:r>
            <w:r>
              <w:rPr>
                <w:sz w:val="21"/>
                <w:vertAlign w:val="subscript"/>
              </w:rPr>
              <w:t>11</w:t>
            </w:r>
            <w:r>
              <w:rPr>
                <w:sz w:val="21"/>
              </w:rPr>
              <w:t>为分母，以</w:t>
            </w:r>
            <w:r>
              <w:rPr>
                <w:sz w:val="21"/>
              </w:rPr>
              <w:t>K</w:t>
            </w:r>
            <w:r>
              <w:rPr>
                <w:sz w:val="21"/>
                <w:vertAlign w:val="subscript"/>
              </w:rPr>
              <w:t>score</w:t>
            </w:r>
            <w:r>
              <w:rPr>
                <w:sz w:val="21"/>
              </w:rPr>
              <w:t>中</w:t>
            </w:r>
            <w:r>
              <w:rPr>
                <w:sz w:val="21"/>
              </w:rPr>
              <w:t>q</w:t>
            </w:r>
            <w:r>
              <w:rPr>
                <w:sz w:val="21"/>
                <w:vertAlign w:val="subscript"/>
              </w:rPr>
              <w:t>κ</w:t>
            </w:r>
            <w:r>
              <w:rPr>
                <w:sz w:val="21"/>
              </w:rPr>
              <w:t>不小于</w:t>
            </w:r>
            <w:r>
              <w:rPr>
                <w:sz w:val="21"/>
              </w:rPr>
              <w:t>τ</w:t>
            </w:r>
            <w:r>
              <w:rPr>
                <w:sz w:val="21"/>
                <w:vertAlign w:val="subscript"/>
              </w:rPr>
              <w:t>cons</w:t>
            </w:r>
            <w:r>
              <w:rPr>
                <w:sz w:val="21"/>
              </w:rPr>
              <w:t>的键对数量为分子；平均一致性</w:t>
            </w:r>
            <w:r>
              <w:rPr>
                <w:sz w:val="21"/>
              </w:rPr>
              <w:t>S</w:t>
            </w:r>
            <w:r>
              <w:rPr>
                <w:sz w:val="21"/>
                <w:vertAlign w:val="subscript"/>
              </w:rPr>
              <w:t>cons</w:t>
            </w:r>
            <w:r>
              <w:rPr>
                <w:sz w:val="21"/>
              </w:rPr>
              <w:t>以</w:t>
            </w:r>
            <w:r>
              <w:rPr>
                <w:sz w:val="21"/>
              </w:rPr>
              <w:t>K</w:t>
            </w:r>
            <w:r>
              <w:rPr>
                <w:sz w:val="21"/>
                <w:vertAlign w:val="subscript"/>
              </w:rPr>
              <w:t>score</w:t>
            </w:r>
            <w:r>
              <w:rPr>
                <w:sz w:val="21"/>
              </w:rPr>
              <w:t>为分母，以</w:t>
            </w:r>
            <w:r>
              <w:rPr>
                <w:sz w:val="21"/>
              </w:rPr>
              <w:t>K</w:t>
            </w:r>
            <w:r>
              <w:rPr>
                <w:sz w:val="21"/>
                <w:vertAlign w:val="subscript"/>
              </w:rPr>
              <w:t>score</w:t>
            </w:r>
            <w:r>
              <w:rPr>
                <w:sz w:val="21"/>
              </w:rPr>
              <w:t>上</w:t>
            </w:r>
            <w:r>
              <w:rPr>
                <w:sz w:val="21"/>
              </w:rPr>
              <w:t>q</w:t>
            </w:r>
            <w:r>
              <w:rPr>
                <w:sz w:val="21"/>
                <w:vertAlign w:val="subscript"/>
              </w:rPr>
              <w:t>κ</w:t>
            </w:r>
            <w:r>
              <w:rPr>
                <w:sz w:val="21"/>
              </w:rPr>
              <w:t>按键对权重</w:t>
            </w:r>
            <w:r>
              <w:rPr>
                <w:sz w:val="21"/>
              </w:rPr>
              <w:t>w</w:t>
            </w:r>
            <w:r>
              <w:rPr>
                <w:sz w:val="21"/>
                <w:vertAlign w:val="subscript"/>
              </w:rPr>
              <w:t>κ</w:t>
            </w:r>
            <w:r>
              <w:rPr>
                <w:sz w:val="21"/>
              </w:rPr>
              <w:t>的加权和为分子，</w:t>
            </w:r>
            <w:r>
              <w:rPr>
                <w:sz w:val="21"/>
              </w:rPr>
              <w:t>w</w:t>
            </w:r>
            <w:r>
              <w:rPr>
                <w:sz w:val="21"/>
                <w:vertAlign w:val="subscript"/>
              </w:rPr>
              <w:t>κ</w:t>
            </w:r>
            <w:r>
              <w:rPr>
                <w:sz w:val="21"/>
              </w:rPr>
              <w:t>取两个实体端点权重的算术平均。硬冲突率</w:t>
            </w:r>
            <w:r>
              <w:rPr>
                <w:sz w:val="21"/>
              </w:rPr>
              <w:t>C</w:t>
            </w:r>
            <w:r>
              <w:rPr>
                <w:sz w:val="21"/>
                <w:vertAlign w:val="subscript"/>
              </w:rPr>
              <w:t>hard</w:t>
            </w:r>
            <w:r>
              <w:rPr>
                <w:sz w:val="21"/>
              </w:rPr>
              <w:t>与低信息率</w:t>
            </w:r>
            <w:r>
              <w:rPr>
                <w:sz w:val="21"/>
              </w:rPr>
              <w:t>C</w:t>
            </w:r>
            <w:r>
              <w:rPr>
                <w:sz w:val="21"/>
                <w:vertAlign w:val="subscript"/>
              </w:rPr>
              <w:t>lowinfo</w:t>
            </w:r>
            <w:r>
              <w:rPr>
                <w:sz w:val="21"/>
              </w:rPr>
              <w:t>分别以</w:t>
            </w:r>
            <w:r>
              <w:rPr>
                <w:sz w:val="21"/>
              </w:rPr>
              <w:t>K</w:t>
            </w:r>
            <w:r>
              <w:rPr>
                <w:sz w:val="21"/>
                <w:vertAlign w:val="subscript"/>
              </w:rPr>
              <w:t>hard</w:t>
            </w:r>
            <w:r>
              <w:rPr>
                <w:sz w:val="21"/>
              </w:rPr>
              <w:t>、</w:t>
            </w:r>
            <w:r>
              <w:rPr>
                <w:sz w:val="21"/>
              </w:rPr>
              <w:t>K</w:t>
            </w:r>
            <w:r>
              <w:rPr>
                <w:sz w:val="21"/>
                <w:vertAlign w:val="subscript"/>
              </w:rPr>
              <w:t>lowinfo</w:t>
            </w:r>
            <w:r>
              <w:rPr>
                <w:sz w:val="21"/>
              </w:rPr>
              <w:t>的规模为分子、以</w:t>
            </w:r>
            <w:r>
              <w:rPr>
                <w:sz w:val="21"/>
              </w:rPr>
              <w:t>K</w:t>
            </w:r>
            <w:r>
              <w:rPr>
                <w:sz w:val="21"/>
                <w:vertAlign w:val="subscript"/>
              </w:rPr>
              <w:t>11</w:t>
            </w:r>
            <w:r>
              <w:rPr>
                <w:sz w:val="21"/>
              </w:rPr>
              <w:t>为分母另行报告。硬冲突键对与低信息键对不构造</w:t>
            </w:r>
            <w:r>
              <w:rPr>
                <w:sz w:val="21"/>
              </w:rPr>
              <w:t>q</w:t>
            </w:r>
            <w:r>
              <w:rPr>
                <w:sz w:val="21"/>
                <w:vertAlign w:val="subscript"/>
              </w:rPr>
              <w:t>κ</w:t>
            </w:r>
            <w:r>
              <w:rPr>
                <w:sz w:val="21"/>
              </w:rPr>
              <w:t>，也不进入</w:t>
            </w:r>
            <w:r>
              <w:rPr>
                <w:sz w:val="21"/>
              </w:rPr>
              <w:t>S</w:t>
            </w:r>
            <w:r>
              <w:rPr>
                <w:sz w:val="21"/>
                <w:vertAlign w:val="subscript"/>
              </w:rPr>
              <w:t>cons</w:t>
            </w:r>
            <w:r>
              <w:rPr>
                <w:sz w:val="21"/>
              </w:rPr>
              <w:t>的平均值。</w:t>
            </w:r>
          </w:p>
          <w:p>
            <w:pPr>
              <w:spacing w:after="80"/>
            </w:pPr>
            <w:r>
              <w:rPr>
                <w:sz w:val="21"/>
              </w:rPr>
              <w:t>步骤二之四，冲突类与映射类指标口径。单模型重复率</w:t>
            </w:r>
            <w:r>
              <w:rPr>
                <w:sz w:val="21"/>
              </w:rPr>
              <w:t>C</w:t>
            </w:r>
            <w:r>
              <w:rPr>
                <w:sz w:val="21"/>
                <w:vertAlign w:val="subscript"/>
              </w:rPr>
              <w:t>dup,X</w:t>
            </w:r>
            <w:r>
              <w:rPr>
                <w:sz w:val="21"/>
              </w:rPr>
              <w:t>等于同一模型内被重复比较规范键命中的命名实体集合</w:t>
            </w:r>
            <w:r>
              <w:rPr>
                <w:sz w:val="21"/>
              </w:rPr>
              <w:t>D</w:t>
            </w:r>
            <w:r>
              <w:rPr>
                <w:sz w:val="21"/>
                <w:vertAlign w:val="subscript"/>
              </w:rPr>
              <w:t>X</w:t>
            </w:r>
            <w:r>
              <w:rPr>
                <w:sz w:val="21"/>
              </w:rPr>
              <w:t>与</w:t>
            </w:r>
            <w:r>
              <w:rPr>
                <w:sz w:val="21"/>
              </w:rPr>
              <w:t>N</w:t>
            </w:r>
            <w:r>
              <w:rPr>
                <w:sz w:val="21"/>
                <w:vertAlign w:val="subscript"/>
              </w:rPr>
              <w:t>X</w:t>
            </w:r>
            <w:r>
              <w:rPr>
                <w:sz w:val="21"/>
              </w:rPr>
              <w:t>之比。跨版本冲突键对集合</w:t>
            </w:r>
            <w:r>
              <w:rPr>
                <w:sz w:val="21"/>
              </w:rPr>
              <w:t>K</w:t>
            </w:r>
            <w:r>
              <w:rPr>
                <w:sz w:val="21"/>
                <w:vertAlign w:val="subscript"/>
              </w:rPr>
              <w:t>conf</w:t>
            </w:r>
            <w:r>
              <w:rPr>
                <w:sz w:val="21"/>
              </w:rPr>
              <w:t>等于硬冲突键对集合</w:t>
            </w:r>
            <w:r>
              <w:rPr>
                <w:sz w:val="21"/>
              </w:rPr>
              <w:t>K</w:t>
            </w:r>
            <w:r>
              <w:rPr>
                <w:sz w:val="21"/>
                <w:vertAlign w:val="subscript"/>
              </w:rPr>
              <w:t>hard</w:t>
            </w:r>
            <w:r>
              <w:rPr>
                <w:sz w:val="21"/>
              </w:rPr>
              <w:t>与可评分键对集合</w:t>
            </w:r>
            <w:r>
              <w:rPr>
                <w:sz w:val="21"/>
              </w:rPr>
              <w:t>K</w:t>
            </w:r>
            <w:r>
              <w:rPr>
                <w:sz w:val="21"/>
                <w:vertAlign w:val="subscript"/>
              </w:rPr>
              <w:t>score</w:t>
            </w:r>
            <w:r>
              <w:rPr>
                <w:sz w:val="21"/>
              </w:rPr>
              <w:t>中</w:t>
            </w:r>
            <w:r>
              <w:rPr>
                <w:sz w:val="21"/>
              </w:rPr>
              <w:t>q</w:t>
            </w:r>
            <w:r>
              <w:rPr>
                <w:sz w:val="21"/>
                <w:vertAlign w:val="subscript"/>
              </w:rPr>
              <w:t>κ</w:t>
            </w:r>
            <w:r>
              <w:rPr>
                <w:sz w:val="21"/>
              </w:rPr>
              <w:t>小于冲突阈值</w:t>
            </w:r>
            <w:r>
              <w:rPr>
                <w:sz w:val="21"/>
              </w:rPr>
              <w:t>τ</w:t>
            </w:r>
            <w:r>
              <w:rPr>
                <w:sz w:val="21"/>
                <w:vertAlign w:val="subscript"/>
              </w:rPr>
              <w:t>conf</w:t>
            </w:r>
            <w:r>
              <w:rPr>
                <w:sz w:val="21"/>
              </w:rPr>
              <w:t>的键对集合之并集，即</w:t>
            </w:r>
            <w:r>
              <w:rPr>
                <w:sz w:val="21"/>
              </w:rPr>
              <w:t>K</w:t>
            </w:r>
            <w:r>
              <w:rPr>
                <w:sz w:val="21"/>
                <w:vertAlign w:val="subscript"/>
              </w:rPr>
              <w:t>conf</w:t>
            </w:r>
            <w:r>
              <w:rPr>
                <w:sz w:val="21"/>
              </w:rPr>
              <w:t>=</w:t>
            </w:r>
            <w:r>
              <w:rPr>
                <w:sz w:val="21"/>
              </w:rPr>
              <w:t>K</w:t>
            </w:r>
            <w:r>
              <w:rPr>
                <w:sz w:val="21"/>
                <w:vertAlign w:val="subscript"/>
              </w:rPr>
              <w:t>hard</w:t>
            </w:r>
            <w:r>
              <w:rPr>
                <w:sz w:val="21"/>
              </w:rPr>
              <w:t>∪{κ∈</w:t>
            </w:r>
            <w:r>
              <w:rPr>
                <w:sz w:val="21"/>
              </w:rPr>
              <w:t>K</w:t>
            </w:r>
            <w:r>
              <w:rPr>
                <w:sz w:val="21"/>
                <w:vertAlign w:val="subscript"/>
              </w:rPr>
              <w:t>score</w:t>
            </w:r>
            <w:r>
              <w:rPr>
                <w:sz w:val="21"/>
              </w:rPr>
              <w:t xml:space="preserve"> | </w:t>
            </w:r>
            <w:r>
              <w:rPr>
                <w:sz w:val="21"/>
              </w:rPr>
              <w:t>q</w:t>
            </w:r>
            <w:r>
              <w:rPr>
                <w:sz w:val="21"/>
                <w:vertAlign w:val="subscript"/>
              </w:rPr>
              <w:t>κ</w:t>
            </w:r>
            <w:r>
              <w:rPr>
                <w:sz w:val="21"/>
              </w:rPr>
              <w:t>&lt;</w:t>
            </w:r>
            <w:r>
              <w:rPr>
                <w:sz w:val="21"/>
              </w:rPr>
              <w:t>τ</w:t>
            </w:r>
            <w:r>
              <w:rPr>
                <w:sz w:val="21"/>
                <w:vertAlign w:val="subscript"/>
              </w:rPr>
              <w:t>conf</w:t>
            </w:r>
            <w:r>
              <w:rPr>
                <w:sz w:val="21"/>
              </w:rPr>
              <w:t>}；跨版本冲突率</w:t>
            </w:r>
            <w:r>
              <w:rPr>
                <w:sz w:val="21"/>
              </w:rPr>
              <w:t>C</w:t>
            </w:r>
            <w:r>
              <w:rPr>
                <w:sz w:val="21"/>
                <w:vertAlign w:val="subscript"/>
              </w:rPr>
              <w:t>cross</w:t>
            </w:r>
            <w:r>
              <w:rPr>
                <w:sz w:val="21"/>
              </w:rPr>
              <w:t>等于</w:t>
            </w:r>
            <w:r>
              <w:rPr>
                <w:sz w:val="21"/>
              </w:rPr>
              <w:t>K</w:t>
            </w:r>
            <w:r>
              <w:rPr>
                <w:sz w:val="21"/>
                <w:vertAlign w:val="subscript"/>
              </w:rPr>
              <w:t>conf</w:t>
            </w:r>
            <w:r>
              <w:rPr>
                <w:sz w:val="21"/>
              </w:rPr>
              <w:t>与</w:t>
            </w:r>
            <w:r>
              <w:rPr>
                <w:sz w:val="21"/>
              </w:rPr>
              <w:t>K</w:t>
            </w:r>
            <w:r>
              <w:rPr>
                <w:sz w:val="21"/>
                <w:vertAlign w:val="subscript"/>
              </w:rPr>
              <w:t>11</w:t>
            </w:r>
            <w:r>
              <w:rPr>
                <w:sz w:val="21"/>
              </w:rPr>
              <w:t>之比。低信息键对集合</w:t>
            </w:r>
            <w:r>
              <w:rPr>
                <w:sz w:val="21"/>
              </w:rPr>
              <w:t>K</w:t>
            </w:r>
            <w:r>
              <w:rPr>
                <w:sz w:val="21"/>
                <w:vertAlign w:val="subscript"/>
              </w:rPr>
              <w:t>lowinfo</w:t>
            </w:r>
            <w:r>
              <w:rPr>
                <w:sz w:val="21"/>
              </w:rPr>
              <w:t>单独由</w:t>
            </w:r>
            <w:r>
              <w:rPr>
                <w:sz w:val="21"/>
              </w:rPr>
              <w:t>C</w:t>
            </w:r>
            <w:r>
              <w:rPr>
                <w:sz w:val="21"/>
                <w:vertAlign w:val="subscript"/>
              </w:rPr>
              <w:t>lowinfo</w:t>
            </w:r>
            <w:r>
              <w:rPr>
                <w:sz w:val="21"/>
              </w:rPr>
              <w:t>报告，不混入</w:t>
            </w:r>
            <w:r>
              <w:rPr>
                <w:sz w:val="21"/>
              </w:rPr>
              <w:t>K</w:t>
            </w:r>
            <w:r>
              <w:rPr>
                <w:sz w:val="21"/>
                <w:vertAlign w:val="subscript"/>
              </w:rPr>
              <w:t>conf</w:t>
            </w:r>
            <w:r>
              <w:rPr>
                <w:sz w:val="21"/>
              </w:rPr>
              <w:t>或</w:t>
            </w:r>
            <w:r>
              <w:rPr>
                <w:sz w:val="21"/>
              </w:rPr>
              <w:t>C</w:t>
            </w:r>
            <w:r>
              <w:rPr>
                <w:sz w:val="21"/>
                <w:vertAlign w:val="subscript"/>
              </w:rPr>
              <w:t>cross</w:t>
            </w:r>
            <w:r>
              <w:rPr>
                <w:sz w:val="21"/>
              </w:rPr>
              <w:t>；普通尺寸、面积、参数或修剪变化属于模型修改证据，不单独计入跨版本身份冲突。映射类指标仅在跨命名域比较时按映射方向分别计算，且全部按实体口径而非比较规范键数量计算：需映射源实体集合</w:t>
            </w:r>
            <w:r>
              <w:rPr>
                <w:sz w:val="21"/>
              </w:rPr>
              <w:t>U</w:t>
            </w:r>
            <w:r>
              <w:rPr>
                <w:sz w:val="21"/>
                <w:vertAlign w:val="subscript"/>
              </w:rPr>
              <w:t>X</w:t>
            </w:r>
            <w:r>
              <w:rPr>
                <w:sz w:val="21"/>
                <w:vertAlign w:val="superscript"/>
              </w:rPr>
              <w:t>mapreq</w:t>
            </w:r>
            <w:r>
              <w:rPr>
                <w:sz w:val="21"/>
              </w:rPr>
              <w:t>为该方向上具有源命名域有效比较规范键且直接与目标命名域比较需要映射的源实体集合，已映射源实体集合</w:t>
            </w:r>
            <w:r>
              <w:rPr>
                <w:sz w:val="21"/>
              </w:rPr>
              <w:t>U</w:t>
            </w:r>
            <w:r>
              <w:rPr>
                <w:sz w:val="21"/>
                <w:vertAlign w:val="subscript"/>
              </w:rPr>
              <w:t>X</w:t>
            </w:r>
            <w:r>
              <w:rPr>
                <w:sz w:val="21"/>
                <w:vertAlign w:val="superscript"/>
              </w:rPr>
              <w:t>mapped</w:t>
            </w:r>
            <w:r>
              <w:rPr>
                <w:sz w:val="21"/>
              </w:rPr>
              <w:t>为</w:t>
            </w:r>
            <w:r>
              <w:rPr>
                <w:sz w:val="21"/>
              </w:rPr>
              <w:t>U</w:t>
            </w:r>
            <w:r>
              <w:rPr>
                <w:sz w:val="21"/>
                <w:vertAlign w:val="subscript"/>
              </w:rPr>
              <w:t>X</w:t>
            </w:r>
            <w:r>
              <w:rPr>
                <w:sz w:val="21"/>
                <w:vertAlign w:val="superscript"/>
              </w:rPr>
              <w:t>mapreq</w:t>
            </w:r>
            <w:r>
              <w:rPr>
                <w:sz w:val="21"/>
              </w:rPr>
              <w:t>中至少一个比较规范键是有效映射边集合</w:t>
            </w:r>
            <w:r>
              <w:rPr>
                <w:sz w:val="21"/>
              </w:rPr>
              <w:t>M</w:t>
            </w:r>
            <w:r>
              <w:rPr>
                <w:sz w:val="21"/>
                <w:vertAlign w:val="subscript"/>
              </w:rPr>
              <w:t>edge,valid</w:t>
            </w:r>
            <w:r>
              <w:rPr>
                <w:sz w:val="21"/>
              </w:rPr>
              <w:t>中某条边的源键的实体集合，映射覆盖率</w:t>
            </w:r>
            <w:r>
              <w:rPr>
                <w:sz w:val="21"/>
              </w:rPr>
              <w:t>C</w:t>
            </w:r>
            <w:r>
              <w:rPr>
                <w:sz w:val="21"/>
                <w:vertAlign w:val="subscript"/>
              </w:rPr>
              <w:t>mapcov,X</w:t>
            </w:r>
            <w:r>
              <w:rPr>
                <w:sz w:val="21"/>
              </w:rPr>
              <w:t>等于</w:t>
            </w:r>
            <w:r>
              <w:rPr>
                <w:sz w:val="21"/>
              </w:rPr>
              <w:t>U</w:t>
            </w:r>
            <w:r>
              <w:rPr>
                <w:sz w:val="21"/>
                <w:vertAlign w:val="subscript"/>
              </w:rPr>
              <w:t>X</w:t>
            </w:r>
            <w:r>
              <w:rPr>
                <w:sz w:val="21"/>
                <w:vertAlign w:val="superscript"/>
              </w:rPr>
              <w:t>mapped</w:t>
            </w:r>
            <w:r>
              <w:rPr>
                <w:sz w:val="21"/>
              </w:rPr>
              <w:t>的权重和与</w:t>
            </w:r>
            <w:r>
              <w:rPr>
                <w:sz w:val="21"/>
              </w:rPr>
              <w:t>U</w:t>
            </w:r>
            <w:r>
              <w:rPr>
                <w:sz w:val="21"/>
                <w:vertAlign w:val="subscript"/>
              </w:rPr>
              <w:t>X</w:t>
            </w:r>
            <w:r>
              <w:rPr>
                <w:sz w:val="21"/>
                <w:vertAlign w:val="superscript"/>
              </w:rPr>
              <w:t>mapreq</w:t>
            </w:r>
            <w:r>
              <w:rPr>
                <w:sz w:val="21"/>
              </w:rPr>
              <w:t>的权重和之比，一个源实体即使存在多条有效目标映射在分子中也只计一次，业务要求双向映射时分别报告两个方向而不以单向结果替代；映射边冲突率</w:t>
            </w:r>
            <w:r>
              <w:rPr>
                <w:sz w:val="21"/>
              </w:rPr>
              <w:t>C</w:t>
            </w:r>
            <w:r>
              <w:rPr>
                <w:sz w:val="21"/>
                <w:vertAlign w:val="subscript"/>
              </w:rPr>
              <w:t>mapedgeconf,X</w:t>
            </w:r>
            <w:r>
              <w:rPr>
                <w:sz w:val="21"/>
              </w:rPr>
              <w:t>等于冲突边集合</w:t>
            </w:r>
            <w:r>
              <w:rPr>
                <w:sz w:val="21"/>
              </w:rPr>
              <w:t>M</w:t>
            </w:r>
            <w:r>
              <w:rPr>
                <w:sz w:val="21"/>
                <w:vertAlign w:val="subscript"/>
              </w:rPr>
              <w:t>edge,conf</w:t>
            </w:r>
            <w:r>
              <w:rPr>
                <w:sz w:val="21"/>
              </w:rPr>
              <w:t>与</w:t>
            </w:r>
            <w:r>
              <w:rPr>
                <w:sz w:val="21"/>
              </w:rPr>
              <w:t>M</w:t>
            </w:r>
            <w:r>
              <w:rPr>
                <w:sz w:val="21"/>
                <w:vertAlign w:val="subscript"/>
              </w:rPr>
              <w:t>edge,valid</w:t>
            </w:r>
            <w:r>
              <w:rPr>
                <w:sz w:val="21"/>
              </w:rPr>
              <w:t>之比，其中</w:t>
            </w:r>
            <w:r>
              <w:rPr>
                <w:sz w:val="21"/>
              </w:rPr>
              <w:t>M</w:t>
            </w:r>
            <w:r>
              <w:rPr>
                <w:sz w:val="21"/>
                <w:vertAlign w:val="subscript"/>
              </w:rPr>
              <w:t>edge,conf</w:t>
            </w:r>
            <w:r>
              <w:rPr>
                <w:sz w:val="21"/>
              </w:rPr>
              <w:t>为</w:t>
            </w:r>
            <w:r>
              <w:rPr>
                <w:sz w:val="21"/>
              </w:rPr>
              <w:t>M</w:t>
            </w:r>
            <w:r>
              <w:rPr>
                <w:sz w:val="21"/>
                <w:vertAlign w:val="subscript"/>
              </w:rPr>
              <w:t>edge,valid</w:t>
            </w:r>
            <w:r>
              <w:rPr>
                <w:sz w:val="21"/>
              </w:rPr>
              <w:t>中无法由比较开始前已经存在并通过版本、来源与有效期校验的合法别名声明、版本谱系记录或分裂合并声明解释的边，可解释性判断不得使用本次比较的匹配结果、候选组关系验证结果或最终差异结果回填、豁免或重新分类映射边；端点映射冲突率</w:t>
            </w:r>
            <w:r>
              <w:rPr>
                <w:sz w:val="21"/>
              </w:rPr>
              <w:t>C</w:t>
            </w:r>
            <w:r>
              <w:rPr>
                <w:sz w:val="21"/>
                <w:vertAlign w:val="subscript"/>
              </w:rPr>
              <w:t>mapconf,X</w:t>
            </w:r>
            <w:r>
              <w:rPr>
                <w:sz w:val="21"/>
              </w:rPr>
              <w:t>按源侧、目标侧和双侧端点合并三种口径分别给出，源侧以</w:t>
            </w:r>
            <w:r>
              <w:rPr>
                <w:sz w:val="21"/>
              </w:rPr>
              <w:t>U</w:t>
            </w:r>
            <w:r>
              <w:rPr>
                <w:sz w:val="21"/>
                <w:vertAlign w:val="subscript"/>
              </w:rPr>
              <w:t>X</w:t>
            </w:r>
            <w:r>
              <w:rPr>
                <w:sz w:val="21"/>
                <w:vertAlign w:val="superscript"/>
              </w:rPr>
              <w:t>mapreq</w:t>
            </w:r>
            <w:r>
              <w:rPr>
                <w:sz w:val="21"/>
              </w:rPr>
              <w:t>为分母，目标侧以</w:t>
            </w:r>
            <w:r>
              <w:rPr>
                <w:sz w:val="21"/>
              </w:rPr>
              <w:t>M</w:t>
            </w:r>
            <w:r>
              <w:rPr>
                <w:sz w:val="21"/>
                <w:vertAlign w:val="subscript"/>
              </w:rPr>
              <w:t>edge,valid</w:t>
            </w:r>
            <w:r>
              <w:rPr>
                <w:sz w:val="21"/>
              </w:rPr>
              <w:t>涉及的目标实体集合</w:t>
            </w:r>
            <w:r>
              <w:rPr>
                <w:sz w:val="21"/>
              </w:rPr>
              <w:t>U</w:t>
            </w:r>
            <w:r>
              <w:rPr>
                <w:sz w:val="21"/>
                <w:vertAlign w:val="subscript"/>
              </w:rPr>
              <w:t>X</w:t>
            </w:r>
            <w:r>
              <w:rPr>
                <w:sz w:val="21"/>
                <w:vertAlign w:val="superscript"/>
              </w:rPr>
              <w:t>maptgt</w:t>
            </w:r>
            <w:r>
              <w:rPr>
                <w:sz w:val="21"/>
              </w:rPr>
              <w:t>为分母，合并口径以两者权重和之和为分母。三种映射口径必须同时区分，门控优先采用端点率，业务风险要求时再联合边率。综合展示值</w:t>
            </w:r>
            <w:r>
              <w:rPr>
                <w:sz w:val="21"/>
              </w:rPr>
              <w:t>C</w:t>
            </w:r>
            <w:r>
              <w:rPr>
                <w:sz w:val="21"/>
                <w:vertAlign w:val="subscript"/>
              </w:rPr>
              <w:t>conf</w:t>
            </w:r>
            <w:r>
              <w:rPr>
                <w:sz w:val="21"/>
              </w:rPr>
              <w:t>由上述分项按严格正权重加权平均得到，仅用于展示，不替代其中任一分项参与门控判定。同一命名域内比较时映射类指标整体记为不适用，而不记为零。任一指标分母为空时该指标记为不可计算，不补记为零或一，不以其他指标或综合展示值代替，其门控条件按不满足处理或将相关作用域转入局部受限路由。</w:t>
            </w:r>
          </w:p>
          <w:p>
            <w:pPr>
              <w:spacing w:after="80"/>
            </w:pPr>
            <w:r>
              <w:rPr>
                <w:sz w:val="21"/>
              </w:rPr>
              <w:t>步骤二之五，元数据硬门控、全局三态路由与逐键四状态局部门控。先执行命名域元数据硬门控，要求同时满足五个条件：两个索引的命名域标识、CAD系统标识和CAD内核标识可读取且相容；两侧比较层级一致；两侧实体权重口径一致；比较规范键的规范化口径在两侧一致；跨命名域比较时</w:t>
            </w:r>
            <w:r>
              <w:rPr>
                <w:sz w:val="21"/>
              </w:rPr>
              <w:t>L</w:t>
            </w:r>
            <w:r>
              <w:rPr>
                <w:sz w:val="21"/>
                <w:vertAlign w:val="subscript"/>
              </w:rPr>
              <w:t>AB</w:t>
            </w:r>
            <w:r>
              <w:rPr>
                <w:sz w:val="21"/>
              </w:rPr>
              <w:t>的映射表版本可读取且在当前比较时刻有效。任一条件不满足直接转入拒绝路由。随后的全局质量门控在通过、局部受限和拒绝三个状态间选择，通过状态要求下述必需指标均可计算且逐项满足事前固定阈值：</w:t>
            </w:r>
            <w:r>
              <w:rPr>
                <w:sz w:val="21"/>
              </w:rPr>
              <w:t>C</w:t>
            </w:r>
            <w:r>
              <w:rPr>
                <w:sz w:val="21"/>
                <w:vertAlign w:val="subscript"/>
              </w:rPr>
              <w:t>cov,A</w:t>
            </w:r>
            <w:r>
              <w:rPr>
                <w:sz w:val="21"/>
              </w:rPr>
              <w:t>、</w:t>
            </w:r>
            <w:r>
              <w:rPr>
                <w:sz w:val="21"/>
              </w:rPr>
              <w:t>C</w:t>
            </w:r>
            <w:r>
              <w:rPr>
                <w:sz w:val="21"/>
                <w:vertAlign w:val="subscript"/>
              </w:rPr>
              <w:t>cov,B</w:t>
            </w:r>
            <w:r>
              <w:rPr>
                <w:sz w:val="21"/>
              </w:rPr>
              <w:t>、</w:t>
            </w:r>
            <w:r>
              <w:rPr>
                <w:sz w:val="21"/>
              </w:rPr>
              <w:t>C</w:t>
            </w:r>
            <w:r>
              <w:rPr>
                <w:sz w:val="21"/>
                <w:vertAlign w:val="subscript"/>
              </w:rPr>
              <w:t>unique,A</w:t>
            </w:r>
            <w:r>
              <w:rPr>
                <w:sz w:val="21"/>
              </w:rPr>
              <w:t>、</w:t>
            </w:r>
            <w:r>
              <w:rPr>
                <w:sz w:val="21"/>
              </w:rPr>
              <w:t>C</w:t>
            </w:r>
            <w:r>
              <w:rPr>
                <w:sz w:val="21"/>
                <w:vertAlign w:val="subscript"/>
              </w:rPr>
              <w:t>unique,B</w:t>
            </w:r>
            <w:r>
              <w:rPr>
                <w:sz w:val="21"/>
              </w:rPr>
              <w:t>、</w:t>
            </w:r>
            <w:r>
              <w:rPr>
                <w:sz w:val="21"/>
              </w:rPr>
              <w:t>R</w:t>
            </w:r>
            <w:r>
              <w:rPr>
                <w:sz w:val="21"/>
                <w:vertAlign w:val="subscript"/>
              </w:rPr>
              <w:t>cons</w:t>
            </w:r>
            <w:r>
              <w:rPr>
                <w:sz w:val="21"/>
              </w:rPr>
              <w:t>、</w:t>
            </w:r>
            <w:r>
              <w:rPr>
                <w:sz w:val="21"/>
              </w:rPr>
              <w:t>S</w:t>
            </w:r>
            <w:r>
              <w:rPr>
                <w:sz w:val="21"/>
                <w:vertAlign w:val="subscript"/>
              </w:rPr>
              <w:t>cons</w:t>
            </w:r>
            <w:r>
              <w:rPr>
                <w:sz w:val="21"/>
              </w:rPr>
              <w:t>、</w:t>
            </w:r>
            <w:r>
              <w:rPr>
                <w:sz w:val="21"/>
              </w:rPr>
              <w:t>C</w:t>
            </w:r>
            <w:r>
              <w:rPr>
                <w:sz w:val="21"/>
                <w:vertAlign w:val="subscript"/>
              </w:rPr>
              <w:t>hard</w:t>
            </w:r>
            <w:r>
              <w:rPr>
                <w:sz w:val="21"/>
              </w:rPr>
              <w:t>、</w:t>
            </w:r>
            <w:r>
              <w:rPr>
                <w:sz w:val="21"/>
              </w:rPr>
              <w:t>C</w:t>
            </w:r>
            <w:r>
              <w:rPr>
                <w:sz w:val="21"/>
                <w:vertAlign w:val="subscript"/>
              </w:rPr>
              <w:t>lowinfo</w:t>
            </w:r>
            <w:r>
              <w:rPr>
                <w:sz w:val="21"/>
              </w:rPr>
              <w:t>、</w:t>
            </w:r>
            <w:r>
              <w:rPr>
                <w:sz w:val="21"/>
              </w:rPr>
              <w:t>C</w:t>
            </w:r>
            <w:r>
              <w:rPr>
                <w:sz w:val="21"/>
                <w:vertAlign w:val="subscript"/>
              </w:rPr>
              <w:t>dup,A</w:t>
            </w:r>
            <w:r>
              <w:rPr>
                <w:sz w:val="21"/>
              </w:rPr>
              <w:t>、</w:t>
            </w:r>
            <w:r>
              <w:rPr>
                <w:sz w:val="21"/>
              </w:rPr>
              <w:t>C</w:t>
            </w:r>
            <w:r>
              <w:rPr>
                <w:sz w:val="21"/>
                <w:vertAlign w:val="subscript"/>
              </w:rPr>
              <w:t>dup,B</w:t>
            </w:r>
            <w:r>
              <w:rPr>
                <w:sz w:val="21"/>
              </w:rPr>
              <w:t>、</w:t>
            </w:r>
            <w:r>
              <w:rPr>
                <w:sz w:val="21"/>
              </w:rPr>
              <w:t>C</w:t>
            </w:r>
            <w:r>
              <w:rPr>
                <w:sz w:val="21"/>
                <w:vertAlign w:val="subscript"/>
              </w:rPr>
              <w:t>cross</w:t>
            </w:r>
            <w:r>
              <w:rPr>
                <w:sz w:val="21"/>
              </w:rPr>
              <w:t>，以及存在必需映射方向时该方向的全局方向质量门控pass_map_dir(X)成立；直接可比覆盖率</w:t>
            </w:r>
            <w:r>
              <w:rPr>
                <w:sz w:val="21"/>
              </w:rPr>
              <w:t>C</w:t>
            </w:r>
            <w:r>
              <w:rPr>
                <w:sz w:val="21"/>
                <w:vertAlign w:val="subscript"/>
              </w:rPr>
              <w:t>direct</w:t>
            </w:r>
            <w:r>
              <w:rPr>
                <w:sz w:val="21"/>
              </w:rPr>
              <w:t>与综合冲突展示值</w:t>
            </w:r>
            <w:r>
              <w:rPr>
                <w:sz w:val="21"/>
              </w:rPr>
              <w:t>C</w:t>
            </w:r>
            <w:r>
              <w:rPr>
                <w:sz w:val="21"/>
                <w:vertAlign w:val="subscript"/>
              </w:rPr>
              <w:t>conf</w:t>
            </w:r>
            <w:r>
              <w:rPr>
                <w:sz w:val="21"/>
              </w:rPr>
              <w:t>不属于必需指标，不参与该判定。全部阈值位于零至一区间并满足零不大于</w:t>
            </w:r>
            <w:r>
              <w:rPr>
                <w:sz w:val="21"/>
              </w:rPr>
              <w:t>τ</w:t>
            </w:r>
            <w:r>
              <w:rPr>
                <w:sz w:val="21"/>
                <w:vertAlign w:val="subscript"/>
              </w:rPr>
              <w:t>conf</w:t>
            </w:r>
            <w:r>
              <w:rPr>
                <w:sz w:val="21"/>
              </w:rPr>
              <w:t>、</w:t>
            </w:r>
            <w:r>
              <w:rPr>
                <w:sz w:val="21"/>
              </w:rPr>
              <w:t>τ</w:t>
            </w:r>
            <w:r>
              <w:rPr>
                <w:sz w:val="21"/>
                <w:vertAlign w:val="subscript"/>
              </w:rPr>
              <w:t>conf</w:t>
            </w:r>
            <w:r>
              <w:rPr>
                <w:sz w:val="21"/>
              </w:rPr>
              <w:t>不大于</w:t>
            </w:r>
            <w:r>
              <w:rPr>
                <w:sz w:val="21"/>
              </w:rPr>
              <w:t>τ</w:t>
            </w:r>
            <w:r>
              <w:rPr>
                <w:sz w:val="21"/>
                <w:vertAlign w:val="subscript"/>
              </w:rPr>
              <w:t>cons</w:t>
            </w:r>
            <w:r>
              <w:rPr>
                <w:sz w:val="21"/>
              </w:rPr>
              <w:t>、</w:t>
            </w:r>
            <w:r>
              <w:rPr>
                <w:sz w:val="21"/>
              </w:rPr>
              <w:t>τ</w:t>
            </w:r>
            <w:r>
              <w:rPr>
                <w:sz w:val="21"/>
                <w:vertAlign w:val="subscript"/>
              </w:rPr>
              <w:t>cons</w:t>
            </w:r>
            <w:r>
              <w:rPr>
                <w:sz w:val="21"/>
              </w:rPr>
              <w:t>不大于一。逐键局部门控对每个键对输出可信、歧义、冲突和低信息四状态之一：属于</w:t>
            </w:r>
            <w:r>
              <w:rPr>
                <w:sz w:val="21"/>
              </w:rPr>
              <w:t>K</w:t>
            </w:r>
            <w:r>
              <w:rPr>
                <w:sz w:val="21"/>
                <w:vertAlign w:val="subscript"/>
              </w:rPr>
              <w:t>score</w:t>
            </w:r>
            <w:r>
              <w:rPr>
                <w:sz w:val="21"/>
              </w:rPr>
              <w:t>、</w:t>
            </w:r>
            <w:r>
              <w:rPr>
                <w:sz w:val="21"/>
              </w:rPr>
              <w:t>q</w:t>
            </w:r>
            <w:r>
              <w:rPr>
                <w:sz w:val="21"/>
                <w:vertAlign w:val="subscript"/>
              </w:rPr>
              <w:t>κ</w:t>
            </w:r>
            <w:r>
              <w:rPr>
                <w:sz w:val="21"/>
              </w:rPr>
              <w:t>不小于</w:t>
            </w:r>
            <w:r>
              <w:rPr>
                <w:sz w:val="21"/>
              </w:rPr>
              <w:t>τ</w:t>
            </w:r>
            <w:r>
              <w:rPr>
                <w:sz w:val="21"/>
                <w:vertAlign w:val="subscript"/>
              </w:rPr>
              <w:t>cons</w:t>
            </w:r>
            <w:r>
              <w:rPr>
                <w:sz w:val="21"/>
              </w:rPr>
              <w:t>且局部映射校验pass_map_local(κ)通过时为可信并进入</w:t>
            </w:r>
            <w:r>
              <w:rPr>
                <w:sz w:val="21"/>
              </w:rPr>
              <w:t>R</w:t>
            </w:r>
            <w:r>
              <w:rPr>
                <w:sz w:val="21"/>
                <w:vertAlign w:val="subscript"/>
              </w:rPr>
              <w:t>seed</w:t>
            </w:r>
            <w:r>
              <w:rPr>
                <w:sz w:val="21"/>
              </w:rPr>
              <w:t>；属于</w:t>
            </w:r>
            <w:r>
              <w:rPr>
                <w:sz w:val="21"/>
              </w:rPr>
              <w:t>K</w:t>
            </w:r>
            <w:r>
              <w:rPr>
                <w:sz w:val="21"/>
                <w:vertAlign w:val="subscript"/>
              </w:rPr>
              <w:t>hard</w:t>
            </w:r>
            <w:r>
              <w:rPr>
                <w:sz w:val="21"/>
              </w:rPr>
              <w:t>时为冲突；属于</w:t>
            </w:r>
            <w:r>
              <w:rPr>
                <w:sz w:val="21"/>
              </w:rPr>
              <w:t>K</w:t>
            </w:r>
            <w:r>
              <w:rPr>
                <w:sz w:val="21"/>
                <w:vertAlign w:val="subscript"/>
              </w:rPr>
              <w:t>lowinfo</w:t>
            </w:r>
            <w:r>
              <w:rPr>
                <w:sz w:val="21"/>
              </w:rPr>
              <w:t>时为低信息；其余为歧义。输出冲突、低信息或歧义状态的键对，其实体端点作为命名异常端点进入候选路径。局部映射校验失败不以较高的</w:t>
            </w:r>
            <w:r>
              <w:rPr>
                <w:sz w:val="21"/>
              </w:rPr>
              <w:t>q</w:t>
            </w:r>
            <w:r>
              <w:rPr>
                <w:sz w:val="21"/>
                <w:vertAlign w:val="subscript"/>
              </w:rPr>
              <w:t>κ</w:t>
            </w:r>
            <w:r>
              <w:rPr>
                <w:sz w:val="21"/>
              </w:rPr>
              <w:t>补救，也不以全局通过状态代替。pass_map_dir(X)仅决定全局路由状态与该方向是否启用名称快速路径，方向校验不通过时只记录方向质量门控失败，不改变局部审计干净键对的pass_map_local(κ)结论，不把其标记为映射冲突，也不把其移出</w:t>
            </w:r>
            <w:r>
              <w:rPr>
                <w:sz w:val="21"/>
              </w:rPr>
              <w:t>K</w:t>
            </w:r>
            <w:r>
              <w:rPr>
                <w:sz w:val="21"/>
                <w:vertAlign w:val="subscript"/>
              </w:rPr>
              <w:t>11</w:t>
            </w:r>
            <w:r>
              <w:rPr>
                <w:sz w:val="21"/>
              </w:rPr>
              <w:t>，因此不缩小</w:t>
            </w:r>
            <w:r>
              <w:rPr>
                <w:sz w:val="21"/>
              </w:rPr>
              <w:t>R</w:t>
            </w:r>
            <w:r>
              <w:rPr>
                <w:sz w:val="21"/>
                <w:vertAlign w:val="subscript"/>
              </w:rPr>
              <w:t>cons</w:t>
            </w:r>
            <w:r>
              <w:rPr>
                <w:sz w:val="21"/>
              </w:rPr>
              <w:t>、</w:t>
            </w:r>
            <w:r>
              <w:rPr>
                <w:sz w:val="21"/>
              </w:rPr>
              <w:t>C</w:t>
            </w:r>
            <w:r>
              <w:rPr>
                <w:sz w:val="21"/>
                <w:vertAlign w:val="subscript"/>
              </w:rPr>
              <w:t>hard</w:t>
            </w:r>
            <w:r>
              <w:rPr>
                <w:sz w:val="21"/>
              </w:rPr>
              <w:t>、</w:t>
            </w:r>
            <w:r>
              <w:rPr>
                <w:sz w:val="21"/>
              </w:rPr>
              <w:t>C</w:t>
            </w:r>
            <w:r>
              <w:rPr>
                <w:sz w:val="21"/>
                <w:vertAlign w:val="subscript"/>
              </w:rPr>
              <w:t>lowinfo</w:t>
            </w:r>
            <w:r>
              <w:rPr>
                <w:sz w:val="21"/>
              </w:rPr>
              <w:t>与</w:t>
            </w:r>
            <w:r>
              <w:rPr>
                <w:sz w:val="21"/>
              </w:rPr>
              <w:t>C</w:t>
            </w:r>
            <w:r>
              <w:rPr>
                <w:sz w:val="21"/>
                <w:vertAlign w:val="subscript"/>
              </w:rPr>
              <w:t>cross</w:t>
            </w:r>
            <w:r>
              <w:rPr>
                <w:sz w:val="21"/>
              </w:rPr>
              <w:t>的共同分母。</w:t>
            </w:r>
          </w:p>
          <w:p>
            <w:pPr>
              <w:spacing w:after="80"/>
            </w:pPr>
            <w:r>
              <w:rPr>
                <w:sz w:val="21"/>
              </w:rPr>
              <w:t>步骤三，对局部门控通过的实体对形成仍待身份验证和指纹验证的临时种子关系</w:t>
            </w:r>
            <w:r>
              <w:rPr>
                <w:sz w:val="21"/>
              </w:rPr>
              <w:t>R</w:t>
            </w:r>
            <w:r>
              <w:rPr>
                <w:sz w:val="21"/>
                <w:vertAlign w:val="subscript"/>
              </w:rPr>
              <w:t>seed</w:t>
            </w:r>
            <w:r>
              <w:rPr>
                <w:sz w:val="21"/>
              </w:rPr>
              <w:t>并执行该验证；对种子验证失败的端点和命名异常端点，按实体类型、所属特征、空间邻域、拓扑邻接关系和装配约束关系的双向索引查询在预定预算内生成稀疏候选边集合C，并在其上生成一对一、一对多和多对一三类关系假设。候选配置</w:t>
            </w:r>
            <w:r>
              <w:rPr>
                <w:sz w:val="21"/>
              </w:rPr>
              <w:t>Π</w:t>
            </w:r>
            <w:r>
              <w:rPr>
                <w:sz w:val="21"/>
                <w:vertAlign w:val="subscript"/>
              </w:rPr>
              <w:t>cand</w:t>
            </w:r>
            <w:r>
              <w:rPr>
                <w:sz w:val="21"/>
                <w:vertAlign w:val="superscript"/>
              </w:rPr>
              <w:t>l</w:t>
            </w:r>
            <w:r>
              <w:rPr>
                <w:sz w:val="21"/>
              </w:rPr>
              <w:t>在读取本次候选结果之前固定并版本化，至少包括双向查询范围、单端点候选边上限</w:t>
            </w:r>
            <w:r>
              <w:rPr>
                <w:sz w:val="21"/>
              </w:rPr>
              <w:t>B</w:t>
            </w:r>
            <w:r>
              <w:rPr>
                <w:sz w:val="21"/>
                <w:vertAlign w:val="subscript"/>
              </w:rPr>
              <w:t>edge</w:t>
            </w:r>
            <w:r>
              <w:rPr>
                <w:sz w:val="21"/>
                <w:vertAlign w:val="superscript"/>
              </w:rPr>
              <w:t>l</w:t>
            </w:r>
            <w:r>
              <w:rPr>
                <w:sz w:val="21"/>
              </w:rPr>
              <w:t>、组规模上限</w:t>
            </w:r>
            <w:r>
              <w:rPr>
                <w:sz w:val="21"/>
              </w:rPr>
              <w:t>m</w:t>
            </w:r>
            <w:r>
              <w:rPr>
                <w:sz w:val="21"/>
                <w:vertAlign w:val="subscript"/>
              </w:rPr>
              <w:t>max</w:t>
            </w:r>
            <w:r>
              <w:rPr>
                <w:sz w:val="21"/>
                <w:vertAlign w:val="superscript"/>
              </w:rPr>
              <w:t>l</w:t>
            </w:r>
            <w:r>
              <w:rPr>
                <w:sz w:val="21"/>
              </w:rPr>
              <w:t>、分量假设上限</w:t>
            </w:r>
            <w:r>
              <w:rPr>
                <w:sz w:val="21"/>
              </w:rPr>
              <w:t>B</w:t>
            </w:r>
            <w:r>
              <w:rPr>
                <w:sz w:val="21"/>
                <w:vertAlign w:val="subscript"/>
              </w:rPr>
              <w:t>hyp</w:t>
            </w:r>
            <w:r>
              <w:rPr>
                <w:sz w:val="21"/>
                <w:vertAlign w:val="superscript"/>
              </w:rPr>
              <w:t>l</w:t>
            </w:r>
            <w:r>
              <w:rPr>
                <w:sz w:val="21"/>
              </w:rPr>
              <w:t>、局部读取量上限</w:t>
            </w:r>
            <w:r>
              <w:rPr>
                <w:sz w:val="21"/>
              </w:rPr>
              <w:t>B</w:t>
            </w:r>
            <w:r>
              <w:rPr>
                <w:sz w:val="21"/>
                <w:vertAlign w:val="subscript"/>
              </w:rPr>
              <w:t>read</w:t>
            </w:r>
            <w:r>
              <w:rPr>
                <w:sz w:val="21"/>
                <w:vertAlign w:val="superscript"/>
              </w:rPr>
              <w:t>l</w:t>
            </w:r>
            <w:r>
              <w:rPr>
                <w:sz w:val="21"/>
              </w:rPr>
              <w:t>和计算量上限</w:t>
            </w:r>
            <w:r>
              <w:rPr>
                <w:sz w:val="21"/>
              </w:rPr>
              <w:t>B</w:t>
            </w:r>
            <w:r>
              <w:rPr>
                <w:sz w:val="21"/>
                <w:vertAlign w:val="subscript"/>
              </w:rPr>
              <w:t>cost</w:t>
            </w:r>
            <w:r>
              <w:rPr>
                <w:sz w:val="21"/>
                <w:vertAlign w:val="superscript"/>
              </w:rPr>
              <w:t>l</w:t>
            </w:r>
            <w:r>
              <w:rPr>
                <w:sz w:val="21"/>
              </w:rPr>
              <w:t>。任一预算超限时不截断、不先取高分假设，而是把受影响端点或整个分量标记为预算溢出并冻结。一对多假设要求目标实体组规模不超过</w:t>
            </w:r>
            <w:r>
              <w:rPr>
                <w:sz w:val="21"/>
              </w:rPr>
              <w:t>m</w:t>
            </w:r>
            <w:r>
              <w:rPr>
                <w:sz w:val="21"/>
                <w:vertAlign w:val="subscript"/>
              </w:rPr>
              <w:t>max</w:t>
            </w:r>
            <w:r>
              <w:rPr>
                <w:sz w:val="21"/>
                <w:vertAlign w:val="superscript"/>
              </w:rPr>
              <w:t>l</w:t>
            </w:r>
            <w:r>
              <w:rPr>
                <w:sz w:val="21"/>
              </w:rPr>
              <w:t>、组内每个实体与源实体之间均有支持边，且在修剪域、参数域、外部邻接或设计关系上形成连续覆盖，或存在比较开始前已有并校验通过的明确拆分谱系；多对一假设按对称条件生成；不枚举任一端点候选集合的幂集。每个稳定审计作用域记录由证据代次、配置版本、状态代次和恢复代次构成的代次四元组，其中证据代次在源证据、局部读取结果或映射记录新增、删除或更正时递增，状态代次在改变后续计算输入的上游状态迁移事务开始时递增一次，恢复代次在每次闭包失败开启新恢复事务时递增；候选边、候选假设、评分、联合解、失败凭证、分区结果、闭包通过标志、闭包快照和事件均是固定代次键下的派生产物，其上游证据、配置、状态、选择约束或分量边界变化时旧派生产物级联标记为已失效并只留作审计，缓存仅在全部代次键、分量谱系和直接依赖摘要完全相同时复用。每个假设记录假设状态hyp_status，取值为未评估、证据不足、可采纳、被否决、被冻结取代和已失效六者之一；前四者为活动状态，被冻结取代与已失效为终止状态，终止状态不参加当前轮的联合选择、阻断判断和失败凭证签发，需要重新评价时在新代次生成新记录而不原地复活旧状态。每个临时种子记录种子状态seed_status，取值为未决、通过、失败和待补数据之一。</w:t>
            </w:r>
          </w:p>
          <w:p>
            <w:pPr>
              <w:spacing w:after="80"/>
            </w:pPr>
            <w:r>
              <w:rPr>
                <w:sz w:val="21"/>
              </w:rPr>
              <w:t>对应关系确定路径的固定层级。本方案不存在两条并列的对应关系确定路径。第一层为唯一主路径，即由步骤一读取的、比较开始前已存在的永久命名实体索引及其与比较规范键的关联关系直接给出候选对应，该对应从既有索引查得而非由关系推断得出，其规模由两侧可审计实体数量决定，不随任何关系的传播深度扩张。第二层为回退候选生成手段，即步骤三所述按实体类型、所属特征、空间邻域、拓扑邻接关系与装配约束关系执行的双向索引查询，仅在种子验证失败端点与命名异常端点上启动，即仅在第一层对应不可用或未通过验证时启动，作用限于在预定预算内生成待验证的稀疏候选边与三类关系假设，不得作为与永久命名并列的对应关系确定路径，也不得在名称可用且种子验证通过的实体对上替代第一层的查得对应。第三层为证据获取手段，即候选边与关系假设上的局部B-rep读取与验证，作用限于取得身份证据与关系证据，不确定对应关系本身。该层级不因内核标识相容、存在版本谱系记录或存在设计操作记录而改变。</w:t>
            </w:r>
          </w:p>
          <w:p>
            <w:pPr>
              <w:spacing w:after="80"/>
            </w:pPr>
            <w:r>
              <w:rPr>
                <w:sz w:val="21"/>
              </w:rPr>
              <w:t>步骤四，在同一局部候选连通分量内对三类关系假设执行联合选择，使第一侧和第二侧被选择关系的端点分别互斥，形成一对一关系集合</w:t>
            </w:r>
            <w:r>
              <w:rPr>
                <w:sz w:val="21"/>
              </w:rPr>
              <w:t>R</w:t>
            </w:r>
            <w:r>
              <w:rPr>
                <w:sz w:val="21"/>
                <w:vertAlign w:val="subscript"/>
              </w:rPr>
              <w:t>11</w:t>
            </w:r>
            <w:r>
              <w:rPr>
                <w:sz w:val="21"/>
              </w:rPr>
              <w:t>、一对多关系集合</w:t>
            </w:r>
            <w:r>
              <w:rPr>
                <w:sz w:val="21"/>
              </w:rPr>
              <w:t>R</w:t>
            </w:r>
            <w:r>
              <w:rPr>
                <w:sz w:val="21"/>
                <w:vertAlign w:val="subscript"/>
              </w:rPr>
              <w:t>1m</w:t>
            </w:r>
            <w:r>
              <w:rPr>
                <w:sz w:val="21"/>
              </w:rPr>
              <w:t>和多对一关系集合</w:t>
            </w:r>
            <w:r>
              <w:rPr>
                <w:sz w:val="21"/>
              </w:rPr>
              <w:t>R</w:t>
            </w:r>
            <w:r>
              <w:rPr>
                <w:sz w:val="21"/>
                <w:vertAlign w:val="subscript"/>
              </w:rPr>
              <w:t>m1</w:t>
            </w:r>
            <w:r>
              <w:rPr>
                <w:sz w:val="21"/>
              </w:rPr>
              <w:t>。候选权重W(h)严格为正，分量目标</w:t>
            </w:r>
            <w:r>
              <w:rPr>
                <w:sz w:val="21"/>
              </w:rPr>
              <w:t>Φ</w:t>
            </w:r>
            <w:r>
              <w:rPr>
                <w:sz w:val="21"/>
                <w:vertAlign w:val="subscript"/>
              </w:rPr>
              <w:t>G</w:t>
            </w:r>
            <w:r>
              <w:rPr>
                <w:sz w:val="21"/>
              </w:rPr>
              <w:t>(z)为被选假设权重与端点权重之积在分量端点权重总和上的归一化加权和。对每个分量同时计算最佳可行解与包括空解在内的次优可行解，只有二者目标值之差大于事前固定的绝对裕量阈值</w:t>
            </w:r>
            <w:r>
              <w:rPr>
                <w:sz w:val="21"/>
              </w:rPr>
              <w:t>δ</w:t>
            </w:r>
            <w:r>
              <w:rPr>
                <w:sz w:val="21"/>
                <w:vertAlign w:val="subscript"/>
              </w:rPr>
              <w:t>margin</w:t>
            </w:r>
            <w:r>
              <w:rPr>
                <w:sz w:val="21"/>
                <w:vertAlign w:val="superscript"/>
              </w:rPr>
              <w:t>l</w:t>
            </w:r>
            <w:r>
              <w:rPr>
                <w:sz w:val="21"/>
              </w:rPr>
              <w:t>时最佳解才成为待物化关系解，否则标记候选并列并进入冻结；不通过调低</w:t>
            </w:r>
            <w:r>
              <w:rPr>
                <w:sz w:val="21"/>
              </w:rPr>
              <w:t>δ</w:t>
            </w:r>
            <w:r>
              <w:rPr>
                <w:sz w:val="21"/>
                <w:vertAlign w:val="subscript"/>
              </w:rPr>
              <w:t>margin</w:t>
            </w:r>
            <w:r>
              <w:rPr>
                <w:sz w:val="21"/>
                <w:vertAlign w:val="superscript"/>
              </w:rPr>
              <w:t>l</w:t>
            </w:r>
            <w:r>
              <w:rPr>
                <w:sz w:val="21"/>
              </w:rPr>
              <w:t>或删除次优可行解使并列消失。一对一匹配不得先行占用可能属于一对多或多对一关系的端点。求解前先执行状态分支：存在活动待补数据假设，或者查询、组假设生成、局部读取与验证尚未完整结束时不求解，按实际原因扩读或进入冻结；不存在活动可采纳假设且预定查询范围、组假设生成与验证均已完整结束、全部已生成活动假设均被否决时，把该分量记为初选全败PRELIMINARY_ALL_FAIL并跳过目标与裕量计算，该状态只表示具备进入端点级失败审计的条件，不直接对整个分量签发端点级失败凭证；只有至少存在一个活动可采纳假设、没有活动待补数据且候选生成与验证完整时才进入联合目标计算。最佳解与次优解之差不超过</w:t>
            </w:r>
            <w:r>
              <w:rPr>
                <w:sz w:val="21"/>
              </w:rPr>
              <w:t>δ</w:t>
            </w:r>
            <w:r>
              <w:rPr>
                <w:sz w:val="21"/>
                <w:vertAlign w:val="subscript"/>
              </w:rPr>
              <w:t>margin</w:t>
            </w:r>
            <w:r>
              <w:rPr>
                <w:sz w:val="21"/>
                <w:vertAlign w:val="superscript"/>
              </w:rPr>
              <w:t>l</w:t>
            </w:r>
            <w:r>
              <w:rPr>
                <w:sz w:val="21"/>
              </w:rPr>
              <w:t>时标记候选并列CANDIDATE_TIE，把两解对端点消费存在分歧的假设及其完整冲突闭包送入冻结。冻结原因包括候选并列不能唯一消歧、身份或关系验证数据不足、局部读取失败以及预算溢出四类；以候选冲突关系构造冻结超图并单调迭代至集合不再变化，所得FROZEN_A与FROZEN_B是包含初始冻结端点并对候选冲突封闭的最小不动点。另对当前代次构造冻结证据超图</w:t>
            </w:r>
            <w:r>
              <w:rPr>
                <w:sz w:val="21"/>
              </w:rPr>
              <w:t>H</w:t>
            </w:r>
            <w:r>
              <w:rPr>
                <w:sz w:val="21"/>
                <w:vertAlign w:val="subscript"/>
              </w:rPr>
              <w:t>F</w:t>
            </w:r>
            <w:r>
              <w:rPr>
                <w:sz w:val="21"/>
              </w:rPr>
              <w:t>，其顶点为带侧标记的双侧冻结端点，其超边至少包括三类：与冻结端点接触的每个候选假设的完整双侧端点集、由同一冻结原因记录实例关联的端点集、每个不透明查询或读取作用域的完整保守冻结端点集；无法解析目标标识而执行整侧保守冻结时，相应整侧端点集作为一个不可分割超边。</w:t>
            </w:r>
            <w:r>
              <w:rPr>
                <w:sz w:val="21"/>
              </w:rPr>
              <w:t>H</w:t>
            </w:r>
            <w:r>
              <w:rPr>
                <w:sz w:val="21"/>
                <w:vertAlign w:val="subscript"/>
              </w:rPr>
              <w:t>F</w:t>
            </w:r>
            <w:r>
              <w:rPr>
                <w:sz w:val="21"/>
              </w:rPr>
              <w:t>的连通分量构成当前代次的冻结事件单元，并对双侧冻结端点构成不相交完备覆盖，因此每个冻结端点必须且只能进入一个冻结型待复核事件。冻结闭包完整承接某活动假设或某未完成作用域的全部端点后，将其转为被冻结取代并保留冻结原因与原状态供审计。冻结端点不进入</w:t>
            </w:r>
            <w:r>
              <w:rPr>
                <w:sz w:val="21"/>
              </w:rPr>
              <w:t>R</w:t>
            </w:r>
            <w:r>
              <w:rPr>
                <w:sz w:val="21"/>
                <w:vertAlign w:val="subscript"/>
              </w:rPr>
              <w:t>11</w:t>
            </w:r>
            <w:r>
              <w:rPr>
                <w:sz w:val="21"/>
              </w:rPr>
              <w:t>、</w:t>
            </w:r>
            <w:r>
              <w:rPr>
                <w:sz w:val="21"/>
              </w:rPr>
              <w:t>R</w:t>
            </w:r>
            <w:r>
              <w:rPr>
                <w:sz w:val="21"/>
                <w:vertAlign w:val="subscript"/>
              </w:rPr>
              <w:t>1m</w:t>
            </w:r>
            <w:r>
              <w:rPr>
                <w:sz w:val="21"/>
              </w:rPr>
              <w:t>、</w:t>
            </w:r>
            <w:r>
              <w:rPr>
                <w:sz w:val="21"/>
              </w:rPr>
              <w:t>R</w:t>
            </w:r>
            <w:r>
              <w:rPr>
                <w:sz w:val="21"/>
                <w:vertAlign w:val="subscript"/>
              </w:rPr>
              <w:t>m1</w:t>
            </w:r>
            <w:r>
              <w:rPr>
                <w:sz w:val="21"/>
              </w:rPr>
              <w:t>，也不进入新增与删除分类。</w:t>
            </w:r>
          </w:p>
          <w:p>
            <w:pPr>
              <w:spacing w:after="80"/>
            </w:pPr>
            <w:r>
              <w:rPr>
                <w:sz w:val="21"/>
              </w:rPr>
              <w:t>步骤五，通过端点展平算子</w:t>
            </w:r>
            <w:r>
              <w:rPr>
                <w:sz w:val="21"/>
              </w:rPr>
              <w:t>end</w:t>
            </w:r>
            <w:r>
              <w:rPr>
                <w:sz w:val="21"/>
                <w:vertAlign w:val="subscript"/>
              </w:rPr>
              <w:t>A</w:t>
            </w:r>
            <w:r>
              <w:rPr>
                <w:sz w:val="21"/>
              </w:rPr>
              <w:t>和</w:t>
            </w:r>
            <w:r>
              <w:rPr>
                <w:sz w:val="21"/>
              </w:rPr>
              <w:t>end</w:t>
            </w:r>
            <w:r>
              <w:rPr>
                <w:sz w:val="21"/>
                <w:vertAlign w:val="subscript"/>
              </w:rPr>
              <w:t>B</w:t>
            </w:r>
            <w:r>
              <w:rPr>
                <w:sz w:val="21"/>
              </w:rPr>
              <w:t>执行双侧完备不交分区不变量检查。对一对一记录，</w:t>
            </w:r>
            <w:r>
              <w:rPr>
                <w:sz w:val="21"/>
              </w:rPr>
              <w:t>end</w:t>
            </w:r>
            <w:r>
              <w:rPr>
                <w:sz w:val="21"/>
                <w:vertAlign w:val="subscript"/>
              </w:rPr>
              <w:t>A</w:t>
            </w:r>
            <w:r>
              <w:rPr>
                <w:sz w:val="21"/>
              </w:rPr>
              <w:t>与</w:t>
            </w:r>
            <w:r>
              <w:rPr>
                <w:sz w:val="21"/>
              </w:rPr>
              <w:t>end</w:t>
            </w:r>
            <w:r>
              <w:rPr>
                <w:sz w:val="21"/>
                <w:vertAlign w:val="subscript"/>
              </w:rPr>
              <w:t>B</w:t>
            </w:r>
            <w:r>
              <w:rPr>
                <w:sz w:val="21"/>
              </w:rPr>
              <w:t>分别取其两侧实体；对一对多记录，</w:t>
            </w:r>
            <w:r>
              <w:rPr>
                <w:sz w:val="21"/>
              </w:rPr>
              <w:t>end</w:t>
            </w:r>
            <w:r>
              <w:rPr>
                <w:sz w:val="21"/>
                <w:vertAlign w:val="subscript"/>
              </w:rPr>
              <w:t>B</w:t>
            </w:r>
            <w:r>
              <w:rPr>
                <w:sz w:val="21"/>
              </w:rPr>
              <w:t>取目标实体组全部实体；对多对一记录，</w:t>
            </w:r>
            <w:r>
              <w:rPr>
                <w:sz w:val="21"/>
              </w:rPr>
              <w:t>end</w:t>
            </w:r>
            <w:r>
              <w:rPr>
                <w:sz w:val="21"/>
                <w:vertAlign w:val="subscript"/>
              </w:rPr>
              <w:t>A</w:t>
            </w:r>
            <w:r>
              <w:rPr>
                <w:sz w:val="21"/>
              </w:rPr>
              <w:t>取源实体组全部实体。要求第一侧可审计实体集合等于三类关系在第一侧的展平端点、删除集合DEL与FROZEN_A的不相交并集，第二侧可审计实体集合等于三类关系在第二侧的展平端点、新增集合ADD与FROZEN_B的不相交并集。未解析阻断范围BLOCKED_A与BLOCKED_B只收集当前代次下尚未被完整冻结作用域承接的活动阻断端点，即活动待补数据假设的端点、尚未完整结束的查询或组假设生成或局部读取或验证作用域内的端点，以及依赖失效但尚未完成级联重算或冻结的端点；已由冻结闭包完整承接并转为被冻结取代的假设或作用域不再进入BLOCKED_X，因此冻结实体可以与两侧阻断范围为空及闭包通过标志同时存在。稳定关系选择与冻结完成后，第一侧残余端点集合为可审计实体集合减去可追踪范围与FROZEN_A，第二侧同理；以带侧标记的残余端点为顶点、以仍可能消费任一残余端点的当前代次活动假设端点集为超边形成残余候选超图，其连通分量称为残余子分量。原候选分量即使已有部分端点进入确定关系，剩余端点仍在该残余超图中独立审计，不因原分量部分匹配成功或部分失败而整体签发或拒绝失败凭证。仅当所有可能消费该端点的双向查询作用域、支持边生成、组假设生成与验证均为当前代次的完整状态，当前代次每个能够消费该端点的活动假设均被否决且不存在未选可采纳假设或活动待补数据，且凭证引用的源证据、配置版本、分量版本与直接依赖摘要均有效且该端点未被确定关系或冻结状态消费时，才对该残余端点签发端点级失败凭证COMPLETE_FAIL_A或COMPLETE_FAIL_B。机器断言至少包括五项：三类关系在两侧的端点集合两两不交且不重复消费端点；可追踪范围与增删及冻结集合互不相交；两侧阻断范围BLOCKED_A与BLOCKED_B为空；每条关系的证据、配置版本与代次键仍然有效且每个增删端点持有与其当前代次相同的逐侧端点级失败凭证COMPLETE_FAIL_A或COMPLETE_FAIL_B；每个实体在其所在侧的主状态恰有一个。任一断言失败时使闭包通过标志CLOSURE_PASS失效并回滚尚未发布的分类，再按撤销受影响关系、扩大失败局部的CAD数据读取范围以补读局部B-rep面、边、顶点及其拓扑邻接关系、重建候选边与三类假设、重新执行身份验证与关系验证、重新执行联合选择、把仍不能消歧或读取失败或预算耗尽的完整冲突闭包转入冻结集合的固定顺序恢复，并再次检查。恢复策略</w:t>
            </w:r>
            <w:r>
              <w:rPr>
                <w:sz w:val="21"/>
              </w:rPr>
              <w:t>Π</w:t>
            </w:r>
            <w:r>
              <w:rPr>
                <w:sz w:val="21"/>
                <w:vertAlign w:val="subscript"/>
              </w:rPr>
              <w:t>recover</w:t>
            </w:r>
            <w:r>
              <w:rPr>
                <w:sz w:val="21"/>
                <w:vertAlign w:val="superscript"/>
              </w:rPr>
              <w:t>l</w:t>
            </w:r>
            <w:r>
              <w:rPr>
                <w:sz w:val="21"/>
              </w:rPr>
              <w:t>在读取本次候选结果之前随候选配置一并固定并版本化，至少包括局部扩读范围序列、动作优先级、关系撤销顺序、并列处置、每个稳定审计作用域的整数重试上限</w:t>
            </w:r>
            <w:r>
              <w:rPr>
                <w:sz w:val="21"/>
              </w:rPr>
              <w:t>B</w:t>
            </w:r>
            <w:r>
              <w:rPr>
                <w:sz w:val="21"/>
                <w:vertAlign w:val="subscript"/>
              </w:rPr>
              <w:t>retry</w:t>
            </w:r>
            <w:r>
              <w:rPr>
                <w:sz w:val="21"/>
                <w:vertAlign w:val="superscript"/>
              </w:rPr>
              <w:t>l</w:t>
            </w:r>
            <w:r>
              <w:rPr>
                <w:sz w:val="21"/>
              </w:rPr>
              <w:t>和预算耗尽处置；每个作用域记录单调递增的已用重试次数retry_used，分量每出现一次闭包失败即对其全部作用域同时递增retry_used、状态代次与恢复代次，任一作用域递增后retry_used超过</w:t>
            </w:r>
            <w:r>
              <w:rPr>
                <w:sz w:val="21"/>
              </w:rPr>
              <w:t>B</w:t>
            </w:r>
            <w:r>
              <w:rPr>
                <w:sz w:val="21"/>
                <w:vertAlign w:val="subscript"/>
              </w:rPr>
              <w:t>retry</w:t>
            </w:r>
            <w:r>
              <w:rPr>
                <w:sz w:val="21"/>
                <w:vertAlign w:val="superscript"/>
              </w:rPr>
              <w:t>l</w:t>
            </w:r>
            <w:r>
              <w:rPr>
                <w:sz w:val="21"/>
              </w:rPr>
              <w:t>时不再重跑而直接冻结受影响候选冲突闭包，分量随后拆分或合并仍继续读取这些稳定作用域计数而不重置。撤销顺序按可复算置信元组ρ(r)的字典序从低到高确定，ρ(r)由该关系来源假设的候选权重、假设质量、证据覆盖度与证据缺口补值构成，证据已失效的关系先于仍有效关系撤销，同一冲突闭包内ρ(r)完全相同的多个关系作为同一最低置信批次一并撤销并重新求解。每轮恢复除消耗一次重试额度外还必须产生严格进展，即在新证据代次新增先前不存在且校验有效的证据、使至少一个当前活动假设以可审计原因永久转为已失效，或严格扩大两侧冻结集合并集并把相应活动记录转为被冻结取代；只重复评分、重跑同一联合解或重写相同日志不算进展，无法满足任一进展条件时立即冻结受影响闭包。预算耗尽后只能按冻结路径收敛，不把未覆盖端点降级为新增或删除。在分区不变量通过之前不输出任何确定性差异，也不以记录告警或审计日志的方式继续。</w:t>
            </w:r>
          </w:p>
          <w:p>
            <w:pPr>
              <w:spacing w:after="80"/>
            </w:pPr>
            <w:r>
              <w:rPr>
                <w:sz w:val="21"/>
              </w:rPr>
              <w:t>步骤六，仅在当前代次证据有效且双侧分区形成CLOSURE_PASS后，才把关系和端点分类为保持不变、修改、分裂、合并、新增、删除和待复核。删除集合DEL收入第一侧未被任何有效关系覆盖、不属于FROZEN_A且持有当前代次端点级失败凭证的实体，新增集合ADD按对称条件收入第二侧实体；仍存在未完成验证的合理候选、属于阻断范围、缺少同代次凭证或已进入冻结集合的实体一律不列入删除或新增。一对多关系的唯一主分类固定为分裂，其第二侧端点不再计入新增；多对一关系的唯一主分类固定为合并，其第一侧端点不再计入删除。</w:t>
            </w:r>
          </w:p>
          <w:p>
            <w:pPr>
              <w:spacing w:after="80"/>
            </w:pPr>
            <w:r>
              <w:rPr>
                <w:sz w:val="21"/>
              </w:rPr>
              <w:t>步骤六之二，允许变化属性的具体计算。数值维度先取合成容差T(x,y)=</w:t>
            </w:r>
            <w:r>
              <w:rPr>
                <w:sz w:val="21"/>
              </w:rPr>
              <w:t>ε</w:t>
            </w:r>
            <w:r>
              <w:rPr>
                <w:sz w:val="21"/>
                <w:vertAlign w:val="subscript"/>
              </w:rPr>
              <w:t>abs</w:t>
            </w:r>
            <w:r>
              <w:rPr>
                <w:sz w:val="21"/>
              </w:rPr>
              <w:t>+</w:t>
            </w:r>
            <w:r>
              <w:rPr>
                <w:sz w:val="21"/>
              </w:rPr>
              <w:t>ε</w:t>
            </w:r>
            <w:r>
              <w:rPr>
                <w:sz w:val="21"/>
                <w:vertAlign w:val="subscript"/>
              </w:rPr>
              <w:t>rel</w:t>
            </w:r>
            <w:r>
              <w:rPr>
                <w:sz w:val="21"/>
              </w:rPr>
              <w:t>×max(|x|,|y|)，再取两值之差的绝对值超出T的部分除以T与正下限δ的较大者并截断到零至一区间，得到数值距离</w:t>
            </w:r>
            <w:r>
              <w:rPr>
                <w:sz w:val="21"/>
              </w:rPr>
              <w:t>d</w:t>
            </w:r>
            <w:r>
              <w:rPr>
                <w:sz w:val="21"/>
                <w:vertAlign w:val="subscript"/>
              </w:rPr>
              <w:t>num</w:t>
            </w:r>
            <w:r>
              <w:rPr>
                <w:sz w:val="21"/>
              </w:rPr>
              <w:t>=clip((|x-y|-T)/max(T,δ),0,1)，容差范围内的差异为零。集合维度取一减去交集规模与并集规模之比得到</w:t>
            </w:r>
            <w:r>
              <w:rPr>
                <w:sz w:val="21"/>
              </w:rPr>
              <w:t>d</w:t>
            </w:r>
            <w:r>
              <w:rPr>
                <w:sz w:val="21"/>
                <w:vertAlign w:val="subscript"/>
              </w:rPr>
              <w:t>set</w:t>
            </w:r>
            <w:r>
              <w:rPr>
                <w:sz w:val="21"/>
              </w:rPr>
              <w:t>，两集合均空时约定为零；多重集维度按重数取各类型计数较小值之和与较大值之和之比再取一减该比值，得到</w:t>
            </w:r>
            <w:r>
              <w:rPr>
                <w:sz w:val="21"/>
              </w:rPr>
              <w:t>d</w:t>
            </w:r>
            <w:r>
              <w:rPr>
                <w:sz w:val="21"/>
                <w:vertAlign w:val="subscript"/>
              </w:rPr>
              <w:t>multiset</w:t>
            </w:r>
            <w:r>
              <w:rPr>
                <w:sz w:val="21"/>
              </w:rPr>
              <w:t>；类别、方向和关系维度按相等判定、归一化夹角和关系子图组合差异计算；实体维度或硬类型不相容时直接判为硬冲突，不通过加权平均稀释。变化证据覆盖门控在读取本次结果之前预先声明允许变化维度全集</w:t>
            </w:r>
            <w:r>
              <w:rPr>
                <w:sz w:val="21"/>
              </w:rPr>
              <w:t>J</w:t>
            </w:r>
            <w:r>
              <w:rPr>
                <w:sz w:val="21"/>
                <w:vertAlign w:val="subscript"/>
              </w:rPr>
              <w:t>change</w:t>
            </w:r>
            <w:r>
              <w:rPr>
                <w:sz w:val="21"/>
                <w:vertAlign w:val="superscript"/>
              </w:rPr>
              <w:t>l</w:t>
            </w:r>
            <w:r>
              <w:rPr>
                <w:sz w:val="21"/>
              </w:rPr>
              <w:t>、严格正权重</w:t>
            </w:r>
            <w:r>
              <w:rPr>
                <w:sz w:val="21"/>
              </w:rPr>
              <w:t>λ</w:t>
            </w:r>
            <w:r>
              <w:rPr>
                <w:sz w:val="21"/>
                <w:vertAlign w:val="subscript"/>
              </w:rPr>
              <w:t>i</w:t>
            </w:r>
            <w:r>
              <w:rPr>
                <w:sz w:val="21"/>
              </w:rPr>
              <w:t>、维度分组、非空必需核心组集合</w:t>
            </w:r>
            <w:r>
              <w:rPr>
                <w:sz w:val="21"/>
              </w:rPr>
              <w:t>G</w:t>
            </w:r>
            <w:r>
              <w:rPr>
                <w:sz w:val="21"/>
                <w:vertAlign w:val="subscript"/>
              </w:rPr>
              <w:t>required</w:t>
            </w:r>
            <w:r>
              <w:rPr>
                <w:sz w:val="21"/>
                <w:vertAlign w:val="superscript"/>
              </w:rPr>
              <w:t>l</w:t>
            </w:r>
            <w:r>
              <w:rPr>
                <w:sz w:val="21"/>
              </w:rPr>
              <w:t>、最低变化证据覆盖阈值</w:t>
            </w:r>
            <w:r>
              <w:rPr>
                <w:sz w:val="21"/>
              </w:rPr>
              <w:t>τ</w:t>
            </w:r>
            <w:r>
              <w:rPr>
                <w:sz w:val="21"/>
                <w:vertAlign w:val="subscript"/>
              </w:rPr>
              <w:t>change</w:t>
            </w:r>
            <w:r>
              <w:rPr>
                <w:sz w:val="21"/>
                <w:vertAlign w:val="superscript"/>
              </w:rPr>
              <w:t>l</w:t>
            </w:r>
            <w:r>
              <w:rPr>
                <w:sz w:val="21"/>
              </w:rPr>
              <w:t>和保持不变阈值</w:t>
            </w:r>
            <w:r>
              <w:rPr>
                <w:sz w:val="21"/>
              </w:rPr>
              <w:t>τ</w:t>
            </w:r>
            <w:r>
              <w:rPr>
                <w:sz w:val="21"/>
                <w:vertAlign w:val="subscript"/>
              </w:rPr>
              <w:t>same</w:t>
            </w:r>
            <w:r>
              <w:rPr>
                <w:sz w:val="21"/>
                <w:vertAlign w:val="superscript"/>
              </w:rPr>
              <w:t>l</w:t>
            </w:r>
            <w:r>
              <w:rPr>
                <w:sz w:val="21"/>
              </w:rPr>
              <w:t>；令</w:t>
            </w:r>
            <w:r>
              <w:rPr>
                <w:sz w:val="21"/>
              </w:rPr>
              <w:t>J</w:t>
            </w:r>
            <w:r>
              <w:rPr>
                <w:sz w:val="21"/>
                <w:vertAlign w:val="subscript"/>
              </w:rPr>
              <w:t>verify</w:t>
            </w:r>
            <w:r>
              <w:rPr>
                <w:sz w:val="21"/>
              </w:rPr>
              <w:t>(a,b)为当前代次实际取得且校验有效的允许变化维度子集，变化证据覆盖度coverage_change等于</w:t>
            </w:r>
            <w:r>
              <w:rPr>
                <w:sz w:val="21"/>
              </w:rPr>
              <w:t>J</w:t>
            </w:r>
            <w:r>
              <w:rPr>
                <w:sz w:val="21"/>
                <w:vertAlign w:val="subscript"/>
              </w:rPr>
              <w:t>verify</w:t>
            </w:r>
            <w:r>
              <w:rPr>
                <w:sz w:val="21"/>
              </w:rPr>
              <w:t>(a,b)上权重之和与</w:t>
            </w:r>
            <w:r>
              <w:rPr>
                <w:sz w:val="21"/>
              </w:rPr>
              <w:t>J</w:t>
            </w:r>
            <w:r>
              <w:rPr>
                <w:sz w:val="21"/>
                <w:vertAlign w:val="subscript"/>
              </w:rPr>
              <w:t>change</w:t>
            </w:r>
            <w:r>
              <w:rPr>
                <w:sz w:val="21"/>
                <w:vertAlign w:val="superscript"/>
              </w:rPr>
              <w:t>l</w:t>
            </w:r>
            <w:r>
              <w:rPr>
                <w:sz w:val="21"/>
              </w:rPr>
              <w:t>上权重之和之比。只有</w:t>
            </w:r>
            <w:r>
              <w:rPr>
                <w:sz w:val="21"/>
              </w:rPr>
              <w:t>J</w:t>
            </w:r>
            <w:r>
              <w:rPr>
                <w:sz w:val="21"/>
                <w:vertAlign w:val="subscript"/>
              </w:rPr>
              <w:t>change</w:t>
            </w:r>
            <w:r>
              <w:rPr>
                <w:sz w:val="21"/>
                <w:vertAlign w:val="superscript"/>
              </w:rPr>
              <w:t>l</w:t>
            </w:r>
            <w:r>
              <w:rPr>
                <w:sz w:val="21"/>
              </w:rPr>
              <w:t>非空、</w:t>
            </w:r>
            <w:r>
              <w:rPr>
                <w:sz w:val="21"/>
              </w:rPr>
              <w:t>J</w:t>
            </w:r>
            <w:r>
              <w:rPr>
                <w:sz w:val="21"/>
                <w:vertAlign w:val="subscript"/>
              </w:rPr>
              <w:t>verify</w:t>
            </w:r>
            <w:r>
              <w:rPr>
                <w:sz w:val="21"/>
              </w:rPr>
              <w:t>(a,b)非空、coverage_change不小于</w:t>
            </w:r>
            <w:r>
              <w:rPr>
                <w:sz w:val="21"/>
              </w:rPr>
              <w:t>τ</w:t>
            </w:r>
            <w:r>
              <w:rPr>
                <w:sz w:val="21"/>
                <w:vertAlign w:val="subscript"/>
              </w:rPr>
              <w:t>change</w:t>
            </w:r>
            <w:r>
              <w:rPr>
                <w:sz w:val="21"/>
                <w:vertAlign w:val="superscript"/>
              </w:rPr>
              <w:t>l</w:t>
            </w:r>
            <w:r>
              <w:rPr>
                <w:sz w:val="21"/>
              </w:rPr>
              <w:t>且每个必需核心组与</w:t>
            </w:r>
            <w:r>
              <w:rPr>
                <w:sz w:val="21"/>
              </w:rPr>
              <w:t>J</w:t>
            </w:r>
            <w:r>
              <w:rPr>
                <w:sz w:val="21"/>
                <w:vertAlign w:val="subscript"/>
              </w:rPr>
              <w:t>verify</w:t>
            </w:r>
            <w:r>
              <w:rPr>
                <w:sz w:val="21"/>
              </w:rPr>
              <w:t>(a,b)的交集非空时，变化门控change_gate才判为通过，并定义综合变化度D(a,b)为</w:t>
            </w:r>
            <w:r>
              <w:rPr>
                <w:sz w:val="21"/>
              </w:rPr>
              <w:t>J</w:t>
            </w:r>
            <w:r>
              <w:rPr>
                <w:sz w:val="21"/>
                <w:vertAlign w:val="subscript"/>
              </w:rPr>
              <w:t>verify</w:t>
            </w:r>
            <w:r>
              <w:rPr>
                <w:sz w:val="21"/>
              </w:rPr>
              <w:t>(a,b)上各维度距离按</w:t>
            </w:r>
            <w:r>
              <w:rPr>
                <w:sz w:val="21"/>
              </w:rPr>
              <w:t>λ</w:t>
            </w:r>
            <w:r>
              <w:rPr>
                <w:sz w:val="21"/>
                <w:vertAlign w:val="subscript"/>
              </w:rPr>
              <w:t>i</w:t>
            </w:r>
            <w:r>
              <w:rPr>
                <w:sz w:val="21"/>
              </w:rPr>
              <w:t>的加权平均；否则判为证据不足，D(a,b)不定义并生成变化数据不足型待复核，不用一个偶然可得的次要维度输出保持不变或修改。</w:t>
            </w:r>
          </w:p>
          <w:p>
            <w:pPr>
              <w:spacing w:after="80"/>
            </w:pPr>
            <w:r>
              <w:rPr>
                <w:sz w:val="21"/>
              </w:rPr>
              <w:t>步骤六之三，名称变化与身份变化分离。对已进入</w:t>
            </w:r>
            <w:r>
              <w:rPr>
                <w:sz w:val="21"/>
              </w:rPr>
              <w:t>R</w:t>
            </w:r>
            <w:r>
              <w:rPr>
                <w:sz w:val="21"/>
                <w:vertAlign w:val="subscript"/>
              </w:rPr>
              <w:t>11</w:t>
            </w:r>
            <w:r>
              <w:rPr>
                <w:sz w:val="21"/>
              </w:rPr>
              <w:t>的实体对，分别读取原始永久名称记录多重集与该实体的比较规范键集合，按标准化规则和已声明等价别名关系取商，使每个等价别名类只形成一个由命名域与比较规范键构成的名称令牌，得到</w:t>
            </w:r>
            <w:r>
              <w:rPr>
                <w:sz w:val="21"/>
              </w:rPr>
              <w:t>N</w:t>
            </w:r>
            <w:r>
              <w:rPr>
                <w:sz w:val="21"/>
                <w:vertAlign w:val="subscript"/>
              </w:rPr>
              <w:t>A</w:t>
            </w:r>
            <w:r>
              <w:rPr>
                <w:sz w:val="21"/>
              </w:rPr>
              <w:t>(a)与</w:t>
            </w:r>
            <w:r>
              <w:rPr>
                <w:sz w:val="21"/>
              </w:rPr>
              <w:t>N</w:t>
            </w:r>
            <w:r>
              <w:rPr>
                <w:sz w:val="21"/>
                <w:vertAlign w:val="subscript"/>
              </w:rPr>
              <w:t>B</w:t>
            </w:r>
            <w:r>
              <w:rPr>
                <w:sz w:val="21"/>
              </w:rPr>
              <w:t>(b)；类内原始拼写、来源和重复次数作为旁路证据保存，不进入令牌基数，因而别名拼写替换或原始重复次数变化不计为名称变化。同一命名域仅当比较规范键相等时连边，不同命名域纳入当前有效映射边，无效或过期映射不形成边也不消除名称变化。计算全部最大基数一对一名称匹配集合</w:t>
            </w:r>
            <w:r>
              <w:rPr>
                <w:sz w:val="21"/>
              </w:rPr>
              <w:t>M</w:t>
            </w:r>
            <w:r>
              <w:rPr>
                <w:sz w:val="21"/>
                <w:vertAlign w:val="subscript"/>
              </w:rPr>
              <w:t>max</w:t>
            </w:r>
            <w:r>
              <w:rPr>
                <w:sz w:val="21"/>
              </w:rPr>
              <w:t>：最大匹配唯一时据此定义两侧未匹配令牌集合并生成名称新增、名称删除或部分名称增删标签；最大匹配不唯一，或一个实体在另一模型中同时存在多于预设名称对应上限</w:t>
            </w:r>
            <w:r>
              <w:rPr>
                <w:sz w:val="21"/>
              </w:rPr>
              <w:t>N</w:t>
            </w:r>
            <w:r>
              <w:rPr>
                <w:sz w:val="21"/>
                <w:vertAlign w:val="subscript"/>
              </w:rPr>
              <w:t>namemax</w:t>
            </w:r>
            <w:r>
              <w:rPr>
                <w:sz w:val="21"/>
              </w:rPr>
              <w:t>的可比名称对应时，不任取某个最大匹配定义未匹配令牌集合，只输出所有最大匹配共有的不变量并给出名称匹配歧义标签。此处</w:t>
            </w:r>
            <w:r>
              <w:rPr>
                <w:sz w:val="21"/>
              </w:rPr>
              <w:t>M</w:t>
            </w:r>
            <w:r>
              <w:rPr>
                <w:sz w:val="21"/>
                <w:vertAlign w:val="subscript"/>
              </w:rPr>
              <w:t>max</w:t>
            </w:r>
            <w:r>
              <w:rPr>
                <w:sz w:val="21"/>
              </w:rPr>
              <w:t>专指全部最大基数一对一名称匹配集合，与组规模上限</w:t>
            </w:r>
            <w:r>
              <w:rPr>
                <w:sz w:val="21"/>
              </w:rPr>
              <w:t>m</w:t>
            </w:r>
            <w:r>
              <w:rPr>
                <w:sz w:val="21"/>
                <w:vertAlign w:val="subscript"/>
              </w:rPr>
              <w:t>max</w:t>
            </w:r>
            <w:r>
              <w:rPr>
                <w:sz w:val="21"/>
                <w:vertAlign w:val="superscript"/>
              </w:rPr>
              <w:t>l</w:t>
            </w:r>
            <w:r>
              <w:rPr>
                <w:sz w:val="21"/>
              </w:rPr>
              <w:t>及名称对应上限</w:t>
            </w:r>
            <w:r>
              <w:rPr>
                <w:sz w:val="21"/>
              </w:rPr>
              <w:t>N</w:t>
            </w:r>
            <w:r>
              <w:rPr>
                <w:sz w:val="21"/>
                <w:vertAlign w:val="subscript"/>
              </w:rPr>
              <w:t>namemax</w:t>
            </w:r>
            <w:r>
              <w:rPr>
                <w:sz w:val="21"/>
              </w:rPr>
              <w:t>为三个不同概念。名称变化状态取名称未变、名称已变和名称未决之一，仅作为</w:t>
            </w:r>
            <w:r>
              <w:rPr>
                <w:sz w:val="21"/>
              </w:rPr>
              <w:t>R</w:t>
            </w:r>
            <w:r>
              <w:rPr>
                <w:sz w:val="21"/>
                <w:vertAlign w:val="subscript"/>
              </w:rPr>
              <w:t>11</w:t>
            </w:r>
            <w:r>
              <w:rPr>
                <w:sz w:val="21"/>
              </w:rPr>
              <w:t>上的分类证据或副标签，不反向改写</w:t>
            </w:r>
            <w:r>
              <w:rPr>
                <w:sz w:val="21"/>
              </w:rPr>
              <w:t>R</w:t>
            </w:r>
            <w:r>
              <w:rPr>
                <w:sz w:val="21"/>
                <w:vertAlign w:val="subscript"/>
              </w:rPr>
              <w:t>11</w:t>
            </w:r>
            <w:r>
              <w:rPr>
                <w:sz w:val="21"/>
              </w:rPr>
              <w:t>，不充当硬身份冲突，也不生成、修复或回写永久名称。闭包通过后的一对一分类为：变化门控通过、D(a,b)不大于</w:t>
            </w:r>
            <w:r>
              <w:rPr>
                <w:sz w:val="21"/>
              </w:rPr>
              <w:t>τ</w:t>
            </w:r>
            <w:r>
              <w:rPr>
                <w:sz w:val="21"/>
                <w:vertAlign w:val="subscript"/>
              </w:rPr>
              <w:t>same</w:t>
            </w:r>
            <w:r>
              <w:rPr>
                <w:sz w:val="21"/>
                <w:vertAlign w:val="superscript"/>
              </w:rPr>
              <w:t>l</w:t>
            </w:r>
            <w:r>
              <w:rPr>
                <w:sz w:val="21"/>
              </w:rPr>
              <w:t>且名称未变时判为保持不变；同样条件下名称已变时判为仅重命名；变化门控通过、D(a,b)大于</w:t>
            </w:r>
            <w:r>
              <w:rPr>
                <w:sz w:val="21"/>
              </w:rPr>
              <w:t>τ</w:t>
            </w:r>
            <w:r>
              <w:rPr>
                <w:sz w:val="21"/>
                <w:vertAlign w:val="subscript"/>
              </w:rPr>
              <w:t>same</w:t>
            </w:r>
            <w:r>
              <w:rPr>
                <w:sz w:val="21"/>
                <w:vertAlign w:val="superscript"/>
              </w:rPr>
              <w:t>l</w:t>
            </w:r>
            <w:r>
              <w:rPr>
                <w:sz w:val="21"/>
              </w:rPr>
              <w:t>且名称状态可判定时判为修改，名称同时变化时增加重命名副标签；变化门控证据不足或名称未决时判为待复核。</w:t>
            </w:r>
          </w:p>
          <w:p>
            <w:pPr>
              <w:spacing w:after="80"/>
            </w:pPr>
            <w:r>
              <w:rPr>
                <w:sz w:val="21"/>
              </w:rPr>
              <w:t>步骤七，将关系、分类以及沿特征生成关系、参数引用关系、拓扑邻接关系和装配约束关系聚合得到的设计语义结果，物化为统一的类型化差异事件CAD_DIFF_EVENT_V1。每条事件记录包括事件标识、比较作用域标识、主分类、副标签集合、第一侧端点、第二侧端点、证据引用集合、非空代次键集合、恢复代次和闭包快照标识closure_snapshot_id。保持不变、仅重命名和修改事件两侧端点均非空；分裂事件的第二侧端点为实体组；合并事件的第一侧端点为实体组；新增事件的第一侧端点为空；删除事件的第二侧端点为空。每个证据引用记录证据类型、证据来源的CAD数据对象标识、读取范围、维度标识、维度距离值和所属代次。主分类取保持不变、修改、仅重命名、分裂、合并、新增、删除和待复核之一，每个事件恰有一个主分类；副标签只能取版本化事件登记表EventRegistry中的稳定代码，增加、删除或改变代码语义必须产生新登记表版本，未知代码不得按自由文本降级处理。待复核事件分为两类：冻结型待复核的两侧端点恰为当前冻结证据超图</w:t>
            </w:r>
            <w:r>
              <w:rPr>
                <w:sz w:val="21"/>
              </w:rPr>
              <w:t>H</w:t>
            </w:r>
            <w:r>
              <w:rPr>
                <w:sz w:val="21"/>
                <w:vertAlign w:val="subscript"/>
              </w:rPr>
              <w:t>F</w:t>
            </w:r>
            <w:r>
              <w:rPr>
                <w:sz w:val="21"/>
              </w:rPr>
              <w:t>的一个完整连通分量，并携带该分量覆盖全部审计作用域的当前代次键，整侧保守冻结作用域保持为不可分割超边；变化或名称数据不足型待复核承接当前闭包快照下仍有效的唯一一对一关系，其两侧端点均非空，且不再同时生成保持不变、修改或仅重命名事件，也不得把其任一端点改报新增或删除。令EVENTS为本次物化的全部类型化差异事件，包括作为共有关系证据保留的保持不变事件，最终差异事件集合DIFF定义为同一记录类型上的筛选，即DIFF等于EVENTS中主分类不是保持不变的事件集合，因此DIFF不混合实体、实体对、组关系或待复核集合。关系、增删、闭包通过标志、闭包快照和事件作为同一结果批次原子发布，发布本身不推进任何代次；事件物化完成后再次校验每个实体恰好归属一个主状态，不满足时返回步骤五，不输出部分事件流。任何代次键或直接依赖摘要变化都会使旧EVENTS与DIFF整体或受影响分量事件失效，不得把旧事件与新代次事件拼接输出。</w:t>
            </w:r>
          </w:p>
          <w:p>
            <w:pPr>
              <w:spacing w:after="80"/>
            </w:pPr>
            <w:r>
              <w:rPr>
                <w:sz w:val="21"/>
              </w:rPr>
              <w:t>候选规模上界与计量指标。设两侧命名异常端点集合规模为|</w:t>
            </w:r>
            <w:r>
              <w:rPr>
                <w:sz w:val="21"/>
              </w:rPr>
              <w:t>U</w:t>
            </w:r>
            <w:r>
              <w:rPr>
                <w:sz w:val="21"/>
                <w:vertAlign w:val="subscript"/>
              </w:rPr>
              <w:t>A</w:t>
            </w:r>
            <w:r>
              <w:rPr>
                <w:sz w:val="21"/>
                <w:vertAlign w:val="superscript"/>
              </w:rPr>
              <w:t>abn</w:t>
            </w:r>
            <w:r>
              <w:rPr>
                <w:sz w:val="21"/>
              </w:rPr>
              <w:t>|与|</w:t>
            </w:r>
            <w:r>
              <w:rPr>
                <w:sz w:val="21"/>
              </w:rPr>
              <w:t>U</w:t>
            </w:r>
            <w:r>
              <w:rPr>
                <w:sz w:val="21"/>
                <w:vertAlign w:val="subscript"/>
              </w:rPr>
              <w:t>B</w:t>
            </w:r>
            <w:r>
              <w:rPr>
                <w:sz w:val="21"/>
                <w:vertAlign w:val="superscript"/>
              </w:rPr>
              <w:t>abn</w:t>
            </w:r>
            <w:r>
              <w:rPr>
                <w:sz w:val="21"/>
              </w:rPr>
              <w:t>|，单端点候选边上限为</w:t>
            </w:r>
            <w:r>
              <w:rPr>
                <w:sz w:val="21"/>
              </w:rPr>
              <w:t>B</w:t>
            </w:r>
            <w:r>
              <w:rPr>
                <w:sz w:val="21"/>
                <w:vertAlign w:val="subscript"/>
              </w:rPr>
              <w:t>edge,A→B</w:t>
            </w:r>
            <w:r>
              <w:rPr>
                <w:sz w:val="21"/>
                <w:vertAlign w:val="superscript"/>
              </w:rPr>
              <w:t>l</w:t>
            </w:r>
            <w:r>
              <w:rPr>
                <w:sz w:val="21"/>
              </w:rPr>
              <w:t>与</w:t>
            </w:r>
            <w:r>
              <w:rPr>
                <w:sz w:val="21"/>
              </w:rPr>
              <w:t>B</w:t>
            </w:r>
            <w:r>
              <w:rPr>
                <w:sz w:val="21"/>
                <w:vertAlign w:val="subscript"/>
              </w:rPr>
              <w:t>edge,B→A</w:t>
            </w:r>
            <w:r>
              <w:rPr>
                <w:sz w:val="21"/>
                <w:vertAlign w:val="superscript"/>
              </w:rPr>
              <w:t>l</w:t>
            </w:r>
            <w:r>
              <w:rPr>
                <w:sz w:val="21"/>
              </w:rPr>
              <w:t>，则稀疏候选边集合规模满足|C| ≤ min(|</w:t>
            </w:r>
            <w:r>
              <w:rPr>
                <w:sz w:val="21"/>
              </w:rPr>
              <w:t>U</w:t>
            </w:r>
            <w:r>
              <w:rPr>
                <w:sz w:val="21"/>
                <w:vertAlign w:val="subscript"/>
              </w:rPr>
              <w:t>A</w:t>
            </w:r>
            <w:r>
              <w:rPr>
                <w:sz w:val="21"/>
                <w:vertAlign w:val="superscript"/>
              </w:rPr>
              <w:t>abn</w:t>
            </w:r>
            <w:r>
              <w:rPr>
                <w:sz w:val="21"/>
              </w:rPr>
              <w:t>| × |</w:t>
            </w:r>
            <w:r>
              <w:rPr>
                <w:sz w:val="21"/>
              </w:rPr>
              <w:t>U</w:t>
            </w:r>
            <w:r>
              <w:rPr>
                <w:sz w:val="21"/>
                <w:vertAlign w:val="subscript"/>
              </w:rPr>
              <w:t>B</w:t>
            </w:r>
            <w:r>
              <w:rPr>
                <w:sz w:val="21"/>
                <w:vertAlign w:val="superscript"/>
              </w:rPr>
              <w:t>abn</w:t>
            </w:r>
            <w:r>
              <w:rPr>
                <w:sz w:val="21"/>
              </w:rPr>
              <w:t>|, |</w:t>
            </w:r>
            <w:r>
              <w:rPr>
                <w:sz w:val="21"/>
              </w:rPr>
              <w:t>U</w:t>
            </w:r>
            <w:r>
              <w:rPr>
                <w:sz w:val="21"/>
                <w:vertAlign w:val="subscript"/>
              </w:rPr>
              <w:t>A</w:t>
            </w:r>
            <w:r>
              <w:rPr>
                <w:sz w:val="21"/>
                <w:vertAlign w:val="superscript"/>
              </w:rPr>
              <w:t>abn</w:t>
            </w:r>
            <w:r>
              <w:rPr>
                <w:sz w:val="21"/>
              </w:rPr>
              <w:t xml:space="preserve">| × </w:t>
            </w:r>
            <w:r>
              <w:rPr>
                <w:sz w:val="21"/>
              </w:rPr>
              <w:t>B</w:t>
            </w:r>
            <w:r>
              <w:rPr>
                <w:sz w:val="21"/>
                <w:vertAlign w:val="subscript"/>
              </w:rPr>
              <w:t>edge,A→B</w:t>
            </w:r>
            <w:r>
              <w:rPr>
                <w:sz w:val="21"/>
                <w:vertAlign w:val="superscript"/>
              </w:rPr>
              <w:t>l</w:t>
            </w:r>
            <w:r>
              <w:rPr>
                <w:sz w:val="21"/>
              </w:rPr>
              <w:t xml:space="preserve"> + |</w:t>
            </w:r>
            <w:r>
              <w:rPr>
                <w:sz w:val="21"/>
              </w:rPr>
              <w:t>U</w:t>
            </w:r>
            <w:r>
              <w:rPr>
                <w:sz w:val="21"/>
                <w:vertAlign w:val="subscript"/>
              </w:rPr>
              <w:t>B</w:t>
            </w:r>
            <w:r>
              <w:rPr>
                <w:sz w:val="21"/>
                <w:vertAlign w:val="superscript"/>
              </w:rPr>
              <w:t>abn</w:t>
            </w:r>
            <w:r>
              <w:rPr>
                <w:sz w:val="21"/>
              </w:rPr>
              <w:t xml:space="preserve">| × </w:t>
            </w:r>
            <w:r>
              <w:rPr>
                <w:sz w:val="21"/>
              </w:rPr>
              <w:t>B</w:t>
            </w:r>
            <w:r>
              <w:rPr>
                <w:sz w:val="21"/>
                <w:vertAlign w:val="subscript"/>
              </w:rPr>
              <w:t>edge,B→A</w:t>
            </w:r>
            <w:r>
              <w:rPr>
                <w:sz w:val="21"/>
                <w:vertAlign w:val="superscript"/>
              </w:rPr>
              <w:t>l</w:t>
            </w:r>
            <w:r>
              <w:rPr>
                <w:sz w:val="21"/>
              </w:rPr>
              <w:t>)。候选边比candidate_edge_ratio以|C|为分子、以两侧命名异常端点数量之积为分母；局部验证实体比local_validation_entity_ratio以两侧实际触发局部验证读取的去重实体数量之和为分子、以两侧可审计实体集合规模之和为分母；局部B-rep字节比local_brep_byte_ratio以实际读取的局部B-rep字节数为分子、以同一模型版本与同一序列化压缩缓存口径下全量读取对照的字节数为分母。三者的分母为空时均记为不可计算，不补记为零或一，也不以构造示例表述为实测结果。</w:t>
            </w:r>
          </w:p>
          <w:p>
            <w:pPr>
              <w:spacing w:after="80"/>
            </w:pPr>
            <w:r>
              <w:rPr>
                <w:sz w:val="21"/>
              </w:rPr>
              <w:t>数值实施例。预先固定比较层级为面层级，只比较面实体，不把边、特征、体或装配发生混入任何集合或分母，每个面取单位权重。本实施例除候选边比例及边数减少比例按小数点后四位显示外，其余非整数百分数均四舍五入至小数点后两位，能够整除的百分数标为精确值。输入规模为：第一侧可审计面100个、第二侧105个；第一侧具有至少一个比较规范键的面96个、第二侧100个；第一侧同时满足仅关联一个非等价比较规范键、且该键在同侧仅关联该面本身的唯一可用面94个、第二侧97个；两模型有90个可比较唯一键对。本构造例启用两个独立软证据组且权重均为一，90个键对均具备这两组证据，故可评分键对集合等于可比较唯一键对集合，硬冲突键对集合与低信息键对集合均为空。其中87个键对的组得分为0.97与0.95，得</w:t>
            </w:r>
            <w:r>
              <w:rPr>
                <w:sz w:val="21"/>
              </w:rPr>
              <w:t>q</w:t>
            </w:r>
            <w:r>
              <w:rPr>
                <w:sz w:val="21"/>
                <w:vertAlign w:val="subscript"/>
              </w:rPr>
              <w:t>κ</w:t>
            </w:r>
            <w:r>
              <w:rPr>
                <w:sz w:val="21"/>
              </w:rPr>
              <w:t>=0.96；另外3个键对的组得分为0.48与0.36，得</w:t>
            </w:r>
            <w:r>
              <w:rPr>
                <w:sz w:val="21"/>
              </w:rPr>
              <w:t>q</w:t>
            </w:r>
            <w:r>
              <w:rPr>
                <w:sz w:val="21"/>
                <w:vertAlign w:val="subscript"/>
              </w:rPr>
              <w:t>κ</w:t>
            </w:r>
            <w:r>
              <w:rPr>
                <w:sz w:val="21"/>
              </w:rPr>
              <w:t>=0.42。第一侧有2个已命名面受模型内重复键影响，第二侧有3个。</w:t>
            </w:r>
          </w:p>
          <w:p>
            <w:pPr>
              <w:spacing w:after="80"/>
            </w:pPr>
            <w:r>
              <w:rPr>
                <w:sz w:val="21"/>
              </w:rPr>
              <w:t>数值实施例的指标复算：第一侧命名覆盖率96除以100为96%（精确值），第二侧100除以105约为95.24%；第一侧唯一可用覆盖率94除以100为94%（精确值），第二侧97除以105约为92.38%。取</w:t>
            </w:r>
            <w:r>
              <w:rPr>
                <w:sz w:val="21"/>
              </w:rPr>
              <w:t>τ</w:t>
            </w:r>
            <w:r>
              <w:rPr>
                <w:sz w:val="21"/>
                <w:vertAlign w:val="subscript"/>
              </w:rPr>
              <w:t>cons</w:t>
            </w:r>
            <w:r>
              <w:rPr>
                <w:sz w:val="21"/>
              </w:rPr>
              <w:t>=0.90、</w:t>
            </w:r>
            <w:r>
              <w:rPr>
                <w:sz w:val="21"/>
              </w:rPr>
              <w:t>τ</w:t>
            </w:r>
            <w:r>
              <w:rPr>
                <w:sz w:val="21"/>
                <w:vertAlign w:val="subscript"/>
              </w:rPr>
              <w:t>conf</w:t>
            </w:r>
            <w:r>
              <w:rPr>
                <w:sz w:val="21"/>
              </w:rPr>
              <w:t>=0.50，则一致性通过率</w:t>
            </w:r>
            <w:r>
              <w:rPr>
                <w:sz w:val="21"/>
              </w:rPr>
              <w:t>R</w:t>
            </w:r>
            <w:r>
              <w:rPr>
                <w:sz w:val="21"/>
                <w:vertAlign w:val="subscript"/>
              </w:rPr>
              <w:t>cons</w:t>
            </w:r>
            <w:r>
              <w:rPr>
                <w:sz w:val="21"/>
              </w:rPr>
              <w:t>等于87除以90约为96.67%，平均一致性</w:t>
            </w:r>
            <w:r>
              <w:rPr>
                <w:sz w:val="21"/>
              </w:rPr>
              <w:t>S</w:t>
            </w:r>
            <w:r>
              <w:rPr>
                <w:sz w:val="21"/>
                <w:vertAlign w:val="subscript"/>
              </w:rPr>
              <w:t>cons</w:t>
            </w:r>
            <w:r>
              <w:rPr>
                <w:sz w:val="21"/>
              </w:rPr>
              <w:t>等于87乘0.96加3乘0.42所得84.78再除以90，等于94.20%；硬冲突率</w:t>
            </w:r>
            <w:r>
              <w:rPr>
                <w:sz w:val="21"/>
              </w:rPr>
              <w:t>C</w:t>
            </w:r>
            <w:r>
              <w:rPr>
                <w:sz w:val="21"/>
                <w:vertAlign w:val="subscript"/>
              </w:rPr>
              <w:t>hard</w:t>
            </w:r>
            <w:r>
              <w:rPr>
                <w:sz w:val="21"/>
              </w:rPr>
              <w:t>与低信息率</w:t>
            </w:r>
            <w:r>
              <w:rPr>
                <w:sz w:val="21"/>
              </w:rPr>
              <w:t>C</w:t>
            </w:r>
            <w:r>
              <w:rPr>
                <w:sz w:val="21"/>
                <w:vertAlign w:val="subscript"/>
              </w:rPr>
              <w:t>lowinfo</w:t>
            </w:r>
            <w:r>
              <w:rPr>
                <w:sz w:val="21"/>
              </w:rPr>
              <w:t>均为0除以90，即0%（精确值）。第一侧单模型重复率</w:t>
            </w:r>
            <w:r>
              <w:rPr>
                <w:sz w:val="21"/>
              </w:rPr>
              <w:t>C</w:t>
            </w:r>
            <w:r>
              <w:rPr>
                <w:sz w:val="21"/>
                <w:vertAlign w:val="subscript"/>
              </w:rPr>
              <w:t>dup,A</w:t>
            </w:r>
            <w:r>
              <w:rPr>
                <w:sz w:val="21"/>
              </w:rPr>
              <w:t>等于2除以96约为2.08%，第二侧</w:t>
            </w:r>
            <w:r>
              <w:rPr>
                <w:sz w:val="21"/>
              </w:rPr>
              <w:t>C</w:t>
            </w:r>
            <w:r>
              <w:rPr>
                <w:sz w:val="21"/>
                <w:vertAlign w:val="subscript"/>
              </w:rPr>
              <w:t>dup,B</w:t>
            </w:r>
            <w:r>
              <w:rPr>
                <w:sz w:val="21"/>
              </w:rPr>
              <w:t>等于3除以100为3%（精确值）。跨版本冲突键对集合</w:t>
            </w:r>
            <w:r>
              <w:rPr>
                <w:sz w:val="21"/>
              </w:rPr>
              <w:t>K</w:t>
            </w:r>
            <w:r>
              <w:rPr>
                <w:sz w:val="21"/>
                <w:vertAlign w:val="subscript"/>
              </w:rPr>
              <w:t>conf</w:t>
            </w:r>
            <w:r>
              <w:rPr>
                <w:sz w:val="21"/>
              </w:rPr>
              <w:t>按其定义等于硬冲突键对集合与可评分键对中得分小于</w:t>
            </w:r>
            <w:r>
              <w:rPr>
                <w:sz w:val="21"/>
              </w:rPr>
              <w:t>τ</w:t>
            </w:r>
            <w:r>
              <w:rPr>
                <w:sz w:val="21"/>
                <w:vertAlign w:val="subscript"/>
              </w:rPr>
              <w:t>conf</w:t>
            </w:r>
            <w:r>
              <w:rPr>
                <w:sz w:val="21"/>
              </w:rPr>
              <w:t>的键对集合之并集：本例硬冲突键对为0个，可评分键对中得分小于</w:t>
            </w:r>
            <w:r>
              <w:rPr>
                <w:sz w:val="21"/>
              </w:rPr>
              <w:t>τ</w:t>
            </w:r>
            <w:r>
              <w:rPr>
                <w:sz w:val="21"/>
                <w:vertAlign w:val="subscript"/>
              </w:rPr>
              <w:t>conf</w:t>
            </w:r>
            <w:r>
              <w:rPr>
                <w:sz w:val="21"/>
              </w:rPr>
              <w:t>的为3个，故</w:t>
            </w:r>
            <w:r>
              <w:rPr>
                <w:sz w:val="21"/>
              </w:rPr>
              <w:t>K</w:t>
            </w:r>
            <w:r>
              <w:rPr>
                <w:sz w:val="21"/>
                <w:vertAlign w:val="subscript"/>
              </w:rPr>
              <w:t>conf</w:t>
            </w:r>
            <w:r>
              <w:rPr>
                <w:sz w:val="21"/>
              </w:rPr>
              <w:t>规模为3，跨版本冲突率</w:t>
            </w:r>
            <w:r>
              <w:rPr>
                <w:sz w:val="21"/>
              </w:rPr>
              <w:t>C</w:t>
            </w:r>
            <w:r>
              <w:rPr>
                <w:sz w:val="21"/>
                <w:vertAlign w:val="subscript"/>
              </w:rPr>
              <w:t>cross</w:t>
            </w:r>
            <w:r>
              <w:rPr>
                <w:sz w:val="21"/>
              </w:rPr>
              <w:t>等于3除以90约为3.33%。两个模型属于同一命名域，元数据硬门控全部满足，本例没有任何必需的跨命名域映射方向，故映射类指标整体记为不适用而非零。在读取任何指标结果之前事前固定的其余阈值为：两侧命名覆盖率阈值90%、两侧唯一可用覆盖率阈值85%、一致性通过率阈值95%、平均一致性阈值90%、硬冲突率与低信息率阈值均为0%、两侧单模型重复率阈值5%、跨版本冲突率阈值5%。逐项满足后全局质量门控通过，但3个低分冲突键对及其他重复、单侧和无名称面仍须进入异常候选流程。</w:t>
            </w:r>
          </w:p>
          <w:p>
            <w:pPr>
              <w:spacing w:after="80"/>
            </w:pPr>
            <w:r>
              <w:rPr>
                <w:sz w:val="21"/>
              </w:rPr>
              <w:t>数值实施例的候选与最终差异复算：87个一致性通过键对形成临时种子关系后，经异常分流得第一侧命名异常端点13个、第二侧18个。仅为建立可复算的对照分母，定义对照边数为13乘18即234；实际算法不生成也不逐一评分这234对，而是按类型、面层级、空间与拓扑索引和双向查询约束直接生成稀疏候选并去重得48条，故候选边比约为20.5128%，相对该对照分母的边数减少比例约为79.4872%。这是算法构造实施例而非产品实测结果。完成局部验证、联合端点互斥选择并使冻结闭包与关系解同时稳定后，形成94个一对一关系、1个一对多分裂关系（覆盖第一侧1个、第二侧2个实体）和1个多对一合并关系（覆盖第一侧2个、第二侧1个实体），两侧各有97个端点被有效关系覆盖，两侧冻结集合与阻断范围均为空。其余第一侧3个实体持有同代次COMPLETE_FAIL_A后计入删除，第二侧8个实体持有同代次COMPLETE_FAIL_B后计入新增。双侧分区校验为：第一侧94加1加2加3等于100，第二侧94加2加1加8等于105，与两侧可审计实体规模一致。闭包通过后对94个一对一关系计算允许变化属性，得84个保持不变、8个修改、2个仅重命名、1个修改并携带重命名副标签。本例中local_validation_entity_ratio与local_brep_byte_ratio因缺少同口径全量对照而记为不可计算。</w:t>
            </w:r>
          </w:p>
          <w:p>
            <w:pPr>
              <w:spacing w:after="80"/>
            </w:pPr>
            <w:r>
              <w:rPr>
                <w:sz w:val="21"/>
              </w:rPr>
              <w:t>冻结与重新发布的微型实施例：设第一侧可审计面集合为</w:t>
            </w:r>
            <w:r>
              <w:rPr>
                <w:sz w:val="21"/>
              </w:rPr>
              <w:t>a</w:t>
            </w:r>
            <w:r>
              <w:rPr>
                <w:sz w:val="21"/>
                <w:vertAlign w:val="subscript"/>
              </w:rPr>
              <w:t>1</w:t>
            </w:r>
            <w:r>
              <w:rPr>
                <w:sz w:val="21"/>
              </w:rPr>
              <w:t>与</w:t>
            </w:r>
            <w:r>
              <w:rPr>
                <w:sz w:val="21"/>
              </w:rPr>
              <w:t>a</w:t>
            </w:r>
            <w:r>
              <w:rPr>
                <w:sz w:val="21"/>
                <w:vertAlign w:val="subscript"/>
              </w:rPr>
              <w:t>2</w:t>
            </w:r>
            <w:r>
              <w:rPr>
                <w:sz w:val="21"/>
              </w:rPr>
              <w:t>，第二侧为</w:t>
            </w:r>
            <w:r>
              <w:rPr>
                <w:sz w:val="21"/>
              </w:rPr>
              <w:t>b</w:t>
            </w:r>
            <w:r>
              <w:rPr>
                <w:sz w:val="21"/>
                <w:vertAlign w:val="subscript"/>
              </w:rPr>
              <w:t>1</w:t>
            </w:r>
            <w:r>
              <w:rPr>
                <w:sz w:val="21"/>
              </w:rPr>
              <w:t>、</w:t>
            </w:r>
            <w:r>
              <w:rPr>
                <w:sz w:val="21"/>
              </w:rPr>
              <w:t>b</w:t>
            </w:r>
            <w:r>
              <w:rPr>
                <w:sz w:val="21"/>
                <w:vertAlign w:val="subscript"/>
              </w:rPr>
              <w:t>2</w:t>
            </w:r>
            <w:r>
              <w:rPr>
                <w:sz w:val="21"/>
              </w:rPr>
              <w:t>与</w:t>
            </w:r>
            <w:r>
              <w:rPr>
                <w:sz w:val="21"/>
              </w:rPr>
              <w:t>b</w:t>
            </w:r>
            <w:r>
              <w:rPr>
                <w:sz w:val="21"/>
                <w:vertAlign w:val="subscript"/>
              </w:rPr>
              <w:t>3</w:t>
            </w:r>
            <w:r>
              <w:rPr>
                <w:sz w:val="21"/>
              </w:rPr>
              <w:t>。第一轮已物化一对一关系(</w:t>
            </w:r>
            <w:r>
              <w:rPr>
                <w:sz w:val="21"/>
              </w:rPr>
              <w:t>a</w:t>
            </w:r>
            <w:r>
              <w:rPr>
                <w:sz w:val="21"/>
                <w:vertAlign w:val="subscript"/>
              </w:rPr>
              <w:t>1</w:t>
            </w:r>
            <w:r>
              <w:rPr>
                <w:sz w:val="21"/>
              </w:rPr>
              <w:t>,</w:t>
            </w:r>
            <w:r>
              <w:rPr>
                <w:sz w:val="21"/>
              </w:rPr>
              <w:t>b</w:t>
            </w:r>
            <w:r>
              <w:rPr>
                <w:sz w:val="21"/>
                <w:vertAlign w:val="subscript"/>
              </w:rPr>
              <w:t>1</w:t>
            </w:r>
            <w:r>
              <w:rPr>
                <w:sz w:val="21"/>
              </w:rPr>
              <w:t>)；</w:t>
            </w:r>
            <w:r>
              <w:rPr>
                <w:sz w:val="21"/>
              </w:rPr>
              <w:t>a</w:t>
            </w:r>
            <w:r>
              <w:rPr>
                <w:sz w:val="21"/>
                <w:vertAlign w:val="subscript"/>
              </w:rPr>
              <w:t>2</w:t>
            </w:r>
            <w:r>
              <w:rPr>
                <w:sz w:val="21"/>
              </w:rPr>
              <w:t>在</w:t>
            </w:r>
            <w:r>
              <w:rPr>
                <w:sz w:val="21"/>
              </w:rPr>
              <w:t>b</w:t>
            </w:r>
            <w:r>
              <w:rPr>
                <w:sz w:val="21"/>
                <w:vertAlign w:val="subscript"/>
              </w:rPr>
              <w:t>2</w:t>
            </w:r>
            <w:r>
              <w:rPr>
                <w:sz w:val="21"/>
              </w:rPr>
              <w:t>与</w:t>
            </w:r>
            <w:r>
              <w:rPr>
                <w:sz w:val="21"/>
              </w:rPr>
              <w:t>b</w:t>
            </w:r>
            <w:r>
              <w:rPr>
                <w:sz w:val="21"/>
                <w:vertAlign w:val="subscript"/>
              </w:rPr>
              <w:t>3</w:t>
            </w:r>
            <w:r>
              <w:rPr>
                <w:sz w:val="21"/>
              </w:rPr>
              <w:t>之间目标值之差不超过</w:t>
            </w:r>
            <w:r>
              <w:rPr>
                <w:sz w:val="21"/>
              </w:rPr>
              <w:t>δ</w:t>
            </w:r>
            <w:r>
              <w:rPr>
                <w:sz w:val="21"/>
                <w:vertAlign w:val="subscript"/>
              </w:rPr>
              <w:t>margin</w:t>
            </w:r>
            <w:r>
              <w:rPr>
                <w:sz w:val="21"/>
                <w:vertAlign w:val="superscript"/>
              </w:rPr>
              <w:t>l</w:t>
            </w:r>
            <w:r>
              <w:rPr>
                <w:sz w:val="21"/>
              </w:rPr>
              <w:t>，对应局部B-rep读取尚未补足。该候选并列保持为活动待补数据状态时，BLOCKED_A与BLOCKED_B非空，不签发闭包通过标志，任何把</w:t>
            </w:r>
            <w:r>
              <w:rPr>
                <w:sz w:val="21"/>
              </w:rPr>
              <w:t>a</w:t>
            </w:r>
            <w:r>
              <w:rPr>
                <w:sz w:val="21"/>
                <w:vertAlign w:val="subscript"/>
              </w:rPr>
              <w:t>2</w:t>
            </w:r>
            <w:r>
              <w:rPr>
                <w:sz w:val="21"/>
              </w:rPr>
              <w:t>记为删除或把</w:t>
            </w:r>
            <w:r>
              <w:rPr>
                <w:sz w:val="21"/>
              </w:rPr>
              <w:t>b</w:t>
            </w:r>
            <w:r>
              <w:rPr>
                <w:sz w:val="21"/>
                <w:vertAlign w:val="subscript"/>
              </w:rPr>
              <w:t>2</w:t>
            </w:r>
            <w:r>
              <w:rPr>
                <w:sz w:val="21"/>
              </w:rPr>
              <w:t>、</w:t>
            </w:r>
            <w:r>
              <w:rPr>
                <w:sz w:val="21"/>
              </w:rPr>
              <w:t>b</w:t>
            </w:r>
            <w:r>
              <w:rPr>
                <w:sz w:val="21"/>
                <w:vertAlign w:val="subscript"/>
              </w:rPr>
              <w:t>3</w:t>
            </w:r>
            <w:r>
              <w:rPr>
                <w:sz w:val="21"/>
              </w:rPr>
              <w:t>记为新增的内部暂存分类与事件均回滚且不发布。本轮预固定的局部B-rep读取动作失败后，冻结闭包把该候选冲突闭包转为FROZEN_A为</w:t>
            </w:r>
            <w:r>
              <w:rPr>
                <w:sz w:val="21"/>
              </w:rPr>
              <w:t>a</w:t>
            </w:r>
            <w:r>
              <w:rPr>
                <w:sz w:val="21"/>
                <w:vertAlign w:val="subscript"/>
              </w:rPr>
              <w:t>2</w:t>
            </w:r>
            <w:r>
              <w:rPr>
                <w:sz w:val="21"/>
              </w:rPr>
              <w:t>、FROZEN_B为</w:t>
            </w:r>
            <w:r>
              <w:rPr>
                <w:sz w:val="21"/>
              </w:rPr>
              <w:t>b</w:t>
            </w:r>
            <w:r>
              <w:rPr>
                <w:sz w:val="21"/>
                <w:vertAlign w:val="subscript"/>
              </w:rPr>
              <w:t>2</w:t>
            </w:r>
            <w:r>
              <w:rPr>
                <w:sz w:val="21"/>
              </w:rPr>
              <w:t>与</w:t>
            </w:r>
            <w:r>
              <w:rPr>
                <w:sz w:val="21"/>
              </w:rPr>
              <w:t>b</w:t>
            </w:r>
            <w:r>
              <w:rPr>
                <w:sz w:val="21"/>
                <w:vertAlign w:val="subscript"/>
              </w:rPr>
              <w:t>3</w:t>
            </w:r>
            <w:r>
              <w:rPr>
                <w:sz w:val="21"/>
              </w:rPr>
              <w:t>，并把相关活动记录转为被冻结取代，使BLOCKED_A与BLOCKED_B变为空集。此时第一侧计数为1个一对一端点加1个冻结端点等于2，第二侧为1个一对一端点加2个冻结端点等于3，双侧不交分区成立；分区通过只是必要条件，其余机器断言、逐端点状态、证据引用与当前代次键有效性也全部通过后，才形成尚未对外发布的候选闭包通过标志与候选闭包快照</w:t>
            </w:r>
            <w:r>
              <w:rPr>
                <w:sz w:val="21"/>
              </w:rPr>
              <w:t>cs</w:t>
            </w:r>
            <w:r>
              <w:rPr>
                <w:sz w:val="21"/>
                <w:vertAlign w:val="subscript"/>
              </w:rPr>
              <w:t>1</w:t>
            </w:r>
            <w:r>
              <w:rPr>
                <w:sz w:val="21"/>
              </w:rPr>
              <w:t>，再按冻结证据超图的完整连通分量物化冻结型待复核事件，复核通过后才把三者作为同一结果批次原子发布，且不产生任何新增或删除。第二轮扩读成功后重新执行验证与联合选择，得到一对一关系(</w:t>
            </w:r>
            <w:r>
              <w:rPr>
                <w:sz w:val="21"/>
              </w:rPr>
              <w:t>a</w:t>
            </w:r>
            <w:r>
              <w:rPr>
                <w:sz w:val="21"/>
                <w:vertAlign w:val="subscript"/>
              </w:rPr>
              <w:t>2</w:t>
            </w:r>
            <w:r>
              <w:rPr>
                <w:sz w:val="21"/>
              </w:rPr>
              <w:t>,</w:t>
            </w:r>
            <w:r>
              <w:rPr>
                <w:sz w:val="21"/>
              </w:rPr>
              <w:t>b</w:t>
            </w:r>
            <w:r>
              <w:rPr>
                <w:sz w:val="21"/>
                <w:vertAlign w:val="subscript"/>
              </w:rPr>
              <w:t>2</w:t>
            </w:r>
            <w:r>
              <w:rPr>
                <w:sz w:val="21"/>
              </w:rPr>
              <w:t>)，</w:t>
            </w:r>
            <w:r>
              <w:rPr>
                <w:sz w:val="21"/>
              </w:rPr>
              <w:t>b</w:t>
            </w:r>
            <w:r>
              <w:rPr>
                <w:sz w:val="21"/>
                <w:vertAlign w:val="subscript"/>
              </w:rPr>
              <w:t>3</w:t>
            </w:r>
            <w:r>
              <w:rPr>
                <w:sz w:val="21"/>
              </w:rPr>
              <w:t>取得同代次COMPLETE_FAIL_B，因而新增集合为</w:t>
            </w:r>
            <w:r>
              <w:rPr>
                <w:sz w:val="21"/>
              </w:rPr>
              <w:t>b</w:t>
            </w:r>
            <w:r>
              <w:rPr>
                <w:sz w:val="21"/>
                <w:vertAlign w:val="subscript"/>
              </w:rPr>
              <w:t>3</w:t>
            </w:r>
            <w:r>
              <w:rPr>
                <w:sz w:val="21"/>
              </w:rPr>
              <w:t>、删除集合为空，冻结集合清空，发布第二次闭包快照</w:t>
            </w:r>
            <w:r>
              <w:rPr>
                <w:sz w:val="21"/>
              </w:rPr>
              <w:t>cs</w:t>
            </w:r>
            <w:r>
              <w:rPr>
                <w:sz w:val="21"/>
                <w:vertAlign w:val="subscript"/>
              </w:rPr>
              <w:t>2</w:t>
            </w:r>
            <w:r>
              <w:rPr>
                <w:sz w:val="21"/>
              </w:rPr>
              <w:t>。两次发布均满足双侧完备不交分区，且第一轮未把读取失败端点计入新增或删除。</w:t>
            </w:r>
          </w:p>
          <w:p>
            <w:pPr>
              <w:spacing w:after="80"/>
            </w:pPr>
            <w:r>
              <w:rPr>
                <w:sz w:val="21"/>
              </w:rPr>
              <w:t>可选实施方式的降级使用：锚点传播、邻接签名传播、候选排序与最大权匹配求解、版本指纹快速跳过、摘要量化或压缩编码以及分阶段局部B-rep验证均可作为可选实施方式使用，各自附带约束条件。它们仅用于生成候选、补强证据或选择求解器，不改变上述七个步骤的顺序与依赖，不跳过局部门控、联合选择、冻结和双侧分区不变量检查，也不在CLOSURE_PASS成立之前产生新增或删除结论；其中普通一对一求解不得先行占用可能属于一对多或多对一关系的端点。版本指纹快速跳过须同时满足下述四个复用条件：该实体对已属于一对一关系集合</w:t>
            </w:r>
            <w:r>
              <w:rPr>
                <w:sz w:val="21"/>
              </w:rPr>
              <w:t>R</w:t>
            </w:r>
            <w:r>
              <w:rPr>
                <w:sz w:val="21"/>
                <w:vertAlign w:val="subscript"/>
              </w:rPr>
              <w:t>11</w:t>
            </w:r>
            <w:r>
              <w:rPr>
                <w:sz w:val="21"/>
              </w:rPr>
              <w:t>且其身份验证和指纹验证均已通过；该实体对所在的关系闭包已经成立；该版本指纹对应的模型版本标识、缓存的直接依赖摘要和当前代次键集合均有效，代次失效时该免验证证据随之失效并按新代次重算；该版本指纹的内容覆盖该比较层级所需变化证据维度集合</w:t>
            </w:r>
            <w:r>
              <w:rPr>
                <w:sz w:val="21"/>
              </w:rPr>
              <w:t>J</w:t>
            </w:r>
            <w:r>
              <w:rPr>
                <w:sz w:val="21"/>
                <w:vertAlign w:val="subscript"/>
              </w:rPr>
              <w:t>change</w:t>
            </w:r>
            <w:r>
              <w:rPr>
                <w:sz w:val="21"/>
                <w:vertAlign w:val="superscript"/>
              </w:rPr>
              <w:t>l</w:t>
            </w:r>
            <w:r>
              <w:rPr>
                <w:sz w:val="21"/>
              </w:rPr>
              <w:t>的全部维度，且指纹函数版本与当前一致。任一条件不满足时不得免去所述局部几何读取和验证；版本指纹相同不得直接判定实体保持不变，仅在上述条件全部满足时用于免去重复的局部几何读取和验证；不得以版本指纹相同为依据跳过局部门控、联合选择、双侧分区不变量检查或同批原子发布。</w:t>
            </w:r>
          </w:p>
          <w:p>
            <w:pPr>
              <w:spacing w:after="80"/>
            </w:pPr>
            <w:r>
              <w:rPr>
                <w:sz w:val="21"/>
              </w:rPr>
              <w:t>负面边界：本方法不生成、不修复且不更新任何CAD系统、CAD内核或产品数据管理系统中的永久命名标识及其生成规则；比较规范键仅由已有名称经规范化得到，仅用于本次比较中的门控、候选生成、关系选择、闭包检查和事件输出，不写回上述任何系统。</w:t>
            </w:r>
          </w:p>
        </w:tc>
      </w:tr>
      <w:tr w14:paraId="6F9B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r>
              <w:rPr>
                <w:b/>
                <w:sz w:val="24"/>
              </w:rPr>
              <w:t>附图说明</w:t>
            </w:r>
          </w:p>
          <w:p>
            <w:pPr>
              <w:spacing w:after="80"/>
            </w:pPr>
            <w:r>
              <w:rPr>
                <w:sz w:val="21"/>
              </w:rPr>
              <w:t>本交底书建议配套以下附图，附图用于说明方法流程、系统模块和关键判断流程。</w:t>
            </w:r>
          </w:p>
          <w:p>
            <w:pPr>
              <w:jc w:val="center"/>
            </w:pPr>
            <w:r>
              <w:drawing>
                <wp:inline xmlns:a="http://schemas.openxmlformats.org/drawingml/2006/main" xmlns:pic="http://schemas.openxmlformats.org/drawingml/2006/picture">
                  <wp:extent cx="5029200" cy="6370320"/>
                  <wp:docPr id="1" name="Picture 1"/>
                  <wp:cNvGraphicFramePr>
                    <a:graphicFrameLocks noChangeAspect="1"/>
                  </wp:cNvGraphicFramePr>
                  <a:graphic>
                    <a:graphicData uri="http://schemas.openxmlformats.org/drawingml/2006/picture">
                      <pic:pic>
                        <pic:nvPicPr>
                          <pic:cNvPr id="0" name="permanent_naming-fig1-method.png"/>
                          <pic:cNvPicPr/>
                        </pic:nvPicPr>
                        <pic:blipFill>
                          <a:blip r:embed="rId11"/>
                          <a:stretch>
                            <a:fillRect/>
                          </a:stretch>
                        </pic:blipFill>
                        <pic:spPr>
                          <a:xfrm>
                            <a:off x="0" y="0"/>
                            <a:ext cx="5029200" cy="6370320"/>
                          </a:xfrm>
                          <a:prstGeom prst="rect"/>
                        </pic:spPr>
                      </pic:pic>
                    </a:graphicData>
                  </a:graphic>
                </wp:inline>
              </w:drawing>
            </w:r>
          </w:p>
          <w:p>
            <w:pPr>
              <w:jc w:val="center"/>
            </w:pPr>
            <w:r>
              <w:rPr>
                <w:sz w:val="18"/>
              </w:rPr>
              <w:t>图1 基于永久命名的CAD模型差异对比方法流程图</w:t>
            </w:r>
          </w:p>
          <w:p>
            <w:pPr>
              <w:jc w:val="center"/>
            </w:pPr>
            <w:r>
              <w:drawing>
                <wp:inline xmlns:a="http://schemas.openxmlformats.org/drawingml/2006/main" xmlns:pic="http://schemas.openxmlformats.org/drawingml/2006/picture">
                  <wp:extent cx="5029200" cy="3845859"/>
                  <wp:docPr id="2" name="Picture 2"/>
                  <wp:cNvGraphicFramePr>
                    <a:graphicFrameLocks noChangeAspect="1"/>
                  </wp:cNvGraphicFramePr>
                  <a:graphic>
                    <a:graphicData uri="http://schemas.openxmlformats.org/drawingml/2006/picture">
                      <pic:pic>
                        <pic:nvPicPr>
                          <pic:cNvPr id="0" name="permanent_naming-fig2-system.png"/>
                          <pic:cNvPicPr/>
                        </pic:nvPicPr>
                        <pic:blipFill>
                          <a:blip r:embed="rId12"/>
                          <a:stretch>
                            <a:fillRect/>
                          </a:stretch>
                        </pic:blipFill>
                        <pic:spPr>
                          <a:xfrm>
                            <a:off x="0" y="0"/>
                            <a:ext cx="5029200" cy="3845859"/>
                          </a:xfrm>
                          <a:prstGeom prst="rect"/>
                        </pic:spPr>
                      </pic:pic>
                    </a:graphicData>
                  </a:graphic>
                </wp:inline>
              </w:drawing>
            </w:r>
          </w:p>
          <w:p>
            <w:pPr>
              <w:jc w:val="center"/>
            </w:pPr>
            <w:r>
              <w:rPr>
                <w:sz w:val="18"/>
              </w:rPr>
              <w:t>图2 基于永久命名的CAD模型差异对比系统结构图</w:t>
            </w:r>
          </w:p>
          <w:p>
            <w:pPr>
              <w:jc w:val="center"/>
            </w:pPr>
            <w:r>
              <w:drawing>
                <wp:inline xmlns:a="http://schemas.openxmlformats.org/drawingml/2006/main" xmlns:pic="http://schemas.openxmlformats.org/drawingml/2006/picture">
                  <wp:extent cx="5029200" cy="3550024"/>
                  <wp:docPr id="3" name="Picture 3"/>
                  <wp:cNvGraphicFramePr>
                    <a:graphicFrameLocks noChangeAspect="1"/>
                  </wp:cNvGraphicFramePr>
                  <a:graphic>
                    <a:graphicData uri="http://schemas.openxmlformats.org/drawingml/2006/picture">
                      <pic:pic>
                        <pic:nvPicPr>
                          <pic:cNvPr id="0" name="permanent_naming-fig3-decision.png"/>
                          <pic:cNvPicPr/>
                        </pic:nvPicPr>
                        <pic:blipFill>
                          <a:blip r:embed="rId13"/>
                          <a:stretch>
                            <a:fillRect/>
                          </a:stretch>
                        </pic:blipFill>
                        <pic:spPr>
                          <a:xfrm>
                            <a:off x="0" y="0"/>
                            <a:ext cx="5029200" cy="3550024"/>
                          </a:xfrm>
                          <a:prstGeom prst="rect"/>
                        </pic:spPr>
                      </pic:pic>
                    </a:graphicData>
                  </a:graphic>
                </wp:inline>
              </w:drawing>
            </w:r>
          </w:p>
          <w:p>
            <w:pPr>
              <w:jc w:val="center"/>
            </w:pPr>
            <w:r>
              <w:rPr>
                <w:sz w:val="18"/>
              </w:rPr>
              <w:t>图3 命名域元数据硬门控与三态路由流程图</w:t>
            </w:r>
          </w:p>
          <w:p>
            <w:pPr>
              <w:jc w:val="center"/>
            </w:pPr>
            <w:r>
              <w:drawing>
                <wp:inline xmlns:a="http://schemas.openxmlformats.org/drawingml/2006/main" xmlns:pic="http://schemas.openxmlformats.org/drawingml/2006/picture">
                  <wp:extent cx="5029200" cy="6140918"/>
                  <wp:docPr id="4" name="Picture 4"/>
                  <wp:cNvGraphicFramePr>
                    <a:graphicFrameLocks noChangeAspect="1"/>
                  </wp:cNvGraphicFramePr>
                  <a:graphic>
                    <a:graphicData uri="http://schemas.openxmlformats.org/drawingml/2006/picture">
                      <pic:pic>
                        <pic:nvPicPr>
                          <pic:cNvPr id="0" name="permanent_naming-fig4-metrics-diff.png"/>
                          <pic:cNvPicPr/>
                        </pic:nvPicPr>
                        <pic:blipFill>
                          <a:blip r:embed="rId14"/>
                          <a:stretch>
                            <a:fillRect/>
                          </a:stretch>
                        </pic:blipFill>
                        <pic:spPr>
                          <a:xfrm>
                            <a:off x="0" y="0"/>
                            <a:ext cx="5029200" cy="6140918"/>
                          </a:xfrm>
                          <a:prstGeom prst="rect"/>
                        </pic:spPr>
                      </pic:pic>
                    </a:graphicData>
                  </a:graphic>
                </wp:inline>
              </w:drawing>
            </w:r>
          </w:p>
          <w:p>
            <w:pPr>
              <w:jc w:val="center"/>
            </w:pPr>
            <w:r>
              <w:rPr>
                <w:sz w:val="18"/>
              </w:rPr>
              <w:t>图4 关系闭包与差异分类两支汇合流程图</w:t>
            </w:r>
          </w:p>
        </w:tc>
      </w:tr>
      <w:tr w14:paraId="3CB8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9" w:hRule="atLeast"/>
        </w:trPr>
        <w:tc>
          <w:tcPr>
            <w:tcW w:w="9073" w:type="dxa"/>
            <w:tcBorders>
              <w:top w:val="single" w:color="auto" w:sz="4" w:space="0"/>
              <w:left w:val="single" w:color="auto" w:sz="4" w:space="0"/>
              <w:bottom w:val="single" w:color="auto" w:sz="4" w:space="0"/>
              <w:right w:val="single" w:color="auto" w:sz="4" w:space="0"/>
            </w:tcBorders>
          </w:tcPr>
          <w:p>
            <w:r>
              <w:rPr>
                <w:b/>
                <w:sz w:val="24"/>
              </w:rPr>
              <w:t>本专利技术的优点和有益效果</w:t>
            </w:r>
          </w:p>
          <w:p>
            <w:pPr>
              <w:spacing w:after="60"/>
              <w:ind w:left="280" w:hanging="200"/>
            </w:pPr>
            <w:r>
              <w:rPr>
                <w:sz w:val="21"/>
              </w:rPr>
              <w:t>• 映射基数保真：步骤一保留一个键关联多个实体、一个实体关联多个非等价键以及跨命名域键对应的原始关系基数，使同一比较规范键命中的多个实体在进入判定之前仍可区分，避免因普通名称去重丢失重复名称信息，降低错误身份传播风险。</w:t>
            </w:r>
          </w:p>
          <w:p>
            <w:pPr>
              <w:spacing w:after="60"/>
              <w:ind w:left="280" w:hanging="200"/>
            </w:pPr>
            <w:r>
              <w:rPr>
                <w:sz w:val="21"/>
              </w:rPr>
              <w:t>• 身份与变化两阶段判断：允许变化属性仅在实体对已进入</w:t>
            </w:r>
            <w:r>
              <w:rPr>
                <w:sz w:val="21"/>
              </w:rPr>
              <w:t>R</w:t>
            </w:r>
            <w:r>
              <w:rPr>
                <w:sz w:val="21"/>
                <w:vertAlign w:val="subscript"/>
              </w:rPr>
              <w:t>11</w:t>
            </w:r>
            <w:r>
              <w:rPr>
                <w:sz w:val="21"/>
              </w:rPr>
              <w:t>且身份验证通过之后才被读取和计算，使尺寸、参数和修剪几何的取值不参与身份是否成立的判定，合法尺寸变化不会被误判为名称漂移或名称复用。</w:t>
            </w:r>
          </w:p>
          <w:p>
            <w:pPr>
              <w:spacing w:after="60"/>
              <w:ind w:left="280" w:hanging="200"/>
            </w:pPr>
            <w:r>
              <w:rPr>
                <w:sz w:val="21"/>
              </w:rPr>
              <w:t>• 组关系与一对一关系联合选择：三类关系假设在同一局部候选连通分量内以双侧端点互斥为约束同时求解，一对一假设不得先于联合选择被单独求解，使分裂端点与合并端点不会被普通一对一匹配提前占用。</w:t>
            </w:r>
          </w:p>
          <w:p>
            <w:pPr>
              <w:spacing w:after="60"/>
              <w:ind w:left="280" w:hanging="200"/>
            </w:pPr>
            <w:r>
              <w:rPr>
                <w:sz w:val="21"/>
              </w:rPr>
              <w:t>• 未决冻结：对不能取得绝对裕量、身份证据不足、局部读取失败或预算溢出的端点在其候选冲突闭包上求取冻结最小不动点，把证据不充分的端点整体移出确定性分类输入，避免把证据不足的端点过早归入新增或删除。</w:t>
            </w:r>
          </w:p>
          <w:p>
            <w:pPr>
              <w:spacing w:after="60"/>
              <w:ind w:left="280" w:hanging="200"/>
            </w:pPr>
            <w:r>
              <w:rPr>
                <w:sz w:val="21"/>
              </w:rPr>
              <w:t>• 分区不变量驱动的控制：双侧完备不交分区不变量作为流程的控制条件，其取值直接决定后续读取哪些CAD数据、撤销哪些关系，使关系回滚与局部扩读成为受控的算法步骤而不是结果展示公式，比较过程的中间状态与最终结论可复算、可追溯。</w:t>
            </w:r>
          </w:p>
          <w:p>
            <w:pPr>
              <w:spacing w:after="60"/>
              <w:ind w:left="280" w:hanging="200"/>
            </w:pPr>
            <w:r>
              <w:rPr>
                <w:sz w:val="21"/>
              </w:rPr>
              <w:t>• 闭包后分类：仅在同代次证据有效且CLOSURE_PASS成立后才输出分类，且新增与删除必须由同代次端点级失败凭证支持，使每个实体在其所在侧只落入一个分类，双侧结果可按可审计实体集合逐侧复算，同一实体不会被重复计入两个分类。</w:t>
            </w:r>
          </w:p>
          <w:p>
            <w:pPr>
              <w:spacing w:after="60"/>
              <w:ind w:left="280" w:hanging="200"/>
            </w:pPr>
            <w:r>
              <w:rPr>
                <w:sz w:val="21"/>
              </w:rPr>
              <w:t>• 稀疏候选与受预算约束的局部读取：候选边数量由单端点候选边上限与端点数量共同确定而非由两侧端点的全交叉规模确定，给出候选规模的可计算上界，并使候选压缩比例与局部读取比例具有明确的分子分母口径和空分母处理规则。</w:t>
            </w:r>
          </w:p>
          <w:p>
            <w:pPr>
              <w:spacing w:after="60"/>
              <w:ind w:left="280" w:hanging="200"/>
            </w:pPr>
            <w:r>
              <w:rPr>
                <w:sz w:val="21"/>
              </w:rPr>
              <w:t>• 命名身份对应与内容变化检测的职责分离：永久命名标识按实体的拓扑位置与特征生成关系在比较开始前写入，其相同或不同只反映实体的来源与演化关系，不反映尺寸、参数与修剪几何的取值，因此直接利用永久命名可以减少全量几何匹配，但永久命名本身并不能说明同名实体是否发生几何、拓扑、参数或语义变化；实体对应由既有永久命名索引直接查得而非由父子、拓扑邻接或空间重叠关系推断，上述关系仅在种子验证失败端点与命名异常端点上作为回退候选生成依据，故参与验证的实体范围不随关系传播深度扩张；版本指纹的复用以该实体对已属于</w:t>
            </w:r>
            <w:r>
              <w:rPr>
                <w:sz w:val="21"/>
              </w:rPr>
              <w:t>R</w:t>
            </w:r>
            <w:r>
              <w:rPr>
                <w:sz w:val="21"/>
                <w:vertAlign w:val="subscript"/>
              </w:rPr>
              <w:t>11</w:t>
            </w:r>
            <w:r>
              <w:rPr>
                <w:sz w:val="21"/>
              </w:rPr>
              <w:t>、身份验证已通过且所在关系闭包已经成立为激活前提，指纹相同仅表示在全部复用条件成立时暂免重复读取，不表示实体内容保持不变，也不形成身份已对应的结论；命名身份的稳定性与几何内容的不变性各自独立取证，使几何内容相似不产生错误身份对应，永久命名相同也不产生未经变化证据覆盖门控验证的保持不变结论。</w:t>
            </w:r>
          </w:p>
        </w:tc>
      </w:tr>
      <w:tr w14:paraId="39278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2" w:hRule="atLeast"/>
        </w:trPr>
        <w:tc>
          <w:tcPr>
            <w:tcW w:w="9073" w:type="dxa"/>
            <w:tcBorders>
              <w:top w:val="single" w:color="auto" w:sz="4" w:space="0"/>
              <w:left w:val="single" w:color="auto" w:sz="4" w:space="0"/>
              <w:right w:val="single" w:color="auto" w:sz="4" w:space="0"/>
            </w:tcBorders>
          </w:tcPr>
          <w:p>
            <w:r>
              <w:rPr>
                <w:b/>
                <w:sz w:val="24"/>
              </w:rPr>
              <w:t>需要保护的关键创新点</w:t>
            </w:r>
          </w:p>
          <w:p>
            <w:pPr>
              <w:spacing w:after="60"/>
              <w:ind w:left="280" w:hanging="200"/>
            </w:pPr>
            <w:r>
              <w:rPr>
                <w:sz w:val="21"/>
              </w:rPr>
              <w:t>• 既有名称与实体关联关系的基数保真：从比较开始前已存在的永久命名索引建立实体与比较规范键的多重关联关系，保留一键多实体、一实体多非等价键与跨命名域键对应的原始基数，不去重、不合并、不投影。</w:t>
            </w:r>
          </w:p>
          <w:p>
            <w:pPr>
              <w:spacing w:after="60"/>
              <w:ind w:left="280" w:hanging="200"/>
            </w:pPr>
            <w:r>
              <w:rPr>
                <w:sz w:val="21"/>
              </w:rPr>
              <w:t>• 四类字段用途互斥分离：硬身份约束、软身份证据与关系证据、允许变化属性、组聚合不变量各司其职，同一字段不承担两类用途；允许变化属性只在身份确定后读取。</w:t>
            </w:r>
          </w:p>
          <w:p>
            <w:pPr>
              <w:spacing w:after="60"/>
              <w:ind w:left="280" w:hanging="200"/>
            </w:pPr>
            <w:r>
              <w:rPr>
                <w:sz w:val="21"/>
              </w:rPr>
              <w:t>• 质量状态与三级门控：按覆盖类、一致性类、冲突类和映射类指标生成可信、歧义、冲突或低信息状态，先执行命名域元数据硬门控，再执行通过、局部受限、拒绝三态全局路由，最后执行逐比较规范键的四状态局部门控；任一指标分母为空时记为不可计算并按不满足处理。</w:t>
            </w:r>
          </w:p>
          <w:p>
            <w:pPr>
              <w:spacing w:after="60"/>
              <w:ind w:left="280" w:hanging="200"/>
            </w:pPr>
            <w:r>
              <w:rPr>
                <w:sz w:val="21"/>
              </w:rPr>
              <w:t>• 三类关系假设的同时形成与联合互斥选择：一对一、一对多和多对一假设在同一局部候选连通分量内以双侧端点互斥为约束联合求解，一对一匹配不得先行占用可能属于组关系的端点；最佳解须相对次优解与空解取得预定绝对裕量。</w:t>
            </w:r>
          </w:p>
          <w:p>
            <w:pPr>
              <w:spacing w:after="60"/>
              <w:ind w:left="280" w:hanging="200"/>
            </w:pPr>
            <w:r>
              <w:rPr>
                <w:sz w:val="21"/>
              </w:rPr>
              <w:t>• 未决端点的冻结最小不动点：候选并列、身份或关系验证数据不足、局部读取失败和预算溢出四类原因触发冻结，在候选冲突闭包上单调迭代求取包含初始冻结端点的最小不动点FROZEN_A与FROZEN_B，冻结端点不进入任何关系集合与增删分类。</w:t>
            </w:r>
          </w:p>
          <w:p>
            <w:pPr>
              <w:spacing w:after="60"/>
              <w:ind w:left="280" w:hanging="200"/>
            </w:pPr>
            <w:r>
              <w:rPr>
                <w:sz w:val="21"/>
              </w:rPr>
              <w:t>• 端点展平与双侧完备不交分区检查：以</w:t>
            </w:r>
            <w:r>
              <w:rPr>
                <w:sz w:val="21"/>
              </w:rPr>
              <w:t>end</w:t>
            </w:r>
            <w:r>
              <w:rPr>
                <w:sz w:val="21"/>
                <w:vertAlign w:val="subscript"/>
              </w:rPr>
              <w:t>A</w:t>
            </w:r>
            <w:r>
              <w:rPr>
                <w:sz w:val="21"/>
              </w:rPr>
              <w:t>与</w:t>
            </w:r>
            <w:r>
              <w:rPr>
                <w:sz w:val="21"/>
              </w:rPr>
              <w:t>end</w:t>
            </w:r>
            <w:r>
              <w:rPr>
                <w:sz w:val="21"/>
                <w:vertAlign w:val="subscript"/>
              </w:rPr>
              <w:t>B</w:t>
            </w:r>
            <w:r>
              <w:rPr>
                <w:sz w:val="21"/>
              </w:rPr>
              <w:t>把三类类型化关系记录展平为实体集合，要求两侧可审计实体集合分别等于关系端点、增删集合与冻结集合的不相交并集，并通过五项机器断言。</w:t>
            </w:r>
          </w:p>
          <w:p>
            <w:pPr>
              <w:spacing w:after="60"/>
              <w:ind w:left="280" w:hanging="200"/>
            </w:pPr>
            <w:r>
              <w:rPr>
                <w:sz w:val="21"/>
              </w:rPr>
              <w:t>• 失败回流与代次失效：断言失败时使CLOSURE_PASS失效并回滚未发布分类，按撤销、局部扩读、重建假设、重新验证、重新联合选择、转入冻结的固定顺序恢复；每轮恢复必须产生严格进展，预算耗尽后只能按冻结路径收敛，不把未覆盖端点降级为新增或删除。</w:t>
            </w:r>
          </w:p>
          <w:p>
            <w:pPr>
              <w:spacing w:after="60"/>
              <w:ind w:left="280" w:hanging="200"/>
            </w:pPr>
            <w:r>
              <w:rPr>
                <w:sz w:val="21"/>
              </w:rPr>
              <w:t>• 闭包成立后才分类并物化统一类型化事件：新增与删除必须由同代次端点级失败凭证COMPLETE_FAIL_A或COMPLETE_FAIL_B支持；关系、增删、闭包通过标志、闭包快照与CAD_DIFF_EVENT_V1事件作为同一结果批次原子发布。</w:t>
            </w:r>
          </w:p>
          <w:p>
            <w:pPr>
              <w:spacing w:after="60"/>
              <w:ind w:left="280" w:hanging="200"/>
            </w:pPr>
            <w:r>
              <w:rPr>
                <w:sz w:val="21"/>
              </w:rPr>
              <w:t>• 负面边界：不生成、不修复、不更新任何CAD系统、CAD内核或产品数据管理系统的永久命名标识及其生成规则；比较规范键仅服务于本次比较，不写回上述任何系统。</w:t>
            </w:r>
          </w:p>
        </w:tc>
      </w:tr>
    </w:tbl>
    <w:p w14:paraId="12957240">
      <w:pPr>
        <w:rPr>
          <w:color w:val="0000FF"/>
        </w:rPr>
      </w:pPr>
    </w:p>
    <w:sectPr>
      <w:headerReference r:id="rId3" w:type="default"/>
      <w:footerReference r:id="rId4" w:type="default"/>
      <w:pgSz w:w="11906" w:h="16838"/>
      <w:pgMar w:top="1418" w:right="1418" w:bottom="1418" w:left="1418" w:header="851"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roman"/>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A7437">
    <w:pPr>
      <w:pStyle w:val="4"/>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291589">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wrap="none" lIns="0" tIns="0" rIns="0" bIns="0" upright="0">
                      <a:spAutoFit/>
                    </wps:bodyPr>
                  </wps:wsp>
                </a:graphicData>
              </a:graphic>
            </wp:anchor>
          </w:drawing>
        </mc:Choice>
        <mc:Fallback>
          <w:pict>
            <v:shape id="文本框 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G05ranLAQAAnAMAAA4AAAAAAAAAAQAgAAAAHgEAAGRycy9lMm9E&#10;b2MueG1sUEsFBgAAAAAGAAYAWQEAAFsFAAAAAA==&#10;">
              <v:fill on="f" focussize="0,0"/>
              <v:stroke on="f"/>
              <v:imagedata o:title=""/>
              <o:lock v:ext="edit" aspectratio="f"/>
              <v:textbox inset="0mm,0mm,0mm,0mm" style="mso-fit-shape-to-text:t;">
                <w:txbxContent>
                  <w:p w14:paraId="35291589">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p w14:paraId="283FC33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D9E86">
    <w:pPr>
      <w:pStyle w:val="5"/>
      <w:tabs>
        <w:tab w:val="left" w:pos="6643"/>
      </w:tabs>
      <w:jc w:val="both"/>
    </w:pPr>
    <w:r>
      <w:rPr>
        <w:rFonts w:hint="eastAsia"/>
        <w:sz w:val="18"/>
        <w:lang w:val="en-US" w:eastAsia="zh-CN"/>
      </w:rPr>
      <w:t>重庆诺源工业软件科技有限公司</w:t>
    </w:r>
    <w:r>
      <w:rPr>
        <w:rFonts w:hint="eastAsia"/>
      </w:rPr>
      <w:t xml:space="preserve">                                                           </w:t>
    </w:r>
    <w:r>
      <w:rPr>
        <w:rFonts w:hint="eastAsia"/>
        <w:lang w:eastAsia="zh-CN"/>
      </w:rPr>
      <w:t>交底书</w:t>
    </w:r>
    <w:r>
      <w:rPr>
        <w:rFonts w:hint="eastAsia"/>
      </w:rPr>
      <w:t>模板</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xOGVjMmU0YTU4ZDIzNTkzMzQxNzZkNzQ3YWMxNTMifQ=="/>
  </w:docVars>
  <w:rsids>
    <w:rsidRoot w:val="0051419A"/>
    <w:rsid w:val="0011721B"/>
    <w:rsid w:val="001C3E2E"/>
    <w:rsid w:val="004B25F5"/>
    <w:rsid w:val="0051419A"/>
    <w:rsid w:val="006B41C4"/>
    <w:rsid w:val="00731467"/>
    <w:rsid w:val="008434DF"/>
    <w:rsid w:val="008C0ABB"/>
    <w:rsid w:val="009250E9"/>
    <w:rsid w:val="00A75181"/>
    <w:rsid w:val="00C66894"/>
    <w:rsid w:val="00E3308E"/>
    <w:rsid w:val="00E4617A"/>
    <w:rsid w:val="00F76BC1"/>
    <w:rsid w:val="00FF2264"/>
    <w:rsid w:val="2BDF4A8C"/>
    <w:rsid w:val="31AF7A8F"/>
    <w:rsid w:val="3E1710C0"/>
    <w:rsid w:val="403E3E98"/>
    <w:rsid w:val="45713EEF"/>
    <w:rsid w:val="55571651"/>
    <w:rsid w:val="57A11BD9"/>
    <w:rsid w:val="66262254"/>
    <w:rsid w:val="74F62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line="360" w:lineRule="auto"/>
    </w:pPr>
    <w:rPr>
      <w:color w:val="0000FF"/>
      <w:sz w:val="24"/>
    </w:rPr>
  </w:style>
  <w:style w:type="paragraph" w:styleId="3">
    <w:name w:val="Balloon Text"/>
    <w:basedOn w:val="1"/>
    <w:link w:val="15"/>
    <w:qFormat/>
    <w:uiPriority w:val="0"/>
    <w:rPr>
      <w:sz w:val="18"/>
      <w:szCs w:val="18"/>
    </w:rPr>
  </w:style>
  <w:style w:type="paragraph" w:styleId="4">
    <w:name w:val="footer"/>
    <w:basedOn w:val="1"/>
    <w:link w:val="16"/>
    <w:qFormat/>
    <w:uiPriority w:val="99"/>
    <w:pPr>
      <w:tabs>
        <w:tab w:val="center" w:pos="4153"/>
        <w:tab w:val="right" w:pos="8306"/>
      </w:tabs>
      <w:snapToGrid w:val="0"/>
      <w:jc w:val="left"/>
    </w:pPr>
    <w:rPr>
      <w:sz w:val="18"/>
      <w:szCs w:val="18"/>
    </w:rPr>
  </w:style>
  <w:style w:type="paragraph" w:styleId="5">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qFormat/>
    <w:uiPriority w:val="0"/>
    <w:rPr>
      <w:b/>
      <w:bCs/>
    </w:rPr>
  </w:style>
  <w:style w:type="character" w:styleId="10">
    <w:name w:val="page number"/>
    <w:basedOn w:val="8"/>
    <w:qFormat/>
    <w:uiPriority w:val="0"/>
  </w:style>
  <w:style w:type="character" w:styleId="11">
    <w:name w:val="Hyperlink"/>
    <w:qFormat/>
    <w:uiPriority w:val="0"/>
    <w:rPr>
      <w:color w:val="0000FF"/>
      <w:u w:val="single"/>
    </w:rPr>
  </w:style>
  <w:style w:type="paragraph" w:customStyle="1" w:styleId="12">
    <w:name w:val="缺省文本"/>
    <w:basedOn w:val="1"/>
    <w:qFormat/>
    <w:uiPriority w:val="0"/>
    <w:pPr>
      <w:autoSpaceDE w:val="0"/>
      <w:autoSpaceDN w:val="0"/>
      <w:adjustRightInd w:val="0"/>
      <w:spacing w:line="360" w:lineRule="auto"/>
      <w:jc w:val="left"/>
    </w:pPr>
    <w:rPr>
      <w:kern w:val="0"/>
    </w:rPr>
  </w:style>
  <w:style w:type="paragraph" w:customStyle="1" w:styleId="13">
    <w:name w:val="references"/>
    <w:qFormat/>
    <w:uiPriority w:val="0"/>
    <w:pPr>
      <w:tabs>
        <w:tab w:val="left" w:pos="360"/>
      </w:tabs>
      <w:spacing w:after="50" w:line="180" w:lineRule="exact"/>
      <w:ind w:left="360" w:hanging="360"/>
      <w:jc w:val="both"/>
    </w:pPr>
    <w:rPr>
      <w:rFonts w:ascii="Times New Roman" w:hAnsi="Times New Roman" w:eastAsia="MS Mincho" w:cs="Times New Roman"/>
      <w:sz w:val="16"/>
      <w:szCs w:val="16"/>
      <w:lang w:val="en-US" w:eastAsia="en-US" w:bidi="ar-SA"/>
    </w:rPr>
  </w:style>
  <w:style w:type="character" w:customStyle="1" w:styleId="14">
    <w:name w:val="页眉 Char"/>
    <w:basedOn w:val="8"/>
    <w:link w:val="5"/>
    <w:qFormat/>
    <w:uiPriority w:val="0"/>
    <w:rPr>
      <w:kern w:val="2"/>
      <w:sz w:val="18"/>
      <w:szCs w:val="18"/>
    </w:rPr>
  </w:style>
  <w:style w:type="character" w:customStyle="1" w:styleId="15">
    <w:name w:val="批注框文本 Char"/>
    <w:basedOn w:val="8"/>
    <w:link w:val="3"/>
    <w:qFormat/>
    <w:uiPriority w:val="0"/>
    <w:rPr>
      <w:kern w:val="2"/>
      <w:sz w:val="18"/>
      <w:szCs w:val="18"/>
    </w:rPr>
  </w:style>
  <w:style w:type="character" w:customStyle="1" w:styleId="16">
    <w:name w:val="页脚 Char"/>
    <w:basedOn w:val="8"/>
    <w:link w:val="4"/>
    <w:qFormat/>
    <w:uiPriority w:val="99"/>
    <w:rPr>
      <w:kern w:val="2"/>
      <w:sz w:val="18"/>
      <w:szCs w:val="18"/>
    </w:rPr>
  </w:style>
  <w:style w:type="paragraph" w:styleId="17">
    <w:name w:val="List Paragraph"/>
    <w:basedOn w:val="1"/>
    <w:qFormat/>
    <w:uiPriority w:val="34"/>
    <w:pPr>
      <w:ind w:firstLine="420" w:firstLineChars="200"/>
    </w:pPr>
    <w:rPr>
      <w:rFonts w:eastAsia="仿宋" w:cstheme="minorBidi"/>
      <w:sz w:val="24"/>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hamilton</Company>
  <Pages>5</Pages>
  <Words>2869</Words>
  <Characters>2893</Characters>
  <Lines>6</Lines>
  <Paragraphs>1</Paragraphs>
  <TotalTime>18</TotalTime>
  <ScaleCrop>false</ScaleCrop>
  <LinksUpToDate>false</LinksUpToDate>
  <CharactersWithSpaces>2912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2019-02-21T11:31:00Z</dcterms:created>
  <dc:creator>yumw</dc:creator>
  <cp:lastModifiedBy>xiaodi.su</cp:lastModifiedBy>
  <dcterms:modified xsi:type="dcterms:W3CDTF">2026-07-08T07:28:19Z</dcterms:modified>
  <dc:title>技术交底书*</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6D24395B66264B73B9ABB9AE86E2CAF7_13</vt:lpwstr>
  </property>
  <property fmtid="{D5CDD505-2E9C-101B-9397-08002B2CF9AE}" pid="4" name="KSOTemplateDocerSaveRecord">
    <vt:lpwstr>eyJoZGlkIjoiZmRmNGRhYzFhM2M0ODNiOTFiNDFjZjhhZDRhNTc2ZjYiLCJ1c2VySWQiOiIyNzY3NDkyMjcifQ==</vt:lpwstr>
  </property>
</Properties>
</file>