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专利申请名称：基于永久命名的CAD模型差异对比方法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申请人及部门：待补充</w:t>
      </w:r>
    </w:p>
    <w:p w14:paraId="3E1B556F">
      <w:pPr>
        <w:spacing w:line="360" w:lineRule="auto"/>
        <w:rPr>
          <w:rFonts w:hint="default" w:eastAsia="宋体"/>
          <w:sz w:val="24"/>
          <w:lang w:val="en-US" w:eastAsia="zh-CN"/>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一种基于CAD永久命名的模型差异对比方法及系统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after="80"/>
            </w:pPr>
            <w:r>
              <w:rPr>
                <w:sz w:val="21"/>
              </w:rPr>
              <w:t>然而实际编辑过程会使已有永久命名与实体之间的关系偏离一一对应，至少存在六种情形：同一比较规范键在同一模型内命中多个实体，或同一实体携带多个不等价名称，形成命名重复与多重关联；特征重排、参考更换或拓扑重构使名称与实体的绑定发生迁移，形成命名漂移；布尔运算、阵列调整、圆角重建或特征拆分使一个命名实体在另一模型中对应多个实体，或多个命名实体收敛为一个实体组，形成命名分裂与命名合并；部分实体名称缺失或被替换，形成命名失效；部分实体可用于判定的证据维度过少，形成低信息命名；局部B-rep数据、索引记录或跨命名域映射表在读取时失败或超出预定预算，使部分端点在本次比较中不具备可判定的证据。若差异对比系统直接信任永久命名，就可能把真实修改判为未变化，或把命名异常判为新增与删除。</w:t>
            </w:r>
          </w:p>
          <w:p>
            <w:pPr>
              <w:spacing w:after="80"/>
            </w:pPr>
            <w:r>
              <w:rPr>
                <w:sz w:val="21"/>
              </w:rPr>
              <w:t>现有做法主要沿三条路线展开。其一关注永久命名标识本身的生成与维持，例如US6445388B1和US7206661B2，其目标是产生名称，未处理名称已经不可靠时的差异判定。其二在两侧元素已经建立直接对应的前提下比较并列出差异，例如CN119312543A和US10192023B2，其把实体对应关系视为已知输入，未处理命名重复、漂移、分裂与合并造成的对应关系不确定。其三以高置信匹配辅助低置信匹配，并在匹配阶段结束后把剩余未匹配元素判为新增或删除，例如US10816957B2和US11288411B2，其在剩余元素上不区分确有增删与证据不足或读取失败，也未要求在输出确定性结论之前先使两侧实体形成完备且互不相交的归属。本方案关注的正是在永久命名部分可靠的条件下，把两个模型之间的实体对应关系作为待求解对象而不是已知输入，并在取得双侧互斥且完备的归属之后才输出确定性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以下述七个步骤为唯一主线，并按所列顺序建立前后依赖，不存在绕过该主线的旁路功能。步骤一读取既有永久命名关系并保真映射基数；步骤二计算命名质量状态、分离四类字段用途并执行门控；步骤三形成临时种子关系并生成稀疏候选边与三类关系假设；步骤四在同一局部分量内联合互斥选择并冻结未决端点；步骤五执行双侧完备不交分区检查与失败回流；步骤六在闭包通过后才分类；步骤七物化统一类型化差异事件与证据。</w:t>
            </w:r>
          </w:p>
          <w:p>
            <w:pPr>
              <w:spacing w:after="80"/>
            </w:pPr>
            <w:r>
              <w:rPr>
                <w:sz w:val="21"/>
              </w:rPr>
              <w:t>步骤一，获取待比较的第一CAD模型和第二CAD模型，读取两个模型中在比较开始前已经存在且可读取的永久命名实体索引、实体与比较规范键的关联关系以及既有键对应关系L_AB，按预先选定的比较层级l从B-rep面、边、顶点、特征、草图、参数、装配零部件和装配约束中形成第一侧可审计实体集合U_A^l和第二侧可审计实体集合U_B^l，并保留一个实体关联多个非等价键、一个键关联多个实体以及跨命名域键对应的原始关系基数。比较规范键仅由已有名称经统一字符编码、去除前后空白、大小写归一、分隔符归一和保留命名域前缀五个规范化步骤得到，不推导缺失名称。实体权重w_e在读取任何名称之前按比较层级固定且严格为正，不因名称读取结果或评分结果调整。既有键对应关系L_AB的每条记录为源命名域、源比较规范键、目标命名域、目标比较规范键、映射版本和映射有效期六元组，只有在当前比较时刻有效的映射边才参与键对应。可比较唯一键对集合K_11要求键侧唯一、实体端点唯一和映射唯一三重唯一同时成立。</w:t>
            </w:r>
          </w:p>
          <w:p>
            <w:pPr>
              <w:spacing w:after="80"/>
            </w:pPr>
            <w:r>
              <w:rPr>
                <w:sz w:val="21"/>
              </w:rPr>
              <w:t>步骤二之一，四类字段用途互斥分离。不可违反的硬身份约束取自永久命名实体索引中的实体类型、语义类别、父级特征和拓扑邻接角色；软身份证据与关系证据用于形成键对一致性得分q_κ并支持关系验证；允许变化属性取自尺寸、参数和修剪几何，仅在实体对已进入一对一关系集合R_11且身份验证通过之后才被读取和计算；组聚合不变量仅用于分裂与合并假设的必要条件验证。同一字段不得同时承担两类用途，已经用于身份否决或身份确认的字段不再进入变化度计算。</w:t>
            </w:r>
          </w:p>
          <w:p>
            <w:pPr>
              <w:spacing w:after="80"/>
            </w:pPr>
            <w:r>
              <w:rPr>
                <w:sz w:val="21"/>
              </w:rPr>
              <w:t>步骤二之二，覆盖类指标口径。取具有至少一个比较规范键的实体集合N_X，命名覆盖率C_cov,X等于N_X的权重和与U_X^l的权重和之比。取既具有比较规范键又不被同侧重复键污染的实体集合G_X，唯一可用覆盖率C_unique,X等于G_X的权重和与U_X^l的权重和之比。直接可比覆盖率C_direct等于临时种子关系R_seed规模的二倍与两侧可审计实体集合规模之和之比。覆盖率按有效命名实体计算，不按有效键数量计算。</w:t>
            </w:r>
          </w:p>
          <w:p>
            <w:pPr>
              <w:spacing w:after="80"/>
            </w:pPr>
            <w:r>
              <w:rPr>
                <w:sz w:val="21"/>
              </w:rPr>
              <w:t>步骤二之三，一致性类指标把通过率与平均分分别计算，不合并为同一公式。对每个键对κ取当前可计算且被启用的证据维度子集J_κ^+；维度数小于二的键对归入低信息键对集合K_lowinfo；两个实体端点违反任一硬身份约束的键对归入硬冲突键对集合K_hard；其余归入可评分键对集合K_score，并按J_κ^+中各维度得分及其严格正权重的加权平均得到q_κ。一致性通过率R_cons以K_11为分母，以K_score中q_κ不小于tau_cons的键对数量为分子；平均一致性S_cons以K_score为分母，以K_score上q_κ按键对权重w_κ的加权和为分子，w_κ取两个实体端点权重的算术平均。硬冲突率C_hard与低信息率C_lowinfo分别以K_hard、K_lowinfo的规模为分子、以K_11为分母另行报告。硬冲突键对与低信息键对不构造q_κ，也不进入S_cons的平均值。</w:t>
            </w:r>
          </w:p>
          <w:p>
            <w:pPr>
              <w:spacing w:after="80"/>
            </w:pPr>
            <w:r>
              <w:rPr>
                <w:sz w:val="21"/>
              </w:rPr>
              <w:t>步骤二之四，冲突类与映射类指标口径。单模型重复率C_dup,X等于同一模型内被重复比较规范键命中的命名实体集合D_X与N_X之比；跨版本冲突率C_cross等于K_11中两个实体端点在硬身份约束上不相容的键对集合与K_11之比。映射类指标仅在跨命名域比较时按映射方向分别计算：映射覆盖率C_mapcov,X等于在L_AB中存在有效映射边的比较规范键数量与参与比较的比较规范键数量之比；映射边冲突率C_mapedgeconf,X等于存在多条有效映射边或映射目标互斥的比较规范键与参与比较的比较规范键之比；端点映射冲突率C_mapconf,X等于映射导致实体端点不相容的比例，并按源侧、目标侧和合并口径分别给出。综合展示值C_conf由上述分项按严格正权重加权平均得到，仅用于展示，不替代其中任一分项参与门控判定。同一命名域内比较时映射类指标整体记为不适用，而不记为零。任一指标分母为空时该指标记为不可计算，不补记为零或一，不以其他指标或综合展示值代替，其门控条件按不满足处理或将相关作用域转入局部受限路由。</w:t>
            </w:r>
          </w:p>
          <w:p>
            <w:pPr>
              <w:spacing w:after="80"/>
            </w:pPr>
            <w:r>
              <w:rPr>
                <w:sz w:val="21"/>
              </w:rPr>
              <w:t>步骤二之五，元数据硬门控、全局三态路由与逐键四状态局部门控。先执行命名域元数据硬门控，要求同时满足五个条件：两个索引的命名域标识、CAD系统标识和CAD内核标识可读取且相容；两侧比较层级一致；两侧实体权重口径一致；比较规范键的规范化口径在两侧一致；跨命名域比较时L_AB的映射表版本可读取且在当前比较时刻有效。任一条件不满足直接转入拒绝路由。随后的全局质量门控在通过、局部受限和拒绝三个状态间选择，阈值满足零不大于tau_conf、tau_conf不大于tau_cons、tau_cons不大于一。逐键局部门控对每个键对输出可信、歧义、冲突和低信息四状态之一：属于K_score、q_κ不小于tau_cons且局部映射校验通过时为可信并进入R_seed；属于K_hard时为冲突；属于K_lowinfo时为低信息；其余为歧义。输出冲突、低信息或歧义状态的键对，其实体端点作为命名异常端点进入候选路径。局部映射校验失败不以较高的q_κ补救，也不以全局通过状态代替。</w:t>
            </w:r>
          </w:p>
          <w:p>
            <w:pPr>
              <w:spacing w:after="80"/>
            </w:pPr>
            <w:r>
              <w:rPr>
                <w:sz w:val="21"/>
              </w:rPr>
              <w:t>步骤三，对局部门控通过的实体对形成仍待身份验证和指纹验证的临时种子关系R_seed并执行该验证；对种子验证失败的端点和命名异常端点，按实体类型、所属特征、空间邻域、拓扑邻接关系和装配约束关系的双向索引查询在预定预算内生成稀疏候选边集合C，并在其上生成一对一、一对多和多对一三类关系假设。候选配置Pi_cand^l在读取本次候选结果之前固定并版本化，至少包括双向查询范围、单端点候选边上限B_edge^l、组规模上限m_max^l、分量假设上限B_hyp^l、局部读取量上限B_read^l和计算量上限B_cost^l。任一预算超限时不截断、不先取高分假设，而是把受影响端点或整个分量标记为预算溢出并冻结。一对多假设要求目标实体组规模不超过m_max^l、组内每个实体与源实体之间均有支持边，且在修剪域、参数域、外部邻接或设计关系上形成连续覆盖，或存在比较开始前已有并校验通过的明确拆分谱系；多对一假设按对称条件生成；不枚举任一端点候选集合的幂集。</w:t>
            </w:r>
          </w:p>
          <w:p>
            <w:pPr>
              <w:spacing w:after="80"/>
            </w:pPr>
            <w:r>
              <w:rPr>
                <w:sz w:val="21"/>
              </w:rPr>
              <w:t>步骤四，在同一局部候选连通分量内对三类关系假设执行联合选择，使第一侧和第二侧被选择关系的端点分别互斥，形成一对一关系集合R_11、一对多关系集合R_1m和多对一关系集合R_m1。候选权重W(h)严格为正，分量目标Phi_G(z)为被选假设权重与端点权重之积在分量端点权重总和上的归一化加权和。对每个分量同时计算最佳可行解与包括空解在内的次优可行解，只有二者目标值之差大于事前固定的绝对裕量阈值delta_margin^l时最佳解才成为待物化关系解，否则标记候选并列并进入冻结；不通过调低delta_margin^l或删除次优可行解使并列消失。一对一匹配不得先行占用可能属于一对多或多对一关系的端点。冻结原因包括候选并列不能唯一消歧、身份或关系验证数据不足、局部读取失败以及预算溢出四类；以候选冲突关系构造冻结超图并单调迭代至集合不再变化，所得FROZEN_A与FROZEN_B是包含初始冻结端点并对候选冲突封闭的最小不动点。冻结端点不进入R_11、R_1m、R_m1，也不进入新增与删除分类。</w:t>
            </w:r>
          </w:p>
          <w:p>
            <w:pPr>
              <w:spacing w:after="80"/>
            </w:pPr>
            <w:r>
              <w:rPr>
                <w:sz w:val="21"/>
              </w:rPr>
              <w:t>步骤五，通过端点展平算子end_A和end_B执行双侧完备不交分区不变量检查。对一对一记录，end_A与end_B分别取其两侧实体；对一对多记录，end_B取目标实体组全部实体；对多对一记录，end_A取源实体组全部实体。要求第一侧可审计实体集合等于三类关系在第一侧的展平端点、删除集合DEL与FROZEN_A的不相交并集，第二侧可审计实体集合等于三类关系在第二侧的展平端点、新增集合ADD与FROZEN_B的不相交并集。机器断言至少包括五项：三类关系在两侧的端点集合两两不交且不重复消费端点；可追踪范围与增删及冻结集合互不相交；两侧阻断范围为空；每条关系的证据、配置版本与代次键仍然有效且每个增删端点持有同代次的端点级失败凭证COMPLETE_FAIL_A或COMPLETE_FAIL_B；每个实体在其所在侧的主状态恰有一个。任一断言失败时使闭包通过标志CLOSURE_PASS失效并回滚尚未发布的分类，再按撤销受影响关系、扩大失败局部的CAD数据读取范围以补读局部B-rep面、边、顶点及其拓扑邻接关系、重建候选边与三类假设、重新执行身份验证与关系验证、重新执行联合选择、把仍不能消歧或读取失败或预算耗尽的完整冲突闭包转入冻结集合的固定顺序恢复，并再次检查。撤销顺序按可复算置信元组rho(r)的字典序从低到高确定。每轮恢复除消耗一次重试额度外还必须产生严格进展，即新增有效证据、使至少一个活动假设永久失效或严格扩大冻结集合并集；无法满足任一进展条件时立即冻结受影响闭包。在分区不变量通过之前不输出任何确定性差异，也不以记录告警或审计日志的方式继续。</w:t>
            </w:r>
          </w:p>
          <w:p>
            <w:pPr>
              <w:spacing w:after="80"/>
            </w:pPr>
            <w:r>
              <w:rPr>
                <w:sz w:val="21"/>
              </w:rPr>
              <w:t>步骤六，仅在当前代次证据有效且双侧分区形成CLOSURE_PASS后，才把关系和端点分类为保持不变、修改、分裂、合并、新增、删除和待复核。删除集合DEL收入第一侧未被任何有效关系覆盖、不属于FROZEN_A且持有当前代次端点级失败凭证的实体，新增集合ADD按对称条件收入第二侧实体；仍存在未完成验证的合理候选、属于阻断范围、缺少同代次凭证或已进入冻结集合的实体一律不列入删除或新增。一对多关系的唯一主分类固定为分裂，其第二侧端点不再计入新增；多对一关系的唯一主分类固定为合并，其第一侧端点不再计入删除。</w:t>
            </w:r>
          </w:p>
          <w:p>
            <w:pPr>
              <w:spacing w:after="80"/>
            </w:pPr>
            <w:r>
              <w:rPr>
                <w:sz w:val="21"/>
              </w:rPr>
              <w:t>步骤六之二，允许变化属性的具体计算。数值维度先取合成容差T(x,y)=eps_abs+eps_rel*max(|x|,|y|)，再取两值之差的绝对值超出T的部分除以T与正下限delta的较大者并截断到零至一区间，得到数值距离d_num=clip((|x-y|-T)/max(T,delta),0,1)，容差范围内的差异为零。集合维度取一减去交集规模与并集规模之比得到d_set，两集合均空时约定为零；多重集维度按重数取各类型计数较小值之和与较大值之和之比再取一减该比值，得到d_multiset；类别、方向和关系维度按相等判定、归一化夹角和关系子图组合差异计算；实体维度或硬类型不相容时直接判为硬冲突，不通过加权平均稀释。变化证据覆盖门控在读取本次结果之前预先声明允许变化维度全集J_change^l、严格正权重lambda_i、维度分组、非空必需核心组集合G_required^l、最低变化证据覆盖阈值tau_change^l和保持不变阈值tau_same^l；令J_verify(a,b)为当前代次实际取得且校验有效的允许变化维度子集，变化证据覆盖度coverage_change等于J_verify(a,b)上权重之和与J_change^l上权重之和之比。只有J_change^l非空、J_verify(a,b)非空、coverage_change不小于tau_change^l且每个必需核心组与J_verify(a,b)的交集非空时，变化门控change_gate才判为通过，并定义综合变化度D(a,b)为J_verify(a,b)上各维度距离按lambda_i的加权平均；否则判为证据不足，D(a,b)不定义并生成变化数据不足型待复核，不用一个偶然可得的次要维度输出保持不变或修改。</w:t>
            </w:r>
          </w:p>
          <w:p>
            <w:pPr>
              <w:spacing w:after="80"/>
            </w:pPr>
            <w:r>
              <w:rPr>
                <w:sz w:val="21"/>
              </w:rPr>
              <w:t>步骤六之三，名称变化与身份变化分离。对已进入R_11的实体对，分别读取原始永久名称记录多重集与该实体的比较规范键集合，按标准化规则和已声明等价别名关系取商，使每个等价别名类只形成一个由命名域与比较规范键构成的名称令牌，得到N_A(a)与N_B(b)；类内原始拼写、来源和重复次数作为旁路证据保存，不进入令牌基数，因而别名拼写替换或原始重复次数变化不计为名称变化。同一命名域仅当比较规范键相等时连边，不同命名域纳入当前有效映射边，无效或过期映射不形成边也不消除名称变化。计算全部最大基数一对一名称匹配集合M_max：最大匹配唯一时据此定义两侧未匹配令牌集合并生成名称新增、名称删除或部分名称增删标签；不唯一时只输出所有最大匹配共有的不变量并给出名称匹配歧义标签。名称变化状态取名称未变、名称已变和名称未决之一，仅作为R_11上的分类证据或副标签，不反向改写R_11，不充当硬身份冲突，也不生成、修复或回写永久名称。闭包通过后的一对一分类为：变化门控通过、D(a,b)不大于tau_same^l且名称未变时判为保持不变；同样条件下名称已变时判为仅重命名；变化门控通过、D(a,b)大于tau_same^l且名称状态可判定时判为修改，名称同时变化时增加重命名副标签；变化门控证据不足或名称未决时判为待复核。</w:t>
            </w:r>
          </w:p>
          <w:p>
            <w:pPr>
              <w:spacing w:after="80"/>
            </w:pPr>
            <w:r>
              <w:rPr>
                <w:sz w:val="21"/>
              </w:rPr>
              <w:t>步骤七，将关系、分类以及沿特征生成关系、参数引用关系、拓扑邻接关系和装配约束关系聚合得到的设计语义结果，物化为统一的类型化差异事件CAD_DIFF_EVENT_V1。每条事件记录包括事件标识、比较作用域标识、主分类、副标签集合、第一侧端点、第二侧端点、证据引用集合、非空代次键集合、恢复代次和闭包快照标识closure_snapshot_id。保持不变、仅重命名和修改事件两侧端点均非空；分裂事件的第二侧端点为实体组；合并事件的第一侧端点为实体组；新增事件的第一侧端点为空；删除事件的第二侧端点为空。每个证据引用记录证据类型、证据来源的CAD数据对象标识、读取范围、维度标识、维度距离值和所属代次。关系、增删、闭包通过标志、闭包快照和事件作为同一结果批次原子发布，发布本身不推进任何代次；事件物化完成后再次校验每个实体恰好归属一个主状态，不满足时返回步骤五，不输出部分事件流。</w:t>
            </w:r>
          </w:p>
          <w:p>
            <w:pPr>
              <w:spacing w:after="80"/>
            </w:pPr>
            <w:r>
              <w:rPr>
                <w:sz w:val="21"/>
              </w:rPr>
              <w:t>候选规模上界与计量指标。设两侧命名异常端点集合规模为|U_A^abn|与|U_B^abn|，单端点候选边上限为B_edge,A→B^l与B_edge,B→A^l，则稀疏候选边集合规模满足|C| &lt;= min(|U_A^abn|*|U_B^abn|, |U_A^abn|*B_edge,A→B^l + |U_B^abn|*B_edge,B→A^l)。候选边比candidate_edge_ratio以|C|为分子、以两侧命名异常端点数量之积为分母；局部验证实体比local_validation_entity_ratio以实际执行局部验证的实体数为分子、以按闭包要求需执行局部验证的实体数为分母；局部B-rep字节比local_brep_byte_ratio以实际读取的局部B-rep字节数为分子、以同一模型版本与同一序列化压缩缓存口径下全量读取对照的字节数为分母。三者的分母为空时均记为不可计算，不补记为零或一，也不以构造示例表述为实测结果。</w:t>
            </w:r>
          </w:p>
          <w:p>
            <w:pPr>
              <w:spacing w:after="80"/>
            </w:pPr>
            <w:r>
              <w:rPr>
                <w:sz w:val="21"/>
              </w:rPr>
              <w:t>数值实施例。预先固定比较层级为面层级，只比较面实体，不把边、特征、体或装配发生混入任何集合或分母，每个面取单位权重。输入规模为：第一侧可审计面100个、第二侧105个；第一侧具有至少一个比较规范键的面96个、第二侧100个；第一侧既有键又不被同侧重复键污染的面94个、第二侧97个；两模型有90个可比较唯一键对。本构造例启用两个独立软证据组且权重均为一，90个键对均具备这两组证据，故可评分键对集合等于可比较唯一键对集合，硬冲突键对集合与低信息键对集合均为空。其中87个键对的组得分为0.97与0.95，得q_κ=0.96；另外3个键对的组得分为0.48与0.36，得q_κ=0.42。第一侧有2个已命名面受模型内重复键影响，第二侧有3个。</w:t>
            </w:r>
          </w:p>
          <w:p>
            <w:pPr>
              <w:spacing w:after="80"/>
            </w:pPr>
            <w:r>
              <w:rPr>
                <w:sz w:val="21"/>
              </w:rPr>
              <w:t>数值实施例的指标复算：第一侧命名覆盖率96除以100为96%（精确值），第二侧100除以105约为95.24%；第一侧唯一可用覆盖率94除以100为94%（精确值），第二侧97除以105约为92.38%。取tau_cons=0.90、tau_conf=0.50，则一致性通过率R_cons等于87除以90约为96.67%，平均一致性S_cons等于87乘0.96加3乘0.42所得84.78再除以90，等于94.20%；硬冲突率C_hard与低信息率C_lowinfo均为0除以90，即0%（精确值）。第一侧单模型重复率C_dup,A等于2除以96约为2.08%，第二侧C_dup,B等于3除以100为3%（精确值）；跨版本冲突率C_cross等于3除以90约为3.33%。两个模型属于同一命名域，元数据硬门控全部满足，本例没有任何必需的跨命名域映射方向，故映射类指标整体记为不适用而非零。在读取任何指标结果之前事前固定的其余阈值为：两侧命名覆盖率阈值90%、两侧唯一可用覆盖率阈值85%、一致性通过率阈值95%、平均一致性阈值90%、硬冲突率与低信息率阈值均为0%、两侧单模型重复率阈值5%、跨版本冲突率阈值5%。逐项满足后全局质量门控通过，但3个低分冲突键对及其他重复、单侧和无名称面仍须进入异常候选流程。</w:t>
            </w:r>
          </w:p>
          <w:p>
            <w:pPr>
              <w:spacing w:after="80"/>
            </w:pPr>
            <w:r>
              <w:rPr>
                <w:sz w:val="21"/>
              </w:rPr>
              <w:t>数值实施例的候选与最终差异复算：87个一致性通过键对形成临时种子关系后，经异常分流得第一侧命名异常端点13个、第二侧18个。仅为建立可复算的对照分母，定义对照边数为13乘18即234；实际算法不生成也不逐一评分这234对，而是按类型、面层级、空间与拓扑索引和双向查询约束直接生成稀疏候选并去重得48条，故候选边比约为20.5128%，相对该对照分母的边数减少比例约为79.4872%。这是算法构造实施例而非产品实测结果。完成局部验证、联合端点互斥选择并使冻结闭包与关系解同时稳定后，形成94个一对一关系、1个一对多分裂关系（覆盖第一侧1个、第二侧2个实体）和1个多对一合并关系（覆盖第一侧2个、第二侧1个实体），两侧各有97个端点被有效关系覆盖，两侧冻结集合与阻断范围均为空。其余第一侧3个实体持有同代次COMPLETE_FAIL_A后计入删除，第二侧8个实体持有同代次COMPLETE_FAIL_B后计入新增。双侧分区校验为：第一侧94加1加2加3等于100，第二侧94加2加1加8等于105，与两侧可审计实体规模一致。闭包通过后对94个一对一关系计算允许变化属性，得84个保持不变、8个修改、2个仅重命名、1个修改并携带重命名副标签。本例中local_validation_entity_ratio与local_brep_byte_ratio因缺少同口径全量对照而记为不可计算。</w:t>
            </w:r>
          </w:p>
          <w:p>
            <w:pPr>
              <w:spacing w:after="80"/>
            </w:pPr>
            <w:r>
              <w:rPr>
                <w:sz w:val="21"/>
              </w:rPr>
              <w:t>冻结与重新发布的微型实施例：设第一侧可审计面集合为a_1与a_2，第二侧为b_1、b_2与b_3。第一轮已物化一对一关系(a_1,b_1)；a_2在b_2与b_3之间目标值之差不超过delta_margin^l，且局部B-rep读取失败，故FROZEN_A为a_2、FROZEN_B为b_2与b_3。此时第一侧计数为1个一对一端点加1个冻结端点等于2，第二侧为1个一对一端点加2个冻结端点等于3，双侧分区成立，发布第一次闭包快照cs_1，冻结部分输出为待复核，且不产生任何新增或删除。第二轮扩读成功后重新执行验证与联合选择，得到一对一关系(a_2,b_2)，b_3取得同代次COMPLETE_FAIL_B，因而新增集合为b_3、删除集合为空，冻结集合清空，发布第二次闭包快照cs_2。两次发布均满足双侧完备不交分区，且第一轮未把读取失败端点计入新增或删除。</w:t>
            </w:r>
          </w:p>
          <w:p>
            <w:pPr>
              <w:spacing w:after="80"/>
            </w:pPr>
            <w:r>
              <w:rPr>
                <w:sz w:val="21"/>
              </w:rPr>
              <w:t>可选实施方式的降级使用：锚点传播、邻接签名传播、候选排序与最大权匹配求解、版本指纹快速跳过、摘要量化或压缩编码以及分阶段局部B-rep验证均可作为可选实施方式使用，各自附带约束条件。它们仅用于生成候选、补强证据或选择求解器，不改变上述七个步骤的顺序与依赖，不跳过局部门控、联合选择、冻结和双侧分区不变量检查，也不在CLOSURE_PASS成立之前产生新增或删除结论；其中普通一对一求解不得先行占用可能属于一对多或多对一关系的端点，版本指纹快速跳过须同时满足指纹口径同源、覆盖允许变化维度、代次有效和可回退复算四个复用条件。</w:t>
            </w:r>
          </w:p>
          <w:p>
            <w:pPr>
              <w:spacing w:after="80"/>
            </w:pPr>
            <w:r>
              <w:rPr>
                <w:sz w:val="21"/>
              </w:rPr>
              <w:t>负面边界：本方法不生成、不修复且不更新任何CAD系统、CAD内核或产品数据管理系统中的永久命名标识及其生成规则；比较规范键仅由已有名称经规范化得到，仅用于本次比较中的门控、候选生成、关系选择、闭包检查和事件输出，不写回上述任何系统。</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基于永久命名的CAD模型差异对比方法流程图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permanent_naming-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基于永久命名的CAD模型差异对比系统结构图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permanent_naming-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命名域元数据硬门控与三态路由流程图</w:t>
            </w:r>
          </w:p>
          <w:p>
            <w:pPr>
              <w:jc w:val="center"/>
            </w:pPr>
            <w:r>
              <w:drawing>
                <wp:inline xmlns:a="http://schemas.openxmlformats.org/drawingml/2006/main" xmlns:pic="http://schemas.openxmlformats.org/drawingml/2006/picture">
                  <wp:extent cx="5029200" cy="6140918"/>
                  <wp:docPr id="4" name="Picture 4"/>
                  <wp:cNvGraphicFramePr>
                    <a:graphicFrameLocks noChangeAspect="1"/>
                  </wp:cNvGraphicFramePr>
                  <a:graphic>
                    <a:graphicData uri="http://schemas.openxmlformats.org/drawingml/2006/picture">
                      <pic:pic>
                        <pic:nvPicPr>
                          <pic:cNvPr id="0" name="permanent_naming-fig4-metrics-diff.png"/>
                          <pic:cNvPicPr/>
                        </pic:nvPicPr>
                        <pic:blipFill>
                          <a:blip r:embed="rId14"/>
                          <a:stretch>
                            <a:fillRect/>
                          </a:stretch>
                        </pic:blipFill>
                        <pic:spPr>
                          <a:xfrm>
                            <a:off x="0" y="0"/>
                            <a:ext cx="5029200" cy="6140918"/>
                          </a:xfrm>
                          <a:prstGeom prst="rect"/>
                        </pic:spPr>
                      </pic:pic>
                    </a:graphicData>
                  </a:graphic>
                </wp:inline>
              </w:drawing>
            </w:r>
          </w:p>
          <w:p>
            <w:pPr>
              <w:jc w:val="center"/>
            </w:pPr>
            <w:r>
              <w:rPr>
                <w:sz w:val="18"/>
              </w:rPr>
              <w:t>图4 关系闭包与差异分类两支汇合流程图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映射基数保真：步骤一保留一个键关联多个实体、一个实体关联多个非等价键以及跨命名域键对应的原始关系基数，使同一比较规范键命中的多个实体在进入判定之前仍可区分，避免因普通名称去重丢失重复名称信息，降低错误身份传播风险。</w:t>
            </w:r>
          </w:p>
          <w:p>
            <w:pPr>
              <w:spacing w:after="60"/>
              <w:ind w:left="280" w:hanging="200"/>
            </w:pPr>
            <w:r>
              <w:rPr>
                <w:sz w:val="21"/>
              </w:rPr>
              <w:t>• 身份与变化两阶段判断：允许变化属性仅在实体对已进入R_11且身份验证通过之后才被读取和计算，使尺寸、参数和修剪几何的取值不参与身份是否成立的判定，合法尺寸变化不会被误判为名称漂移或名称复用。</w:t>
            </w:r>
          </w:p>
          <w:p>
            <w:pPr>
              <w:spacing w:after="60"/>
              <w:ind w:left="280" w:hanging="200"/>
            </w:pPr>
            <w:r>
              <w:rPr>
                <w:sz w:val="21"/>
              </w:rPr>
              <w:t>• 组关系与一对一关系联合选择：三类关系假设在同一局部候选连通分量内以双侧端点互斥为约束同时求解，一对一假设不得先于联合选择被单独求解，使分裂端点与合并端点不会被普通一对一匹配提前占用。</w:t>
            </w:r>
          </w:p>
          <w:p>
            <w:pPr>
              <w:spacing w:after="60"/>
              <w:ind w:left="280" w:hanging="200"/>
            </w:pPr>
            <w:r>
              <w:rPr>
                <w:sz w:val="21"/>
              </w:rPr>
              <w:t>• 未决冻结：对不能取得绝对裕量、身份证据不足、局部读取失败或预算溢出的端点在其候选冲突闭包上求取冻结最小不动点，把证据不充分的端点整体移出确定性分类输入，避免把证据不足的端点过早归入新增或删除。</w:t>
            </w:r>
          </w:p>
          <w:p>
            <w:pPr>
              <w:spacing w:after="60"/>
              <w:ind w:left="280" w:hanging="200"/>
            </w:pPr>
            <w:r>
              <w:rPr>
                <w:sz w:val="21"/>
              </w:rPr>
              <w:t>• 分区不变量驱动的控制：双侧完备不交分区不变量作为流程的控制条件，其取值直接决定后续读取哪些CAD数据、撤销哪些关系，使关系回滚与局部扩读成为受控的算法步骤而不是结果展示公式，比较过程的中间状态与最终结论可复算、可追溯。</w:t>
            </w:r>
          </w:p>
          <w:p>
            <w:pPr>
              <w:spacing w:after="60"/>
              <w:ind w:left="280" w:hanging="200"/>
            </w:pPr>
            <w:r>
              <w:rPr>
                <w:sz w:val="21"/>
              </w:rPr>
              <w:t>• 闭包后分类：仅在同代次证据有效且CLOSURE_PASS成立后才输出分类，且新增与删除必须由同代次端点级失败凭证支持，使每个实体在其所在侧只落入一个分类，双侧结果可按可审计实体集合逐侧复算，同一实体不会被重复计入两个分类。</w:t>
            </w:r>
          </w:p>
          <w:p>
            <w:pPr>
              <w:spacing w:after="60"/>
              <w:ind w:left="280" w:hanging="200"/>
            </w:pPr>
            <w:r>
              <w:rPr>
                <w:sz w:val="21"/>
              </w:rPr>
              <w:t>• 稀疏候选与受预算约束的局部读取：候选边数量由单端点候选边上限与端点数量共同确定而非由两侧端点的全交叉规模确定，给出候选规模的可计算上界，并使候选压缩比例与局部读取比例具有明确的分子分母口径和空分母处理规则。</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既有名称与实体关联关系的基数保真：从比较开始前已存在的永久命名索引建立实体与比较规范键的多重关联关系，保留一键多实体、一实体多非等价键与跨命名域键对应的原始基数，不去重、不合并、不投影。</w:t>
            </w:r>
          </w:p>
          <w:p>
            <w:pPr>
              <w:spacing w:after="60"/>
              <w:ind w:left="280" w:hanging="200"/>
            </w:pPr>
            <w:r>
              <w:rPr>
                <w:sz w:val="21"/>
              </w:rPr>
              <w:t>• 四类字段用途互斥分离：硬身份约束、软身份证据与关系证据、允许变化属性、组聚合不变量各司其职，同一字段不承担两类用途；允许变化属性只在身份确定后读取。</w:t>
            </w:r>
          </w:p>
          <w:p>
            <w:pPr>
              <w:spacing w:after="60"/>
              <w:ind w:left="280" w:hanging="200"/>
            </w:pPr>
            <w:r>
              <w:rPr>
                <w:sz w:val="21"/>
              </w:rPr>
              <w:t>• 质量状态与三级门控：按覆盖类、一致性类、冲突类和映射类指标生成可信、歧义、冲突或低信息状态，先执行命名域元数据硬门控，再执行通过、局部受限、拒绝三态全局路由，最后执行逐比较规范键的四状态局部门控；任一指标分母为空时记为不可计算并按不满足处理。</w:t>
            </w:r>
          </w:p>
          <w:p>
            <w:pPr>
              <w:spacing w:after="60"/>
              <w:ind w:left="280" w:hanging="200"/>
            </w:pPr>
            <w:r>
              <w:rPr>
                <w:sz w:val="21"/>
              </w:rPr>
              <w:t>• 三类关系假设的同时形成与联合互斥选择：一对一、一对多和多对一假设在同一局部候选连通分量内以双侧端点互斥为约束联合求解，一对一匹配不得先行占用可能属于组关系的端点；最佳解须相对次优解与空解取得预定绝对裕量。</w:t>
            </w:r>
          </w:p>
          <w:p>
            <w:pPr>
              <w:spacing w:after="60"/>
              <w:ind w:left="280" w:hanging="200"/>
            </w:pPr>
            <w:r>
              <w:rPr>
                <w:sz w:val="21"/>
              </w:rPr>
              <w:t>• 未决端点的冻结最小不动点：候选并列、身份或关系验证数据不足、局部读取失败和预算溢出四类原因触发冻结，在候选冲突闭包上单调迭代求取包含初始冻结端点的最小不动点FROZEN_A与FROZEN_B，冻结端点不进入任何关系集合与增删分类。</w:t>
            </w:r>
          </w:p>
          <w:p>
            <w:pPr>
              <w:spacing w:after="60"/>
              <w:ind w:left="280" w:hanging="200"/>
            </w:pPr>
            <w:r>
              <w:rPr>
                <w:sz w:val="21"/>
              </w:rPr>
              <w:t>• 端点展平与双侧完备不交分区检查：以end_A与end_B把三类类型化关系记录展平为实体集合，要求两侧可审计实体集合分别等于关系端点、增删集合与冻结集合的不相交并集，并通过五项机器断言。</w:t>
            </w:r>
          </w:p>
          <w:p>
            <w:pPr>
              <w:spacing w:after="60"/>
              <w:ind w:left="280" w:hanging="200"/>
            </w:pPr>
            <w:r>
              <w:rPr>
                <w:sz w:val="21"/>
              </w:rPr>
              <w:t>• 失败回流与代次失效：断言失败时使CLOSURE_PASS失效并回滚未发布分类，按撤销、局部扩读、重建假设、重新验证、重新联合选择、转入冻结的固定顺序恢复；每轮恢复必须产生严格进展，预算耗尽后只能按冻结路径收敛，不把未覆盖端点降级为新增或删除。</w:t>
            </w:r>
          </w:p>
          <w:p>
            <w:pPr>
              <w:spacing w:after="60"/>
              <w:ind w:left="280" w:hanging="200"/>
            </w:pPr>
            <w:r>
              <w:rPr>
                <w:sz w:val="21"/>
              </w:rPr>
              <w:t>• 闭包成立后才分类并物化统一类型化事件：新增与删除必须由同代次端点级失败凭证COMPLETE_FAIL_A或COMPLETE_FAIL_B支持；关系、增删、闭包通过标志、闭包快照与CAD_DIFF_EVENT_V1事件作为同一结果批次原子发布。</w:t>
            </w:r>
          </w:p>
          <w:p>
            <w:pPr>
              <w:spacing w:after="60"/>
              <w:ind w:left="280" w:hanging="200"/>
            </w:pPr>
            <w:r>
              <w:rPr>
                <w:sz w:val="21"/>
              </w:rPr>
              <w:t>• 负面边界：不生成、不修复、不更新任何CAD系统、CAD内核或产品数据管理系统的永久命名标识及其生成规则；比较规范键仅服务于本次比较，不写回上述任何系统。</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