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1A41E59">
      <w:pPr>
        <w:wordWrap w:val="0"/>
        <w:jc w:val="center"/>
        <w:rPr>
          <w:rFonts w:ascii="宋体" w:hAnsi="宋体"/>
          <w:b/>
          <w:sz w:val="44"/>
          <w:szCs w:val="44"/>
        </w:rPr>
      </w:pPr>
      <w:r>
        <w:rPr>
          <w:rFonts w:hint="eastAsia" w:ascii="宋体" w:hAnsi="宋体"/>
          <w:b/>
          <w:sz w:val="44"/>
          <w:szCs w:val="44"/>
        </w:rPr>
        <w:t>专利申请技术交底书</w:t>
      </w:r>
    </w:p>
    <w:p w14:paraId="22A83971">
      <w:pPr>
        <w:rPr>
          <w:rFonts w:ascii="宋体" w:hAnsi="宋体"/>
          <w:b/>
          <w:color w:val="FF0000"/>
          <w:sz w:val="18"/>
          <w:szCs w:val="18"/>
        </w:rPr>
      </w:pPr>
      <w:r>
        <w:rPr>
          <w:rFonts w:hint="eastAsia" w:ascii="宋体" w:hAnsi="宋体"/>
          <w:b/>
          <w:color w:val="FF0000"/>
          <w:sz w:val="18"/>
          <w:szCs w:val="18"/>
        </w:rPr>
        <w:t>请认真阅读表格各项的要求，按要求如实、详尽地填写相关内容，可自行增加附页。</w:t>
      </w:r>
    </w:p>
    <w:p w14:paraId="6E77545A">
      <w:pPr>
        <w:spacing w:line="360" w:lineRule="auto"/>
        <w:rPr>
          <w:rFonts w:hint="eastAsia" w:eastAsia="楷体_GB2312"/>
          <w:sz w:val="24"/>
        </w:rPr>
      </w:pPr>
      <w:r>
        <w:rPr>
          <w:b w:val="0"/>
          <w:sz w:val="21"/>
        </w:rPr>
        <w:t>专利申请名称：基于永久命名的CAD模型差异对比方法</w:t>
      </w:r>
    </w:p>
    <w:p w14:paraId="7AA2AC7C">
      <w:pPr>
        <w:spacing w:line="360" w:lineRule="auto"/>
        <w:rPr>
          <w:rFonts w:hint="eastAsia" w:eastAsia="楷体_GB2312"/>
          <w:sz w:val="24"/>
        </w:rPr>
      </w:pPr>
      <w:r>
        <w:rPr>
          <w:b w:val="0"/>
          <w:sz w:val="21"/>
        </w:rPr>
        <w:t>此专利是否已经公开：否</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4"/>
        <w:gridCol w:w="1800"/>
        <w:gridCol w:w="1800"/>
        <w:gridCol w:w="1800"/>
        <w:gridCol w:w="1801"/>
      </w:tblGrid>
      <w:tr w14:paraId="58A2B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4A797CA1">
            <w:pPr>
              <w:spacing w:line="360" w:lineRule="auto"/>
              <w:rPr>
                <w:rFonts w:hint="eastAsia" w:eastAsia="楷体_GB2312"/>
                <w:sz w:val="24"/>
                <w:vertAlign w:val="baseline"/>
              </w:rPr>
            </w:pPr>
          </w:p>
        </w:tc>
        <w:tc>
          <w:tcPr>
            <w:tcW w:w="1800" w:type="dxa"/>
          </w:tcPr>
          <w:p w14:paraId="3223726E">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第一发明人</w:t>
            </w:r>
          </w:p>
        </w:tc>
        <w:tc>
          <w:tcPr>
            <w:tcW w:w="1800" w:type="dxa"/>
          </w:tcPr>
          <w:p w14:paraId="68F7E868">
            <w:pPr>
              <w:spacing w:line="360" w:lineRule="auto"/>
              <w:rPr>
                <w:rFonts w:hint="eastAsia" w:eastAsia="楷体_GB2312"/>
                <w:sz w:val="24"/>
                <w:vertAlign w:val="baseline"/>
                <w:lang w:val="en-US" w:eastAsia="zh-CN"/>
              </w:rPr>
            </w:pPr>
            <w:r>
              <w:rPr>
                <w:rFonts w:hint="eastAsia" w:eastAsia="楷体_GB2312"/>
                <w:sz w:val="24"/>
                <w:vertAlign w:val="baseline"/>
                <w:lang w:val="en-US" w:eastAsia="zh-CN"/>
              </w:rPr>
              <w:t>第二发明人</w:t>
            </w:r>
          </w:p>
        </w:tc>
        <w:tc>
          <w:tcPr>
            <w:tcW w:w="1800" w:type="dxa"/>
          </w:tcPr>
          <w:p w14:paraId="3CB8A120">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第三发明人</w:t>
            </w:r>
          </w:p>
        </w:tc>
        <w:tc>
          <w:tcPr>
            <w:tcW w:w="1801" w:type="dxa"/>
          </w:tcPr>
          <w:p w14:paraId="17E98B76">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w:t>
            </w:r>
          </w:p>
        </w:tc>
      </w:tr>
      <w:tr w14:paraId="4DE6A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11706F34">
            <w:pPr>
              <w:spacing w:line="360" w:lineRule="auto"/>
              <w:rPr>
                <w:rFonts w:hint="eastAsia" w:eastAsia="楷体_GB2312"/>
                <w:sz w:val="24"/>
                <w:vertAlign w:val="baseline"/>
                <w:lang w:val="en-US" w:eastAsia="zh-CN"/>
              </w:rPr>
            </w:pPr>
            <w:r>
              <w:rPr>
                <w:rFonts w:hint="eastAsia" w:eastAsia="楷体_GB2312"/>
                <w:sz w:val="24"/>
                <w:vertAlign w:val="baseline"/>
                <w:lang w:val="en-US" w:eastAsia="zh-CN"/>
              </w:rPr>
              <w:t>姓名</w:t>
            </w:r>
          </w:p>
        </w:tc>
        <w:tc>
          <w:tcPr>
            <w:tcW w:w="1800" w:type="dxa"/>
          </w:tcPr>
          <w:p w14:paraId="20966032">
            <w:pPr>
              <w:rPr>
                <w:rFonts w:hint="default" w:eastAsia="宋体"/>
                <w:lang w:val="en-US" w:eastAsia="zh-CN"/>
              </w:rPr>
            </w:pPr>
            <w:r>
              <w:rPr>
                <w:rFonts w:hint="eastAsia"/>
                <w:lang w:val="en-US" w:eastAsia="zh-CN"/>
              </w:rPr>
              <w:t>苏潇迪</w:t>
            </w:r>
          </w:p>
        </w:tc>
        <w:tc>
          <w:tcPr>
            <w:tcW w:w="1800" w:type="dxa"/>
          </w:tcPr>
          <w:p w14:paraId="1ED98E51">
            <w:r>
              <w:t>待补充</w:t>
            </w:r>
            <w:bookmarkStart w:id="0" w:name="_GoBack"/>
            <w:bookmarkEnd w:id="0"/>
          </w:p>
        </w:tc>
        <w:tc>
          <w:tcPr>
            <w:tcW w:w="1800" w:type="dxa"/>
          </w:tcPr>
          <w:p w14:paraId="4796B54C">
            <w:r>
              <w:t>待补充</w:t>
            </w:r>
          </w:p>
        </w:tc>
        <w:tc>
          <w:tcPr>
            <w:tcW w:w="1801" w:type="dxa"/>
          </w:tcPr>
          <w:p w14:paraId="33D89C7A">
            <w:r>
              <w:t>待补充</w:t>
            </w:r>
          </w:p>
        </w:tc>
      </w:tr>
      <w:tr w14:paraId="228A8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66A46831">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专利贡献比例(%)</w:t>
            </w:r>
          </w:p>
        </w:tc>
        <w:tc>
          <w:tcPr>
            <w:tcW w:w="1800" w:type="dxa"/>
          </w:tcPr>
          <w:p w14:paraId="702B5AA4">
            <w:pPr>
              <w:rPr>
                <w:rFonts w:hint="default" w:eastAsia="宋体"/>
                <w:lang w:val="en-US" w:eastAsia="zh-CN"/>
              </w:rPr>
            </w:pPr>
            <w:r>
              <w:rPr>
                <w:rFonts w:hint="eastAsia"/>
                <w:lang w:val="en-US" w:eastAsia="zh-CN"/>
              </w:rPr>
              <w:t>100</w:t>
            </w:r>
          </w:p>
        </w:tc>
        <w:tc>
          <w:tcPr>
            <w:tcW w:w="1800" w:type="dxa"/>
          </w:tcPr>
          <w:p w14:paraId="799A6902">
            <w:r>
              <w:t>待补充</w:t>
            </w:r>
          </w:p>
        </w:tc>
        <w:tc>
          <w:tcPr>
            <w:tcW w:w="1800" w:type="dxa"/>
          </w:tcPr>
          <w:p w14:paraId="63C21B87">
            <w:r>
              <w:t>待补充</w:t>
            </w:r>
          </w:p>
        </w:tc>
        <w:tc>
          <w:tcPr>
            <w:tcW w:w="1801" w:type="dxa"/>
          </w:tcPr>
          <w:p w14:paraId="4F3F0FBB">
            <w:r>
              <w:t>待补充</w:t>
            </w:r>
          </w:p>
        </w:tc>
      </w:tr>
    </w:tbl>
    <w:p w14:paraId="69CA7000">
      <w:pPr>
        <w:spacing w:line="360" w:lineRule="auto"/>
        <w:rPr>
          <w:rFonts w:hint="default" w:eastAsia="宋体"/>
          <w:sz w:val="24"/>
          <w:lang w:val="en-US" w:eastAsia="zh-CN"/>
        </w:rPr>
      </w:pPr>
      <w:r>
        <w:rPr>
          <w:b w:val="0"/>
          <w:sz w:val="21"/>
        </w:rPr>
        <w:t>申请人及部门：</w:t>
      </w:r>
      <w:r>
        <w:rPr>
          <w:rFonts w:hint="eastAsia"/>
          <w:b w:val="0"/>
          <w:sz w:val="21"/>
          <w:lang w:val="en-US" w:eastAsia="zh-CN"/>
        </w:rPr>
        <w:t>苏潇迪/云平台-体验研发部门</w:t>
      </w:r>
    </w:p>
    <w:p w14:paraId="3E1B556F">
      <w:pPr>
        <w:spacing w:line="360" w:lineRule="auto"/>
        <w:rPr>
          <w:rFonts w:hint="default" w:eastAsia="宋体"/>
          <w:sz w:val="24"/>
          <w:lang w:val="en-US" w:eastAsia="zh-CN"/>
        </w:rPr>
      </w:pPr>
      <w:r>
        <w:rPr>
          <w:b w:val="0"/>
          <w:sz w:val="21"/>
        </w:rPr>
        <w:t>发明人或撰写人：</w:t>
      </w:r>
      <w:r>
        <w:rPr>
          <w:rFonts w:hint="eastAsia"/>
          <w:b w:val="0"/>
          <w:sz w:val="21"/>
          <w:lang w:val="en-US" w:eastAsia="zh-CN"/>
        </w:rPr>
        <w:t>苏潇迪</w:t>
      </w:r>
    </w:p>
    <w:p w14:paraId="38DDE4B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eastAsia="宋体"/>
          <w:sz w:val="24"/>
          <w:lang w:val="en-US" w:eastAsia="zh-CN"/>
        </w:rPr>
      </w:pPr>
      <w:r>
        <w:rPr>
          <w:b w:val="0"/>
          <w:sz w:val="21"/>
        </w:rPr>
        <w:t>发明人或撰写人的电话：</w:t>
      </w:r>
      <w:r>
        <w:rPr>
          <w:rFonts w:hint="eastAsia"/>
          <w:b w:val="0"/>
          <w:sz w:val="21"/>
          <w:lang w:val="en-US" w:eastAsia="zh-CN"/>
        </w:rPr>
        <w:t>15077207427</w:t>
      </w:r>
    </w:p>
    <w:p w14:paraId="505BA6E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eastAsia="楷体_GB2312"/>
          <w:sz w:val="24"/>
        </w:rPr>
      </w:pPr>
      <w:r>
        <w:rPr>
          <w:b w:val="0"/>
          <w:sz w:val="21"/>
        </w:rPr>
        <w:t>类型：发明专利</w:t>
      </w:r>
    </w:p>
    <w:p w14:paraId="220C87F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eastAsia="楷体_GB2312"/>
          <w:sz w:val="24"/>
        </w:rPr>
      </w:pPr>
      <w:r>
        <w:rPr>
          <w:b w:val="0"/>
          <w:sz w:val="21"/>
        </w:rPr>
        <w:t>内部编号：待补充</w:t>
      </w:r>
    </w:p>
    <w:tbl>
      <w:tblPr>
        <w:tblStyle w:val="6"/>
        <w:tblW w:w="90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3"/>
      </w:tblGrid>
      <w:tr w14:paraId="6D6F4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9073" w:type="dxa"/>
            <w:tcBorders>
              <w:top w:val="single" w:color="auto" w:sz="4" w:space="0"/>
              <w:left w:val="single" w:color="auto" w:sz="4" w:space="0"/>
              <w:right w:val="single" w:color="auto" w:sz="4" w:space="0"/>
            </w:tcBorders>
          </w:tcPr>
          <w:p w14:paraId="1C43FD44">
            <w:r>
              <w:rPr>
                <w:b/>
                <w:sz w:val="24"/>
              </w:rPr>
              <w:t>专利申请名称</w:t>
            </w:r>
          </w:p>
          <w:p w14:paraId="6AD5EDAB">
            <w:pPr>
              <w:spacing w:after="80"/>
            </w:pPr>
            <w:r>
              <w:rPr>
                <w:sz w:val="21"/>
              </w:rPr>
              <w:t>一种基于CAD永久命名的模型差异对比方法及系统</w:t>
            </w:r>
          </w:p>
        </w:tc>
      </w:tr>
      <w:tr w14:paraId="2A15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0" w:hRule="atLeast"/>
        </w:trPr>
        <w:tc>
          <w:tcPr>
            <w:tcW w:w="9073" w:type="dxa"/>
            <w:tcBorders>
              <w:top w:val="single" w:color="auto" w:sz="4" w:space="0"/>
              <w:left w:val="single" w:color="auto" w:sz="4" w:space="0"/>
              <w:bottom w:val="single" w:color="auto" w:sz="4" w:space="0"/>
              <w:right w:val="single" w:color="auto" w:sz="4" w:space="0"/>
            </w:tcBorders>
          </w:tcPr>
          <w:p w14:paraId="11ED99B2">
            <w:r>
              <w:rPr>
                <w:b/>
                <w:sz w:val="24"/>
              </w:rPr>
              <w:t>同类技术的发展状况、缺陷和不足</w:t>
            </w:r>
          </w:p>
          <w:p w14:paraId="6126A837">
            <w:pPr>
              <w:spacing w:after="80"/>
            </w:pPr>
            <w:r>
              <w:rPr>
                <w:sz w:val="21"/>
              </w:rPr>
              <w:t>同一CAD系统或同一产品数据管理链路中，CAD实体通常具有永久命名标识。直接利用永久命名可以减少全量几何匹配，但永久命名本身并不能说明同名实体是否发生几何、拓扑、参数或语义变化。</w:t>
            </w:r>
          </w:p>
          <w:p w14:paraId="5BE0E16F">
            <w:pPr>
              <w:spacing w:after="80"/>
            </w:pPr>
            <w:r>
              <w:rPr>
                <w:sz w:val="21"/>
              </w:rPr>
              <w:t>实际编辑过程中可能出现命名复用、命名冲突、命名失效、命名漂移、命名分裂或命名合并。若差异对比系统直接信任永久命名，可能将真实修改误判为未变化，或者将命名异常误判为新增/删除。</w:t>
            </w:r>
          </w:p>
          <w:p w14:paraId="347E8B1C">
            <w:pPr>
              <w:spacing w:after="80"/>
            </w:pPr>
            <w:r>
              <w:rPr>
                <w:sz w:val="21"/>
              </w:rPr>
              <w:t>现有永久命名相关技术更多关注如何生成或维持永久命名，而本方案关注在差异对比流程中如何读取既有命名索引、审计其可信度，并在异常区域通过摘要辅助匹配和局部验证避免差异误判。</w:t>
            </w:r>
          </w:p>
        </w:tc>
      </w:tr>
      <w:tr w14:paraId="5FC3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9" w:hRule="atLeast"/>
        </w:trPr>
        <w:tc>
          <w:tcPr>
            <w:tcW w:w="9073" w:type="dxa"/>
            <w:tcBorders>
              <w:top w:val="single" w:color="auto" w:sz="4" w:space="0"/>
              <w:left w:val="single" w:color="auto" w:sz="4" w:space="0"/>
              <w:bottom w:val="single" w:color="auto" w:sz="4" w:space="0"/>
              <w:right w:val="single" w:color="auto" w:sz="4" w:space="0"/>
            </w:tcBorders>
          </w:tcPr>
          <w:p w14:paraId="128FB01C">
            <w:r>
              <w:rPr>
                <w:b/>
                <w:sz w:val="24"/>
              </w:rPr>
              <w:t>专利技术方案</w:t>
            </w:r>
          </w:p>
          <w:p w14:paraId="2E15C4D4">
            <w:pPr>
              <w:spacing w:after="80"/>
            </w:pPr>
            <w:r>
              <w:rPr>
                <w:sz w:val="21"/>
              </w:rPr>
              <w:t>本方案首先读取由CAD系统、CAD内核或产品数据管理系统预先提供的永久命名实体索引，并判断两个索引是否属于同一命名域，或者是否存在已建立的统一命名域映射关系。</w:t>
            </w:r>
          </w:p>
          <w:p w14:paraId="0F7F3599">
            <w:pPr>
              <w:spacing w:after="80"/>
            </w:pPr>
            <w:r>
              <w:rPr>
                <w:sz w:val="21"/>
              </w:rPr>
              <w:t>命名域可信度判断：读取命名域标识、CAD系统标识、CAD内核标识、模型版本标识、映射表版本和映射来源，计算永久命名标识覆盖率、永久命名标识唯一性、永久命名冲突率和映射覆盖率等指标。若可信度满足阈值，则进入基于永久命名标识的差异对比流程；若不满足，则拒绝进入该流程，或仅对满足映射置信度的局部实体集合进入流程。</w:t>
            </w:r>
          </w:p>
          <w:p w14:paraId="7403CA1D">
            <w:pPr>
              <w:spacing w:after="80"/>
            </w:pPr>
            <w:r>
              <w:rPr>
                <w:sz w:val="21"/>
              </w:rPr>
              <w:t>在满足命名域条件后，系统基于永久命名标识执行集合运算，识别新增实体、删除实体和共有实体。集合运算结果作为后续命名一致性审计、版本指纹比较和命名异常闭环处理的基础输入。</w:t>
            </w:r>
          </w:p>
          <w:p w14:paraId="14C17C84">
            <w:pPr>
              <w:spacing w:after="80"/>
            </w:pPr>
            <w:r>
              <w:rPr>
                <w:sz w:val="21"/>
              </w:rPr>
              <w:t>命名一致性审计：输入包括永久命名标识、实体类型、父子层级、所属特征、拓扑邻接关系、装配约束关系、版本指纹、实体摘要和映射置信度。审计规则包括：同名实体的摘要或版本指纹差异超过阈值；同名实体的父子层级、所属特征、邻接关系或语义结构发生不满足业务规则的跳转；单侧缺失命名实体但另一模型存在摘要相似且局部关系可信的候选实体；一个命名实体对应多个候选实体或多个命名实体对应一个候选实体组。审计输出为命名正常实体集合、命名异常实体集合、异常类型和置信度。</w:t>
            </w:r>
          </w:p>
          <w:p w14:paraId="05089EED">
            <w:pPr>
              <w:spacing w:after="80"/>
            </w:pPr>
            <w:r>
              <w:rPr>
                <w:sz w:val="21"/>
              </w:rPr>
              <w:t>命名审计评分和异常队列：系统可根据实体摘要一致性、版本指纹一致性、父子层级一致性、拓扑邻接一致性、语义标签一致性、映射置信度和数据来源可信度计算命名审计评分。高于第一阈值的实体进入命名正常集合；介于第一阈值和第二阈值之间的实体进入命名异常集合并执行摘要辅助匹配；低于第二阈值的实体输出为命名异常待复核。命名异常队列记录永久命名标识、异常类型、触发规则、异常前后摘要、替代候选列表、审计评分和局部验证状态。</w:t>
            </w:r>
          </w:p>
          <w:p w14:paraId="3E1B5229">
            <w:pPr>
              <w:spacing w:after="80"/>
            </w:pPr>
            <w:r>
              <w:rPr>
                <w:sz w:val="21"/>
              </w:rPr>
              <w:t>命名异常闭环：命名异常实体集合中的异常类型至少包括命名复用或冲突、命名失效或疑似重命名、命名漂移、命名分裂和命名合并。系统不直接根据永久命名得出最终差异结论，而是将异常实体转入替代候选流程；根据后续验证结果，将异常实体重分类为新增、删除、修改、重命名、分裂、合并或命名异常待复核。</w:t>
            </w:r>
          </w:p>
          <w:p w14:paraId="0F87DC05">
            <w:pPr>
              <w:spacing w:after="80"/>
            </w:pPr>
            <w:r>
              <w:rPr>
                <w:sz w:val="21"/>
              </w:rPr>
              <w:t>摘要辅助匹配：对命名异常实体生成替代候选集合。可使用几何摘要、拓扑摘要、参数摘要、语义摘要</w:t>
            </w:r>
            <w:r>
              <w:rPr>
                <w:rFonts w:hint="eastAsia"/>
                <w:sz w:val="21"/>
                <w:lang w:val="en-US" w:eastAsia="zh-CN"/>
              </w:rPr>
              <w:t>和</w:t>
            </w:r>
            <w:r>
              <w:rPr>
                <w:sz w:val="21"/>
              </w:rPr>
              <w:t>关系摘要中的至少两类摘要；其中摘要用于候选生成和一致性校验，不作为永久命名生成规则，也不作为最终相似判定或最终差异判定的单一依据。候选集合可按实体类型、所属特征、空间邻域、拓扑邻接关系、语义标签和参数摘要检索，并计算候选匹配评分，按评分排序后保留满足条件的替代候选。</w:t>
            </w:r>
          </w:p>
          <w:p w14:paraId="0969B84A">
            <w:pPr>
              <w:spacing w:after="80"/>
            </w:pPr>
            <w:r>
              <w:rPr>
                <w:sz w:val="21"/>
              </w:rPr>
              <w:t>局部验证：验证对象包括候选变化实体、命名异常待验证实体以及摘要辅助匹配得到的替代候选集合。验证内容包括局部几何验证、局部拓扑验证、参数验证、语义验证和装配约束验证。对于命名正常且版本指纹一致的共有实体，系统跳过完整几何验证；对于命名异常实体，仅在替代候选范围内执行局部验证。</w:t>
            </w:r>
          </w:p>
          <w:p w14:paraId="04034E57">
            <w:pPr>
              <w:spacing w:after="80"/>
            </w:pPr>
            <w:r>
              <w:rPr>
                <w:sz w:val="21"/>
              </w:rPr>
              <w:t>差异证据记录和增量缓存：系统生成差异证据记录，记录集合运算结果、版本指纹比较结果、命名一致性审计结果、摘要辅助匹配结果、局部验证结果、重分类结果和语义聚合结果。系统还可缓存永久命名实体索引、实体摘要、版本指纹、命名一致性审计结果和命名异常处理结果，以支持增量版本对比。</w:t>
            </w:r>
          </w:p>
          <w:p w14:paraId="5BBA6B25">
            <w:pPr>
              <w:spacing w:after="80"/>
            </w:pPr>
            <w:r>
              <w:rPr>
                <w:sz w:val="21"/>
              </w:rPr>
              <w:t>语义聚合：系统沿实体依赖关系执行影响传播，将实体级新增、删除、修改、重命名、分裂、合并和命名异常待复核结果聚合为孔变化、倒角变化、圆角变化、阵列变化、槽变化、草图变化、参数变化、装配约束变化等设计语义级差异，并输出关联实体、关联特征、关联参数、装配约束、制造特征、检测标注及影响范围。</w:t>
            </w:r>
          </w:p>
        </w:tc>
      </w:tr>
      <w:tr w14:paraId="6F9B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9" w:hRule="atLeast"/>
        </w:trPr>
        <w:tc>
          <w:tcPr>
            <w:tcW w:w="9073" w:type="dxa"/>
            <w:tcBorders>
              <w:top w:val="single" w:color="auto" w:sz="4" w:space="0"/>
              <w:left w:val="single" w:color="auto" w:sz="4" w:space="0"/>
              <w:bottom w:val="single" w:color="auto" w:sz="4" w:space="0"/>
              <w:right w:val="single" w:color="auto" w:sz="4" w:space="0"/>
            </w:tcBorders>
          </w:tcPr>
          <w:p w14:paraId="4F91F18B">
            <w:r>
              <w:rPr>
                <w:b/>
                <w:sz w:val="24"/>
              </w:rPr>
              <w:t>附图说明</w:t>
            </w:r>
          </w:p>
          <w:p w14:paraId="12BF151B">
            <w:pPr>
              <w:spacing w:after="80"/>
            </w:pPr>
            <w:r>
              <w:rPr>
                <w:sz w:val="21"/>
              </w:rPr>
              <w:t>本交底书建议配套以下附图，附图用于说明方法流程、系统模块和关键判断流程。</w:t>
            </w:r>
          </w:p>
          <w:p w14:paraId="221D40E8">
            <w:pPr>
              <w:jc w:val="center"/>
            </w:pPr>
            <w:r>
              <w:drawing>
                <wp:inline distT="0" distB="0" distL="114300" distR="114300">
                  <wp:extent cx="5029200" cy="637032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6370320"/>
                          </a:xfrm>
                          <a:prstGeom prst="rect">
                            <a:avLst/>
                          </a:prstGeom>
                        </pic:spPr>
                      </pic:pic>
                    </a:graphicData>
                  </a:graphic>
                </wp:inline>
              </w:drawing>
            </w:r>
          </w:p>
          <w:p w14:paraId="21B88B7A">
            <w:pPr>
              <w:jc w:val="center"/>
            </w:pPr>
            <w:r>
              <w:rPr>
                <w:sz w:val="18"/>
              </w:rPr>
              <w:t>图1 基于永久命名的CAD模型差异对比方法流程图</w:t>
            </w:r>
          </w:p>
          <w:p w14:paraId="61F25A8B">
            <w:pPr>
              <w:jc w:val="center"/>
            </w:pPr>
            <w:r>
              <w:drawing>
                <wp:inline distT="0" distB="0" distL="114300" distR="114300">
                  <wp:extent cx="5029200" cy="38455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3845859"/>
                          </a:xfrm>
                          <a:prstGeom prst="rect">
                            <a:avLst/>
                          </a:prstGeom>
                        </pic:spPr>
                      </pic:pic>
                    </a:graphicData>
                  </a:graphic>
                </wp:inline>
              </w:drawing>
            </w:r>
          </w:p>
          <w:p w14:paraId="692ACC87">
            <w:pPr>
              <w:jc w:val="center"/>
            </w:pPr>
            <w:r>
              <w:rPr>
                <w:sz w:val="18"/>
              </w:rPr>
              <w:t>图2 基于永久命名的CAD模型差异对比系统结构图</w:t>
            </w:r>
          </w:p>
          <w:p w14:paraId="75237151">
            <w:pPr>
              <w:jc w:val="center"/>
            </w:pPr>
            <w:r>
              <w:drawing>
                <wp:inline distT="0" distB="0" distL="114300" distR="114300">
                  <wp:extent cx="5029200" cy="3549650"/>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3550024"/>
                          </a:xfrm>
                          <a:prstGeom prst="rect">
                            <a:avLst/>
                          </a:prstGeom>
                        </pic:spPr>
                      </pic:pic>
                    </a:graphicData>
                  </a:graphic>
                </wp:inline>
              </w:drawing>
            </w:r>
          </w:p>
          <w:p w14:paraId="54A9F12B">
            <w:pPr>
              <w:jc w:val="center"/>
            </w:pPr>
            <w:r>
              <w:rPr>
                <w:sz w:val="18"/>
              </w:rPr>
              <w:t>图3 命名映射与命名异常闭环处理流程图</w:t>
            </w:r>
          </w:p>
        </w:tc>
      </w:tr>
      <w:tr w14:paraId="3CB86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9" w:hRule="atLeast"/>
        </w:trPr>
        <w:tc>
          <w:tcPr>
            <w:tcW w:w="9073" w:type="dxa"/>
            <w:tcBorders>
              <w:top w:val="single" w:color="auto" w:sz="4" w:space="0"/>
              <w:left w:val="single" w:color="auto" w:sz="4" w:space="0"/>
              <w:bottom w:val="single" w:color="auto" w:sz="4" w:space="0"/>
              <w:right w:val="single" w:color="auto" w:sz="4" w:space="0"/>
            </w:tcBorders>
          </w:tcPr>
          <w:p w14:paraId="42943983">
            <w:r>
              <w:rPr>
                <w:b/>
                <w:sz w:val="24"/>
              </w:rPr>
              <w:t>本专利技术的优点和有益效果</w:t>
            </w:r>
          </w:p>
          <w:p w14:paraId="56D6A610">
            <w:pPr>
              <w:spacing w:after="60"/>
              <w:ind w:left="280" w:hanging="200"/>
            </w:pPr>
            <w:r>
              <w:rPr>
                <w:sz w:val="21"/>
              </w:rPr>
              <w:t>• 将全量几何实体匹配转化为命名集合运算、命名一致性审计、指纹筛选和候选局部验证。</w:t>
            </w:r>
          </w:p>
          <w:p w14:paraId="14F50D0A">
            <w:pPr>
              <w:spacing w:after="60"/>
              <w:ind w:left="280" w:hanging="200"/>
            </w:pPr>
            <w:r>
              <w:rPr>
                <w:sz w:val="21"/>
              </w:rPr>
              <w:t>• 不保护永久命名生成机制，避免与已有永久命名生成/维护方案正面重叠。</w:t>
            </w:r>
          </w:p>
          <w:p w14:paraId="6B8E181E">
            <w:pPr>
              <w:spacing w:after="60"/>
              <w:ind w:left="280" w:hanging="200"/>
            </w:pPr>
            <w:r>
              <w:rPr>
                <w:sz w:val="21"/>
              </w:rPr>
              <w:t>• 能够识别命名复用、命名冲突、命名失效、命名漂移、命名分裂和命名合并，降低错误命名导致的差异误判。</w:t>
            </w:r>
          </w:p>
          <w:p w14:paraId="436ABA96">
            <w:pPr>
              <w:spacing w:after="60"/>
              <w:ind w:left="280" w:hanging="200"/>
            </w:pPr>
            <w:r>
              <w:rPr>
                <w:sz w:val="21"/>
              </w:rPr>
              <w:t>• 版本指纹相同且命名审计正常的共有实体可跳过完整几何验证，提高同一命名域模型版本对比效率。</w:t>
            </w:r>
          </w:p>
          <w:p w14:paraId="3399A466">
            <w:pPr>
              <w:spacing w:after="60"/>
              <w:ind w:left="280" w:hanging="200"/>
            </w:pPr>
            <w:r>
              <w:rPr>
                <w:sz w:val="21"/>
              </w:rPr>
              <w:t>• 通过设计语义聚合和影响传播，输出更适合工程审查的差异结果。</w:t>
            </w:r>
          </w:p>
        </w:tc>
      </w:tr>
      <w:tr w14:paraId="3927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2" w:hRule="atLeast"/>
        </w:trPr>
        <w:tc>
          <w:tcPr>
            <w:tcW w:w="9073" w:type="dxa"/>
            <w:tcBorders>
              <w:top w:val="single" w:color="auto" w:sz="4" w:space="0"/>
              <w:left w:val="single" w:color="auto" w:sz="4" w:space="0"/>
              <w:right w:val="single" w:color="auto" w:sz="4" w:space="0"/>
            </w:tcBorders>
          </w:tcPr>
          <w:p w14:paraId="7F1953D9">
            <w:r>
              <w:rPr>
                <w:b/>
                <w:sz w:val="24"/>
              </w:rPr>
              <w:t>需要保护的关键创新点</w:t>
            </w:r>
          </w:p>
          <w:p w14:paraId="15A5A5E4">
            <w:pPr>
              <w:spacing w:after="60"/>
              <w:ind w:left="280" w:hanging="200"/>
            </w:pPr>
            <w:r>
              <w:rPr>
                <w:sz w:val="21"/>
              </w:rPr>
              <w:t>• 永久命名实体索引作为既有输入被读取，不生成或更新CAD系统的永久命名规则。</w:t>
            </w:r>
          </w:p>
          <w:p w14:paraId="4E5E0B99">
            <w:pPr>
              <w:spacing w:after="60"/>
              <w:ind w:left="280" w:hanging="200"/>
            </w:pPr>
            <w:r>
              <w:rPr>
                <w:sz w:val="21"/>
              </w:rPr>
              <w:t>• 只有同一命名域或已有统一命名域映射关系、且命名域可信度满足预设条件时，才进入命名集合运算流程。</w:t>
            </w:r>
          </w:p>
          <w:p w14:paraId="6D27F746">
            <w:pPr>
              <w:spacing w:after="60"/>
              <w:ind w:left="280" w:hanging="200"/>
            </w:pPr>
            <w:r>
              <w:rPr>
                <w:sz w:val="21"/>
              </w:rPr>
              <w:t>• 命名域可信度可由永久命名标识覆盖率、唯一性、冲突率、映射覆盖率和映射置信度等指标确定。</w:t>
            </w:r>
          </w:p>
          <w:p w14:paraId="26AFBABE">
            <w:pPr>
              <w:spacing w:after="60"/>
              <w:ind w:left="280" w:hanging="200"/>
            </w:pPr>
            <w:r>
              <w:rPr>
                <w:sz w:val="21"/>
              </w:rPr>
              <w:t>• 命名一致性审计以永久命名标识、版本指纹、实体摘要、局部拓扑关系、语义结构和依赖关系为输入，输出命名正常实体集合、命名异常实体集合、异常类型和置信度。</w:t>
            </w:r>
          </w:p>
          <w:p w14:paraId="2202422A">
            <w:pPr>
              <w:spacing w:after="60"/>
              <w:ind w:left="280" w:hanging="200"/>
            </w:pPr>
            <w:r>
              <w:rPr>
                <w:sz w:val="21"/>
              </w:rPr>
              <w:t>• 命名审计评分用于区分命名正常、命名异常待验证和命名异常待复核实体，异常队列记录触发规则、替代候选、评分和验证状态。</w:t>
            </w:r>
          </w:p>
          <w:p w14:paraId="12027195">
            <w:pPr>
              <w:spacing w:after="60"/>
              <w:ind w:left="280" w:hanging="200"/>
            </w:pPr>
            <w:r>
              <w:rPr>
                <w:sz w:val="21"/>
              </w:rPr>
              <w:t>• 命名异常闭环覆盖命名复用/冲突、命名失效/疑似重命名、命名漂移、命名分裂和命名合并，并将异常实体重分类为新增、删除、修改、重命名、分裂、合并或待复核。</w:t>
            </w:r>
          </w:p>
          <w:p w14:paraId="716CA90F">
            <w:pPr>
              <w:spacing w:after="60"/>
              <w:ind w:left="280" w:hanging="200"/>
            </w:pPr>
            <w:r>
              <w:rPr>
                <w:sz w:val="21"/>
              </w:rPr>
              <w:t>• 摘要辅助匹配使用几何摘要、拓扑摘要、参数摘要、语义摘要</w:t>
            </w:r>
            <w:r>
              <w:rPr>
                <w:rFonts w:hint="eastAsia"/>
                <w:sz w:val="21"/>
                <w:lang w:val="en-US" w:eastAsia="zh-CN"/>
              </w:rPr>
              <w:t>和</w:t>
            </w:r>
            <w:r>
              <w:rPr>
                <w:sz w:val="21"/>
              </w:rPr>
              <w:t>关系摘要生成替代候选集合，并可按候选匹配评分排序。</w:t>
            </w:r>
          </w:p>
          <w:p w14:paraId="360FB3A6">
            <w:pPr>
              <w:spacing w:after="60"/>
              <w:ind w:left="280" w:hanging="200"/>
            </w:pPr>
            <w:r>
              <w:rPr>
                <w:sz w:val="21"/>
              </w:rPr>
              <w:t>• 局部验证仅作用于候选变化实体、命名异常待验证实体和替代候选集合；命名正常且版本指纹一致的共有实体跳过完整几何验证。</w:t>
            </w:r>
          </w:p>
          <w:p w14:paraId="0F993486">
            <w:pPr>
              <w:spacing w:after="60"/>
              <w:ind w:left="280" w:hanging="200"/>
            </w:pPr>
            <w:r>
              <w:rPr>
                <w:sz w:val="21"/>
              </w:rPr>
              <w:t>• 差异证据记录保存集合运算、审计、匹配、验证、重分类和语义聚合过程，便于审查、追溯和人工复核。</w:t>
            </w:r>
          </w:p>
          <w:p w14:paraId="31DC36D9">
            <w:pPr>
              <w:spacing w:after="60"/>
              <w:ind w:left="280" w:hanging="200"/>
            </w:pPr>
            <w:r>
              <w:rPr>
                <w:sz w:val="21"/>
              </w:rPr>
              <w:t>• 增量缓存保存永久命名索引、实体摘要、版本指纹、审计结果和异常处理结果，以支持后续版本快速对比。</w:t>
            </w:r>
          </w:p>
          <w:p w14:paraId="5B8E47AB">
            <w:pPr>
              <w:spacing w:after="60"/>
              <w:ind w:left="280" w:hanging="200"/>
            </w:pPr>
            <w:r>
              <w:rPr>
                <w:sz w:val="21"/>
              </w:rPr>
              <w:t>• 语义聚合将实体级差异、命名异常处理结果和影响传播结果输出为工程可理解的设计语义级差异。</w:t>
            </w:r>
          </w:p>
        </w:tc>
      </w:tr>
    </w:tbl>
    <w:p w14:paraId="12957240">
      <w:pPr>
        <w:rPr>
          <w:color w:val="0000FF"/>
        </w:rPr>
      </w:pPr>
    </w:p>
    <w:sectPr>
      <w:headerReference r:id="rId3" w:type="default"/>
      <w:footerReference r:id="rId4" w:type="default"/>
      <w:pgSz w:w="11906" w:h="16838"/>
      <w:pgMar w:top="1418" w:right="1418" w:bottom="1418" w:left="1418" w:header="851" w:footer="56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roman"/>
    <w:pitch w:val="default"/>
    <w:sig w:usb0="00000000" w:usb1="00000000" w:usb2="00000012" w:usb3="00000000" w:csb0="4002009F" w:csb1="DFD70000"/>
  </w:font>
  <w:font w:name="Yu Gothic UI">
    <w:panose1 w:val="020B0500000000000000"/>
    <w:charset w:val="80"/>
    <w:family w:val="auto"/>
    <w:pitch w:val="default"/>
    <w:sig w:usb0="E00002FF" w:usb1="2AC7FDFF" w:usb2="00000016" w:usb3="00000000" w:csb0="2002009F"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A7437">
    <w:pPr>
      <w:pStyle w:val="4"/>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0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5291589">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wrap="none" lIns="0" tIns="0" rIns="0" bIns="0" upright="0">
                      <a:spAutoFit/>
                    </wps:bodyPr>
                  </wps:wsp>
                </a:graphicData>
              </a:graphic>
            </wp:anchor>
          </w:drawing>
        </mc:Choice>
        <mc:Fallback>
          <w:pict>
            <v:shape id="文本框 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G05ranLAQAAnAMAAA4AAAAAAAAAAQAgAAAAHgEAAGRycy9lMm9E&#10;b2MueG1sUEsFBgAAAAAGAAYAWQEAAFsFAAAAAA==&#10;">
              <v:fill on="f" focussize="0,0"/>
              <v:stroke on="f"/>
              <v:imagedata o:title=""/>
              <o:lock v:ext="edit" aspectratio="f"/>
              <v:textbox inset="0mm,0mm,0mm,0mm" style="mso-fit-shape-to-text:t;">
                <w:txbxContent>
                  <w:p w14:paraId="35291589">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p w14:paraId="283FC33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D9E86">
    <w:pPr>
      <w:pStyle w:val="5"/>
      <w:tabs>
        <w:tab w:val="left" w:pos="6643"/>
      </w:tabs>
      <w:jc w:val="both"/>
    </w:pPr>
    <w:r>
      <w:rPr>
        <w:rFonts w:hint="eastAsia"/>
        <w:sz w:val="18"/>
        <w:lang w:val="en-US" w:eastAsia="zh-CN"/>
      </w:rPr>
      <w:t>重庆诺源工业软件科技有限公司</w:t>
    </w:r>
    <w:r>
      <w:rPr>
        <w:rFonts w:hint="eastAsia"/>
      </w:rPr>
      <w:t xml:space="preserve">                                                           </w:t>
    </w:r>
    <w:r>
      <w:rPr>
        <w:rFonts w:hint="eastAsia"/>
        <w:lang w:eastAsia="zh-CN"/>
      </w:rPr>
      <w:t>交底书</w:t>
    </w:r>
    <w:r>
      <w:rPr>
        <w:rFonts w:hint="eastAsia"/>
      </w:rPr>
      <w:t>模板</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VerticalSpacing w:val="156"/>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xOGVjMmU0YTU4ZDIzNTkzMzQxNzZkNzQ3YWMxNTMifQ=="/>
  </w:docVars>
  <w:rsids>
    <w:rsidRoot w:val="0051419A"/>
    <w:rsid w:val="0011721B"/>
    <w:rsid w:val="001C3E2E"/>
    <w:rsid w:val="004B25F5"/>
    <w:rsid w:val="0051419A"/>
    <w:rsid w:val="006B41C4"/>
    <w:rsid w:val="00731467"/>
    <w:rsid w:val="008434DF"/>
    <w:rsid w:val="008C0ABB"/>
    <w:rsid w:val="009250E9"/>
    <w:rsid w:val="00A75181"/>
    <w:rsid w:val="00C66894"/>
    <w:rsid w:val="00E3308E"/>
    <w:rsid w:val="00E4617A"/>
    <w:rsid w:val="00F76BC1"/>
    <w:rsid w:val="00FF2264"/>
    <w:rsid w:val="2BDF4A8C"/>
    <w:rsid w:val="31AF7A8F"/>
    <w:rsid w:val="3E1710C0"/>
    <w:rsid w:val="403E3E98"/>
    <w:rsid w:val="45713EEF"/>
    <w:rsid w:val="55571651"/>
    <w:rsid w:val="57A11BD9"/>
    <w:rsid w:val="66262254"/>
    <w:rsid w:val="74F62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line="360" w:lineRule="auto"/>
    </w:pPr>
    <w:rPr>
      <w:color w:val="0000FF"/>
      <w:sz w:val="24"/>
    </w:rPr>
  </w:style>
  <w:style w:type="paragraph" w:styleId="3">
    <w:name w:val="Balloon Text"/>
    <w:basedOn w:val="1"/>
    <w:link w:val="15"/>
    <w:qFormat/>
    <w:uiPriority w:val="0"/>
    <w:rPr>
      <w:sz w:val="18"/>
      <w:szCs w:val="18"/>
    </w:rPr>
  </w:style>
  <w:style w:type="paragraph" w:styleId="4">
    <w:name w:val="footer"/>
    <w:basedOn w:val="1"/>
    <w:link w:val="16"/>
    <w:qFormat/>
    <w:uiPriority w:val="99"/>
    <w:pPr>
      <w:tabs>
        <w:tab w:val="center" w:pos="4153"/>
        <w:tab w:val="right" w:pos="8306"/>
      </w:tabs>
      <w:snapToGrid w:val="0"/>
      <w:jc w:val="left"/>
    </w:pPr>
    <w:rPr>
      <w:sz w:val="18"/>
      <w:szCs w:val="18"/>
    </w:rPr>
  </w:style>
  <w:style w:type="paragraph" w:styleId="5">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qFormat/>
    <w:uiPriority w:val="0"/>
    <w:rPr>
      <w:b/>
      <w:bCs/>
    </w:rPr>
  </w:style>
  <w:style w:type="character" w:styleId="10">
    <w:name w:val="page number"/>
    <w:basedOn w:val="8"/>
    <w:qFormat/>
    <w:uiPriority w:val="0"/>
  </w:style>
  <w:style w:type="character" w:styleId="11">
    <w:name w:val="Hyperlink"/>
    <w:qFormat/>
    <w:uiPriority w:val="0"/>
    <w:rPr>
      <w:color w:val="0000FF"/>
      <w:u w:val="single"/>
    </w:rPr>
  </w:style>
  <w:style w:type="paragraph" w:customStyle="1" w:styleId="12">
    <w:name w:val="缺省文本"/>
    <w:basedOn w:val="1"/>
    <w:qFormat/>
    <w:uiPriority w:val="0"/>
    <w:pPr>
      <w:autoSpaceDE w:val="0"/>
      <w:autoSpaceDN w:val="0"/>
      <w:adjustRightInd w:val="0"/>
      <w:spacing w:line="360" w:lineRule="auto"/>
      <w:jc w:val="left"/>
    </w:pPr>
    <w:rPr>
      <w:kern w:val="0"/>
    </w:rPr>
  </w:style>
  <w:style w:type="paragraph" w:customStyle="1" w:styleId="13">
    <w:name w:val="references"/>
    <w:qFormat/>
    <w:uiPriority w:val="0"/>
    <w:pPr>
      <w:tabs>
        <w:tab w:val="left" w:pos="360"/>
      </w:tabs>
      <w:spacing w:after="50" w:line="180" w:lineRule="exact"/>
      <w:ind w:left="360" w:hanging="360"/>
      <w:jc w:val="both"/>
    </w:pPr>
    <w:rPr>
      <w:rFonts w:ascii="Times New Roman" w:hAnsi="Times New Roman" w:eastAsia="MS Mincho" w:cs="Times New Roman"/>
      <w:sz w:val="16"/>
      <w:szCs w:val="16"/>
      <w:lang w:val="en-US" w:eastAsia="en-US" w:bidi="ar-SA"/>
    </w:rPr>
  </w:style>
  <w:style w:type="character" w:customStyle="1" w:styleId="14">
    <w:name w:val="页眉 Char"/>
    <w:basedOn w:val="8"/>
    <w:link w:val="5"/>
    <w:qFormat/>
    <w:uiPriority w:val="0"/>
    <w:rPr>
      <w:kern w:val="2"/>
      <w:sz w:val="18"/>
      <w:szCs w:val="18"/>
    </w:rPr>
  </w:style>
  <w:style w:type="character" w:customStyle="1" w:styleId="15">
    <w:name w:val="批注框文本 Char"/>
    <w:basedOn w:val="8"/>
    <w:link w:val="3"/>
    <w:qFormat/>
    <w:uiPriority w:val="0"/>
    <w:rPr>
      <w:kern w:val="2"/>
      <w:sz w:val="18"/>
      <w:szCs w:val="18"/>
    </w:rPr>
  </w:style>
  <w:style w:type="character" w:customStyle="1" w:styleId="16">
    <w:name w:val="页脚 Char"/>
    <w:basedOn w:val="8"/>
    <w:link w:val="4"/>
    <w:qFormat/>
    <w:uiPriority w:val="99"/>
    <w:rPr>
      <w:kern w:val="2"/>
      <w:sz w:val="18"/>
      <w:szCs w:val="18"/>
    </w:rPr>
  </w:style>
  <w:style w:type="paragraph" w:styleId="17">
    <w:name w:val="List Paragraph"/>
    <w:basedOn w:val="1"/>
    <w:qFormat/>
    <w:uiPriority w:val="34"/>
    <w:pPr>
      <w:ind w:firstLine="420" w:firstLineChars="200"/>
    </w:pPr>
    <w:rPr>
      <w:rFonts w:eastAsia="仿宋" w:cstheme="minorBidi"/>
      <w:sz w:val="24"/>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hamilton</Company>
  <Pages>5</Pages>
  <Words>2869</Words>
  <Characters>2893</Characters>
  <Lines>6</Lines>
  <Paragraphs>1</Paragraphs>
  <TotalTime>18</TotalTime>
  <ScaleCrop>false</ScaleCrop>
  <LinksUpToDate>false</LinksUpToDate>
  <CharactersWithSpaces>2912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2019-02-21T11:31:00Z</dcterms:created>
  <dc:creator>yumw</dc:creator>
  <cp:lastModifiedBy>xiaodi.su</cp:lastModifiedBy>
  <dcterms:modified xsi:type="dcterms:W3CDTF">2026-07-08T07:28:19Z</dcterms:modified>
  <dc:title>技术交底书*</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6D24395B66264B73B9ABB9AE86E2CAF7_13</vt:lpwstr>
  </property>
  <property fmtid="{D5CDD505-2E9C-101B-9397-08002B2CF9AE}" pid="4" name="KSOTemplateDocerSaveRecord">
    <vt:lpwstr>eyJoZGlkIjoiZmRmNGRhYzFhM2M0ODNiOTFiNDFjZjhhZDRhNTc2ZjYiLCJ1c2VySWQiOiIyNzY3NDkyMjcifQ==</vt:lpwstr>
  </property>
</Properties>
</file>