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导出每个比较规范键关联的实体集合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(k)和每个实体的键重数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的每条边记录为包含源命名域、源比较规范键、目标命名域、目标比较规范键、映射版本和映射有效期的规范元组，并由</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中在当前比较时刻有效的边导出有效映射边集合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以及每个比较规范键在该集合上的出度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根据权利要求3所述的方法，其特征在于，所述可比较唯一键对集合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中的每个键对κ同时满足三重唯一条件：键侧唯一，即κ的第一侧比较规范键在第一侧的实体重数为一且κ的第二侧比较规范键在第二侧的实体重数为一；实体端点唯一，即κ的第一侧实体端点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和第二侧实体端点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各自仅由κ引入；映射唯一，即κ的两个比较规范键在同一命名域内相等，或者二者之间在所述有效映射边集合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中存在唯一有效映射边；不满足上述任一条件的多键实体、一键多实体和映射歧义键不进入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与该侧可审计实体集合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，所述</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为</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中同时满足下述两个条件的实体的集合：该实体关联的比较规范键集合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(e)仅含一个非等价比较规范键k，且该键在同侧关联的实体集合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(k)仅含该实体本身；上述两个覆盖率的分子均按实体计数或实体权重计算，不按比较规范键数量计算，实体即使关联多个有效比较规范键在命名覆盖率分子中也只计一次；所述实体权重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严格为正，并在读取任何名称之前按比较层级固定，只依赖预先声明的实体层级、业务类别或业务重要度，与实体是否有名称、名称是否唯一、是否冲突以及最终路由状态无关，不因名称读取结果、指标计算结果或候选评分结果而调整，且不得以零权重或事后调权隐藏无名称、重复名称、映射冲突或低信息实体；同一指标的分子和分母使用同一套权重，并始终并列报告对应的无权重计数结果；所述命名质量状态还包括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，其等于所述临时种子关系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仅表示可进入潜在直接验证路径的双侧实体端点比例，属于效率指标而不属于所述覆盖类指标，不作为命名域可信度的强制门槛，也不参与所述全局三态路由的阈值条件判定，合法的新增和删除会降低该指标但不据此判定命名域失效。</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先把软身份证据按来源划分为彼此独立的软证据组，所述软证据组至少包括软身份组、层级上下文组、关系角色组、语义组和来源映射组，同一原始字段只能分配到一个软证据组，强相关字段必须合并到同一组并对该组总贡献设置上限；取其中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，并在读取本次任何评分结果之前把完整权重向量α、启用组集合、证据覆盖策略、各组归一化函数及其版本作为同一版本化配置共同固定，不得在读取评分结果后调整该配置或放宽该策略；当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所含独立软证据组的数量小于二时，或者缺失所述证据覆盖策略中任一预先声明的必需组时，将κ归入低信息键对集合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，所述证据覆盖策略不得允许仅覆盖单个软证据组的键对通过；当κ的两个实体端点违反任一硬身份约束时将κ归入硬冲突键对集合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；所述硬身份约束数据、单实体允许变化属性和组聚合不变量均不能使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、分子和分母中同时移除而不按零分处理；以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的键对数量为分子得到一致性通过率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的加权和为分子得到平均一致性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；并分别以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为分母得到硬冲突率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和低信息率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；所述键对权重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w:t>
      </w:r>
    </w:p>
    <w:p>
      <w:pPr>
        <w:spacing w:before="0" w:after="120" w:line="264" w:lineRule="auto"/>
        <w:ind w:hanging="198" w:left="198"/>
      </w:pPr>
      <w:r>
        <w:rPr>
          <w:rFonts w:ascii="Calibri" w:hAnsi="Calibri" w:eastAsia="SimSun"/>
          <w:sz w:val="22"/>
        </w:rPr>
        <w:t>8. 根据权利要求7所述的方法，其特征在于，所述命名质量状态包括冲突类指标和映射类指标，其中权利要求3所述有效映射边集合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为所述既有键对应关系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中在当前比较时刻通过来源校验、版本校验和有效期校验的映射边构成的集合，并按分子分母分别限定：以同一模型内被重复比较规范键命中的命名实体集合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之比得到单模型重复率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之比得到跨版本冲突率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，所述</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由所述硬冲突键对集合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的键对二者取并集得到，所述低信息键对集合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不计入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；仅在跨命名域比较时，按映射方向分别按下述实体口径计算映射类指标：取该方向上具有源命名域有效比较规范键且与目标命名域比较需要映射的源实体集合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作为分母，取</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作为分子，二者的实体权重之比为映射覆盖率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，一个源实体即使存在多条有效目标映射在分子中也只计一次；取</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中无法由比较开始前已经存在的合法别名声明、版本谱系记录或分裂合并声明解释的冲突边集合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之比得到映射边冲突率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，所述解释不得使用本次比较的匹配结果、候选组关系验证结果或最终差异结果回填、豁免或重新分类映射边；取受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中某条边影响的源实体集合与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的实体权重之比、受其影响的目标实体集合与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的实体权重之比，以及二者端点合并口径之比，分别得到源侧、目标侧和合并口径的端点映射冲突率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仅由上述分项按严格正权重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加权平均得到并仅用于展示，不替代其中任一分项参与门控判定。</w:t>
      </w:r>
    </w:p>
    <w:p>
      <w:pPr>
        <w:spacing w:before="0" w:after="120" w:line="264" w:lineRule="auto"/>
        <w:ind w:hanging="198" w:left="198"/>
      </w:pPr>
      <w:r>
        <w:rPr>
          <w:rFonts w:ascii="Calibri" w:hAnsi="Calibri" w:eastAsia="SimSun"/>
          <w:sz w:val="22"/>
        </w:rPr>
        <w:t>9. 根据权利要求8所述的方法，其特征在于，当权利要求6所述覆盖类指标、权利要求7所述一致性类指标、所述冲突类指标或所述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根据权利要求1所述的方法，其特征在于，所述全局三态路由在通过、局部受限和拒绝三个状态之间选择，其中通过状态要求下述必需指标均可计算且逐项满足各自事前固定的阈值条件：两侧命名覆盖率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不小于对应阈值、两侧唯一可用覆盖率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不小于对应阈值、一致性通过率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不小于对应阈值、平均一致性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不小于对应阈值、硬冲突率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不大于对应阈值、低信息率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不大于对应阈值、两侧单模型重复率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不大于对应阈值、跨版本冲突率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不大于对应阈值，以及存在必需的命名域映射方向时该方向的全局方向质量门控pass_map_dir(X)成立；权利要求6所述直接可比覆盖率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和权利要求8所述综合冲突展示值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均不属于上述必需指标，不参与该阈值条件判定；所述阈值均位于零至一区间，并满足零不大于冲突阈值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根据权利要求7所述的方法，其特征在于，所述局部门控对每个比较规范键对κ输出可信、歧义、冲突和低信息四个状态之一：κ属于所述可评分键对集合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且κ的局部映射校验通过时输出可信状态并将其实体对加入所述临时种子关系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时输出低信息状态；其余情形输出歧义状态；输出冲突、低信息或歧义状态的键对，其实体端点作为命名异常端点进入所述稀疏候选边生成；κ的局部映射校验失败时不得以较高的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和候选关系得分并用于身份验证与关系验证，不单独判定身份成立；所述允许变化属性仅在对应实体对已进入所述一对一关系集合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乘以两值绝对值的较大者之和作为合成容差T(x,y)，取两值之差的绝对值超出T(x,y)的部分除以T(x,y)与正下限δ的较大者，并截断到零至一区间，得到数值距离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；对集合维度，取一减去交集规模与并集规模之比得到集合距离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；对多重集维度，按重数取交与并之比后作同样处理得到多重集距离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中的实体对保持不变还是被修改，包括：取该比较层级所需的变化证据维度集合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及在其维度分组上定义的非空必需核心组集合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，计算当前实际取得且校验有效的维度子集对</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的加权覆盖比例coverage_change；当</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中存在与该维度子集交集为空的必需核心组，或者coverage_change小于变化证据覆盖阈值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时，不输出保持不变或修改结论，而将该实体对标记为待复核；覆盖满足时，按各维度距离及其严格正权重加权得到综合变化度D(a,b)，D(a,b)不大于同一性阈值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已变和名称未决之一，所述标签取名称新增、名称删除、部分名称增删和名称匹配歧义中的一种或多种；仅当对应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时才记录所述名称变化；当两侧名称令牌集合之间的全部最大基数一对一名称匹配不唯一，或者一个实体在另一模型中同时存在多于预设名称对应上限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所述状态为名称未决并附加名称匹配歧义标签，此时不任取某个最大匹配定义未匹配令牌集合，只输出全部最大匹配共有的不变量；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、分裂或合并组规模上限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、假设数量上限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和计算量上限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根据权利要求17所述的方法，其特征在于，所述三类关系假设按下述可采纳条件生成：一对一假设由所述稀疏候选边集合C中的单条候选边生成；一对多假设要求第二CAD模型侧的目标实体组规模不超过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被冻结取代和已失效六个假设状态之一，其中被冻结取代和已失效为终止状态，不参加当前轮的联合选择、阻断判断和失败凭证签发，需要重新评价终止状态的假设时在新代次生成新记录而不原地复活旧状态；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ε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时接受该最优可行解；最优解与次优解之差小于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时输出候选并列状态CANDIDATE_TIE，并将相关端点的完整冲突闭包转入所述冻结集合；最优解与空解之差小于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时输出初选全败状态PRELIMINARY_ALL_FAIL，并将该分量端点的完整冲突闭包转入所述冻结集合；不得通过调低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17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每个稳定审计作用域的整数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及其单调递增的已用重试次数，恢复动作的累计读取量与计算量记入所述只增不减的消耗账本；所述撤销受影响的已选择关系按可复算置信元组ρ(r)的字典序从低到高确定撤销优先级，ρ(r)由该关系来源假设的候选权重、假设质量、证据覆盖度和证据缺口的补值构成，证据已失效的关系先于仍有效关系撤销，同一冲突闭包内ρ(r)完全相同的多个关系作为同一最低置信批次一并撤销并重新求解；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17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根据权利要求15所述的方法，其特征在于，仅在所述候选闭包通过标志CLOSURE_PASS成立之后执行分类：所述一对一关系集合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综合变化度不大于同一性阈值且名称未变的实体对分类为保持不变，综合变化度不大于同一性阈值但存在名称变化的实体对分类为仅重命名，综合变化度大于同一性阈值的实体对分类为修改并可携带重命名副标签；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分类为分裂；所述多对一关系集合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29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24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17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两侧实际触发局部验证读取的去重实体数量之和与两侧可审计实体集合规模之和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17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或所述多对一关系集合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其身份验证和指纹验证均已通过；该实体对所在的关系闭包已经成立；所述版本指纹对应的模型版本标识、缓存的直接依赖摘要和当前代次键集合均有效；所述版本指纹的内容覆盖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且指纹函数版本与当前一致；不满足任一条件时不得免去所述读取和验证；版本指纹相同不得直接判定实体保持不变，也不得据以跳过所述门控、所述联合选择、所述双侧完备不交分区不变量检查和所述同一结果批次发布。</w:t>
      </w:r>
    </w:p>
    <w:p>
      <w:pPr>
        <w:spacing w:before="0" w:after="120" w:line="264" w:lineRule="auto"/>
        <w:ind w:hanging="198" w:left="198"/>
      </w:pPr>
      <w:r>
        <w:rPr>
          <w:rFonts w:ascii="Calibri" w:hAnsi="Calibri" w:eastAsia="SimSun"/>
          <w:sz w:val="22"/>
        </w:rPr>
        <w:t>39. 根据权利要求38所述的方法，其特征在于，在下述任一情形下不免去该实体对的所述局部几何读取和验证，而是对该实体对实际读取并验证该比较层级所需变化证据维度集合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中当前可读取的维度：所述版本指纹对应的模型版本标识不可读取或未通过来源校验；所述缓存的直接依赖摘要缺失或与当前不一致；所述当前代次键集合中任一代次键失效；所述版本指纹的内容不能覆盖</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的全部维度，或者指纹函数版本与当前不一致；所述实体对尚未进入所述一对一关系集合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，或者其身份验证或指纹验证未通过，或者其所在的关系闭包尚未成立；读取或计算所述版本指纹超出权利要求17所述局部读取量上限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不免去所述读取和验证，并按权利要求22所述冻结方式将受影响端点的完整冲突闭包转入冻结集合而不降低判定标准；其中所述情形成立与否均不改变所述双侧完备不交分区不变量检查、所述闭包通过后分类和所述同一结果批次发布始终对全部可审计实体执行，且不得以某一实体对满足或不满足所述免去条件为唯一依据直接判定该实体保持不变或发生变化。</w:t>
      </w:r>
    </w:p>
    <w:p>
      <w:pPr>
        <w:spacing w:before="0" w:after="120" w:line="264" w:lineRule="auto"/>
        <w:ind w:hanging="198" w:left="198"/>
      </w:pPr>
      <w:r>
        <w:rPr>
          <w:rFonts w:ascii="Calibri" w:hAnsi="Calibri" w:eastAsia="SimSun"/>
          <w:sz w:val="22"/>
        </w:rPr>
        <w:t>40. 根据权利要求34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41. 根据权利要求17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42.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43.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44. 根据权利要求34所述的方法，其特征在于，所述实体摘要或版本指纹包括几何摘要、拓扑摘要、参数摘要、语义摘要、关系摘要和外包络摘要中的一种或多种。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45. 根据权利要求44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46. 根据权利要求44所述的方法，其特征在于，所述拓扑摘要包括边界环数量、相邻面集合、面-边-面邻接关系、连通分量数量和局部拓扑子图指纹中的一种或多种。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47. 根据权利要求44所述的方法，其特征在于，所述参数摘要包括特征参数、草图尺寸、约束参数、阵列参数、孔参数、倒角参数和圆角参数中的一种或多种。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48. 根据权利要求34所述的方法，其特征在于，所述版本指纹根据实体的几何摘要、拓扑摘要、参数摘要、语义摘要、关系摘要、所属特征标识和装配约束摘要中的至少两种生成。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49.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50.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51.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52.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53. 一种CAD模型差异对比系统，其特征在于，包括存储器和处理器，所述存储器保存两个待比较CAD模型在比较开始前已经存在的永久命名实体索引、实体与比较规范键的关联关系、既有键对应关系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54. 根据权利要求53所述的系统，其特征在于，所述既有命名关系读取模块还用于在所述两个待比较CAD模型来自不同CAD系统且已存在永久命名映射关系时读取所述永久命名映射关系，并基于所述既有键对应关系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55. 根据权利要求53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56. 根据权利要求53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57. 一种电子设备，其特征在于，包括处理器和存储器，所述存储器存储有计算机程序，所述计算机程序被所述处理器执行时实现权利要求1至52中任一项所述的方法。</w:t>
      </w:r>
    </w:p>
    <w:p>
      <w:pPr>
        <w:spacing w:before="0" w:after="120" w:line="264" w:lineRule="auto"/>
        <w:ind w:hanging="198" w:left="198"/>
      </w:pPr>
      <w:r>
        <w:rPr>
          <w:rFonts w:ascii="Calibri" w:hAnsi="Calibri" w:eastAsia="SimSun"/>
          <w:sz w:val="22"/>
        </w:rPr>
        <w:t>58. 一种计算机可读存储介质，其特征在于，其上存储有计算机程序，所述计算机程序被处理器执行时使所述处理器实现权利要求1至52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四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其四不使用实体身份标识，而按父子关系、经共享拓扑实体的邻接关系和经包围盒相交检测的空间重叠关系推断可能受到影响的构件子集，只重新生成该子集而不重新生成其余构件，例如US8305376B2；该类方案的适用前提是不存在可读取的实体身份标识，因而只能由关系推断代替身份对应，其得到的子集是随关系传播深度扩张的保守上界，规模由关系的传播深度决定而不由实际发生变化的实体数量决定，且该路线服务于单个模型在编辑会话中的局部重新生成，输入是一次修改动作而不是两个已经存在的模型版本，因而不解决两个版本之间的实体对应关系确定问题，也不判定实体属于保持不变、修改、分裂、合并、新增还是删除。</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本方法确定实体对应关系的路径具有固定的层级，不存在两条并列的对应关系确定路径。第一层为唯一主路径，即由步骤一读取的、比较开始之前已经存在的永久命名实体索引及其与比较规范键的关联关系直接给出候选对应，该对应是从既有索引中查得而不是由关系推断得出，因而其规模由两侧可审计实体数量决定，不随任何关系的传播深度扩张。第二层为回退候选生成手段，即步骤三所述按实体类型、所属特征、空间邻域、拓扑邻接关系和装配约束关系执行的双向索引查询；该查询仅在种子验证失败的端点和命名异常端点上启动，即仅在第一层给出的对应不可用或未通过验证时启动，其作用限于在预定预算内生成待验证的稀疏候选边和三类关系假设，不得作为与永久命名并列的对应关系确定路径，也不得在名称可用且种子验证通过的实体对上替代第一层的查得对应。第三层为证据获取手段，即在候选边和关系假设上执行的局部B-rep读取与验证，其作用限于取得身份证据和关系证据，不确定对应关系本身。上述层级不因内核标识相容、存在版本谱系记录或存在设计操作记录而改变，即上述情形同样不使第二层的关系推断上升为对应关系的确定路径。</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中在当前比较时刻有效的映射边执行跨命名域的键对应；映射不可用、存在多条有效映射边或映射目标互斥的比较规范键不进入可比较唯一键对集合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spacing w:before="0" w:after="120" w:line="264" w:lineRule="auto"/>
        <w:ind w:hanging="198" w:left="198"/>
      </w:pPr>
      <w:r>
        <w:rPr>
          <w:rFonts w:ascii="Calibri" w:hAnsi="Calibri" w:eastAsia="SimSun"/>
          <w:sz w:val="22"/>
        </w:rPr>
        <w:t>8. 命名身份对应与内容变化检测的职责分离。技术特征为永久命名关系仅用于确定两侧实体之间的身份对应，版本指纹的复用以该实体对已属于一对一关系集合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其身份验证已通过且其所在的关系闭包已经成立为激活前提，版本指纹相同不形成身份已对应的结论，永久命名相同也不形成实体内容未变化的结论。作用机理是永久命名标识由CAD系统、CAD内核或产品数据管理系统在比较开始之前按实体的拓扑位置与特征生成关系写入，其相同或不同只反映实体在版本迭代中的来源与演化关系，不反映该实体的尺寸、参数、修剪几何或其他允许变化属性的取值；实体对应由该既有索引直接查得，不由父子关系、拓扑邻接关系或空间重叠关系推断，上述关系仅在种子验证失败的端点和命名异常端点上作为回退候选生成依据，因而参与验证的实体范围不随关系的传播深度扩张；版本指纹只在身份对应已由前述前提确认之后，用于判断已对应的同一实体在本次比较中是否需要重复读取和验证其局部几何，其相同的含义是在全部复用条件成立时暂免重复读取，而不是该实体内容保持不变。技术效果是命名身份的稳定性与几何内容的不变性各自需要独立取得证据支持，因而在永久命名部分可靠且存在重复、漂移、分裂、合并、低信息或读取失败时，几何内容相似不产生错误的身份对应，永久命名相同也不产生未经变化证据覆盖门控验证的保持不变结论。</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，第二CAD模型在该层级上的可审计实体集合记为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w:t>
      </w:r>
    </w:p>
    <w:p>
      <w:pPr>
        <w:spacing w:before="0" w:after="120" w:line="264" w:lineRule="auto"/>
      </w:pPr>
      <w:r>
        <w:rPr>
          <w:rFonts w:ascii="Calibri" w:hAnsi="Calibri" w:eastAsia="SimSun"/>
          <w:sz w:val="22"/>
        </w:rPr>
        <w:t>对每个实体e预先分配严格为正的实体权重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w:t>
      </w:r>
      <w:r>
        <w:rPr>
          <w:rFonts w:ascii="Calibri" w:hAnsi="Calibri" w:eastAsia="SimSun"/>
          <w:sz w:val="22"/>
        </w:rPr>
        <w:t>P</w:t>
      </w:r>
      <w:r>
        <w:rPr>
          <w:rFonts w:ascii="Calibri" w:hAnsi="Calibri" w:eastAsia="SimSun"/>
          <w:sz w:val="22"/>
          <w:vertAlign w:val="subscript"/>
        </w:rPr>
        <w:t>X</w:t>
      </w:r>
      <w:r>
        <w:rPr>
          <w:rFonts w:ascii="Calibri" w:hAnsi="Calibri" w:eastAsia="SimSun"/>
          <w:sz w:val="22"/>
        </w:rPr>
        <w:t>是实体与比较规范键之间的二元关系而不是函数。由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导出四个派生量：每个比较规范键k关联的实体集合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(k)；每个实体e关联的比较规范键集合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(k)，等于</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(k)的元素个数；每个实体的键重数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(e)，等于</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(e)的元素个数。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(k)大于一表示同一比较规范键在同侧命中多个实体，</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的每条边记录为规范元组，元组字段依次为源命名域、源比较规范键、目标命名域、目标比较规范键、映射版本和映射有效期。取</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中在当前比较时刻通过来源校验、版本校验和有效期校验的边，构成有效映射边集合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；在该集合上定义每个比较规范键的出度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收入同时满足三重唯一条件的键对κ。第一为键侧唯一，即κ的第一侧比较规范键在第一侧的实体重数为一，且κ的第二侧比较规范键在第二侧的实体重数为一。第二为实体端点唯一，即κ的第一侧实体端点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与第二侧实体端点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各自仅由κ引入。第三为映射唯一，即κ的两个比较规范键在同一命名域内相等，或者二者之间在</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不可跨越的实体类型族和经可靠装配谱系确认的无关部件。硬身份约束只具有否决效力，任一硬身份约束不相容时直接判定对应键对或关系假设不成立，且不由其他维度的得分补偿。层级、一般上下文、模型树位置、邻接关系和关系角色属于软身份证据，不得提升为硬身份否决；单实体变化量及其直接派生值也不得以阈值、组合分或替代特征的形式回流到身份否决。</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与候选关系得分，不单独判定身份成立。其中语义类别归入语义组，父级特征、装配发生路径与模型树位置语义归入层级上下文组，拓扑邻接角色、生成关系、引用关系与约束参与角色归入关系角色组；上述三组均只形成对应软证据分量，不承担否决效力。</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等于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的权重和之比；实体即使关联多个有效比较规范键，在该分子中也只计一次。取唯一可用实体集合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，即</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(k)仅含该实体本身这两个条件的实体集合，唯一可用覆盖率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等于</w:t>
      </w:r>
      <w:r>
        <w:rPr>
          <w:rFonts w:ascii="Calibri" w:hAnsi="Calibri" w:eastAsia="SimSun"/>
          <w:sz w:val="22"/>
        </w:rPr>
        <w:t>G</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的权重和之比。命名覆盖率回答多少实体带有有效名称，唯一可用覆盖率回答多少实体能够仅凭模型内名称唯一定位；两者必须同时报告，且两者的分子均按实体计数或实体权重计算，不按比较规范键数量计算。</w:t>
      </w:r>
    </w:p>
    <w:p>
      <w:pPr>
        <w:spacing w:before="0" w:after="120" w:line="264" w:lineRule="auto"/>
      </w:pPr>
      <w:r>
        <w:rPr>
          <w:rFonts w:ascii="Calibri" w:hAnsi="Calibri" w:eastAsia="SimSun"/>
          <w:sz w:val="22"/>
        </w:rPr>
        <w:t>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等于临时种子关系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规模的二倍与两侧可审计实体集合规模之和之比，用于表示可进入潜在直接验证路径的双侧实体端点比例。</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属于效率指标，不属于覆盖类指标，不作为命名域可信度的强制门槛，也不参与全局三态路由的阈值条件判定；合法的新增和删除会降低该指标，但不应据此认为命名域失效。</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也不等于候选边比或边数减少比例，实际候选压缩率应在候选生成后依据预定基线边数与实际稀疏候选边数另行计算。</w:t>
      </w:r>
    </w:p>
    <w:p>
      <w:pPr>
        <w:spacing w:before="0" w:after="120" w:line="264" w:lineRule="auto"/>
      </w:pPr>
      <w:r>
        <w:rPr>
          <w:rFonts w:ascii="Calibri" w:hAnsi="Calibri" w:eastAsia="SimSun"/>
          <w:sz w:val="22"/>
        </w:rPr>
        <w:t>指标始终并列报告无权重计数结果。使用实体权重时，权重只依赖预先声明的实体层级、业务类别或业务重要度，与实体是否有名称、名称是否唯一、是否冲突以及最终路由状态无关；同一指标的分子和分母使用同一套权重；权重定义、固定时点和权重版本进入差异证据记录；不允许以零权重或事后调权隐藏无名称、重复名称、映射冲突或低信息实体。</w:t>
      </w:r>
    </w:p>
    <w:p>
      <w:pPr>
        <w:spacing w:before="0" w:after="120" w:line="264" w:lineRule="auto"/>
      </w:pPr>
      <w:r>
        <w:rPr>
          <w:rFonts w:ascii="Calibri" w:hAnsi="Calibri" w:eastAsia="SimSun"/>
          <w:sz w:val="22"/>
        </w:rPr>
        <w:t>一致性类指标把一致性通过率与平均一致性分别计算，不合并为同一公式。先把软身份证据按来源划分为彼此独立的软证据组，全集为软身份组</w:t>
      </w:r>
      <w:r>
        <w:rPr>
          <w:rFonts w:ascii="Calibri" w:hAnsi="Calibri" w:eastAsia="SimSun"/>
          <w:sz w:val="22"/>
        </w:rPr>
        <w:t>g</w:t>
      </w:r>
      <w:r>
        <w:rPr>
          <w:rFonts w:ascii="Calibri" w:hAnsi="Calibri" w:eastAsia="SimSun"/>
          <w:sz w:val="22"/>
          <w:vertAlign w:val="subscript"/>
        </w:rPr>
        <w:t>I</w:t>
      </w:r>
      <w:r>
        <w:rPr>
          <w:rFonts w:ascii="Calibri" w:hAnsi="Calibri" w:eastAsia="SimSun"/>
          <w:sz w:val="22"/>
        </w:rPr>
        <w:t>、层级上下文组</w:t>
      </w:r>
      <w:r>
        <w:rPr>
          <w:rFonts w:ascii="Calibri" w:hAnsi="Calibri" w:eastAsia="SimSun"/>
          <w:sz w:val="22"/>
        </w:rPr>
        <w:t>g</w:t>
      </w:r>
      <w:r>
        <w:rPr>
          <w:rFonts w:ascii="Calibri" w:hAnsi="Calibri" w:eastAsia="SimSun"/>
          <w:sz w:val="22"/>
          <w:vertAlign w:val="subscript"/>
        </w:rPr>
        <w:t>H</w:t>
      </w:r>
      <w:r>
        <w:rPr>
          <w:rFonts w:ascii="Calibri" w:hAnsi="Calibri" w:eastAsia="SimSun"/>
          <w:sz w:val="22"/>
        </w:rPr>
        <w:t>、关系角色组</w:t>
      </w:r>
      <w:r>
        <w:rPr>
          <w:rFonts w:ascii="Calibri" w:hAnsi="Calibri" w:eastAsia="SimSun"/>
          <w:sz w:val="22"/>
        </w:rPr>
        <w:t>g</w:t>
      </w:r>
      <w:r>
        <w:rPr>
          <w:rFonts w:ascii="Calibri" w:hAnsi="Calibri" w:eastAsia="SimSun"/>
          <w:sz w:val="22"/>
          <w:vertAlign w:val="subscript"/>
        </w:rPr>
        <w:t>R</w:t>
      </w:r>
      <w:r>
        <w:rPr>
          <w:rFonts w:ascii="Calibri" w:hAnsi="Calibri" w:eastAsia="SimSun"/>
          <w:sz w:val="22"/>
        </w:rPr>
        <w:t>、语义组</w:t>
      </w:r>
      <w:r>
        <w:rPr>
          <w:rFonts w:ascii="Calibri" w:hAnsi="Calibri" w:eastAsia="SimSun"/>
          <w:sz w:val="22"/>
        </w:rPr>
        <w:t>g</w:t>
      </w:r>
      <w:r>
        <w:rPr>
          <w:rFonts w:ascii="Calibri" w:hAnsi="Calibri" w:eastAsia="SimSun"/>
          <w:sz w:val="22"/>
          <w:vertAlign w:val="subscript"/>
        </w:rPr>
        <w:t>S</w:t>
      </w:r>
      <w:r>
        <w:rPr>
          <w:rFonts w:ascii="Calibri" w:hAnsi="Calibri" w:eastAsia="SimSun"/>
          <w:sz w:val="22"/>
        </w:rPr>
        <w:t>和来源映射组</w:t>
      </w:r>
      <w:r>
        <w:rPr>
          <w:rFonts w:ascii="Calibri" w:hAnsi="Calibri" w:eastAsia="SimSun"/>
          <w:sz w:val="22"/>
        </w:rPr>
        <w:t>g</w:t>
      </w:r>
      <w:r>
        <w:rPr>
          <w:rFonts w:ascii="Calibri" w:hAnsi="Calibri" w:eastAsia="SimSun"/>
          <w:sz w:val="22"/>
          <w:vertAlign w:val="subscript"/>
        </w:rPr>
        <w:t>M</w:t>
      </w:r>
      <w:r>
        <w:rPr>
          <w:rFonts w:ascii="Calibri" w:hAnsi="Calibri" w:eastAsia="SimSun"/>
          <w:sz w:val="22"/>
        </w:rPr>
        <w:t>；同一原始字段只能分配到一个软证据组，强相关字段必须合并到同一组，并对该组总贡献设置上限，以防同源字段重复计权。各组得分归一化到零至一区间。对每个键对κ取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。完整权重向量α、启用组集合</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、证据覆盖策略</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、各组归一化函数</w:t>
      </w:r>
      <w:r>
        <w:rPr>
          <w:rFonts w:ascii="Calibri" w:hAnsi="Calibri" w:eastAsia="SimSun"/>
          <w:sz w:val="22"/>
        </w:rPr>
        <w:t>f</w:t>
      </w:r>
      <w:r>
        <w:rPr>
          <w:rFonts w:ascii="Calibri" w:hAnsi="Calibri" w:eastAsia="SimSun"/>
          <w:sz w:val="22"/>
          <w:vertAlign w:val="subscript"/>
        </w:rPr>
        <w:t>i</w:t>
      </w:r>
      <w:r>
        <w:rPr>
          <w:rFonts w:ascii="Calibri" w:hAnsi="Calibri" w:eastAsia="SimSun"/>
          <w:sz w:val="22"/>
        </w:rPr>
        <w:t>及其函数版本必须组成同一版本化配置，在本次比较开始且任何评分发生之前共同固定；不得在读取本次评分结果后调整α、</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w:t>
      </w:r>
      <w:r>
        <w:rPr>
          <w:rFonts w:ascii="Calibri" w:hAnsi="Calibri" w:eastAsia="SimSun"/>
          <w:sz w:val="22"/>
        </w:rPr>
        <w:t>f</w:t>
      </w:r>
      <w:r>
        <w:rPr>
          <w:rFonts w:ascii="Calibri" w:hAnsi="Calibri" w:eastAsia="SimSun"/>
          <w:sz w:val="22"/>
          <w:vertAlign w:val="subscript"/>
        </w:rPr>
        <w:t>i</w:t>
      </w:r>
      <w:r>
        <w:rPr>
          <w:rFonts w:ascii="Calibri" w:hAnsi="Calibri" w:eastAsia="SimSun"/>
          <w:sz w:val="22"/>
        </w:rPr>
        <w:t>或其归一化规则。任何证据覆盖策略都必须满足不可降低的底线，即</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至少覆盖两个彼此独立的软证据组；记录在案的必需组策略只能在此底线上叠加必需组集合或更高的最低覆盖要求，不能允许单组证据通过。当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所含独立软证据组数量小于二，或者缺失任一预先声明的必需组时，将κ归入低信息键对集合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；分母因证据策略通过而严格大于零。硬身份约束数据、单实体允许变化属性和组聚合不变量均不能使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、分子和分母中同时移除，不按零分处理。一致性通过率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的加权和为分子，其中</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与低信息率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分别以</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的规模为分子，以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为分母。硬冲突键对与低信息键对不构造</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，也不进入</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的平均值。</w:t>
      </w:r>
    </w:p>
    <w:p>
      <w:pPr>
        <w:spacing w:before="0" w:after="120" w:line="264" w:lineRule="auto"/>
      </w:pPr>
      <w:r>
        <w:rPr>
          <w:rFonts w:ascii="Calibri" w:hAnsi="Calibri" w:eastAsia="SimSun"/>
          <w:sz w:val="22"/>
        </w:rPr>
        <w:t>冲突类指标按下述口径计算。单模型重复率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等于同一模型内被重复比较规范键命中的命名实体集合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等于硬冲突键对集合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的键对集合之并集，即</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∪{κ∈</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 xml:space="preserve"> | </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&lt;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等于</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单独由</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报告，不混入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或</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可以低于或等于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，用于区分需要辅助验证的键对与高度疑似名称复用或漂移的键对。普通尺寸、面积、参数或修剪变化属于模型修改证据，不单独计入跨版本身份冲突。</w:t>
      </w:r>
    </w:p>
    <w:p>
      <w:pPr>
        <w:spacing w:before="0" w:after="120" w:line="264" w:lineRule="auto"/>
      </w:pPr>
      <w:r>
        <w:rPr>
          <w:rFonts w:ascii="Calibri" w:hAnsi="Calibri" w:eastAsia="SimSun"/>
          <w:sz w:val="22"/>
        </w:rPr>
        <w:t>映射类指标仅在跨命名域比较时按映射方向分别计算，且全部按实体口径而非比较规范键数量计算。需映射源实体集合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为该方向上具有源命名域有效比较规范键、且直接与目标命名域比较需要映射的源实体集合；已映射源实体集合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为</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等于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的权重和之比；一个源实体即使存在多条有效目标映射，在分子中也只计一次。若业务要求双向映射，则分别报告A到B与B到A两个方向的映射覆盖率，不以单向结果替代双向覆盖。映射边冲突率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等于冲突边集合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之比，其中</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为</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为避免仅按边计数掩盖受影响实体，另定义</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，以及受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影响的源实体集合与目标实体集合；端点映射冲突率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按源侧、目标侧和双侧端点合并三种口径分别给出，源侧以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为分母，目标侧以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为分母，合并口径以两者权重和之和为分母。</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回答需映射源实体是否至少取得一条去重有效边，</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回答去重有效边中有多少是不可解释冲突边，</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回答源与目标实体端点中有多少受冲突影响；三种口径必须同时区分，门控优先采用端点率，业务风险要求时再联合边率。综合冲突展示值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全局质量门控在通过、局部受限和拒绝三个状态之间选择。通过状态要求下述必需指标均可计算且逐项满足各自事前固定的阈值条件：</w:t>
      </w:r>
      <w:r>
        <w:rPr>
          <w:rFonts w:ascii="Calibri" w:hAnsi="Calibri" w:eastAsia="SimSun"/>
          <w:sz w:val="22"/>
        </w:rPr>
        <w:t>C</w:t>
      </w:r>
      <w:r>
        <w:rPr>
          <w:rFonts w:ascii="Calibri" w:hAnsi="Calibri" w:eastAsia="SimSun"/>
          <w:sz w:val="22"/>
          <w:vertAlign w:val="subscript"/>
        </w:rPr>
        <w:t>cov,A</w:t>
      </w:r>
      <w:r>
        <w:rPr>
          <w:rFonts w:ascii="Calibri" w:hAnsi="Calibri" w:eastAsia="SimSun"/>
          <w:sz w:val="22"/>
        </w:rPr>
        <w:t>、</w:t>
      </w:r>
      <w:r>
        <w:rPr>
          <w:rFonts w:ascii="Calibri" w:hAnsi="Calibri" w:eastAsia="SimSun"/>
          <w:sz w:val="22"/>
        </w:rPr>
        <w:t>C</w:t>
      </w:r>
      <w:r>
        <w:rPr>
          <w:rFonts w:ascii="Calibri" w:hAnsi="Calibri" w:eastAsia="SimSun"/>
          <w:sz w:val="22"/>
          <w:vertAlign w:val="subscript"/>
        </w:rPr>
        <w:t>cov,B</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unique,A</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unique,B</w:t>
      </w:r>
      <w:r>
        <w:rPr>
          <w:rFonts w:ascii="Calibri" w:hAnsi="Calibri" w:eastAsia="SimSun"/>
          <w:sz w:val="22"/>
        </w:rPr>
        <w:t>分别不小于对应阈值；</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rate</w:t>
      </w:r>
      <w:r>
        <w:rPr>
          <w:rFonts w:ascii="Calibri" w:hAnsi="Calibri" w:eastAsia="SimSun"/>
          <w:sz w:val="22"/>
        </w:rPr>
        <w:t>；</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lowinfo</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dup,A</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dup,B</w:t>
      </w:r>
      <w:r>
        <w:rPr>
          <w:rFonts w:ascii="Calibri" w:hAnsi="Calibri" w:eastAsia="SimSun"/>
          <w:sz w:val="22"/>
        </w:rPr>
        <w:t>分别不大于对应阈值；</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cross</w:t>
      </w:r>
      <w:r>
        <w:rPr>
          <w:rFonts w:ascii="Calibri" w:hAnsi="Calibri" w:eastAsia="SimSun"/>
          <w:sz w:val="22"/>
        </w:rPr>
        <w:t>；存在必需的命名域映射方向时该方向的pass_map_dir(X)成立。直接可比覆盖率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与综合冲突展示值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均不属于必需指标，不参与该判定。全部阈值均位于零至一区间，并满足零不大于冲突阈值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越界阈值属于配置错误，不据此宣称全局质量门控通过。任一必需指标超过阈值、低于阈值或不可计算均记为全局质量门控失败，但不倒推为元数据硬门控失败。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且局部映射校验pass_map_local(κ)通过时输出可信状态，并将其实体对加入临时种子关系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时输出低信息状态。其余情形输出歧义状态。输出冲突、低信息或歧义状态的键对，其实体端点作为命名异常端点进入稀疏候选边生成。κ的局部映射校验失败时不以较高的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以全局通过状态代替该局部校验。跨命名域比较存在必需映射方向时，还按方向执行全局方向质量门控pass_map_dir(X)校验。pass_map_dir(X)仅决定全局路由状态以及该方向是否允许启用名称快速路径，不参与逐键种子公式：该方向校验不通过时只记录方向质量门控失败，不改变任何局部审计干净键对的pass_map_local(κ)结论，不把该键对标记为映射冲突，也不把该键对移出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的成员条件仅为实施方式二所述三重唯一条件，因此方向质量门控失败不缩小</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和</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的共同分母。</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w:t>
      </w:r>
      <w:r>
        <w:rPr>
          <w:rFonts w:ascii="Calibri" w:hAnsi="Calibri" w:eastAsia="SimSun"/>
          <w:sz w:val="22"/>
        </w:rPr>
        <w:t>P</w:t>
      </w:r>
      <w:r>
        <w:rPr>
          <w:rFonts w:ascii="Calibri" w:hAnsi="Calibri" w:eastAsia="SimSun"/>
          <w:sz w:val="22"/>
          <w:vertAlign w:val="subscript"/>
        </w:rPr>
        <w:t>A</w:t>
      </w:r>
      <w:r>
        <w:rPr>
          <w:rFonts w:ascii="Calibri" w:hAnsi="Calibri" w:eastAsia="SimSun"/>
          <w:sz w:val="22"/>
        </w:rPr>
        <w:t>、</w:t>
      </w:r>
      <w:r>
        <w:rPr>
          <w:rFonts w:ascii="Calibri" w:hAnsi="Calibri" w:eastAsia="SimSun"/>
          <w:sz w:val="22"/>
        </w:rPr>
        <w:t>P</w:t>
      </w:r>
      <w:r>
        <w:rPr>
          <w:rFonts w:ascii="Calibri" w:hAnsi="Calibri" w:eastAsia="SimSun"/>
          <w:sz w:val="22"/>
          <w:vertAlign w:val="subscript"/>
        </w:rPr>
        <w:t>B</w:t>
      </w:r>
      <w:r>
        <w:rPr>
          <w:rFonts w:ascii="Calibri" w:hAnsi="Calibri" w:eastAsia="SimSun"/>
          <w:sz w:val="22"/>
        </w:rPr>
        <w:t>并导出</w:t>
      </w:r>
      <w:r>
        <w:rPr>
          <w:rFonts w:ascii="Calibri" w:hAnsi="Calibri" w:eastAsia="SimSun"/>
          <w:sz w:val="22"/>
        </w:rPr>
        <w:t>E</w:t>
      </w:r>
      <w:r>
        <w:rPr>
          <w:rFonts w:ascii="Calibri" w:hAnsi="Calibri" w:eastAsia="SimSun"/>
          <w:sz w:val="22"/>
          <w:vertAlign w:val="subscript"/>
        </w:rPr>
        <w:t>A</w:t>
      </w:r>
      <w:r>
        <w:rPr>
          <w:rFonts w:ascii="Calibri" w:hAnsi="Calibri" w:eastAsia="SimSun"/>
          <w:sz w:val="22"/>
        </w:rPr>
        <w:t>(k)、</w:t>
      </w:r>
      <w:r>
        <w:rPr>
          <w:rFonts w:ascii="Calibri" w:hAnsi="Calibri" w:eastAsia="SimSun"/>
          <w:sz w:val="22"/>
        </w:rPr>
        <w:t>E</w:t>
      </w:r>
      <w:r>
        <w:rPr>
          <w:rFonts w:ascii="Calibri" w:hAnsi="Calibri" w:eastAsia="SimSun"/>
          <w:sz w:val="22"/>
          <w:vertAlign w:val="subscript"/>
        </w:rPr>
        <w:t>B</w:t>
      </w:r>
      <w:r>
        <w:rPr>
          <w:rFonts w:ascii="Calibri" w:hAnsi="Calibri" w:eastAsia="SimSun"/>
          <w:sz w:val="22"/>
        </w:rPr>
        <w:t>(k)、</w:t>
      </w:r>
      <w:r>
        <w:rPr>
          <w:rFonts w:ascii="Calibri" w:hAnsi="Calibri" w:eastAsia="SimSun"/>
          <w:sz w:val="22"/>
        </w:rPr>
        <w:t>K</w:t>
      </w:r>
      <w:r>
        <w:rPr>
          <w:rFonts w:ascii="Calibri" w:hAnsi="Calibri" w:eastAsia="SimSun"/>
          <w:sz w:val="22"/>
          <w:vertAlign w:val="subscript"/>
        </w:rPr>
        <w:t>A</w:t>
      </w:r>
      <w:r>
        <w:rPr>
          <w:rFonts w:ascii="Calibri" w:hAnsi="Calibri" w:eastAsia="SimSun"/>
          <w:sz w:val="22"/>
        </w:rPr>
        <w:t>(e)、</w:t>
      </w:r>
      <w:r>
        <w:rPr>
          <w:rFonts w:ascii="Calibri" w:hAnsi="Calibri" w:eastAsia="SimSun"/>
          <w:sz w:val="22"/>
        </w:rPr>
        <w:t>K</w:t>
      </w:r>
      <w:r>
        <w:rPr>
          <w:rFonts w:ascii="Calibri" w:hAnsi="Calibri" w:eastAsia="SimSun"/>
          <w:sz w:val="22"/>
          <w:vertAlign w:val="subscript"/>
        </w:rPr>
        <w:t>B</w:t>
      </w:r>
      <w:r>
        <w:rPr>
          <w:rFonts w:ascii="Calibri" w:hAnsi="Calibri" w:eastAsia="SimSun"/>
          <w:sz w:val="22"/>
        </w:rPr>
        <w:t>(e)；依据比较开始前已经存在且校验通过的恒等关系或跨域映射建立</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w:t>
      </w:r>
    </w:p>
    <w:p>
      <w:pPr>
        <w:spacing w:before="0" w:after="120" w:line="264" w:lineRule="auto"/>
      </w:pPr>
      <w:r>
        <w:rPr>
          <w:rFonts w:ascii="Calibri" w:hAnsi="Calibri" w:eastAsia="SimSun"/>
          <w:sz w:val="22"/>
        </w:rPr>
        <w:t>S400为临时可信种子和异常实体分流。</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中的实体对进入直接验证路径，此时只表示其比较规范键、映射基数和一致性证据已经通过审计，仍不是最终一对一关系；每个临时种子记录状态seed_status，取值为未决、通过、失败和待补数据之一。下列实体进入异常实体集合</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：没有有效永久名称的实体；永久名称仅存在于一个模型的实体；同一模型中永久名称重复或实体关联多个非等价名称的实体；唯一键对属于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或</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的实体；命名域映射缺失、置信度不足或发生冲突的实体；疑似名称漂移、名称失效、重命名、分裂或合并的实体。异常实体集合不是</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w:t>
      </w:r>
      <w:r>
        <w:rPr>
          <w:rFonts w:ascii="Calibri" w:hAnsi="Calibri" w:eastAsia="SimSun"/>
          <w:sz w:val="22"/>
        </w:rPr>
        <w:t>Π</w:t>
      </w:r>
      <w:r>
        <w:rPr>
          <w:rFonts w:ascii="Calibri" w:hAnsi="Calibri" w:eastAsia="SimSun"/>
          <w:sz w:val="22"/>
          <w:vertAlign w:val="subscript"/>
        </w:rPr>
        <w:t>cand</w:t>
      </w:r>
      <w:r>
        <w:rPr>
          <w:rFonts w:ascii="Calibri" w:hAnsi="Calibri" w:eastAsia="SimSun"/>
          <w:sz w:val="22"/>
          <w:vertAlign w:val="superscript"/>
        </w:rPr>
        <w:t>l</w:t>
      </w:r>
      <w:r>
        <w:rPr>
          <w:rFonts w:ascii="Calibri" w:hAnsi="Calibri" w:eastAsia="SimSun"/>
          <w:sz w:val="22"/>
        </w:rPr>
        <w:t>，其内容至少包括双向查询的层级与空间范围、单端点候选边上限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、分量假设上限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w:t>
      </w:r>
      <w:r>
        <w:rPr>
          <w:rFonts w:ascii="Calibri" w:hAnsi="Calibri" w:eastAsia="SimSun"/>
          <w:sz w:val="22"/>
        </w:rPr>
        <w:t>γ</w:t>
      </w:r>
      <w:r>
        <w:rPr>
          <w:rFonts w:ascii="Calibri" w:hAnsi="Calibri" w:eastAsia="SimSun"/>
          <w:sz w:val="22"/>
          <w:vertAlign w:val="subscript"/>
        </w:rPr>
        <w:t>i</w:t>
      </w:r>
      <w:r>
        <w:rPr>
          <w:rFonts w:ascii="Calibri" w:hAnsi="Calibri" w:eastAsia="SimSun"/>
          <w:sz w:val="22"/>
        </w:rPr>
        <w:t>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及其非空代次键集合，取值为未评估、证据不足、可采纳、被否决、被冻结取代和已失效六者之一。其中未评估、证据不足、可采纳和被否决为活动状态，被冻结取代和已失效为终止状态；终止状态的假设不参加当前轮的联合选择、阻断判断和失败凭证签发，新证据需要重新评价终止状态假设时必须在新代次生成新记录，不原地复活旧状态。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跳过目标计算，该状态只表示具备进入端点级失败审计的条件；只有至少存在一个活动可采纳假设、没有活动待补数据且候选生成与验证完整时才进入联合目标计算。对每个活动且验证通过的假设设置零一选择变量</w:t>
      </w:r>
      <w:r>
        <w:rPr>
          <w:rFonts w:ascii="Calibri" w:hAnsi="Calibri" w:eastAsia="SimSun"/>
          <w:sz w:val="22"/>
        </w:rPr>
        <w:t>z</w:t>
      </w:r>
      <w:r>
        <w:rPr>
          <w:rFonts w:ascii="Calibri" w:hAnsi="Calibri" w:eastAsia="SimSun"/>
          <w:sz w:val="22"/>
          <w:vertAlign w:val="subscript"/>
        </w:rPr>
        <w:t>h</w:t>
      </w:r>
      <w:r>
        <w:rPr>
          <w:rFonts w:ascii="Calibri" w:hAnsi="Calibri" w:eastAsia="SimSun"/>
          <w:sz w:val="22"/>
        </w:rPr>
        <w:t>，候选权重W(h)等于预设正下限ε与一减ε乘以假设质量、证据覆盖度、证据缺口补值按各自权重的加权和之和，因而严格为正；分量目标</w:t>
      </w:r>
      <w:r>
        <w:rPr>
          <w:rFonts w:ascii="Calibri" w:hAnsi="Calibri" w:eastAsia="SimSun"/>
          <w:sz w:val="22"/>
        </w:rPr>
        <w:t>Φ</w:t>
      </w:r>
      <w:r>
        <w:rPr>
          <w:rFonts w:ascii="Calibri" w:hAnsi="Calibri" w:eastAsia="SimSun"/>
          <w:sz w:val="22"/>
          <w:vertAlign w:val="subscript"/>
        </w:rPr>
        <w:t>G</w:t>
      </w:r>
      <w:r>
        <w:rPr>
          <w:rFonts w:ascii="Calibri" w:hAnsi="Calibri" w:eastAsia="SimSun"/>
          <w:sz w:val="22"/>
        </w:rPr>
        <w:t>(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时，最佳解才成为待物化关系解，否则标记候选并列并进入冻结。不通过调低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，也不进入新增分类和删除分类。</w:t>
      </w:r>
    </w:p>
    <w:p>
      <w:pPr>
        <w:spacing w:before="0" w:after="120" w:line="264" w:lineRule="auto"/>
      </w:pPr>
      <w:r>
        <w:rPr>
          <w:rFonts w:ascii="Calibri" w:hAnsi="Calibri" w:eastAsia="SimSun"/>
          <w:sz w:val="22"/>
        </w:rPr>
        <w:t>S900为双侧关系闭包检查和失败回流。按端点展平算子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乘以两值绝对值较大者之积的和；再取两值之差的绝对值超出T(x,y)的部分，除以T(x,y)与正下限δ的较大者，并截断到零至一区间，得到数值距离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。其中</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不小于零，</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不小于零，δ严格大于零。容差范围内的差异为零。各数值维度的</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、δ、单位换算、截断函数版本和适用实体层级必须在读取本次差异结果之前固定并进入配置版本。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；两个集合均为空时约定该距离为零。多重集维度按重数取各类型计数的较小值之和与较大值之和之比，再取一减去该比值，得到多重集距离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、严格正权重</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、维度分组、非空必需核心组集合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、最低变化证据覆盖阈值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和保持不变阈值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的实体对，令</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(a,b)为当前代次下实际取得、版本有效并通过质量校验的允许变化维度子集，变化证据覆盖度coverage_change等于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(a,b)上权重之和与</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上权重之和之比。只有</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非空、</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(a,b)非空、coverage_change不小于</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，且每个必需核心组与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(a,b)的交集非空时，变化门控才判为通过，并定义综合变化度D(a,b)等于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(a,b)上各维度距离按</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名称变化状态按下述方式可复算地计算。对已进入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分别读取原始永久名称记录多重集与该实体的比较规范键集合，并按标准化规则和已声明等价别名关系取商，使每个等价别名类只形成一个名称令牌，令牌由命名域与比较规范键构成，所得有限集合记为</w:t>
      </w:r>
      <w:r>
        <w:rPr>
          <w:rFonts w:ascii="Calibri" w:hAnsi="Calibri" w:eastAsia="SimSun"/>
          <w:sz w:val="22"/>
        </w:rPr>
        <w:t>N</w:t>
      </w:r>
      <w:r>
        <w:rPr>
          <w:rFonts w:ascii="Calibri" w:hAnsi="Calibri" w:eastAsia="SimSun"/>
          <w:sz w:val="22"/>
          <w:vertAlign w:val="subscript"/>
        </w:rPr>
        <w:t>A</w:t>
      </w:r>
      <w:r>
        <w:rPr>
          <w:rFonts w:ascii="Calibri" w:hAnsi="Calibri" w:eastAsia="SimSun"/>
          <w:sz w:val="22"/>
        </w:rPr>
        <w:t>(a)与</w:t>
      </w:r>
      <w:r>
        <w:rPr>
          <w:rFonts w:ascii="Calibri" w:hAnsi="Calibri" w:eastAsia="SimSun"/>
          <w:sz w:val="22"/>
        </w:rPr>
        <w:t>N</w:t>
      </w:r>
      <w:r>
        <w:rPr>
          <w:rFonts w:ascii="Calibri" w:hAnsi="Calibri" w:eastAsia="SimSun"/>
          <w:sz w:val="22"/>
          <w:vertAlign w:val="subscript"/>
        </w:rPr>
        <w:t>B</w:t>
      </w:r>
      <w:r>
        <w:rPr>
          <w:rFonts w:ascii="Calibri" w:hAnsi="Calibri" w:eastAsia="SimSun"/>
          <w:sz w:val="22"/>
        </w:rPr>
        <w:t>(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当最大匹配唯一时，据此定义两侧未匹配令牌集合，并生成名称新增、名称删除或部分名称增删标签。当最大匹配不唯一时，不任取某个匹配定义未匹配令牌，只计算所有最大匹配共有的不变量并输出名称匹配歧义标签。另在读取本次结果之前预先声明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，当一个实体在另一模型中同时存在多于</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的可比名称对应时，同样不任取某个最大匹配，只输出共有不变量并附加名称匹配歧义标签；此处</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专指全部最大基数一对一名称匹配集合，与分裂或合并的组规模上限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以及名称对应数量上限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为三个彼此独立的概念，不得互相替代。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且名称未变时，主分类为保持不变；变化门控通过、D(a,b)不大于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且名称已变时，主分类为仅重命名；变化门控通过、D(a,b)大于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的输入为单条关系记录，输出为非空实体集合。对一对一记录，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取其第二侧实体；对一对多记录，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取其第二侧目标实体组的全部实体；对多对一记录，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取其第一侧源实体组的全部实体，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本身，是一对一类型化关系记录集合而不是单侧实体集合；对应的双侧共有实体集合分别为</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和预算耗尽处置。对关系r取其来源假设的候选权重、假设质量、证据覆盖度和证据缺口补值构成可复算置信元组ρ(r)，按字典序从低到高确定低置信撤销优先级；证据已失效的关系先于仍有效关系撤销；同一冲突闭包内多个关系的ρ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同时满足仅关联一个非等价比较规范键、且该键在同侧仅关联该面本身的唯一可用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为0.50。因为全部90个键对均属于可评分键对集合，其中87个键对的得分不小于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，另外3个键对的得分小于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按其定义等于硬冲突键对集合与可评分键对中得分小于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的键对集合之并集：本例硬冲突键对为0个，可评分键对中得分小于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的为3个，故</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规模为3，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为0.90和</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，第二侧可审计面集合为</w:t>
      </w:r>
      <w:r>
        <w:rPr>
          <w:rFonts w:ascii="Calibri" w:hAnsi="Calibri" w:eastAsia="SimSun"/>
          <w:sz w:val="22"/>
        </w:rPr>
        <w:t>b</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。一对一关系ONE_TO_ONE(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)已经通过局部验证和联合互斥选择，且在冻结闭包与关系解同时稳定后物化为当前代次的一对一关系集合成员，并非仅取得局部身份验证通过。对端点</w:t>
      </w:r>
      <w:r>
        <w:rPr>
          <w:rFonts w:ascii="Calibri" w:hAnsi="Calibri" w:eastAsia="SimSun"/>
          <w:sz w:val="22"/>
        </w:rPr>
        <w:t>a</w:t>
      </w:r>
      <w:r>
        <w:rPr>
          <w:rFonts w:ascii="Calibri" w:hAnsi="Calibri" w:eastAsia="SimSun"/>
          <w:sz w:val="22"/>
          <w:vertAlign w:val="subscript"/>
        </w:rPr>
        <w:t>2</w:t>
      </w:r>
      <w:r>
        <w:rPr>
          <w:rFonts w:ascii="Calibri" w:hAnsi="Calibri" w:eastAsia="SimSun"/>
          <w:sz w:val="22"/>
        </w:rPr>
        <w:t>存在分数和绝对裕量均无法区分的候选ONE_TO_ONE(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)，对应局部B-rep读取尚未补足。该候选并列保持为活动待补数据状态时，两侧阻断范围非空，不签发闭包通过标志；任何把</w:t>
      </w:r>
      <w:r>
        <w:rPr>
          <w:rFonts w:ascii="Calibri" w:hAnsi="Calibri" w:eastAsia="SimSun"/>
          <w:sz w:val="22"/>
        </w:rPr>
        <w:t>a</w:t>
      </w:r>
      <w:r>
        <w:rPr>
          <w:rFonts w:ascii="Calibri" w:hAnsi="Calibri" w:eastAsia="SimSun"/>
          <w:sz w:val="22"/>
          <w:vertAlign w:val="subscript"/>
        </w:rPr>
        <w:t>2</w:t>
      </w:r>
      <w:r>
        <w:rPr>
          <w:rFonts w:ascii="Calibri" w:hAnsi="Calibri" w:eastAsia="SimSun"/>
          <w:sz w:val="22"/>
        </w:rPr>
        <w:t>记为删除或把</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两个不相交部分构成、第二侧由</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及</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两个不相交部分构成；</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；随后根据冻结证据超图的完整连通分量物化冻结型待复核事件，再次复核事件端点唯一归属、证据作用域和非空当前代次键。只有这些复核全部通过，才将闭包通过标志、</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及其待复核事件失效，再在新代次从候选、冻结闭包和联合选择开始重算。假设新证据唯一确认ONE_TO_ONE(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)，并为</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的全部合理候选签发同代次端点级失败凭证COMPLETE_FAIL_B，则新结果为一对一关系集合含ONE_TO_ONE(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)，两侧冻结集合为空，删除集合为空，新增集合含</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。复算得到第一侧2个一对一合计2，第二侧2个一对一加1个新增合计3；其余断言和代次有效性通过后，形成新的候选闭包通过标志与闭包快照标识</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，物化对应事件并复核端点归属和代次键，最后才将三者作为同一结果批次原子发布。旧冻结事件不得与</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，第一侧仍为1个关系端点加1个冻结端点合计2，第二侧仍为1个关系端点加2个冻结端点合计3。其余断言和代次有效性通过后，仍形成新的候选闭包通过标志与替代</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的候选快照，再物化一个完整冻结超图分量对应的待复核事件；复核通过后才作为同一结果批次原子发布。不沿用旧快照，也不将这三个端点转报新增或删除。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所覆盖的独立软证据组数量小于二的键对、或者缺失任一预先声明必需组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一结果批次原子发布；此时指纹未覆盖的变化维度将被漏报，且未经闭包的结论会被提前发布。任一复用条件不成立时的正确处置是降级而不是拒绝，即不免去该实体对的局部几何读取和验证，而是对该实体对实际读取并验证</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中当前可读取的维度；读取或计算版本指纹本身超出局部读取量上限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同样不免去该读取和验证，并按预算溢出的统一处置将受影响端点的完整冲突闭包转入冻结集合而不降低判定标准。步骤五的双侧完备不交分区不变量检查、步骤六的闭包通过后分类和步骤七的同一结果批次原子发布始终对全部可审计实体执行，不因免去条件成立与否而缩小范围。此处另有一条不得混淆的边界：某实体对满足免去条件只表示本次不必重复读取其局部几何，不表示该实体保持不变；某实体对不满足免去条件也只表示本次必须实际读取和验证，不表示该实体发生了变化。举例而言，若某实体对的指纹函数版本已升级而内容并未改变，则其不满足免去条件，须实际读取并验证，验证结果仍可能是保持不变；反之若某实体对指纹相同但其所在关系闭包尚未成立，则不得据指纹相同免去读取，也不得据此输出保持不变。</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|，第二CAD模型侧的命名异常端点集合规模为|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|，自第一侧指向第二侧的单端点候选边上限为</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，自第二侧指向第一侧的单端点候选边上限为</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。步骤三所生成的稀疏候选边集合C的规模不超过下述两个值中的较小者：其一为两侧命名异常端点数量之积，即|</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|的乘积；其二为|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的乘积同|</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的乘积之和。该上界可记为 |C| ≤ min(|</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 xml:space="preserve">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两侧实际触发局部验证读取的去重实体数量之和，分母为两侧可审计实体集合规模之和。两侧可审计实体集合规模之和为零时该比值记为不可计算；分母非零而未触发局部读取时可记为零。</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