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623" w:rsidRDefault="00A05470">
      <w:bookmarkStart w:id="0" w:name="_GoBack"/>
      <w:r w:rsidRPr="00A05470">
        <w:rPr>
          <w:rFonts w:cs="Arial"/>
          <w:noProof/>
          <w:rtl/>
        </w:rPr>
        <w:drawing>
          <wp:inline distT="0" distB="0" distL="0" distR="0">
            <wp:extent cx="2028825" cy="823535"/>
            <wp:effectExtent l="0" t="0" r="0" b="0"/>
            <wp:docPr id="1" name="Picture 1" descr="H:\Marketing_PR\Logos\Sar-El Blu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Marketing_PR\Logos\Sar-El Blue 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098" cy="84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90623" w:rsidSect="00476C8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470"/>
    <w:rsid w:val="00476C83"/>
    <w:rsid w:val="00A05470"/>
    <w:rsid w:val="00D9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49E9B4-58E6-4AC0-A790-284FA5C5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705AD825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Secretary Sarel Tours</dc:creator>
  <cp:keywords/>
  <dc:description/>
  <cp:lastModifiedBy>Secretary Sarel Tours</cp:lastModifiedBy>
  <cp:revision>1</cp:revision>
  <dcterms:created xsi:type="dcterms:W3CDTF">2019-05-07T07:34:00Z</dcterms:created>
  <dcterms:modified xsi:type="dcterms:W3CDTF">2019-05-07T07:40:00Z</dcterms:modified>
</cp:coreProperties>
</file>