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0198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31510" cy="601980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29"/>
        <w:gridCol w:w="8451"/>
        <w:gridCol w:w="1050"/>
      </w:tblGrid>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2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5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09"/>
        <w:gridCol w:w="8271"/>
        <w:gridCol w:w="1050"/>
      </w:tblGrid>
      <w:tr>
        <w:trPr>
          <w:trHeight w:val="840" w:hRule="atLeast"/>
        </w:trPr>
        <w:tc>
          <w:tcPr>
            <w:tcW w:w="60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7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0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7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 joined very briefly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 xml:space="preserve">Thursday: </w:t>
            </w:r>
            <w:r>
              <w:rPr>
                <w:b w:val="false"/>
                <w:bCs w:val="false"/>
              </w:rPr>
              <w:t>not recorded</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b w:val="false"/>
                <w:bCs w:val="false"/>
              </w:rPr>
              <w:t xml:space="preserve">Tuesday: </w:t>
            </w:r>
            <w:r>
              <w:rPr>
                <w:b w:val="false"/>
                <w:bCs w:val="false"/>
              </w:rPr>
              <w:t>not recorded</w:t>
            </w:r>
            <w:r>
              <w:rPr>
                <w:b w:val="false"/>
                <w:bCs w:val="false"/>
              </w:rPr>
              <w:br/>
              <w:t xml:space="preserve">Thursday: </w:t>
            </w:r>
            <w:r>
              <w:rPr>
                <w:b w:val="false"/>
                <w:bCs w:val="false"/>
              </w:rPr>
              <w:t>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7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working on the backend and discussing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b w:val="false"/>
                <w:bCs w:val="false"/>
              </w:rPr>
              <w:t>Tuesday: not recorded</w:t>
              <w:br/>
              <w:t xml:space="preserve">Thursday: </w:t>
            </w:r>
            <w:r>
              <w:rPr>
                <w:b w:val="false"/>
                <w:bCs w:val="false"/>
              </w:rPr>
              <w:t>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7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reported</w:t>
            </w:r>
          </w:p>
          <w:p>
            <w:pPr>
              <w:pStyle w:val="Normal"/>
              <w:widowControl w:val="false"/>
              <w:rPr>
                <w:b/>
                <w:bCs/>
              </w:rPr>
            </w:pPr>
            <w:r>
              <w:rPr>
                <w:b w:val="false"/>
                <w:bCs w:val="false"/>
              </w:rPr>
              <w:t>Thursday: read Tailwind documentation,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 xml:space="preserve">Thursday: </w:t>
            </w:r>
            <w:r>
              <w:rPr>
                <w:b w:val="false"/>
                <w:bCs w:val="false"/>
              </w:rPr>
              <w:t>not recorded</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b w:val="false"/>
                <w:bCs w:val="false"/>
              </w:rPr>
              <w:t>Tuesday: not recorded</w:t>
              <w:br/>
              <w:t xml:space="preserve">Thursday: </w:t>
            </w:r>
            <w:r>
              <w:rPr>
                <w:b w:val="false"/>
                <w:bCs w:val="false"/>
              </w:rPr>
              <w:t>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7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 joined for only a few minutes then left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rFonts w:cs="Calibri" w:cstheme="minorHAnsi"/>
                <w:b w:val="false"/>
                <w:bCs w:val="false"/>
                <w:sz w:val="21"/>
                <w:szCs w:val="21"/>
              </w:rPr>
              <w:t>Tuesday: absent</w:t>
              <w:br/>
              <w:t>Thursday: absent</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rFonts w:cs="Calibri" w:cstheme="minorHAnsi"/>
                <w:b w:val="false"/>
                <w:bCs w:val="false"/>
                <w:sz w:val="21"/>
                <w:szCs w:val="21"/>
              </w:rPr>
              <w:t xml:space="preserve">Tuesday: </w:t>
            </w:r>
            <w:r>
              <w:rPr>
                <w:rFonts w:cs="Calibri" w:cstheme="minorHAnsi"/>
                <w:b w:val="false"/>
                <w:bCs w:val="false"/>
                <w:sz w:val="21"/>
                <w:szCs w:val="21"/>
              </w:rPr>
              <w:t>absent</w:t>
            </w:r>
            <w:r>
              <w:rPr>
                <w:rFonts w:cs="Calibri" w:cstheme="minorHAnsi"/>
                <w:b w:val="false"/>
                <w:bCs w:val="false"/>
                <w:sz w:val="21"/>
                <w:szCs w:val="21"/>
              </w:rPr>
              <w:br/>
              <w:t xml:space="preserve">Thursday: </w:t>
            </w:r>
            <w:r>
              <w:rPr>
                <w:rFonts w:cs="Calibri" w:cstheme="minorHAnsi"/>
                <w:b w:val="false"/>
                <w:bCs w:val="false"/>
                <w:sz w:val="21"/>
                <w:szCs w:val="21"/>
              </w:rPr>
              <w:t>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0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7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 xml:space="preserve">Tuesday: did more work on LSEPI, recorded attendance and work, </w:t>
            </w:r>
            <w:r>
              <w:rPr>
                <w:b w:val="false"/>
                <w:bCs w:val="false"/>
              </w:rPr>
              <w:t xml:space="preserve">revised and </w:t>
            </w:r>
            <w:r>
              <w:rPr>
                <w:b w:val="false"/>
                <w:bCs w:val="false"/>
              </w:rPr>
              <w:t>added ERD</w:t>
            </w:r>
          </w:p>
          <w:p>
            <w:pPr>
              <w:pStyle w:val="Normal"/>
              <w:widowControl w:val="false"/>
              <w:rPr>
                <w:b/>
                <w:bCs/>
              </w:rPr>
            </w:pPr>
            <w:r>
              <w:rPr>
                <w:b w:val="false"/>
                <w:bCs w:val="false"/>
              </w:rPr>
              <w:t>Thursday: completed LSEPI, added references, recorded attendance and work, took over from Jed in presenting the update to the tutor since Jed was absent, discussed what to do next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 xml:space="preserve">Tuesday: </w:t>
            </w:r>
            <w:r>
              <w:rPr>
                <w:b w:val="false"/>
                <w:bCs w:val="false"/>
              </w:rPr>
              <w:t>begun work on presentation</w:t>
            </w:r>
            <w:r>
              <w:rPr>
                <w:b w:val="false"/>
                <w:bCs w:val="false"/>
              </w:rPr>
              <w:br/>
              <w:t xml:space="preserve">Thursday: </w:t>
            </w:r>
            <w:r>
              <w:rPr>
                <w:b w:val="false"/>
                <w:bCs w:val="false"/>
              </w:rPr>
              <w:t>continued fleshing out presentation, recorded in this document</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b w:val="false"/>
                <w:bCs w:val="false"/>
              </w:rPr>
              <w:t xml:space="preserve">Tuesday: </w:t>
            </w:r>
            <w:r>
              <w:rPr>
                <w:b w:val="false"/>
                <w:bCs w:val="false"/>
              </w:rPr>
              <w:t>continued on presentation, discussed technical content with Jed &amp; the rest</w:t>
            </w:r>
            <w:r>
              <w:rPr>
                <w:b w:val="false"/>
                <w:bCs w:val="false"/>
              </w:rPr>
              <w:br/>
              <w:t xml:space="preserve">Thursday: </w:t>
            </w:r>
            <w:r>
              <w:rPr>
                <w:b w:val="false"/>
                <w:bCs w:val="false"/>
              </w:rPr>
              <w:t>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0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7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p>
            <w:pPr>
              <w:pStyle w:val="Normal"/>
              <w:widowControl w:val="false"/>
              <w:rPr>
                <w:b/>
                <w:bCs/>
              </w:rPr>
            </w:pPr>
            <w:r>
              <w:rPr>
                <w:b/>
                <w:bCs/>
              </w:rPr>
            </w:r>
          </w:p>
          <w:p>
            <w:pPr>
              <w:pStyle w:val="Normal"/>
              <w:widowControl w:val="false"/>
              <w:rPr>
                <w:b/>
                <w:bCs/>
              </w:rPr>
            </w:pPr>
            <w:r>
              <w:rPr>
                <w:b/>
                <w:bCs/>
              </w:rPr>
              <w:t>Week 5:</w:t>
            </w:r>
          </w:p>
          <w:p>
            <w:pPr>
              <w:pStyle w:val="Normal"/>
              <w:widowControl w:val="false"/>
              <w:rPr>
                <w:b/>
                <w:bCs/>
              </w:rPr>
            </w:pPr>
            <w:r>
              <w:rPr>
                <w:b w:val="false"/>
                <w:bCs w:val="false"/>
              </w:rPr>
              <w:t>Tuesday: not recorded</w:t>
              <w:br/>
              <w:t>Thursday: absent</w:t>
            </w:r>
          </w:p>
          <w:p>
            <w:pPr>
              <w:pStyle w:val="Normal"/>
              <w:widowControl w:val="false"/>
              <w:rPr>
                <w:b/>
                <w:bCs/>
              </w:rPr>
            </w:pPr>
            <w:r>
              <w:rPr>
                <w:b/>
                <w:bCs/>
              </w:rPr>
            </w:r>
          </w:p>
          <w:p>
            <w:pPr>
              <w:pStyle w:val="Normal"/>
              <w:widowControl w:val="false"/>
              <w:rPr>
                <w:b/>
                <w:bCs/>
              </w:rPr>
            </w:pPr>
            <w:r>
              <w:rPr>
                <w:b/>
                <w:bCs/>
              </w:rPr>
              <w:t xml:space="preserve">Week </w:t>
            </w:r>
            <w:r>
              <w:rPr>
                <w:b/>
                <w:bCs/>
              </w:rPr>
              <w:t>6</w:t>
            </w:r>
            <w:r>
              <w:rPr>
                <w:b/>
                <w:bCs/>
              </w:rPr>
              <w:t>:</w:t>
            </w:r>
          </w:p>
          <w:p>
            <w:pPr>
              <w:pStyle w:val="Normal"/>
              <w:widowControl w:val="false"/>
              <w:rPr>
                <w:b/>
                <w:bCs/>
              </w:rPr>
            </w:pPr>
            <w:r>
              <w:rPr>
                <w:b w:val="false"/>
                <w:bCs w:val="false"/>
              </w:rPr>
              <w:t>Tuesday: not recorded</w:t>
              <w:br/>
              <w:t xml:space="preserve">Thursday: </w:t>
            </w:r>
            <w:r>
              <w:rPr>
                <w:b w:val="false"/>
                <w:bCs w:val="false"/>
              </w:rPr>
              <w:t>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Application>LibreOffice/7.5.6.2$Linux_X86_64 LibreOffice_project/50$Build-2</Application>
  <AppVersion>15.0000</AppVersion>
  <Pages>16</Pages>
  <Words>3302</Words>
  <Characters>17038</Characters>
  <CharactersWithSpaces>20039</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2025-04-08T14:22:43Z</dcterms:modified>
  <cp:revision>780</cp:revision>
  <dc:subject/>
  <dc:title/>
</cp:coreProperties>
</file>

<file path=docProps/custom.xml><?xml version="1.0" encoding="utf-8"?>
<Properties xmlns="http://schemas.openxmlformats.org/officeDocument/2006/custom-properties" xmlns:vt="http://schemas.openxmlformats.org/officeDocument/2006/docPropsVTypes"/>
</file>