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198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1980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28"/>
        <w:gridCol w:w="8452"/>
        <w:gridCol w:w="1050"/>
      </w:tblGrid>
      <w:tr>
        <w:trPr>
          <w:trHeight w:val="840" w:hRule="atLeast"/>
        </w:trPr>
        <w:tc>
          <w:tcPr>
            <w:tcW w:w="4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08"/>
        <w:gridCol w:w="8272"/>
        <w:gridCol w:w="1050"/>
      </w:tblGrid>
      <w:tr>
        <w:trPr>
          <w:trHeight w:val="840" w:hRule="atLeast"/>
        </w:trPr>
        <w:tc>
          <w:tcPr>
            <w:tcW w:w="60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0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8"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revised and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begun work on presentation</w:t>
              <w:br/>
              <w:t>Thursday: continued fleshing out presentation, recorded in this document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continued on presentation, discussed technical content with Jed &amp; the rest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08"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Application>LibreOffice/7.5.6.2$Linux_X86_64 LibreOffice_project/50$Build-2</Application>
  <AppVersion>15.0000</AppVersion>
  <Pages>16</Pages>
  <Words>3302</Words>
  <Characters>17039</Characters>
  <CharactersWithSpaces>20040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2025-04-08T14:22:43Z</dcterms:modified>
  <cp:revision>780</cp:revision>
  <dc:subject/>
  <dc:title/>
</cp:coreProperties>
</file>

<file path=docProps/custom.xml><?xml version="1.0" encoding="utf-8"?>
<Properties xmlns="http://schemas.openxmlformats.org/officeDocument/2006/custom-properties" xmlns:vt="http://schemas.openxmlformats.org/officeDocument/2006/docPropsVTypes"/>
</file>