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account can access controls dashboard</w:t>
            </w:r>
          </w:p>
          <w:p>
            <w:pPr>
              <w:pStyle w:val="TableContents"/>
              <w:widowControl w:val="false"/>
              <w:numPr>
                <w:ilvl w:val="0"/>
                <w:numId w:val="2"/>
              </w:numPr>
              <w:rPr/>
            </w:pPr>
            <w:r>
              <w:rPr/>
              <w:t>Verify non-administrator cannot access controls dashboard</w:t>
            </w:r>
          </w:p>
          <w:p>
            <w:pPr>
              <w:pStyle w:val="TableContents"/>
              <w:widowControl w:val="false"/>
              <w:numPr>
                <w:ilvl w:val="0"/>
                <w:numId w:val="2"/>
              </w:numPr>
              <w:rPr/>
            </w:pPr>
            <w:r>
              <w:rPr/>
              <w:t>Verify administrator can add a user</w:t>
            </w:r>
          </w:p>
          <w:p>
            <w:pPr>
              <w:pStyle w:val="TableContents"/>
              <w:widowControl w:val="false"/>
              <w:numPr>
                <w:ilvl w:val="0"/>
                <w:numId w:val="2"/>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administrator can view energy usage for the entire system</w:t>
            </w:r>
          </w:p>
          <w:p>
            <w:pPr>
              <w:pStyle w:val="TableContents"/>
              <w:widowControl w:val="false"/>
              <w:numPr>
                <w:ilvl w:val="0"/>
                <w:numId w:val="3"/>
              </w:numPr>
              <w:rPr/>
            </w:pPr>
            <w:r>
              <w:rPr/>
              <w:t>Verify administrator can access analytics for the entire system</w:t>
            </w:r>
          </w:p>
          <w:p>
            <w:pPr>
              <w:pStyle w:val="TableContents"/>
              <w:widowControl w:val="false"/>
              <w:numPr>
                <w:ilvl w:val="0"/>
                <w:numId w:val="3"/>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view energy usage for own network</w:t>
            </w:r>
          </w:p>
          <w:p>
            <w:pPr>
              <w:pStyle w:val="TableContents"/>
              <w:widowControl w:val="false"/>
              <w:numPr>
                <w:ilvl w:val="0"/>
                <w:numId w:val="3"/>
              </w:numPr>
              <w:rPr/>
            </w:pPr>
            <w:r>
              <w:rPr/>
              <w:t>Verify network manager can access analytics for own network</w:t>
            </w:r>
          </w:p>
          <w:p>
            <w:pPr>
              <w:pStyle w:val="TableContents"/>
              <w:widowControl w:val="false"/>
              <w:numPr>
                <w:ilvl w:val="0"/>
                <w:numId w:val="3"/>
              </w:numPr>
              <w:rPr/>
            </w:pPr>
            <w:r>
              <w:rPr/>
              <w:t>Verify network manager can generate reports for own network</w:t>
            </w:r>
          </w:p>
          <w:p>
            <w:pPr>
              <w:pStyle w:val="TableContents"/>
              <w:widowControl w:val="false"/>
              <w:numPr>
                <w:ilvl w:val="0"/>
                <w:numId w:val="3"/>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layer multiple energy consumption graphs</w:t>
            </w:r>
          </w:p>
          <w:p>
            <w:pPr>
              <w:pStyle w:val="TableContents"/>
              <w:widowControl w:val="false"/>
              <w:numPr>
                <w:ilvl w:val="0"/>
                <w:numId w:val="4"/>
              </w:numPr>
              <w:rPr/>
            </w:pPr>
            <w:r>
              <w:rPr/>
              <w:t>Verify reports can include layered graphs</w:t>
            </w:r>
          </w:p>
          <w:p>
            <w:pPr>
              <w:pStyle w:val="TableContents"/>
              <w:widowControl w:val="false"/>
              <w:numPr>
                <w:ilvl w:val="0"/>
                <w:numId w:val="4"/>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councillor can view energy usage for own network</w:t>
            </w:r>
          </w:p>
          <w:p>
            <w:pPr>
              <w:pStyle w:val="TableContents"/>
              <w:widowControl w:val="false"/>
              <w:numPr>
                <w:ilvl w:val="0"/>
                <w:numId w:val="3"/>
              </w:numPr>
              <w:rPr/>
            </w:pPr>
            <w:r>
              <w:rPr/>
              <w:t>Verify concillor can access analytics for own network</w:t>
            </w:r>
          </w:p>
          <w:p>
            <w:pPr>
              <w:pStyle w:val="TableContents"/>
              <w:widowControl w:val="false"/>
              <w:numPr>
                <w:ilvl w:val="0"/>
                <w:numId w:val="3"/>
              </w:numPr>
              <w:rPr/>
            </w:pPr>
            <w:r>
              <w:rPr/>
              <w:t>Verify councillor can generate reports for own network</w:t>
            </w:r>
          </w:p>
          <w:p>
            <w:pPr>
              <w:pStyle w:val="TableContents"/>
              <w:widowControl w:val="false"/>
              <w:numPr>
                <w:ilvl w:val="0"/>
                <w:numId w:val="3"/>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user is presented with interactive dashboard</w:t>
            </w:r>
          </w:p>
          <w:p>
            <w:pPr>
              <w:pStyle w:val="TableContents"/>
              <w:widowControl w:val="false"/>
              <w:numPr>
                <w:ilvl w:val="0"/>
                <w:numId w:val="4"/>
              </w:numPr>
              <w:rPr/>
            </w:pPr>
            <w:r>
              <w:rPr/>
              <w:t>Verify dashboard links to analytics</w:t>
            </w:r>
          </w:p>
          <w:p>
            <w:pPr>
              <w:pStyle w:val="TableContents"/>
              <w:widowControl w:val="false"/>
              <w:numPr>
                <w:ilvl w:val="0"/>
                <w:numId w:val="4"/>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6"/>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62230</wp:posOffset>
            </wp:positionH>
            <wp:positionV relativeFrom="paragraph">
              <wp:posOffset>41910</wp:posOffset>
            </wp:positionV>
            <wp:extent cx="4371340" cy="6082030"/>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71340" cy="608203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 xml:space="preserve">One </w:t>
      </w:r>
      <w:r>
        <w:rPr>
          <w:rFonts w:cs="Calibri" w:cstheme="minorHAnsi"/>
        </w:rPr>
        <w:t xml:space="preserve">relevant </w:t>
      </w:r>
      <w:r>
        <w:rPr>
          <w:rFonts w:cs="Calibri" w:cstheme="minorHAnsi"/>
        </w:rPr>
        <w:t xml:space="preserve">issue is </w:t>
      </w:r>
      <w:r>
        <w:rPr>
          <w:rFonts w:cs="Calibri" w:cstheme="minorHAnsi"/>
        </w:rPr>
        <w:t>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
    </w:p>
    <w:p>
      <w:pPr>
        <w:pStyle w:val="Normal"/>
        <w:rPr>
          <w:rFonts w:cs="Calibri" w:cstheme="minorHAnsi"/>
        </w:rPr>
      </w:pPr>
      <w:r>
        <w:rPr>
          <w:rFonts w:cs="Calibri" w:cstheme="minorHAnsi"/>
        </w:rPr>
        <w:t xml:space="preserve">Another issue is </w:t>
      </w:r>
      <w:r>
        <w:rPr>
          <w:rFonts w:cs="Calibri" w:cstheme="minorHAnsi"/>
        </w:rPr>
        <w:t>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A </w:t>
      </w:r>
      <w:r>
        <w:rPr>
          <w:rFonts w:cs="Calibri" w:cstheme="minorHAnsi"/>
        </w:rPr>
        <w:t>third</w:t>
      </w:r>
      <w:r>
        <w:rPr>
          <w:rFonts w:cs="Calibri" w:cstheme="minorHAnsi"/>
        </w:rPr>
        <w:t xml:space="preserve"> issue is </w:t>
      </w:r>
      <w:r>
        <w:rPr>
          <w:rFonts w:cs="Calibri" w:cstheme="minorHAnsi"/>
        </w:rPr>
        <w:t xml:space="preserve">accessibility (ethical). </w:t>
      </w:r>
      <w:r>
        <w:rPr>
          <w:rFonts w:cs="Calibri" w:cstheme="minorHAnsi"/>
        </w:rPr>
        <w:t xml:space="preserve">This is </w:t>
      </w:r>
      <w:r>
        <w:rPr>
          <w:rFonts w:cs="Calibri" w:cstheme="minorHAnsi"/>
        </w:rPr>
        <w:t>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ascii="Calibri" w:hAnsi="Calibri" w:cstheme="majorHAnsi"/>
        </w:rPr>
        <w:t xml:space="preserve">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ascii="Calibri" w:hAnsi="Calibri" w:cstheme="majorHAnsi"/>
        </w:rPr>
        <w:t>(</w:t>
      </w:r>
      <w:r>
        <w:rPr>
          <w:rFonts w:cs="Calibri Light" w:ascii="Calibri" w:hAnsi="Calibri" w:cstheme="majorHAnsi"/>
          <w:i w:val="false"/>
          <w:iCs w:val="false"/>
        </w:rPr>
        <w:t>GOV.UK</w:t>
      </w:r>
      <w:r>
        <w:rPr>
          <w:rFonts w:cs="Calibri Light" w:ascii="Calibri" w:hAnsi="Calibri" w:cstheme="majorHAnsi"/>
        </w:rPr>
        <w:t>, 2017)</w:t>
      </w:r>
      <w:r>
        <w:rPr>
          <w:rFonts w:cs="Calibri Light" w:ascii="Calibri" w:hAnsi="Calibri" w:cstheme="majorHAnsi"/>
        </w:rPr>
        <w:t>.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Fonts w:ascii="Calibri" w:hAnsi="Calibri"/>
        </w:rPr>
      </w:r>
    </w:p>
    <w:p>
      <w:pPr>
        <w:pStyle w:val="Normal"/>
        <w:rPr>
          <w:rFonts w:ascii="Calibri" w:hAnsi="Calibri"/>
        </w:rPr>
      </w:pPr>
      <w:r>
        <w:rPr>
          <w:rFonts w:cs="Calibri Light" w:ascii="Calibri" w:hAnsi="Calibri" w:cstheme="majorHAnsi"/>
        </w:rPr>
        <w:t xml:space="preserve">Data protection is another important legal issue, as well as professional. For example, similarly to copyright law, there are strict GDPR laws which bear high penalties; in this case, of up to £17.5 million fines or 4% of the </w:t>
      </w:r>
      <w:r>
        <w:rPr>
          <w:rFonts w:cs="Calibri Light" w:ascii="Calibri" w:hAnsi="Calibri" w:cstheme="majorHAnsi"/>
        </w:rPr>
        <w:t>total annual worldwide turnover in the preceding financial year</w:t>
      </w:r>
      <w:r>
        <w:rPr>
          <w:rFonts w:cs="Calibri Light" w:ascii="Calibri" w:hAnsi="Calibri" w:cstheme="majorHAnsi"/>
        </w:rPr>
        <w:t xml:space="preserve">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Fonts w:ascii="Calibri" w:hAnsi="Calibri"/>
        </w:rPr>
      </w:r>
    </w:p>
    <w:p>
      <w:pPr>
        <w:pStyle w:val="Normal"/>
        <w:rPr>
          <w:rFonts w:ascii="Calibri" w:hAnsi="Calibri"/>
        </w:rPr>
      </w:pPr>
      <w:r>
        <w:rPr>
          <w:rFonts w:cs="Calibri Light" w:ascii="Calibri" w:hAnsi="Calibri"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rFonts w:ascii="Calibri" w:hAnsi="Calibri"/>
          <w:b w:val="false"/>
          <w:bCs w:val="false"/>
          <w:i w:val="false"/>
          <w:iCs w:val="false"/>
          <w:sz w:val="22"/>
          <w:szCs w:val="22"/>
        </w:rPr>
        <w:t>GOV.UK</w:t>
      </w:r>
      <w:r>
        <w:rPr>
          <w:rFonts w:ascii="Calibri" w:hAnsi="Calibri"/>
          <w:b w:val="false"/>
          <w:bCs w:val="false"/>
          <w:sz w:val="22"/>
          <w:szCs w:val="22"/>
        </w:rPr>
        <w:t xml:space="preserve"> (2017). </w:t>
      </w:r>
      <w:r>
        <w:rPr>
          <w:rFonts w:ascii="Calibri" w:hAnsi="Calibri"/>
          <w:b w:val="false"/>
          <w:bCs w:val="false"/>
          <w:i/>
          <w:iCs/>
          <w:sz w:val="22"/>
          <w:szCs w:val="22"/>
        </w:rPr>
        <w:t>Intellectual property offences</w:t>
      </w:r>
      <w:r>
        <w:rPr>
          <w:rFonts w:ascii="Calibri" w:hAnsi="Calibri"/>
          <w:b w:val="false"/>
          <w:bCs w:val="false"/>
          <w:i w:val="false"/>
          <w:iCs w:val="false"/>
          <w:sz w:val="22"/>
          <w:szCs w:val="22"/>
        </w:rPr>
        <w:t>.</w:t>
      </w:r>
      <w:r>
        <w:rPr>
          <w:rFonts w:ascii="Calibri" w:hAnsi="Calibri"/>
          <w:b w:val="false"/>
          <w:bCs w:val="false"/>
          <w:sz w:val="22"/>
          <w:szCs w:val="22"/>
        </w:rPr>
        <w:t xml:space="preserve"> Retrieved March 27, 2025, from https://www.gov.uk/government/publications/intellectual-property-offences/intellectual-property-offence</w:t>
      </w:r>
      <w:r>
        <w:rPr>
          <w:rFonts w:ascii="Calibri" w:hAnsi="Calibri"/>
          <w:b w:val="false"/>
          <w:bCs w:val="false"/>
          <w:sz w:val="22"/>
          <w:szCs w:val="22"/>
        </w:rPr>
        <w:t>s</w:t>
      </w:r>
    </w:p>
    <w:p>
      <w:pPr>
        <w:pStyle w:val="TextBody"/>
        <w:spacing w:before="280" w:after="280"/>
        <w:rPr>
          <w:rFonts w:ascii="Calibri" w:hAnsi="Calibri" w:cs="Arial" w:cstheme="minorBidi"/>
          <w:sz w:val="22"/>
          <w:szCs w:val="22"/>
        </w:rPr>
      </w:pPr>
      <w:r>
        <w:rPr>
          <w:rFonts w:cs="Arial" w:cstheme="minorBidi" w:ascii="Calibri" w:hAnsi="Calibri"/>
          <w:i w:val="false"/>
          <w:iCs w:val="false"/>
          <w:sz w:val="22"/>
          <w:szCs w:val="22"/>
        </w:rPr>
        <w:t xml:space="preserve">Brehm, E. K. (2012). </w:t>
      </w:r>
      <w:r>
        <w:rPr>
          <w:rFonts w:cs="Arial" w:cstheme="minorBidi" w:ascii="Calibri" w:hAnsi="Calibri"/>
          <w:i/>
          <w:iCs/>
          <w:sz w:val="22"/>
          <w:szCs w:val="22"/>
        </w:rPr>
        <w:t>Moral Judgment of Internet Piracy: The Role of Individual Harm and Perceived Justice</w:t>
      </w:r>
      <w:r>
        <w:rPr>
          <w:rFonts w:cs="Arial" w:cstheme="minorBidi" w:ascii="Calibri" w:hAnsi="Calibri"/>
          <w:i w:val="false"/>
          <w:iCs w:val="false"/>
          <w:sz w:val="22"/>
          <w:szCs w:val="22"/>
        </w:rPr>
        <w:t>.</w:t>
      </w:r>
    </w:p>
    <w:p>
      <w:pPr>
        <w:pStyle w:val="TextBody"/>
        <w:spacing w:before="280" w:after="280"/>
        <w:rPr>
          <w:rFonts w:ascii="Calibri" w:hAnsi="Calibri" w:cs="Arial" w:cstheme="minorBidi"/>
          <w:sz w:val="22"/>
          <w:szCs w:val="22"/>
        </w:rPr>
      </w:pPr>
      <w:r>
        <w:rPr>
          <w:rFonts w:cs="Arial" w:cstheme="minorBidi" w:ascii="Calibri" w:hAnsi="Calibri"/>
          <w:sz w:val="22"/>
          <w:szCs w:val="22"/>
        </w:rPr>
        <w:t xml:space="preserve">ICO (n.d.). </w:t>
      </w:r>
      <w:r>
        <w:rPr>
          <w:rFonts w:cs="Arial" w:cstheme="minorBidi" w:ascii="Calibri" w:hAnsi="Calibri"/>
          <w:i/>
          <w:iCs/>
          <w:sz w:val="22"/>
          <w:szCs w:val="22"/>
        </w:rPr>
        <w:t>Penalties</w:t>
      </w:r>
      <w:r>
        <w:rPr>
          <w:rFonts w:cs="Arial" w:cstheme="minorBidi" w:ascii="Calibri" w:hAnsi="Calibr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ascii="Calibri" w:hAnsi="Calibri"/>
          <w:sz w:val="22"/>
          <w:szCs w:val="22"/>
        </w:rPr>
        <w:t xml:space="preserve">Ponemon Institute (2020). </w:t>
      </w:r>
      <w:r>
        <w:rPr>
          <w:rStyle w:val="Emphasis"/>
          <w:rFonts w:cs="Arial" w:cstheme="minorBidi" w:ascii="Calibri" w:hAnsi="Calibri"/>
          <w:sz w:val="22"/>
          <w:szCs w:val="22"/>
        </w:rPr>
        <w:t>Cost of a Data Breach Report 2020</w:t>
      </w:r>
      <w:r>
        <w:rPr>
          <w:rFonts w:cs="Arial" w:cstheme="minorBidi" w:ascii="Calibri" w:hAnsi="Calibr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p>
    <w:p>
      <w:pPr>
        <w:pStyle w:val="TextBody"/>
        <w:spacing w:before="280" w:after="280"/>
        <w:rPr>
          <w:rFonts w:cs="Arial" w:cstheme="minorBidi"/>
        </w:rPr>
      </w:pPr>
      <w:r>
        <w:rPr>
          <w:rFonts w:cs="Arial" w:cstheme="minorBidi"/>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4"/>
        <w:gridCol w:w="8446"/>
        <w:gridCol w:w="1050"/>
      </w:tblGrid>
      <w:tr>
        <w:trPr>
          <w:trHeight w:val="840" w:hRule="atLeast"/>
        </w:trPr>
        <w:tc>
          <w:tcPr>
            <w:tcW w:w="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4"/>
        <w:gridCol w:w="8266"/>
        <w:gridCol w:w="1050"/>
      </w:tblGrid>
      <w:tr>
        <w:trPr>
          <w:trHeight w:val="840" w:hRule="atLeast"/>
        </w:trPr>
        <w:tc>
          <w:tcPr>
            <w:tcW w:w="61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4"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4"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Application>LibreOffice/7.5.6.2$Linux_X86_64 LibreOffice_project/50$Build-2</Application>
  <AppVersion>15.0000</AppVersion>
  <Pages>16</Pages>
  <Words>3167</Words>
  <Characters>16272</Characters>
  <CharactersWithSpaces>19161</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2025-03-27T11:13:10Z</dcterms:modified>
  <cp:revision>766</cp:revision>
  <dc:subject/>
  <dc:title/>
</cp:coreProperties>
</file>

<file path=docProps/custom.xml><?xml version="1.0" encoding="utf-8"?>
<Properties xmlns="http://schemas.openxmlformats.org/officeDocument/2006/custom-properties" xmlns:vt="http://schemas.openxmlformats.org/officeDocument/2006/docPropsVTypes"/>
</file>