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88_3549574717"/>
      <w:bookmarkEnd w:id="10"/>
      <w:r>
        <w:rPr/>
        <w:t>3.2.3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3"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4"/>
        <w:gridCol w:w="8436"/>
        <w:gridCol w:w="1050"/>
      </w:tblGrid>
      <w:tr>
        <w:trPr>
          <w:trHeight w:val="840" w:hRule="atLeast"/>
        </w:trPr>
        <w:tc>
          <w:tcPr>
            <w:tcW w:w="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36"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8"/>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4"/>
        <w:gridCol w:w="8256"/>
        <w:gridCol w:w="1050"/>
      </w:tblGrid>
      <w:tr>
        <w:trPr>
          <w:trHeight w:val="840" w:hRule="atLeast"/>
        </w:trPr>
        <w:tc>
          <w:tcPr>
            <w:tcW w:w="62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5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2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5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 xml:space="preserve">Tuesday: </w:t>
            </w:r>
            <w:r>
              <w:rPr>
                <w:b w:val="false"/>
                <w:bCs w:val="false"/>
              </w:rPr>
              <w:t>continued learning</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5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5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5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still need to check</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4"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5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 added team contract to git repository, modified gitignore, did research to learn certain git commands required to carry out these changes</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24"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5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hu.cloud.panopto.eu/Panopto/Pages/Viewer.aspx?id=b35aedd7-0a14-401c-b664-b26b00ba566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LibreOffice/7.5.6.2$Linux_X86_64 LibreOffice_project/50$Build-2</Application>
  <AppVersion>15.0000</AppVersion>
  <Pages>10</Pages>
  <Words>1922</Words>
  <Characters>9712</Characters>
  <CharactersWithSpaces>11434</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2025-03-11T15:14:41Z</dcterms:modified>
  <cp:revision>700</cp:revision>
  <dc:subject/>
  <dc:title/>
</cp:coreProperties>
</file>

<file path=docProps/custom.xml><?xml version="1.0" encoding="utf-8"?>
<Properties xmlns="http://schemas.openxmlformats.org/officeDocument/2006/custom-properties" xmlns:vt="http://schemas.openxmlformats.org/officeDocument/2006/docPropsVTypes"/>
</file>