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0" w:name="__RefHeading___Toc788_3549574717"/>
      <w:bookmarkEnd w:id="10"/>
      <w:r>
        <w:rPr/>
        <w:t>3.2.4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4"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2"/>
        <w:gridCol w:w="8438"/>
        <w:gridCol w:w="1050"/>
      </w:tblGrid>
      <w:tr>
        <w:trPr>
          <w:trHeight w:val="840" w:hRule="atLeast"/>
        </w:trPr>
        <w:tc>
          <w:tcPr>
            <w:tcW w:w="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4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38"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2"/>
        <w:gridCol w:w="8258"/>
        <w:gridCol w:w="1050"/>
      </w:tblGrid>
      <w:tr>
        <w:trPr>
          <w:trHeight w:val="840" w:hRule="atLeast"/>
        </w:trPr>
        <w:tc>
          <w:tcPr>
            <w:tcW w:w="62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5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continued learning</w:t>
            </w:r>
          </w:p>
          <w:p>
            <w:pPr>
              <w:pStyle w:val="Normal"/>
              <w:widowControl w:val="false"/>
              <w:rPr>
                <w:b w:val="false"/>
                <w:bCs w:val="false"/>
              </w:rPr>
            </w:pPr>
            <w:r>
              <w:rPr>
                <w:b w:val="false"/>
                <w:bCs w:val="false"/>
              </w:rPr>
              <w:t>Thursday: continued learning</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p>
            <w:pPr>
              <w:pStyle w:val="Normal"/>
              <w:widowControl w:val="false"/>
              <w:rPr>
                <w:b w:val="false"/>
                <w:bCs w:val="false"/>
              </w:rPr>
            </w:pPr>
            <w:r>
              <w:rPr>
                <w:b w:val="false"/>
                <w:bCs w:val="false"/>
              </w:rPr>
              <w:t>Thursday: finalised schema for the database with Jed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p>
            <w:pPr>
              <w:pStyle w:val="Normal"/>
              <w:widowControl w:val="false"/>
              <w:rPr>
                <w:b w:val="false"/>
                <w:bCs w:val="false"/>
              </w:rPr>
            </w:pPr>
            <w:r>
              <w:rPr>
                <w:b w:val="false"/>
                <w:bCs w:val="false"/>
              </w:rPr>
              <w:t>Thursday: Started on charts within webapp frontend, but still has to wait for database to be populated for testing in order to continue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completed and presented to group a use case diagram</w:t>
            </w:r>
          </w:p>
          <w:p>
            <w:pPr>
              <w:pStyle w:val="Normal"/>
              <w:widowControl w:val="false"/>
              <w:rPr>
                <w:b w:val="false"/>
                <w:bCs w:val="false"/>
              </w:rPr>
            </w:pPr>
            <w:r>
              <w:rPr>
                <w:rFonts w:cs="Calibri" w:cstheme="minorHAnsi"/>
                <w:b w:val="false"/>
                <w:bCs w:val="false"/>
                <w:sz w:val="21"/>
                <w:szCs w:val="21"/>
              </w:rPr>
              <w:t>Thursday: not recorded</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22"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58"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p>
            <w:pPr>
              <w:pStyle w:val="Normal"/>
              <w:widowControl w:val="false"/>
              <w:rPr>
                <w:b w:val="false"/>
                <w:bCs w:val="false"/>
              </w:rPr>
            </w:pPr>
            <w:r>
              <w:rPr>
                <w:b w:val="false"/>
                <w:bCs w:val="false"/>
              </w:rPr>
              <w:t>Thursday: refactored ERD produced by Abdulahi, presented it to the group for approval, recorded work done in this document, added use case diagrams to git repository, added use case diagram to this document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22"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58"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b w:val="false"/>
                <w:bCs w:val="false"/>
              </w:rPr>
            </w:pPr>
            <w:r>
              <w:rPr>
                <w:b w:val="false"/>
                <w:bCs w:val="false"/>
              </w:rPr>
              <w:t>Thursday: worked more on frontend, finalised database schema with Bolu</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shu.cloud.panopto.eu/Panopto/Pages/Viewer.aspx?id=b35aedd7-0a14-401c-b664-b26b00ba566b"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Application>LibreOffice/7.5.6.2$Linux_X86_64 LibreOffice_project/50$Build-2</Application>
  <AppVersion>15.0000</AppVersion>
  <Pages>11</Pages>
  <Words>2015</Words>
  <Characters>10219</Characters>
  <CharactersWithSpaces>12027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2025-03-13T14:37:58Z</dcterms:modified>
  <cp:revision>711</cp:revision>
  <dc:subject/>
  <dc:title/>
</cp:coreProperties>
</file>

<file path=docProps/custom.xml><?xml version="1.0" encoding="utf-8"?>
<Properties xmlns="http://schemas.openxmlformats.org/officeDocument/2006/custom-properties" xmlns:vt="http://schemas.openxmlformats.org/officeDocument/2006/docPropsVTypes"/>
</file>