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01980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31510" cy="6019800"/>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relevant issue is 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accessibility (ethical). This is 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cstheme="majorHAnsi"/>
        </w:rPr>
        <w:t>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cstheme="majorHAnsi"/>
          <w:i w:val="false"/>
          <w:iCs w:val="false"/>
        </w:rPr>
        <w:t>GOV.UK</w:t>
      </w:r>
      <w:r>
        <w:rPr>
          <w:rFonts w:cs="Calibri Light" w:cstheme="majorHAnsi"/>
        </w:rPr>
        <w:t>, 2017).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
    </w:p>
    <w:p>
      <w:pPr>
        <w:pStyle w:val="Normal"/>
        <w:rPr>
          <w:rFonts w:ascii="Calibri" w:hAnsi="Calibri"/>
        </w:rPr>
      </w:pPr>
      <w:r>
        <w:rPr>
          <w:rFonts w:cs="Calibri Light" w:cstheme="majorHAnsi"/>
        </w:rPr>
        <w:t>Data protection is another important legal issue, as well as professional. For example, similarly to copyright law, there are strict GDPR laws which bear high penalties; in this case, of up to £17.5 million fines or 4% of the total annual worldwide turnover in the preceding financial year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
    </w:p>
    <w:p>
      <w:pPr>
        <w:pStyle w:val="Normal"/>
        <w:rPr>
          <w:rFonts w:ascii="Calibri" w:hAnsi="Calibri"/>
        </w:rPr>
      </w:pPr>
      <w:r>
        <w:rPr>
          <w:rFonts w:cs="Calibri Light"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b w:val="false"/>
          <w:bCs w:val="false"/>
          <w:i w:val="false"/>
          <w:iCs w:val="false"/>
          <w:sz w:val="22"/>
          <w:szCs w:val="22"/>
        </w:rPr>
        <w:t>GOV.UK</w:t>
      </w:r>
      <w:r>
        <w:rPr>
          <w:b w:val="false"/>
          <w:bCs w:val="false"/>
          <w:sz w:val="22"/>
          <w:szCs w:val="22"/>
        </w:rPr>
        <w:t xml:space="preserve"> (2017). </w:t>
      </w:r>
      <w:r>
        <w:rPr>
          <w:b w:val="false"/>
          <w:bCs w:val="false"/>
          <w:i/>
          <w:iCs/>
          <w:sz w:val="22"/>
          <w:szCs w:val="22"/>
        </w:rPr>
        <w:t>Intellectual property offences</w:t>
      </w:r>
      <w:r>
        <w:rPr>
          <w:b w:val="false"/>
          <w:bCs w:val="false"/>
          <w:i w:val="false"/>
          <w:iCs w:val="false"/>
          <w:sz w:val="22"/>
          <w:szCs w:val="22"/>
        </w:rPr>
        <w:t>.</w:t>
      </w:r>
      <w:r>
        <w:rPr>
          <w:b w:val="false"/>
          <w:bCs w:val="false"/>
          <w:sz w:val="22"/>
          <w:szCs w:val="22"/>
        </w:rPr>
        <w:t xml:space="preserve"> Retrieved March 27, 2025, from https://www.gov.uk/government/publications/intellectual-property-offences/intellectual-property-offences</w:t>
      </w:r>
    </w:p>
    <w:p>
      <w:pPr>
        <w:pStyle w:val="TextBody"/>
        <w:spacing w:before="280" w:after="280"/>
        <w:rPr>
          <w:rFonts w:ascii="Calibri" w:hAnsi="Calibri" w:cs="Arial" w:cstheme="minorBidi"/>
          <w:sz w:val="22"/>
          <w:szCs w:val="22"/>
        </w:rPr>
      </w:pPr>
      <w:r>
        <w:rPr>
          <w:rFonts w:cs="Arial" w:cstheme="minorBidi"/>
          <w:i w:val="false"/>
          <w:iCs w:val="false"/>
          <w:sz w:val="22"/>
          <w:szCs w:val="22"/>
        </w:rPr>
        <w:t xml:space="preserve">Brehm, E. K. (2012). </w:t>
      </w:r>
      <w:r>
        <w:rPr>
          <w:rFonts w:cs="Arial" w:cstheme="minorBidi"/>
          <w:i/>
          <w:iCs/>
          <w:sz w:val="22"/>
          <w:szCs w:val="22"/>
        </w:rPr>
        <w:t>Moral Judgment of Internet Piracy: The Role of Individual Harm and Perceived Justice</w:t>
      </w:r>
      <w:r>
        <w:rPr>
          <w:rFonts w:cs="Arial" w:cstheme="minorBidi"/>
          <w:i w:val="false"/>
          <w:iCs w:val="false"/>
          <w:sz w:val="22"/>
          <w:szCs w:val="22"/>
        </w:rPr>
        <w:t>.</w:t>
      </w:r>
    </w:p>
    <w:p>
      <w:pPr>
        <w:pStyle w:val="TextBody"/>
        <w:spacing w:before="280" w:after="280"/>
        <w:rPr>
          <w:rFonts w:ascii="Calibri" w:hAnsi="Calibri" w:cs="Arial" w:cstheme="minorBidi"/>
          <w:sz w:val="22"/>
          <w:szCs w:val="22"/>
        </w:rPr>
      </w:pPr>
      <w:r>
        <w:rPr>
          <w:rFonts w:cs="Arial" w:cstheme="minorBidi"/>
          <w:sz w:val="22"/>
          <w:szCs w:val="22"/>
        </w:rPr>
        <w:t xml:space="preserve">ICO (n.d.). </w:t>
      </w:r>
      <w:r>
        <w:rPr>
          <w:rFonts w:cs="Arial" w:cstheme="minorBidi"/>
          <w:i/>
          <w:iCs/>
          <w:sz w:val="22"/>
          <w:szCs w:val="22"/>
        </w:rPr>
        <w:t>Penalties</w:t>
      </w:r>
      <w:r>
        <w:rPr>
          <w:rFonts w:cs="Arial" w:cstheme="minorBid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sz w:val="22"/>
          <w:szCs w:val="22"/>
        </w:rPr>
        <w:t xml:space="preserve">Ponemon Institute (2020). </w:t>
      </w:r>
      <w:r>
        <w:rPr>
          <w:rStyle w:val="Emphasis"/>
          <w:rFonts w:cs="Arial" w:cstheme="minorBidi"/>
          <w:sz w:val="22"/>
          <w:szCs w:val="22"/>
        </w:rPr>
        <w:t>Cost of a Data Breach Report 2020</w:t>
      </w:r>
      <w:r>
        <w:rPr>
          <w:rFonts w:cs="Arial" w:cstheme="minorBid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27"/>
        <w:gridCol w:w="8453"/>
        <w:gridCol w:w="1050"/>
      </w:tblGrid>
      <w:tr>
        <w:trPr>
          <w:trHeight w:val="840" w:hRule="atLeast"/>
        </w:trPr>
        <w:tc>
          <w:tcPr>
            <w:tcW w:w="4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7"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5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07"/>
        <w:gridCol w:w="8273"/>
        <w:gridCol w:w="1050"/>
      </w:tblGrid>
      <w:tr>
        <w:trPr>
          <w:trHeight w:val="840" w:hRule="atLeast"/>
        </w:trPr>
        <w:tc>
          <w:tcPr>
            <w:tcW w:w="60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7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0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7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 joined very briefly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7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working on the backend and discussing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7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reported</w:t>
            </w:r>
          </w:p>
          <w:p>
            <w:pPr>
              <w:pStyle w:val="Normal"/>
              <w:widowControl w:val="false"/>
              <w:rPr>
                <w:b/>
                <w:bCs/>
              </w:rPr>
            </w:pPr>
            <w:r>
              <w:rPr>
                <w:b w:val="false"/>
                <w:bCs w:val="false"/>
              </w:rPr>
              <w:t>Thursday: read Tailwind documentation,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not recorded</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not recorded</w:t>
              <w:b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7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 joined for only a few minutes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rFonts w:cs="Calibri" w:cstheme="minorHAnsi"/>
                <w:b w:val="false"/>
                <w:bCs w:val="false"/>
                <w:sz w:val="21"/>
                <w:szCs w:val="21"/>
              </w:rPr>
              <w:t>Tuesday: absent</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rFonts w:cs="Calibri" w:cstheme="minorHAnsi"/>
                <w:b w:val="false"/>
                <w:bCs w:val="false"/>
                <w:sz w:val="21"/>
                <w:szCs w:val="21"/>
              </w:rPr>
              <w:t>Tuesday: absent</w:t>
              <w:b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7"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7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did more work on LSEPI, recorded attendance and work, revised and added ERD</w:t>
            </w:r>
          </w:p>
          <w:p>
            <w:pPr>
              <w:pStyle w:val="Normal"/>
              <w:widowControl w:val="false"/>
              <w:rPr>
                <w:b/>
                <w:bCs/>
              </w:rPr>
            </w:pPr>
            <w:r>
              <w:rPr>
                <w:b w:val="false"/>
                <w:bCs w:val="false"/>
              </w:rPr>
              <w:t>Thursday: completed LSEPI, added references, recorded attendance and work, took over from Jed in presenting the update to the tutor since Jed was absent,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begun work on presentation</w:t>
              <w:br/>
              <w:t>Thursday: continued fleshing out presentation, recorded in this document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Tuesday: continued on presentation, discussed technical content with Jed &amp; the rest</w:t>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07"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7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Week 6:</w:t>
            </w:r>
          </w:p>
          <w:p>
            <w:pPr>
              <w:pStyle w:val="Normal"/>
              <w:widowControl w:val="false"/>
              <w:rPr>
                <w:b/>
                <w:bCs/>
              </w:rPr>
            </w:pPr>
            <w:r>
              <w:rPr>
                <w:b w:val="false"/>
                <w:bCs w:val="false"/>
              </w:rPr>
              <w:t xml:space="preserve">Tuesday: </w:t>
            </w:r>
            <w:r>
              <w:rPr>
                <w:b w:val="false"/>
                <w:bCs w:val="false"/>
              </w:rPr>
              <w:t>worked on the presentation, volunteered to present the presentation and record it</w:t>
            </w:r>
            <w:r>
              <w:rPr>
                <w:b w:val="false"/>
                <w:bCs w:val="false"/>
              </w:rPr>
              <w:br/>
              <w:t>Thursday: 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Application>LibreOffice/7.5.6.2$Linux_X86_64 LibreOffice_project/50$Build-2</Application>
  <AppVersion>15.0000</AppVersion>
  <Pages>16</Pages>
  <Words>3301</Words>
  <Characters>17029</Characters>
  <CharactersWithSpaces>20029</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2025-04-08T15:31:12Z</dcterms:modified>
  <cp:revision>781</cp:revision>
  <dc:subject/>
  <dc:title/>
</cp:coreProperties>
</file>

<file path=docProps/custom.xml><?xml version="1.0" encoding="utf-8"?>
<Properties xmlns="http://schemas.openxmlformats.org/officeDocument/2006/custom-properties" xmlns:vt="http://schemas.openxmlformats.org/officeDocument/2006/docPropsVTypes"/>
</file>