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Droid Sans Mono" w:cs="Droid Sans Mono" w:eastAsia="Droid Sans Mono" w:hAnsi="Droid Sans Mono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40"/>
          <w:szCs w:val="40"/>
          <w:shd w:fill="auto" w:val="clear"/>
          <w:vertAlign w:val="baseline"/>
          <w:rtl w:val="0"/>
        </w:rPr>
        <w:t xml:space="preserve">La symétrie t'emportera au premier endroit: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Droid Sans Mono" w:cs="Droid Sans Mono" w:eastAsia="Droid Sans Mono" w:hAnsi="Droid Sans Mon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26405" cy="603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60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Droid Sans Mono" w:cs="Droid Sans Mono" w:eastAsia="Droid Sans Mono" w:hAnsi="Droid Sans Mono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00"/>
          <w:sz w:val="40"/>
          <w:szCs w:val="40"/>
          <w:shd w:fill="auto" w:val="clear"/>
          <w:vertAlign w:val="baseline"/>
          <w:rtl w:val="0"/>
        </w:rPr>
        <w:t xml:space="preserve">Là où l</w:t>
      </w:r>
      <w:r w:rsidDel="00000000" w:rsidR="00000000" w:rsidRPr="00000000">
        <w:rPr>
          <w:rFonts w:ascii="Droid Sans Mono" w:cs="Droid Sans Mono" w:eastAsia="Droid Sans Mono" w:hAnsi="Droid Sans Mono"/>
          <w:sz w:val="40"/>
          <w:szCs w:val="40"/>
          <w:rtl w:val="0"/>
        </w:rPr>
        <w:t xml:space="preserve">a lunière</w:t>
      </w:r>
      <w:r w:rsidDel="00000000" w:rsidR="00000000" w:rsidRPr="00000000">
        <w:rPr>
          <w:rFonts w:ascii="Droid Sans Mono" w:cs="Droid Sans Mono" w:eastAsia="Droid Sans Mono" w:hAnsi="Droid Sans Mono"/>
          <w:color w:val="000000"/>
          <w:sz w:val="40"/>
          <w:szCs w:val="40"/>
          <w:shd w:fill="auto" w:val="clear"/>
          <w:vertAlign w:val="baseline"/>
          <w:rtl w:val="0"/>
        </w:rPr>
        <w:t xml:space="preserve"> est source d’énergie, tu trouveras l’essence de ta quête.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