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1A1A2E" w:color="auto" w:val="clear"/>
            <w:tcMar>
              <w:top w:type="dxa" w:w="700"/>
              <w:left w:type="dxa" w:w="500"/>
              <w:bottom w:type="dxa" w:w="700"/>
              <w:right w:type="dxa" w:w="500"/>
            </w:tcMar>
            <w:vAlign w:val="center"/>
          </w:tcPr>
          <w:p>
            <w:pPr>
              <w:spacing w:after="200"/>
            </w:pPr>
            <w:r>
              <w:rPr>
                <w:rFonts w:ascii="Calibri" w:cs="Calibri" w:eastAsia="Calibri" w:hAnsi="Calibri"/>
                <w:b/>
                <w:bCs/>
                <w:color w:val="8FB4F5"/>
                <w:sz w:val="20"/>
                <w:szCs w:val="20"/>
              </w:rPr>
              <w:t xml:space="preserve">GUÍA DE INTEGRACIÓN PARA DESARROLLADORES</w:t>
            </w:r>
          </w:p>
          <w:p>
            <w:pPr>
              <w:spacing w:after="160"/>
            </w:pPr>
            <w:r>
              <w:rPr>
                <w:rFonts w:ascii="Calibri" w:cs="Calibri" w:eastAsia="Calibri" w:hAnsi="Calibri"/>
                <w:b/>
                <w:bCs/>
                <w:color w:val="FFFFFF"/>
                <w:sz w:val="64"/>
                <w:szCs w:val="64"/>
              </w:rPr>
              <w:t xml:space="preserve">Payment_Card_Service</w:t>
            </w:r>
          </w:p>
          <w:p>
            <w:r>
              <w:rPr>
                <w:rFonts w:ascii="Calibri" w:cs="Calibri" w:eastAsia="Calibri" w:hAnsi="Calibri"/>
                <w:color w:val="C9D6EE"/>
                <w:sz w:val="26"/>
                <w:szCs w:val="26"/>
              </w:rPr>
              <w:t xml:space="preserve">Sesiones de pago con tarjeta de débito y crédito</w:t>
            </w:r>
          </w:p>
        </w:tc>
      </w:tr>
    </w:tbl>
    <w:p>
      <w:pPr>
        <w:spacing w:after="7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Servicio</w:t>
            </w:r>
          </w:p>
        </w:tc>
        <w:tc>
          <w:tcPr>
            <w:tcW w:type="dxa" w:w="6700"/>
            <w:tcMar>
              <w:top w:type="dxa" w:w="100"/>
              <w:left w:type="dxa" w:w="150"/>
              <w:bottom w:type="dxa" w:w="100"/>
              <w:right w:type="dxa" w:w="150"/>
            </w:tcMar>
          </w:tcPr>
          <w:p>
            <w:r>
              <w:rPr>
                <w:rFonts w:ascii="Calibri" w:cs="Calibri" w:eastAsia="Calibri" w:hAnsi="Calibri"/>
                <w:sz w:val="20"/>
                <w:szCs w:val="20"/>
              </w:rPr>
              <w:t xml:space="preserve">Payment_Card_Service</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Base URL</w:t>
            </w:r>
          </w:p>
        </w:tc>
        <w:tc>
          <w:tcPr>
            <w:tcW w:type="dxa" w:w="6700"/>
            <w:tcMar>
              <w:top w:type="dxa" w:w="100"/>
              <w:left w:type="dxa" w:w="150"/>
              <w:bottom w:type="dxa" w:w="100"/>
              <w:right w:type="dxa" w:w="150"/>
            </w:tcMar>
          </w:tcPr>
          <w:p>
            <w:r>
              <w:rPr>
                <w:rFonts w:ascii="Calibri" w:cs="Calibri" w:eastAsia="Calibri" w:hAnsi="Calibri"/>
                <w:sz w:val="20"/>
                <w:szCs w:val="20"/>
              </w:rPr>
              <w:t xml:space="preserve">https://payment-service-card-production.up.railway.app/api/payments/</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Audiencia</w:t>
            </w:r>
          </w:p>
        </w:tc>
        <w:tc>
          <w:tcPr>
            <w:tcW w:type="dxa" w:w="6700"/>
            <w:tcMar>
              <w:top w:type="dxa" w:w="100"/>
              <w:left w:type="dxa" w:w="150"/>
              <w:bottom w:type="dxa" w:w="100"/>
              <w:right w:type="dxa" w:w="150"/>
            </w:tcMar>
          </w:tcPr>
          <w:p>
            <w:r>
              <w:rPr>
                <w:rFonts w:ascii="Calibri" w:cs="Calibri" w:eastAsia="Calibri" w:hAnsi="Calibri"/>
                <w:sz w:val="20"/>
                <w:szCs w:val="20"/>
              </w:rPr>
              <w:t xml:space="preserve">Equipos de desarrollo de comercios integradores</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Última actualización</w:t>
            </w:r>
          </w:p>
        </w:tc>
        <w:tc>
          <w:tcPr>
            <w:tcW w:type="dxa" w:w="6700"/>
            <w:tcMar>
              <w:top w:type="dxa" w:w="100"/>
              <w:left w:type="dxa" w:w="150"/>
              <w:bottom w:type="dxa" w:w="100"/>
              <w:right w:type="dxa" w:w="150"/>
            </w:tcMar>
          </w:tcPr>
          <w:p>
            <w:r>
              <w:rPr>
                <w:rFonts w:ascii="Calibri" w:cs="Calibri" w:eastAsia="Calibri" w:hAnsi="Calibri"/>
                <w:sz w:val="20"/>
                <w:szCs w:val="20"/>
              </w:rPr>
              <w:t>20 de agosto de 2026</w:t>
            </w:r>
          </w:p>
        </w:tc>
      </w:tr>
    </w:tbl>
    <w:p>
      <w:pPr>
        <w:spacing w:before="900"/>
        <w:jc w:val="center"/>
      </w:pPr>
      <w:r>
        <w:rPr>
          <w:rFonts w:ascii="Calibri" w:cs="Calibri" w:eastAsia="Calibri" w:hAnsi="Calibri"/>
          <w:i/>
          <w:iCs/>
          <w:color w:val="999999"/>
          <w:sz w:val="18"/>
          <w:szCs w:val="18"/>
        </w:rPr>
        <w:t xml:space="preserve">Documento técnico de referencia — uso interno y para comercios integradores</w:t>
      </w:r>
    </w:p>
    <w:p>
      <w:r>
        <w:br w:type="page"/>
      </w:r>
    </w:p>
    <w:p>
      <w:pPr>
        <w:pStyle w:val="Heading1"/>
        <w:spacing w:after="200" w:before="400"/>
      </w:pPr>
      <w:r>
        <w:t xml:space="preserve">1. Introducción</w:t>
      </w:r>
    </w:p>
    <w:p>
      <w:pPr>
        <w:spacing w:after="150"/>
      </w:pPr>
      <w:r>
        <w:rPr>
          <w:rFonts w:ascii="Calibri" w:cs="Calibri" w:eastAsia="Calibri" w:hAnsi="Calibri"/>
          <w:sz w:val="22"/>
          <w:szCs w:val="22"/>
        </w:rPr>
        <w:t xml:space="preserve">Payment_Card_Service es un servicio que permite generar una sesión de pago con tarjeta de débito o crédito. El flujo entrega una URL de checkout asociada a un token opaco de un solo uso, donde el cliente final ingresa los datos de su tarjeta para completar el pago.</w:t>
      </w:r>
    </w:p>
    <w:p>
      <w:pPr>
        <w:spacing w:after="150"/>
      </w:pPr>
      <w:r>
        <w:rPr>
          <w:rFonts w:ascii="Calibri" w:cs="Calibri" w:eastAsia="Calibri" w:hAnsi="Calibri"/>
          <w:sz w:val="22"/>
          <w:szCs w:val="22"/>
        </w:rPr>
        <w:t xml:space="preserve">El procesamiento interno de la tarjeta (autorización, captura, etc.) es manejado completamente por el servicio y no requiere integración directa por parte del comercio.</w:t>
      </w:r>
    </w:p>
    <w:p>
      <w:pPr>
        <w:pStyle w:val="Heading1"/>
        <w:spacing w:after="200" w:before="400"/>
      </w:pPr>
      <w:r>
        <w:t xml:space="preserve">2. Información general</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Nombre del servicio</w:t>
            </w:r>
          </w:p>
        </w:tc>
        <w:tc>
          <w:tcPr>
            <w:tcW w:type="dxa" w:w="6700"/>
            <w:tcMar>
              <w:top w:type="dxa" w:w="100"/>
              <w:left w:type="dxa" w:w="150"/>
              <w:bottom w:type="dxa" w:w="100"/>
              <w:right w:type="dxa" w:w="150"/>
            </w:tcMar>
          </w:tcPr>
          <w:p>
            <w:r>
              <w:rPr>
                <w:rFonts w:ascii="Calibri" w:cs="Calibri" w:eastAsia="Calibri" w:hAnsi="Calibri"/>
                <w:sz w:val="20"/>
                <w:szCs w:val="20"/>
              </w:rPr>
              <w:t xml:space="preserve">Payment_Card_Service</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Base URL</w:t>
            </w:r>
          </w:p>
        </w:tc>
        <w:tc>
          <w:tcPr>
            <w:tcW w:type="dxa" w:w="6700"/>
            <w:tcMar>
              <w:top w:type="dxa" w:w="100"/>
              <w:left w:type="dxa" w:w="150"/>
              <w:bottom w:type="dxa" w:w="100"/>
              <w:right w:type="dxa" w:w="150"/>
            </w:tcMar>
          </w:tcPr>
          <w:p>
            <w:r>
              <w:rPr>
                <w:rFonts w:ascii="Calibri" w:cs="Calibri" w:eastAsia="Calibri" w:hAnsi="Calibri"/>
                <w:sz w:val="20"/>
                <w:szCs w:val="20"/>
              </w:rPr>
              <w:t xml:space="preserve">https://payment-service-card-production.up.railway.app/api/payments/</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Formato</w:t>
            </w:r>
          </w:p>
        </w:tc>
        <w:tc>
          <w:tcPr>
            <w:tcW w:type="dxa" w:w="6700"/>
            <w:tcMar>
              <w:top w:type="dxa" w:w="100"/>
              <w:left w:type="dxa" w:w="150"/>
              <w:bottom w:type="dxa" w:w="100"/>
              <w:right w:type="dxa" w:w="150"/>
            </w:tcMar>
          </w:tcPr>
          <w:p>
            <w:r>
              <w:rPr>
                <w:rFonts w:ascii="Calibri" w:cs="Calibri" w:eastAsia="Calibri" w:hAnsi="Calibri"/>
                <w:sz w:val="20"/>
                <w:szCs w:val="20"/>
              </w:rPr>
              <w:t xml:space="preserve">JSON</w:t>
            </w:r>
          </w:p>
        </w:tc>
      </w:tr>
    </w:tbl>
    <w:p>
      <w:pPr>
        <w:spacing w:after="200"/>
      </w:pPr>
    </w:p>
    <w:p>
      <w:pPr>
        <w:pStyle w:val="Heading1"/>
        <w:spacing w:after="200" w:before="400"/>
      </w:pPr>
      <w:r>
        <w:t xml:space="preserve">3. Flujo general de integración</w:t>
      </w:r>
    </w:p>
    <w:p>
      <w:pPr>
        <w:pStyle w:val="ListParagraph"/>
        <w:numPr>
          <w:ilvl w:val="0"/>
          <w:numId w:val="2"/>
        </w:numPr>
        <w:spacing w:after="80"/>
      </w:pPr>
      <w:r>
        <w:rPr>
          <w:rFonts w:ascii="Calibri" w:cs="Calibri" w:eastAsia="Calibri" w:hAnsi="Calibri"/>
          <w:sz w:val="22"/>
          <w:szCs w:val="22"/>
        </w:rPr>
        <w:t xml:space="preserve">El comercio solicita una sesión de pago (POST /session) indicando monto, moneda y código de referencia.</w:t>
      </w:r>
    </w:p>
    <w:p>
      <w:pPr>
        <w:pStyle w:val="ListParagraph"/>
        <w:numPr>
          <w:ilvl w:val="0"/>
          <w:numId w:val="2"/>
        </w:numPr>
        <w:spacing w:after="80"/>
      </w:pPr>
      <w:r>
        <w:rPr>
          <w:rFonts w:ascii="Calibri" w:cs="Calibri" w:eastAsia="Calibri" w:hAnsi="Calibri"/>
          <w:sz w:val="22"/>
          <w:szCs w:val="22"/>
        </w:rPr>
        <w:t xml:space="preserve">El servicio responde con un token opaco de un solo uso y una URL de checkout.</w:t>
      </w:r>
    </w:p>
    <w:p>
      <w:pPr>
        <w:pStyle w:val="ListParagraph"/>
        <w:numPr>
          <w:ilvl w:val="0"/>
          <w:numId w:val="2"/>
        </w:numPr>
        <w:spacing w:after="80"/>
      </w:pPr>
      <w:r>
        <w:rPr>
          <w:rFonts w:ascii="Calibri" w:cs="Calibri" w:eastAsia="Calibri" w:hAnsi="Calibri"/>
          <w:sz w:val="22"/>
          <w:szCs w:val="22"/>
        </w:rPr>
        <w:t xml:space="preserve">El comercio redirige al cliente final a esa URL, donde ingresa los datos de la tarjeta.</w:t>
      </w:r>
    </w:p>
    <w:p>
      <w:pPr>
        <w:pStyle w:val="ListParagraph"/>
        <w:numPr>
          <w:ilvl w:val="0"/>
          <w:numId w:val="2"/>
        </w:numPr>
        <w:spacing w:after="80"/>
      </w:pPr>
      <w:r>
        <w:rPr>
          <w:rFonts w:ascii="Calibri" w:cs="Calibri" w:eastAsia="Calibri" w:hAnsi="Calibri"/>
          <w:sz w:val="22"/>
          <w:szCs w:val="22"/>
        </w:rPr>
        <w:t xml:space="preserve">Cuando el pago se resuelve, Payment_Card_Service notifica al comercio mediante los 2 servicios webhook que el comercio debe implementar (ver 4.3).</w:t>
      </w:r>
    </w:p>
    <w:p>
      <w:pPr>
        <w:pStyle w:val="ListParagraph"/>
        <w:numPr>
          <w:ilvl w:val="0"/>
          <w:numId w:val="2"/>
        </w:numPr>
        <w:spacing w:after="80"/>
      </w:pPr>
      <w:r>
        <w:rPr>
          <w:rFonts w:ascii="Calibri" w:cs="Calibri" w:eastAsia="Calibri" w:hAnsi="Calibri"/>
          <w:sz w:val="22"/>
          <w:szCs w:val="22"/>
        </w:rPr>
        <w:t>El comercio consulta el estado de sus pagos (POST /search, ver 4.4) usando la misma API key de comercio (Authorization: Bearer) que usó para crear la sesión en 4.1 — no hace falta un paso de autenticación previo.</w:t>
      </w:r>
    </w:p>
    <w:p>
      <w:pPr>
        <w:spacing w:after="200"/>
      </w:pPr>
    </w:p>
    <w:p>
      <w:pPr>
        <w:pStyle w:val="Heading1"/>
        <w:spacing w:after="200" w:before="400"/>
      </w:pPr>
      <w:r>
        <w:t xml:space="preserve">4. Endpoints</w:t>
      </w:r>
    </w:p>
    <w:p>
      <w:pPr>
        <w:pStyle w:val="Heading2"/>
        <w:spacing w:after="150" w:before="300"/>
      </w:pPr>
      <w:r>
        <w:t xml:space="preserve">4.1 Crear sesión de pago</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Método</w:t>
            </w:r>
          </w:p>
        </w:tc>
        <w:tc>
          <w:tcPr>
            <w:tcW w:type="dxa" w:w="6700"/>
            <w:tcMar>
              <w:top w:type="dxa" w:w="100"/>
              <w:left w:type="dxa" w:w="150"/>
              <w:bottom w:type="dxa" w:w="100"/>
              <w:right w:type="dxa" w:w="150"/>
            </w:tcMar>
          </w:tcPr>
          <w:p>
            <w:r>
              <w:rPr>
                <w:rFonts w:ascii="Calibri" w:cs="Calibri" w:eastAsia="Calibri" w:hAnsi="Calibri"/>
                <w:sz w:val="20"/>
                <w:szCs w:val="20"/>
              </w:rPr>
              <w:t xml:space="preserve">POST</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Endpoint</w:t>
            </w:r>
          </w:p>
        </w:tc>
        <w:tc>
          <w:tcPr>
            <w:tcW w:type="dxa" w:w="6700"/>
            <w:tcMar>
              <w:top w:type="dxa" w:w="100"/>
              <w:left w:type="dxa" w:w="150"/>
              <w:bottom w:type="dxa" w:w="100"/>
              <w:right w:type="dxa" w:w="150"/>
            </w:tcMar>
          </w:tcPr>
          <w:p>
            <w:r>
              <w:rPr>
                <w:rFonts w:ascii="Calibri" w:cs="Calibri" w:eastAsia="Calibri" w:hAnsi="Calibri"/>
                <w:sz w:val="20"/>
                <w:szCs w:val="20"/>
              </w:rPr>
              <w:t xml:space="preserve">/session</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Autenticación</w:t>
            </w:r>
          </w:p>
        </w:tc>
        <w:tc>
          <w:tcPr>
            <w:tcW w:type="dxa" w:w="6700"/>
            <w:tcMar>
              <w:top w:type="dxa" w:w="100"/>
              <w:left w:type="dxa" w:w="150"/>
              <w:bottom w:type="dxa" w:w="100"/>
              <w:right w:type="dxa" w:w="150"/>
            </w:tcMar>
          </w:tcPr>
          <w:p>
            <w:r>
              <w:rPr>
                <w:rFonts w:ascii="Calibri" w:cs="Calibri" w:eastAsia="Calibri" w:hAnsi="Calibri"/>
                <w:sz w:val="20"/>
                <w:szCs w:val="20"/>
              </w:rPr>
              <w:t>Authorization: Bearer {merchant_notification_api_key} (header, no en el body)</w:t>
            </w:r>
          </w:p>
        </w:tc>
      </w:tr>
    </w:tbl>
    <w:p>
      <w:pPr>
        <w:spacing w:after="100"/>
      </w:pPr>
    </w:p>
    <w:p>
      <w:pPr>
        <w:pStyle w:val="Heading3"/>
        <w:spacing w:after="100" w:before="200"/>
      </w:pPr>
      <w:r>
        <w:t xml:space="preserve">Request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hAnsi="Consolas"/>
                <w:sz w:val="19"/>
              </w:rPr>
              <w:t>{</w:t>
            </w:r>
          </w:p>
          <w:p>
            <w:r>
              <w:rPr>
                <w:rFonts w:ascii="Consolas" w:hAnsi="Consolas"/>
                <w:sz w:val="19"/>
              </w:rPr>
              <w:t xml:space="preserve">  "code": "123456789",</w:t>
            </w:r>
          </w:p>
          <w:p>
            <w:r>
              <w:rPr>
                <w:rFonts w:ascii="Consolas" w:hAnsi="Consolas"/>
                <w:sz w:val="19"/>
              </w:rPr>
              <w:t xml:space="preserve">  "amount": 10,</w:t>
            </w:r>
          </w:p>
          <w:p>
            <w:r>
              <w:rPr>
                <w:rFonts w:ascii="Consolas" w:hAnsi="Consolas"/>
                <w:sz w:val="19"/>
              </w:rPr>
              <w:t xml:space="preserve">  "currency": "BOB",</w:t>
            </w:r>
          </w:p>
          <w:p>
            <w:r>
              <w:rPr>
                <w:rFonts w:ascii="Consolas" w:hAnsi="Consolas"/>
                <w:sz w:val="19"/>
              </w:rPr>
              <w:t xml:space="preserve">  "language": "esp",</w:t>
            </w:r>
          </w:p>
          <w:p>
            <w:r>
              <w:rPr>
                <w:rFonts w:ascii="Consolas" w:hAnsi="Consolas"/>
                <w:sz w:val="19"/>
              </w:rPr>
              <w:t xml:space="preserve">  "descripcion": "Pago de servicio",</w:t>
            </w:r>
          </w:p>
          <w:p>
            <w:r>
              <w:rPr>
                <w:rFonts w:ascii="Consolas" w:hAnsi="Consolas"/>
                <w:sz w:val="19"/>
              </w:rPr>
              <w:t xml:space="preserve">  "redirect": false,</w:t>
            </w:r>
          </w:p>
          <w:p>
            <w:r>
              <w:rPr>
                <w:rFonts w:ascii="Consolas" w:hAnsi="Consolas"/>
                <w:sz w:val="19"/>
              </w:rPr>
              <w:t xml:space="preserve">  "urlToRedirect": "https://comercio.example.com/gracias"</w:t>
            </w:r>
          </w:p>
          <w:p>
            <w:r>
              <w:rPr>
                <w:rFonts w:ascii="Consolas" w:hAnsi="Consolas"/>
                <w:sz w:val="19"/>
              </w:rPr>
              <w:t>}</w:t>
            </w:r>
          </w:p>
        </w:tc>
      </w:tr>
    </w:tbl>
    <w:p>
      <w:pPr>
        <w:spacing w:after="1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600"/>
        <w:gridCol w:w="5300"/>
      </w:tblGrid>
      <w:tr>
        <w:trPr>
          <w:tblHeader/>
        </w:trPr>
        <w:tc>
          <w:tcPr>
            <w:tcW w:type="dxa" w:w="2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Campo</w:t>
            </w:r>
          </w:p>
        </w:tc>
        <w:tc>
          <w:tcPr>
            <w:tcW w:type="dxa" w:w="1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Tipo</w:t>
            </w:r>
          </w:p>
        </w:tc>
        <w:tc>
          <w:tcPr>
            <w:tcW w:type="dxa" w:w="53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code</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Código o referencia de la transacción/orden.</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 xml:space="preserve">amount</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 xml:space="preserve">number</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 xml:space="preserve">Monto a cobrar.</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currency</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Moneda (ej. BOB).</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language</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string</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Opcional. "esp" o "eng" (cualquier otro valor cae en español). Define el idioma del checkout, el comprobante y la pantalla de error.</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descripcion</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Opcional. Texto libre que se muestra en el recuadro "Servicio" del checkout. Si se omite, se usa "Pago de servicio".</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redirect</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boolean</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Opcional, default false. Si es true, la pantalla final (éxito o error) redirige automáticamente a urlToRedirect después de 10 segundos.</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urlToRedirect</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string (URL)</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Obligatorio si redirect=true. URL absoluta http(s). Si redirect=false, solo se usa como destino del botón "Volver al inicio"/"Back to home".</w:t>
            </w:r>
          </w:p>
        </w:tc>
      </w:tr>
    </w:tbl>
    <w:p>
      <w:pPr>
        <w:spacing w:after="100"/>
      </w:pPr>
    </w:p>
    <w:p>
      <w:pPr>
        <w:pStyle w:val="Heading3"/>
        <w:spacing w:after="100" w:before="200"/>
      </w:pPr>
      <w:r>
        <w:t xml:space="preserve">Ejemplo curl</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hAnsi="Consolas"/>
                <w:sz w:val="19"/>
              </w:rPr>
              <w:t>curl -X POST "https://payment-service-card-production.up.railway.app/api/payments/session" \</w:t>
            </w:r>
          </w:p>
          <w:p>
            <w:r>
              <w:rPr>
                <w:rFonts w:ascii="Consolas" w:hAnsi="Consolas"/>
                <w:sz w:val="19"/>
              </w:rPr>
              <w:t xml:space="preserve">  -H "Content-Type: application/json" \</w:t>
            </w:r>
          </w:p>
          <w:p>
            <w:r>
              <w:rPr>
                <w:rFonts w:ascii="Consolas" w:hAnsi="Consolas"/>
                <w:sz w:val="19"/>
              </w:rPr>
              <w:t xml:space="preserve">  -H "Authorization: Bearer {merchant_notification_api_key}" \</w:t>
            </w:r>
          </w:p>
          <w:p>
            <w:r>
              <w:rPr>
                <w:rFonts w:ascii="Consolas" w:hAnsi="Consolas"/>
                <w:sz w:val="19"/>
              </w:rPr>
              <w:t xml:space="preserve">  -d '{</w:t>
            </w:r>
          </w:p>
          <w:p>
            <w:r>
              <w:rPr>
                <w:rFonts w:ascii="Consolas" w:hAnsi="Consolas"/>
                <w:sz w:val="19"/>
              </w:rPr>
              <w:t xml:space="preserve">    "code": "123456789",</w:t>
            </w:r>
          </w:p>
          <w:p>
            <w:r>
              <w:rPr>
                <w:rFonts w:ascii="Consolas" w:hAnsi="Consolas"/>
                <w:sz w:val="19"/>
              </w:rPr>
              <w:t xml:space="preserve">    "amount": 10,</w:t>
            </w:r>
          </w:p>
          <w:p>
            <w:r>
              <w:rPr>
                <w:rFonts w:ascii="Consolas" w:hAnsi="Consolas"/>
                <w:sz w:val="19"/>
              </w:rPr>
              <w:t xml:space="preserve">    "currency": "BOB",</w:t>
            </w:r>
          </w:p>
          <w:p>
            <w:r>
              <w:rPr>
                <w:rFonts w:ascii="Consolas" w:hAnsi="Consolas"/>
                <w:sz w:val="19"/>
              </w:rPr>
              <w:t xml:space="preserve">    "language": "esp",</w:t>
            </w:r>
          </w:p>
          <w:p>
            <w:r>
              <w:rPr>
                <w:rFonts w:ascii="Consolas" w:hAnsi="Consolas"/>
                <w:sz w:val="19"/>
              </w:rPr>
              <w:t xml:space="preserve">    "descripcion": "Pago de servicio",</w:t>
            </w:r>
          </w:p>
          <w:p>
            <w:r>
              <w:rPr>
                <w:rFonts w:ascii="Consolas" w:hAnsi="Consolas"/>
                <w:sz w:val="19"/>
              </w:rPr>
              <w:t xml:space="preserve">    "redirect": false,</w:t>
            </w:r>
          </w:p>
          <w:p>
            <w:r>
              <w:rPr>
                <w:rFonts w:ascii="Consolas" w:hAnsi="Consolas"/>
                <w:sz w:val="19"/>
              </w:rPr>
              <w:t xml:space="preserve">    "urlToRedirect": "https://comercio.example.com/gracias"</w:t>
            </w:r>
          </w:p>
          <w:p>
            <w:r>
              <w:rPr>
                <w:rFonts w:ascii="Consolas" w:hAnsi="Consolas"/>
                <w:sz w:val="19"/>
              </w:rPr>
              <w:t xml:space="preserve">  }'</w:t>
            </w:r>
          </w:p>
        </w:tc>
      </w:tr>
    </w:tbl>
    <w:p>
      <w:pPr>
        <w:spacing w:after="100"/>
      </w:pPr>
    </w:p>
    <w:p>
      <w:pPr>
        <w:pStyle w:val="Heading3"/>
        <w:spacing w:after="100" w:before="200"/>
      </w:pPr>
      <w:r>
        <w:t xml:space="preserve">Response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"token": "9d44aa7837689c0c630892ff9b6a778e302a3bfb...",</w:t>
            </w:r>
          </w:p>
          <w:p>
            <w:pPr>
              <w:spacing w:after="40"/>
            </w:pPr>
            <w:r>
              <w:rPr>
                <w:rFonts w:ascii="Consolas" w:cs="Consolas" w:eastAsia="Consolas" w:hAnsi="Consolas"/>
                <w:color w:val="E8E8E8"/>
                <w:sz w:val="19"/>
                <w:szCs w:val="19"/>
              </w:rPr>
              <w:t xml:space="preserve">    "url": "https://payment-service-card-production.up.railway.app/payments/9d44aa7837689c0c630892ff9b6a778e302a3bfb...",</w:t>
            </w:r>
          </w:p>
          <w:p>
            <w:pPr>
              <w:spacing w:after="40"/>
            </w:pPr>
            <w:r>
              <w:rPr>
                <w:rFonts w:ascii="Consolas" w:cs="Consolas" w:eastAsia="Consolas" w:hAnsi="Consolas"/>
                <w:color w:val="E8E8E8"/>
                <w:sz w:val="19"/>
                <w:szCs w:val="19"/>
              </w:rPr>
              <w:t xml:space="preserve">    "expires_in": 900</w:t>
            </w:r>
          </w:p>
          <w:p>
            <w:pPr>
              <w:spacing w:after="40"/>
            </w:pPr>
            <w:r>
              <w:rPr>
                <w:rFonts w:ascii="Consolas" w:cs="Consolas" w:eastAsia="Consolas" w:hAnsi="Consolas"/>
                <w:color w:val="E8E8E8"/>
                <w:sz w:val="19"/>
                <w:szCs w:val="19"/>
              </w:rPr>
              <w:t xml:space="preserve">}</w:t>
            </w:r>
          </w:p>
        </w:tc>
      </w:tr>
    </w:tbl>
    <w:p>
      <w:pPr>
        <w:spacing w:after="1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600"/>
        <w:gridCol w:w="5300"/>
      </w:tblGrid>
      <w:tr>
        <w:trPr>
          <w:tblHeader/>
        </w:trPr>
        <w:tc>
          <w:tcPr>
            <w:tcW w:type="dxa" w:w="2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Campo</w:t>
            </w:r>
          </w:p>
        </w:tc>
        <w:tc>
          <w:tcPr>
            <w:tcW w:type="dxa" w:w="1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Tipo</w:t>
            </w:r>
          </w:p>
        </w:tc>
        <w:tc>
          <w:tcPr>
            <w:tcW w:type="dxa" w:w="53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token</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Token opaco de un solo uso.</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 xml:space="preserve">url</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 xml:space="preserve">URL de checkout a la que debe redirigirse al cliente.</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expires_in</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number</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Tiempo de expiración en segundos (900 = 15 min).</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los valores de token, password y JWT mostrados en este documento están truncados/enmascarados como ejemplo. No representan credenciales reales.</w:t>
            </w:r>
          </w:p>
        </w:tc>
      </w:tr>
    </w:tbl>
    <w:p>
      <w:pPr>
        <w:spacing w:after="200"/>
      </w:pPr>
    </w:p>
    <w:p>
      <w:pPr>
        <w:pStyle w:val="Heading2"/>
        <w:spacing w:after="150" w:before="300"/>
      </w:pPr>
      <w:r>
        <w:t xml:space="preserve">4.2 Página de checkout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Método</w:t>
            </w:r>
          </w:p>
        </w:tc>
        <w:tc>
          <w:tcPr>
            <w:tcW w:type="dxa" w:w="6700"/>
            <w:tcMar>
              <w:top w:type="dxa" w:w="100"/>
              <w:left w:type="dxa" w:w="150"/>
              <w:bottom w:type="dxa" w:w="100"/>
              <w:right w:type="dxa" w:w="150"/>
            </w:tcMar>
          </w:tcPr>
          <w:p>
            <w:r>
              <w:rPr>
                <w:rFonts w:ascii="Calibri" w:cs="Calibri" w:eastAsia="Calibri" w:hAnsi="Calibri"/>
                <w:sz w:val="20"/>
                <w:szCs w:val="20"/>
              </w:rPr>
              <w:t xml:space="preserve">GET</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Endpoint</w:t>
            </w:r>
          </w:p>
        </w:tc>
        <w:tc>
          <w:tcPr>
            <w:tcW w:type="dxa" w:w="6700"/>
            <w:tcMar>
              <w:top w:type="dxa" w:w="100"/>
              <w:left w:type="dxa" w:w="150"/>
              <w:bottom w:type="dxa" w:w="100"/>
              <w:right w:type="dxa" w:w="150"/>
            </w:tcMar>
          </w:tcPr>
          <w:p>
            <w:r>
              <w:rPr>
                <w:rFonts w:ascii="Calibri" w:cs="Calibri" w:eastAsia="Calibri" w:hAnsi="Calibri"/>
                <w:sz w:val="20"/>
                <w:szCs w:val="20"/>
              </w:rPr>
              <w:t xml:space="preserve">/payments/{token}</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Tipo</w:t>
            </w:r>
          </w:p>
        </w:tc>
        <w:tc>
          <w:tcPr>
            <w:tcW w:type="dxa" w:w="6700"/>
            <w:tcMar>
              <w:top w:type="dxa" w:w="100"/>
              <w:left w:type="dxa" w:w="150"/>
              <w:bottom w:type="dxa" w:w="100"/>
              <w:right w:type="dxa" w:w="150"/>
            </w:tcMar>
          </w:tcPr>
          <w:p>
            <w:r>
              <w:rPr>
                <w:rFonts w:ascii="Calibri" w:cs="Calibri" w:eastAsia="Calibri" w:hAnsi="Calibri"/>
                <w:sz w:val="20"/>
                <w:szCs w:val="20"/>
              </w:rPr>
              <w:t xml:space="preserve">Interfaz web (no devuelve JSON)</w:t>
            </w:r>
          </w:p>
        </w:tc>
      </w:tr>
    </w:tbl>
    <w:p>
      <w:pPr>
        <w:spacing w:after="100"/>
      </w:pPr>
    </w:p>
    <w:p>
      <w:pPr>
        <w:spacing w:after="150"/>
      </w:pPr>
      <w:r>
        <w:rPr>
          <w:rFonts w:ascii="Calibri" w:cs="Calibri" w:eastAsia="Calibri" w:hAnsi="Calibri"/>
          <w:sz w:val="22"/>
          <w:szCs w:val="22"/>
        </w:rPr>
        <w:t xml:space="preserve">Al visitar esta URL (obtenida en la respuesta de /session) se carga la interfaz de checkout donde el cliente final completa el pago.</w:t>
      </w:r>
    </w:p>
    <w:p>
      <w:pPr>
        <w:spacing w:after="150"/>
      </w:pPr>
      <w:r>
        <w:rPr>
          <w:rFonts w:ascii="Calibri" w:cs="Calibri" w:eastAsia="Calibri" w:hAnsi="Calibri"/>
          <w:sz w:val="22"/>
          <w:szCs w:val="22"/>
        </w:rPr>
        <w:t xml:space="preserve">La pantalla muestra:</w:t>
      </w:r>
    </w:p>
    <w:p>
      <w:pPr>
        <w:pStyle w:val="ListParagraph"/>
        <w:numPr>
          <w:ilvl w:val="0"/>
          <w:numId w:val="2"/>
        </w:numPr>
        <w:spacing w:after="80"/>
      </w:pPr>
      <w:r>
        <w:rPr>
          <w:rFonts w:ascii="Calibri" w:cs="Calibri" w:eastAsia="Calibri" w:hAnsi="Calibri"/>
          <w:sz w:val="22"/>
          <w:szCs w:val="22"/>
        </w:rPr>
        <w:t xml:space="preserve">Referencia de la transacción (code).</w:t>
      </w:r>
    </w:p>
    <w:p>
      <w:pPr>
        <w:pStyle w:val="ListParagraph"/>
        <w:numPr>
          <w:ilvl w:val="0"/>
          <w:numId w:val="2"/>
        </w:numPr>
        <w:spacing w:after="80"/>
      </w:pPr>
      <w:r>
        <w:rPr>
          <w:rFonts w:ascii="Calibri" w:cs="Calibri" w:eastAsia="Calibri" w:hAnsi="Calibri"/>
          <w:sz w:val="22"/>
          <w:szCs w:val="22"/>
        </w:rPr>
        <w:t xml:space="preserve">Monto y moneda a pagar.</w:t>
      </w:r>
    </w:p>
    <w:p>
      <w:pPr>
        <w:pStyle w:val="ListParagraph"/>
        <w:numPr>
          <w:ilvl w:val="0"/>
          <w:numId w:val="2"/>
        </w:numPr>
        <w:spacing w:after="80"/>
      </w:pPr>
      <w:r>
        <w:rPr>
          <w:rFonts w:ascii="Calibri" w:cs="Calibri" w:eastAsia="Calibri" w:hAnsi="Calibri"/>
          <w:sz w:val="22"/>
          <w:szCs w:val="22"/>
        </w:rPr>
        <w:t xml:space="preserve">Marca de tarjeta detectada (Visa, Mastercard, etc.).</w:t>
      </w:r>
    </w:p>
    <w:p>
      <w:pPr>
        <w:pStyle w:val="ListParagraph"/>
        <w:numPr>
          <w:ilvl w:val="0"/>
          <w:numId w:val="2"/>
        </w:numPr>
        <w:spacing w:after="80"/>
      </w:pPr>
      <w:r>
        <w:rPr>
          <w:rFonts w:ascii="Calibri" w:cs="Calibri" w:eastAsia="Calibri" w:hAnsi="Calibri"/>
          <w:sz w:val="22"/>
          <w:szCs w:val="22"/>
        </w:rPr>
        <w:t xml:space="preserve">Formulario: número de tarjeta, nombre del titular, mes/año de expiración y CVV.</w:t>
      </w:r>
    </w:p>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el procesamiento de la tarjeta ocurre de forma interna en el servicio; los endpoints que reciben los datos de la tarjeta no son públicos y no requieren integración por parte del comercio.</w:t>
            </w:r>
          </w:p>
        </w:tc>
      </w:tr>
    </w:tbl>
    <w:p>
      <w:pPr>
        <w:spacing w:after="100"/>
      </w:pPr>
    </w:p>
    <w:p>
      <w:pPr>
        <w:spacing w:after="150"/>
      </w:pPr>
      <w:r>
        <w:rPr>
          <w:rFonts w:ascii="Calibri" w:cs="Calibri" w:eastAsia="Calibri" w:hAnsi="Calibri"/>
          <w:sz w:val="22"/>
          <w:szCs w:val="22"/>
        </w:rPr>
        <w:t xml:space="preserve">A continuación se muestran las dos pantallas principales de este flujo.</w:t>
      </w:r>
    </w:p>
    <w:p>
      <w:pPr>
        <w:pStyle w:val="Heading3"/>
        <w:spacing w:after="100" w:before="200"/>
      </w:pPr>
      <w:r>
        <w:t xml:space="preserve">Pantalla de pago</w:t>
      </w:r>
    </w:p>
    <w:p>
      <w:pPr>
        <w:spacing w:after="150"/>
      </w:pPr>
      <w:r>
        <w:rPr>
          <w:rFonts w:ascii="Calibri" w:cs="Calibri" w:eastAsia="Calibri" w:hAnsi="Calibri"/>
          <w:sz w:val="22"/>
          <w:szCs w:val="22"/>
        </w:rPr>
        <w:t xml:space="preserve">Vista de resumen (izquierda) con la referencia, el monto y el servicio a pagar, junto al formulario de datos de la tarjeta (derecha) donde el cliente ingresa número, titular, fecha de expiración, CVV y sus datos de contacto/facturación.</w:t>
      </w:r>
    </w:p>
    <w:p>
      <w:pPr>
        <w:spacing w:after="100" w:before="100"/>
        <w:jc w:val="center"/>
      </w:pPr>
      <w:r>
        <w:drawing>
          <wp:inline distT="0" distB="0" distL="0" distR="0">
            <wp:extent cx="5429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5295900"/>
                    </a:xfrm>
                    <a:prstGeom prst="rect">
                      <a:avLst/>
                    </a:prstGeom>
                  </pic:spPr>
                </pic:pic>
              </a:graphicData>
            </a:graphic>
          </wp:inline>
        </w:drawing>
      </w:r>
    </w:p>
    <w:p>
      <w:r>
        <w:rPr>
          <w:i/>
        </w:rPr>
        <w:t>Nota: esta captura corresponde a una versión anterior de la interfaz. El diseño actual usa una paleta oscura/naranja unificada con el comprobante y ya no muestra un recuadro de "Monto" separado (el monto sigue visible en "Total a pagar").</w:t>
      </w:r>
    </w:p>
    <w:p>
      <w:pPr>
        <w:spacing w:after="200"/>
        <w:jc w:val="center"/>
      </w:pPr>
      <w:r>
        <w:rPr>
          <w:rFonts w:ascii="Calibri" w:cs="Calibri" w:eastAsia="Calibri" w:hAnsi="Calibri"/>
          <w:i/>
          <w:iCs/>
          <w:color w:val="666666"/>
          <w:sz w:val="18"/>
          <w:szCs w:val="18"/>
        </w:rPr>
        <w:t xml:space="preserve">Pantalla de checkout: resumen del pago y formulario de tarjeta</w:t>
      </w:r>
    </w:p>
    <w:p>
      <w:pPr>
        <w:pStyle w:val="Heading3"/>
        <w:spacing w:after="100" w:before="200"/>
      </w:pPr>
      <w:r>
        <w:t xml:space="preserve">Comprobante de pago</w:t>
      </w:r>
    </w:p>
    <w:p>
      <w:pPr>
        <w:spacing w:after="150"/>
      </w:pPr>
      <w:r>
        <w:rPr>
          <w:rFonts w:ascii="Calibri" w:cs="Calibri" w:eastAsia="Calibri" w:hAnsi="Calibri"/>
          <w:sz w:val="22"/>
          <w:szCs w:val="22"/>
        </w:rPr>
        <w:t xml:space="preserve">Una vez que el pago se procesa exitosamente, se muestra un comprobante con el número de referencia, el estado ("Pagado"), el método de pago usado, el ID de transacción, la fecha y el monto total pagado.</w:t>
      </w:r>
    </w:p>
    <w:p>
      <w:pPr>
        <w:spacing w:after="100" w:before="100"/>
        <w:jc w:val="center"/>
      </w:pPr>
      <w:r>
        <w:drawing>
          <wp:inline distT="0" distB="0" distL="0" distR="0">
            <wp:extent cx="4286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790950"/>
                    </a:xfrm>
                    <a:prstGeom prst="rect">
                      <a:avLst/>
                    </a:prstGeom>
                  </pic:spPr>
                </pic:pic>
              </a:graphicData>
            </a:graphic>
          </wp:inline>
        </w:drawing>
      </w:r>
    </w:p>
    <w:p>
      <w:r>
        <w:rPr>
          <w:i/>
        </w:rPr>
        <w:t>Nota: esta captura corresponde a una versión anterior de la interfaz. El diseño actual comparte la misma paleta oscura/naranja del checkout y ya no usa tonos verdes; además puede mostrar el aviso de redirección automática descrito arriba.</w:t>
      </w:r>
    </w:p>
    <w:p>
      <w:pPr>
        <w:spacing w:after="200"/>
        <w:jc w:val="center"/>
      </w:pPr>
      <w:r>
        <w:rPr>
          <w:rFonts w:ascii="Calibri" w:cs="Calibri" w:eastAsia="Calibri" w:hAnsi="Calibri"/>
          <w:i/>
          <w:iCs/>
          <w:color w:val="666666"/>
          <w:sz w:val="18"/>
          <w:szCs w:val="18"/>
        </w:rPr>
        <w:t xml:space="preserve">Comprobante de pago mostrado al finalizar la transacción</w:t>
      </w:r>
    </w:p>
    <w:p>
      <w:pPr>
        <w:spacing w:after="200"/>
      </w:pPr>
    </w:p>
    <w:p>
      <w:pPr>
        <w:pStyle w:val="Heading3"/>
      </w:pPr>
      <w:r>
        <w:t>Idioma y redirección automática</w:t>
      </w:r>
    </w:p>
    <w:p>
      <w:r>
        <w:t>El parámetro language ("esp" o "eng") determina el idioma de las tres pantallas del flujo: el formulario de checkout, el comprobante de pago y la pantalla de error. Si no se envía o el valor no es reconocido, se usa español por defecto.</w:t>
      </w:r>
    </w:p>
    <w:p>
      <w:r>
        <w:t>Si redirect es false (o no se envía), urlToRedirect solo se usa como destino del botón "Volver al inicio"/"Back to home" de la pantalla final. En ese caso también se muestra, debajo de los botones, una nota indicando que hay que presionar ese botón para finalizar.</w:t>
      </w:r>
    </w:p>
    <w:p>
      <w:r>
        <w:t>Si redirect es true, la pantalla final además muestra un aviso de cuenta regresiva ("Redirigiendo en 10 segundos…") y redirige automáticamente a urlToRedirect a los 10 segundos — tanto si el pago fue exitoso como si falló. En ese caso se ocultan el botón "Imprimir comprobante" y el texto de agradecimiento de la pantalla de éxito, ya que el cliente será redirigido de todas formas.</w:t>
      </w:r>
    </w:p>
    <w:p>
      <w:pPr>
        <w:pStyle w:val="Heading2"/>
        <w:spacing w:after="150" w:before="300"/>
      </w:pPr>
      <w:r>
        <w:t xml:space="preserve">4.3 Pautas para el comercio: servicios de notificación de pago (webhooks)</w:t>
      </w:r>
    </w:p>
    <w:p>
      <w:pPr>
        <w:spacing w:after="150"/>
      </w:pPr>
      <w:r>
        <w:rPr>
          <w:rFonts w:ascii="Calibri" w:cs="Calibri" w:eastAsia="Calibri" w:hAnsi="Calibri"/>
          <w:sz w:val="22"/>
          <w:szCs w:val="22"/>
        </w:rPr>
        <w:t xml:space="preserve">Cuando el pago se resuelve, Payment_Card_Service notifica al comercio llamando a dos endpoints que el comercio debe implementar en su propio sistema. A continuación se describen las pautas de diseño que el comercio debe seguir.</w:t>
      </w:r>
    </w:p>
    <w:p>
      <w:pPr>
        <w:pStyle w:val="Heading3"/>
        <w:spacing w:after="100" w:before="200"/>
      </w:pPr>
      <w:r>
        <w:t xml:space="preserve">4.3.1 Idea general</w:t>
      </w:r>
    </w:p>
    <w:p>
      <w:pPr>
        <w:spacing w:after="150"/>
      </w:pPr>
      <w:r>
        <w:rPr>
          <w:rFonts w:ascii="Calibri" w:cs="Calibri" w:eastAsia="Calibri" w:hAnsi="Calibri"/>
          <w:sz w:val="22"/>
          <w:szCs w:val="22"/>
        </w:rPr>
        <w:t xml:space="preserve">En vez de usar una API key fija para el webhook (que si se filtra sirve indefinidamente), el comercio emite un token opaco de un solo uso por cada transacción. Payment_Card_Service debe presentar ese token exacto para poder actualizar el estado del pago, de forma que cada notificación sea válida una única vez y únicamente para esa transacción.</w:t>
      </w:r>
    </w:p>
    <w:p>
      <w:pPr>
        <w:pStyle w:val="ListParagraph"/>
        <w:numPr>
          <w:ilvl w:val="0"/>
          <w:numId w:val="2"/>
        </w:numPr>
        <w:spacing w:after="80"/>
      </w:pPr>
      <w:r>
        <w:rPr>
          <w:rFonts w:ascii="Calibri" w:cs="Calibri" w:eastAsia="Calibri" w:hAnsi="Calibri"/>
          <w:sz w:val="22"/>
          <w:szCs w:val="22"/>
        </w:rPr>
        <w:t xml:space="preserve">El comercio crea la sesión de pago y, antes de recibir la notificación, expone un endpoint (Servicio A) donde Payment_Card_Service solicita un token opaco de notificación.</w:t>
      </w:r>
    </w:p>
    <w:p>
      <w:pPr>
        <w:pStyle w:val="ListParagraph"/>
        <w:numPr>
          <w:ilvl w:val="0"/>
          <w:numId w:val="2"/>
        </w:numPr>
        <w:spacing w:after="80"/>
      </w:pPr>
      <w:r>
        <w:rPr>
          <w:rFonts w:ascii="Calibri" w:cs="Calibri" w:eastAsia="Calibri" w:hAnsi="Calibri"/>
          <w:sz w:val="22"/>
          <w:szCs w:val="22"/>
        </w:rPr>
        <w:t xml:space="preserve">Cuando el pago se resuelve, Payment_Card_Service llama al segundo endpoint del comercio (Servicio B) presentando ese token para actualizar el estado de la transacción.</w:t>
      </w:r>
    </w:p>
    <w:p>
      <w:pPr>
        <w:pStyle w:val="ListParagraph"/>
        <w:numPr>
          <w:ilvl w:val="0"/>
          <w:numId w:val="2"/>
        </w:numPr>
        <w:spacing w:after="80"/>
      </w:pPr>
      <w:r>
        <w:rPr>
          <w:rFonts w:ascii="Calibri" w:cs="Calibri" w:eastAsia="Calibri" w:hAnsi="Calibri"/>
          <w:sz w:val="22"/>
          <w:szCs w:val="22"/>
        </w:rPr>
        <w:t xml:space="preserve">El comercio valida el token (existe, no expiró, no fue usado) y lo invalida tras procesarlo, de forma que no pueda reutilizarse.</w:t>
      </w:r>
    </w:p>
    <w:p>
      <w:pPr>
        <w:spacing w:after="200"/>
      </w:pPr>
    </w:p>
    <w:p>
      <w:pPr>
        <w:pStyle w:val="Heading3"/>
        <w:spacing w:after="100" w:before="200"/>
      </w:pPr>
      <w:r>
        <w:t xml:space="preserve">4.3.2 Servicio A (comercio): emitir token opaco de notificación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Método</w:t>
            </w:r>
          </w:p>
        </w:tc>
        <w:tc>
          <w:tcPr>
            <w:tcW w:type="dxa" w:w="6700"/>
            <w:tcMar>
              <w:top w:type="dxa" w:w="100"/>
              <w:left w:type="dxa" w:w="150"/>
              <w:bottom w:type="dxa" w:w="100"/>
              <w:right w:type="dxa" w:w="150"/>
            </w:tcMar>
          </w:tcPr>
          <w:p>
            <w:r>
              <w:rPr>
                <w:rFonts w:ascii="Calibri" w:cs="Calibri" w:eastAsia="Calibri" w:hAnsi="Calibri"/>
                <w:sz w:val="20"/>
                <w:szCs w:val="20"/>
              </w:rPr>
              <w:t xml:space="preserve">POST</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Endpoint (comercio)</w:t>
            </w:r>
          </w:p>
        </w:tc>
        <w:tc>
          <w:tcPr>
            <w:tcW w:type="dxa" w:w="6700"/>
            <w:tcMar>
              <w:top w:type="dxa" w:w="100"/>
              <w:left w:type="dxa" w:w="150"/>
              <w:bottom w:type="dxa" w:w="100"/>
              <w:right w:type="dxa" w:w="150"/>
            </w:tcMar>
          </w:tcPr>
          <w:p>
            <w:r>
              <w:rPr>
                <w:rFonts w:ascii="Calibri" w:cs="Calibri" w:eastAsia="Calibri" w:hAnsi="Calibri"/>
                <w:sz w:val="20"/>
                <w:szCs w:val="20"/>
              </w:rPr>
              <w:t xml:space="preserve">/webhooks/payments/token</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Quién llama</w:t>
            </w:r>
          </w:p>
        </w:tc>
        <w:tc>
          <w:tcPr>
            <w:tcW w:type="dxa" w:w="6700"/>
            <w:tcMar>
              <w:top w:type="dxa" w:w="100"/>
              <w:left w:type="dxa" w:w="150"/>
              <w:bottom w:type="dxa" w:w="100"/>
              <w:right w:type="dxa" w:w="150"/>
            </w:tcMar>
          </w:tcPr>
          <w:p>
            <w:r>
              <w:rPr>
                <w:rFonts w:ascii="Calibri" w:cs="Calibri" w:eastAsia="Calibri" w:hAnsi="Calibri"/>
                <w:sz w:val="20"/>
                <w:szCs w:val="20"/>
              </w:rPr>
              <w:t xml:space="preserve">Payment_Card_Service</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Autenticación</w:t>
            </w:r>
          </w:p>
        </w:tc>
        <w:tc>
          <w:tcPr>
            <w:tcW w:type="dxa" w:w="6700"/>
            <w:tcMar>
              <w:top w:type="dxa" w:w="100"/>
              <w:left w:type="dxa" w:w="150"/>
              <w:bottom w:type="dxa" w:w="100"/>
              <w:right w:type="dxa" w:w="150"/>
            </w:tcMar>
          </w:tcPr>
          <w:p>
            <w:r>
              <w:rPr>
                <w:rFonts w:ascii="Calibri" w:cs="Calibri" w:eastAsia="Calibri" w:hAnsi="Calibri"/>
                <w:sz w:val="20"/>
                <w:szCs w:val="20"/>
              </w:rPr>
              <w:t xml:space="preserve">API key o credenciales fijas del comercio</w:t>
            </w:r>
          </w:p>
        </w:tc>
      </w:tr>
    </w:tbl>
    <w:p>
      <w:pPr>
        <w:spacing w:after="100"/>
      </w:pPr>
    </w:p>
    <w:p>
      <w:pPr>
        <w:pStyle w:val="Heading3"/>
        <w:spacing w:after="100" w:before="200"/>
      </w:pPr>
      <w:r>
        <w:t xml:space="preserve">Request (Payment_Card_Service → Comercio)</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w:t>
            </w:r>
          </w:p>
        </w:tc>
      </w:tr>
    </w:tbl>
    <w:p>
      <w:pPr>
        <w:spacing w:after="100"/>
      </w:pPr>
    </w:p>
    <w:p>
      <w:pPr>
        <w:pStyle w:val="Heading3"/>
        <w:spacing w:after="100" w:before="200"/>
      </w:pPr>
      <w:r>
        <w:t xml:space="preserve">Ejemplo curl (Payment_Card_Service llamando al comercio)</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curl -X POST "https://comercio.example.com/api/webhooks/payments/token" \</w:t>
            </w:r>
          </w:p>
          <w:p>
            <w:pPr>
              <w:spacing w:after="40"/>
            </w:pPr>
            <w:r>
              <w:rPr>
                <w:rFonts w:ascii="Consolas" w:cs="Consolas" w:eastAsia="Consolas" w:hAnsi="Consolas"/>
                <w:color w:val="E8E8E8"/>
                <w:sz w:val="19"/>
                <w:szCs w:val="19"/>
              </w:rPr>
              <w:t xml:space="preserve">  -H "Content-Type: application/json" \</w:t>
            </w:r>
          </w:p>
          <w:p>
            <w:pPr>
              <w:spacing w:after="40"/>
            </w:pPr>
            <w:r>
              <w:rPr>
                <w:rFonts w:ascii="Consolas" w:cs="Consolas" w:eastAsia="Consolas" w:hAnsi="Consolas"/>
                <w:color w:val="E8E8E8"/>
                <w:sz w:val="19"/>
                <w:szCs w:val="19"/>
              </w:rPr>
              <w:t xml:space="preserve">  -H "Authorization: Bearer {api_key_del_comercio}" \</w:t>
            </w:r>
          </w:p>
          <w:p>
            <w:pPr>
              <w:spacing w:after="40"/>
            </w:pPr>
            <w:r>
              <w:rPr>
                <w:rFonts w:ascii="Consolas" w:cs="Consolas" w:eastAsia="Consolas" w:hAnsi="Consolas"/>
                <w:color w:val="E8E8E8"/>
                <w:sz w:val="19"/>
                <w:szCs w:val="19"/>
              </w:rPr>
              <w:t xml:space="preserve">  -d '{</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  }'</w:t>
            </w:r>
          </w:p>
        </w:tc>
      </w:tr>
    </w:tbl>
    <w:p>
      <w:pPr>
        <w:spacing w:after="100"/>
      </w:pPr>
    </w:p>
    <w:p>
      <w:pPr>
        <w:pStyle w:val="Heading3"/>
        <w:spacing w:after="100" w:before="200"/>
      </w:pPr>
      <w:r>
        <w:t xml:space="preserve">Response (Comercio → Payment_Card_Service)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"success": true,</w:t>
            </w:r>
          </w:p>
          <w:p>
            <w:pPr>
              <w:spacing w:after="40"/>
            </w:pPr>
            <w:r>
              <w:rPr>
                <w:rFonts w:ascii="Consolas" w:cs="Consolas" w:eastAsia="Consolas" w:hAnsi="Consolas"/>
                <w:color w:val="E8E8E8"/>
                <w:sz w:val="19"/>
                <w:szCs w:val="19"/>
              </w:rPr>
              <w:t xml:space="preserve">  "notification_token": "b7e2f1...",</w:t>
            </w:r>
          </w:p>
          <w:p>
            <w:pPr>
              <w:spacing w:after="40"/>
            </w:pPr>
            <w:r>
              <w:rPr>
                <w:rFonts w:ascii="Consolas" w:cs="Consolas" w:eastAsia="Consolas" w:hAnsi="Consolas"/>
                <w:color w:val="E8E8E8"/>
                <w:sz w:val="19"/>
                <w:szCs w:val="19"/>
              </w:rPr>
              <w:t xml:space="preserve">  "expires_in": 300</w:t>
            </w:r>
          </w:p>
          <w:p>
            <w:pPr>
              <w:spacing w:after="40"/>
            </w:pPr>
            <w:r>
              <w:rPr>
                <w:rFonts w:ascii="Consolas" w:cs="Consolas" w:eastAsia="Consolas" w:hAnsi="Consolas"/>
                <w:color w:val="E8E8E8"/>
                <w:sz w:val="19"/>
                <w:szCs w:val="19"/>
              </w:rPr>
              <w:t xml:space="preserve">}</w:t>
            </w:r>
          </w:p>
        </w:tc>
      </w:tr>
    </w:tbl>
    <w:p>
      <w:pPr>
        <w:spacing w:after="100"/>
      </w:pPr>
    </w:p>
    <w:p>
      <w:pPr>
        <w:spacing w:after="150"/>
      </w:pPr>
      <w:r>
        <w:rPr>
          <w:rFonts w:ascii="Calibri" w:cs="Calibri" w:eastAsia="Calibri" w:hAnsi="Calibri"/>
          <w:sz w:val="22"/>
          <w:szCs w:val="22"/>
        </w:rPr>
        <w:t xml:space="preserve">Reglas para el comercio:</w:t>
      </w:r>
    </w:p>
    <w:p>
      <w:pPr>
        <w:pStyle w:val="ListParagraph"/>
        <w:numPr>
          <w:ilvl w:val="0"/>
          <w:numId w:val="2"/>
        </w:numPr>
        <w:spacing w:after="80"/>
      </w:pPr>
      <w:r>
        <w:rPr>
          <w:rFonts w:ascii="Calibri" w:cs="Calibri" w:eastAsia="Calibri" w:hAnsi="Calibri"/>
          <w:sz w:val="22"/>
          <w:szCs w:val="22"/>
        </w:rPr>
        <w:t xml:space="preserve">Generar un token aleatorio criptográficamente seguro (mínimo 32 bytes, ej. random_bytes + bin2hex, o UUID v4 largo).</w:t>
      </w:r>
    </w:p>
    <w:p>
      <w:pPr>
        <w:pStyle w:val="ListParagraph"/>
        <w:numPr>
          <w:ilvl w:val="0"/>
          <w:numId w:val="2"/>
        </w:numPr>
        <w:spacing w:after="80"/>
      </w:pPr>
      <w:r>
        <w:rPr>
          <w:rFonts w:ascii="Calibri" w:cs="Calibri" w:eastAsia="Calibri" w:hAnsi="Calibri"/>
          <w:sz w:val="22"/>
          <w:szCs w:val="22"/>
        </w:rPr>
        <w:t xml:space="preserve">Guardar en base de datos: el token (o su hash), el bookCode asociado, used_at = null y expires_at (ej. +5 minutos).</w:t>
      </w:r>
    </w:p>
    <w:p>
      <w:pPr>
        <w:pStyle w:val="ListParagraph"/>
        <w:numPr>
          <w:ilvl w:val="0"/>
          <w:numId w:val="2"/>
        </w:numPr>
        <w:spacing w:after="80"/>
      </w:pPr>
      <w:r>
        <w:rPr>
          <w:rFonts w:ascii="Calibri" w:cs="Calibri" w:eastAsia="Calibri" w:hAnsi="Calibri"/>
          <w:sz w:val="22"/>
          <w:szCs w:val="22"/>
        </w:rPr>
        <w:t xml:space="preserve">No guardar el token en texto plano si se puede evitar — igual que un password, guardar hash(token) y comparar hashes.</w:t>
      </w:r>
    </w:p>
    <w:p>
      <w:pPr>
        <w:spacing w:after="200"/>
      </w:pPr>
    </w:p>
    <w:p>
      <w:pPr>
        <w:pStyle w:val="Heading3"/>
        <w:spacing w:after="100" w:before="200"/>
      </w:pPr>
      <w:r>
        <w:t xml:space="preserve">4.3.3 Servicio B (comercio): recibir notificación y actualizar el pago</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Método</w:t>
            </w:r>
          </w:p>
        </w:tc>
        <w:tc>
          <w:tcPr>
            <w:tcW w:type="dxa" w:w="6700"/>
            <w:tcMar>
              <w:top w:type="dxa" w:w="100"/>
              <w:left w:type="dxa" w:w="150"/>
              <w:bottom w:type="dxa" w:w="100"/>
              <w:right w:type="dxa" w:w="150"/>
            </w:tcMar>
          </w:tcPr>
          <w:p>
            <w:r>
              <w:rPr>
                <w:rFonts w:ascii="Calibri" w:cs="Calibri" w:eastAsia="Calibri" w:hAnsi="Calibri"/>
                <w:sz w:val="20"/>
                <w:szCs w:val="20"/>
              </w:rPr>
              <w:t xml:space="preserve">PATCH o POST</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Endpoint (comercio)</w:t>
            </w:r>
          </w:p>
        </w:tc>
        <w:tc>
          <w:tcPr>
            <w:tcW w:type="dxa" w:w="6700"/>
            <w:tcMar>
              <w:top w:type="dxa" w:w="100"/>
              <w:left w:type="dxa" w:w="150"/>
              <w:bottom w:type="dxa" w:w="100"/>
              <w:right w:type="dxa" w:w="150"/>
            </w:tcMar>
          </w:tcPr>
          <w:p>
            <w:r>
              <w:rPr>
                <w:rFonts w:ascii="Calibri" w:cs="Calibri" w:eastAsia="Calibri" w:hAnsi="Calibri"/>
                <w:sz w:val="20"/>
                <w:szCs w:val="20"/>
              </w:rPr>
              <w:t xml:space="preserve">/webhooks/payments/{notification_token}</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Quién llama</w:t>
            </w:r>
          </w:p>
        </w:tc>
        <w:tc>
          <w:tcPr>
            <w:tcW w:type="dxa" w:w="6700"/>
            <w:tcMar>
              <w:top w:type="dxa" w:w="100"/>
              <w:left w:type="dxa" w:w="150"/>
              <w:bottom w:type="dxa" w:w="100"/>
              <w:right w:type="dxa" w:w="150"/>
            </w:tcMar>
          </w:tcPr>
          <w:p>
            <w:r>
              <w:rPr>
                <w:rFonts w:ascii="Calibri" w:cs="Calibri" w:eastAsia="Calibri" w:hAnsi="Calibri"/>
                <w:sz w:val="20"/>
                <w:szCs w:val="20"/>
              </w:rPr>
              <w:t xml:space="preserve">Payment_Card_Service</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Autenticación</w:t>
            </w:r>
          </w:p>
        </w:tc>
        <w:tc>
          <w:tcPr>
            <w:tcW w:type="dxa" w:w="6700"/>
            <w:tcMar>
              <w:top w:type="dxa" w:w="100"/>
              <w:left w:type="dxa" w:w="150"/>
              <w:bottom w:type="dxa" w:w="100"/>
              <w:right w:type="dxa" w:w="150"/>
            </w:tcMar>
          </w:tcPr>
          <w:p>
            <w:r>
              <w:rPr>
                <w:rFonts w:ascii="Calibri" w:cs="Calibri" w:eastAsia="Calibri" w:hAnsi="Calibri"/>
                <w:sz w:val="20"/>
                <w:szCs w:val="20"/>
              </w:rPr>
              <w:t xml:space="preserve">El propio token opaco en la URL o header</w:t>
            </w:r>
          </w:p>
        </w:tc>
      </w:tr>
    </w:tbl>
    <w:p>
      <w:pPr>
        <w:spacing w:after="100"/>
      </w:pPr>
    </w:p>
    <w:p>
      <w:pPr>
        <w:pStyle w:val="Heading3"/>
        <w:spacing w:after="100" w:before="200"/>
      </w:pPr>
      <w:r>
        <w:t xml:space="preserve">Request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  "paymentDate": "2026-08-19 23:57:38",</w:t>
            </w:r>
          </w:p>
          <w:p>
            <w:pPr>
              <w:spacing w:after="40"/>
            </w:pPr>
            <w:r>
              <w:rPr>
                <w:rFonts w:ascii="Consolas" w:cs="Consolas" w:eastAsia="Consolas" w:hAnsi="Consolas"/>
                <w:color w:val="E8E8E8"/>
                <w:sz w:val="19"/>
                <w:szCs w:val="19"/>
              </w:rPr>
              <w:t xml:space="preserve">  "amount": "10.00",</w:t>
            </w:r>
          </w:p>
          <w:p>
            <w:pPr>
              <w:spacing w:after="40"/>
            </w:pPr>
            <w:r>
              <w:rPr>
                <w:rFonts w:ascii="Consolas" w:cs="Consolas" w:eastAsia="Consolas" w:hAnsi="Consolas"/>
                <w:color w:val="E8E8E8"/>
                <w:sz w:val="19"/>
                <w:szCs w:val="19"/>
              </w:rPr>
              <w:t xml:space="preserve">  "currency": "BOB"</w:t>
            </w:r>
          </w:p>
          <w:p>
            <w:pPr>
              <w:spacing w:after="40"/>
            </w:pPr>
            <w:r>
              <w:rPr>
                <w:rFonts w:ascii="Consolas" w:cs="Consolas" w:eastAsia="Consolas" w:hAnsi="Consolas"/>
                <w:color w:val="E8E8E8"/>
                <w:sz w:val="19"/>
                <w:szCs w:val="19"/>
              </w:rPr>
              <w:t xml:space="preserve">}</w:t>
            </w:r>
          </w:p>
        </w:tc>
      </w:tr>
    </w:tbl>
    <w:p>
      <w:pPr>
        <w:spacing w:after="100"/>
      </w:pPr>
    </w:p>
    <w:p>
      <w:pPr>
        <w:pStyle w:val="Heading3"/>
        <w:spacing w:after="100" w:before="200"/>
      </w:pPr>
      <w:r>
        <w:t xml:space="preserve">Ejemplo curl (Payment_Card_Service llamando al comercio)</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curl -X PATCH "https://comercio.example.com/api/webhooks/payments/b7e2f1a9c3d84e6f1b2a7c9e0d4f5a8b3c6e1d9f2a7b4c8e0d1f6a3b9c2e5d7f" \</w:t>
            </w:r>
          </w:p>
          <w:p>
            <w:pPr>
              <w:spacing w:after="40"/>
            </w:pPr>
            <w:r>
              <w:rPr>
                <w:rFonts w:ascii="Consolas" w:cs="Consolas" w:eastAsia="Consolas" w:hAnsi="Consolas"/>
                <w:color w:val="E8E8E8"/>
                <w:sz w:val="19"/>
                <w:szCs w:val="19"/>
              </w:rPr>
              <w:t xml:space="preserve">  -H "Content-Type: application/json" \</w:t>
            </w:r>
          </w:p>
          <w:p>
            <w:pPr>
              <w:spacing w:after="40"/>
            </w:pPr>
            <w:r>
              <w:rPr>
                <w:rFonts w:ascii="Consolas" w:cs="Consolas" w:eastAsia="Consolas" w:hAnsi="Consolas"/>
                <w:color w:val="E8E8E8"/>
                <w:sz w:val="19"/>
                <w:szCs w:val="19"/>
              </w:rPr>
              <w:t xml:space="preserve">  -d '{</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    "paymentDate": "2026-08-19 23:57:38",</w:t>
            </w:r>
          </w:p>
          <w:p>
            <w:pPr>
              <w:spacing w:after="40"/>
            </w:pPr>
            <w:r>
              <w:rPr>
                <w:rFonts w:ascii="Consolas" w:cs="Consolas" w:eastAsia="Consolas" w:hAnsi="Consolas"/>
                <w:color w:val="E8E8E8"/>
                <w:sz w:val="19"/>
                <w:szCs w:val="19"/>
              </w:rPr>
              <w:t xml:space="preserve">    "amount": "10.00",</w:t>
            </w:r>
          </w:p>
          <w:p>
            <w:pPr>
              <w:spacing w:after="40"/>
            </w:pPr>
            <w:r>
              <w:rPr>
                <w:rFonts w:ascii="Consolas" w:cs="Consolas" w:eastAsia="Consolas" w:hAnsi="Consolas"/>
                <w:color w:val="E8E8E8"/>
                <w:sz w:val="19"/>
                <w:szCs w:val="19"/>
              </w:rPr>
              <w:t xml:space="preserve">    "currency": "BOB"</w:t>
            </w:r>
          </w:p>
          <w:p>
            <w:pPr>
              <w:spacing w:after="40"/>
            </w:pPr>
            <w:r>
              <w:rPr>
                <w:rFonts w:ascii="Consolas" w:cs="Consolas" w:eastAsia="Consolas" w:hAnsi="Consolas"/>
                <w:color w:val="E8E8E8"/>
                <w:sz w:val="19"/>
                <w:szCs w:val="19"/>
              </w:rPr>
              <w:t xml:space="preserve">  }'</w:t>
            </w:r>
          </w:p>
        </w:tc>
      </w:tr>
    </w:tbl>
    <w:p>
      <w:pPr>
        <w:spacing w:after="100"/>
      </w:pPr>
    </w:p>
    <w:p>
      <w:pPr>
        <w:pStyle w:val="Heading3"/>
        <w:spacing w:after="100" w:before="200"/>
      </w:pPr>
      <w:r>
        <w:t xml:space="preserve">Response esperada</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 "success": true }</w:t>
            </w:r>
          </w:p>
        </w:tc>
      </w:tr>
    </w:tbl>
    <w:p>
      <w:pPr>
        <w:spacing w:after="100"/>
      </w:pPr>
    </w:p>
    <w:p>
      <w:pPr>
        <w:spacing w:after="150"/>
      </w:pPr>
      <w:r>
        <w:rPr>
          <w:rFonts w:ascii="Calibri" w:cs="Calibri" w:eastAsia="Calibri" w:hAnsi="Calibri"/>
          <w:sz w:val="22"/>
          <w:szCs w:val="22"/>
        </w:rPr>
        <w:t xml:space="preserve">Reglas de validación que el comercio debe aplicar, en este orden:</w:t>
      </w:r>
    </w:p>
    <w:p>
      <w:pPr>
        <w:pStyle w:val="ListParagraph"/>
        <w:numPr>
          <w:ilvl w:val="0"/>
          <w:numId w:val="2"/>
        </w:numPr>
        <w:spacing w:after="80"/>
      </w:pPr>
      <w:r>
        <w:rPr>
          <w:rFonts w:ascii="Calibri" w:cs="Calibri" w:eastAsia="Calibri" w:hAnsi="Calibri"/>
          <w:sz w:val="22"/>
          <w:szCs w:val="22"/>
        </w:rPr>
        <w:t xml:space="preserve">1. Buscar el token por su hash — calcular hash(notification_token recibido) y buscarlo en la tabla de tokens. Si no existe, responder 401/404 sin dar detalles (no revelar si el token existe o expiró, para evitar enumeración).</w:t>
      </w:r>
    </w:p>
    <w:p>
      <w:pPr>
        <w:pStyle w:val="ListParagraph"/>
        <w:numPr>
          <w:ilvl w:val="0"/>
          <w:numId w:val="2"/>
        </w:numPr>
        <w:spacing w:after="80"/>
      </w:pPr>
      <w:r>
        <w:rPr>
          <w:rFonts w:ascii="Calibri" w:cs="Calibri" w:eastAsia="Calibri" w:hAnsi="Calibri"/>
          <w:sz w:val="22"/>
          <w:szCs w:val="22"/>
        </w:rPr>
        <w:t xml:space="preserve">2. Verificar que no haya sido usado — si used_at ya tiene valor, rechazar la petición (409 Conflict). Evita que la misma notificación se procese dos veces por reintentos de red.</w:t>
      </w:r>
    </w:p>
    <w:p>
      <w:pPr>
        <w:pStyle w:val="ListParagraph"/>
        <w:numPr>
          <w:ilvl w:val="0"/>
          <w:numId w:val="2"/>
        </w:numPr>
        <w:spacing w:after="80"/>
      </w:pPr>
      <w:r>
        <w:rPr>
          <w:rFonts w:ascii="Calibri" w:cs="Calibri" w:eastAsia="Calibri" w:hAnsi="Calibri"/>
          <w:sz w:val="22"/>
          <w:szCs w:val="22"/>
        </w:rPr>
        <w:t xml:space="preserve">3. Verificar que no haya expirado — comparar la hora actual contra expires_at. Si expiró, rechazar (410 Gone) y loguear el intento.</w:t>
      </w:r>
    </w:p>
    <w:p>
      <w:pPr>
        <w:pStyle w:val="ListParagraph"/>
        <w:numPr>
          <w:ilvl w:val="0"/>
          <w:numId w:val="2"/>
        </w:numPr>
        <w:spacing w:after="80"/>
      </w:pPr>
      <w:r>
        <w:rPr>
          <w:rFonts w:ascii="Calibri" w:cs="Calibri" w:eastAsia="Calibri" w:hAnsi="Calibri"/>
          <w:sz w:val="22"/>
          <w:szCs w:val="22"/>
        </w:rPr>
        <w:t xml:space="preserve">4. Verificar que el bookCode coincida — debe ser el mismo con el que se generó el token en el Servicio A. Si no coincide, rechazar, para evitar que un token válido se use para actualizar una transacción distinta.</w:t>
      </w:r>
    </w:p>
    <w:p>
      <w:pPr>
        <w:pStyle w:val="ListParagraph"/>
        <w:numPr>
          <w:ilvl w:val="0"/>
          <w:numId w:val="2"/>
        </w:numPr>
        <w:spacing w:after="80"/>
      </w:pPr>
      <w:r>
        <w:rPr>
          <w:rFonts w:ascii="Calibri" w:cs="Calibri" w:eastAsia="Calibri" w:hAnsi="Calibri"/>
          <w:sz w:val="22"/>
          <w:szCs w:val="22"/>
        </w:rPr>
        <w:t xml:space="preserve">5. Actualizar la transacción y marcar el token como usado — todo dentro de una transacción de base de datos (DB transaction) para que sea atómico: actualizar status/paymentDate del pago y marcar used_at = now() en el mismo commit. Evita condiciones de carrera si llegan dos peticiones casi simultáneas.</w:t>
      </w:r>
    </w:p>
    <w:p>
      <w:pPr>
        <w:pStyle w:val="ListParagraph"/>
        <w:numPr>
          <w:ilvl w:val="0"/>
          <w:numId w:val="2"/>
        </w:numPr>
        <w:spacing w:after="80"/>
      </w:pPr>
      <w:r>
        <w:rPr>
          <w:rFonts w:ascii="Calibri" w:cs="Calibri" w:eastAsia="Calibri" w:hAnsi="Calibri"/>
          <w:sz w:val="22"/>
          <w:szCs w:val="22"/>
        </w:rPr>
        <w:t xml:space="preserve">6. Responder 200 con success true — solo después de que el commit fue exitoso. Si algo falla, hacer rollback y responder error para que Payment_Card_Service pueda reintentar (con un token nuevo, ya que este queda inválido).</w:t>
      </w:r>
    </w:p>
    <w:p>
      <w:pPr>
        <w:spacing w:after="200"/>
      </w:pPr>
    </w:p>
    <w:p>
      <w:pPr>
        <w:pStyle w:val="Heading3"/>
        <w:spacing w:after="100" w:before="200"/>
      </w:pPr>
      <w:r>
        <w:t xml:space="preserve">4.3.4 Esquema de tabla sugerido (MySQL, lado comercio)</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CREATE TABLE webhook_notification_tokens (</w:t>
            </w:r>
          </w:p>
          <w:p>
            <w:pPr>
              <w:spacing w:after="40"/>
            </w:pPr>
            <w:r>
              <w:rPr>
                <w:rFonts w:ascii="Consolas" w:cs="Consolas" w:eastAsia="Consolas" w:hAnsi="Consolas"/>
                <w:color w:val="E8E8E8"/>
                <w:sz w:val="19"/>
                <w:szCs w:val="19"/>
              </w:rPr>
              <w:t xml:space="preserve">    id           BIGINT UNSIGNED AUTO_INCREMENT PRIMARY KEY,</w:t>
            </w:r>
          </w:p>
          <w:p>
            <w:pPr>
              <w:spacing w:after="40"/>
            </w:pPr>
            <w:r>
              <w:rPr>
                <w:rFonts w:ascii="Consolas" w:cs="Consolas" w:eastAsia="Consolas" w:hAnsi="Consolas"/>
                <w:color w:val="E8E8E8"/>
                <w:sz w:val="19"/>
                <w:szCs w:val="19"/>
              </w:rPr>
              <w:t xml:space="preserve">    token_hash   CHAR(64) NOT NULL UNIQUE,   -- sha256(token)</w:t>
            </w:r>
          </w:p>
          <w:p>
            <w:pPr>
              <w:spacing w:after="40"/>
            </w:pPr>
            <w:r>
              <w:rPr>
                <w:rFonts w:ascii="Consolas" w:cs="Consolas" w:eastAsia="Consolas" w:hAnsi="Consolas"/>
                <w:color w:val="E8E8E8"/>
                <w:sz w:val="19"/>
                <w:szCs w:val="19"/>
              </w:rPr>
              <w:t xml:space="preserve">    book_code    VARCHAR(64) NOT NULL,</w:t>
            </w:r>
          </w:p>
          <w:p>
            <w:pPr>
              <w:spacing w:after="40"/>
            </w:pPr>
            <w:r>
              <w:rPr>
                <w:rFonts w:ascii="Consolas" w:cs="Consolas" w:eastAsia="Consolas" w:hAnsi="Consolas"/>
                <w:color w:val="E8E8E8"/>
                <w:sz w:val="19"/>
                <w:szCs w:val="19"/>
              </w:rPr>
              <w:t xml:space="preserve">    used_at      DATETIME NULL,</w:t>
            </w:r>
          </w:p>
          <w:p>
            <w:pPr>
              <w:spacing w:after="40"/>
            </w:pPr>
            <w:r>
              <w:rPr>
                <w:rFonts w:ascii="Consolas" w:cs="Consolas" w:eastAsia="Consolas" w:hAnsi="Consolas"/>
                <w:color w:val="E8E8E8"/>
                <w:sz w:val="19"/>
                <w:szCs w:val="19"/>
              </w:rPr>
              <w:t xml:space="preserve">    expires_at   DATETIME NOT NULL,</w:t>
            </w:r>
          </w:p>
          <w:p>
            <w:pPr>
              <w:spacing w:after="40"/>
            </w:pPr>
            <w:r>
              <w:rPr>
                <w:rFonts w:ascii="Consolas" w:cs="Consolas" w:eastAsia="Consolas" w:hAnsi="Consolas"/>
                <w:color w:val="E8E8E8"/>
                <w:sz w:val="19"/>
                <w:szCs w:val="19"/>
              </w:rPr>
              <w:t xml:space="preserve">    created_at   TIMESTAMP DEFAULT CURRENT_TIMESTAMP,</w:t>
            </w:r>
          </w:p>
          <w:p>
            <w:pPr>
              <w:spacing w:after="40"/>
            </w:pPr>
            <w:r>
              <w:rPr>
                <w:rFonts w:ascii="Consolas" w:cs="Consolas" w:eastAsia="Consolas" w:hAnsi="Consolas"/>
                <w:color w:val="E8E8E8"/>
                <w:sz w:val="19"/>
                <w:szCs w:val="19"/>
              </w:rPr>
              <w:t xml:space="preserve">    INDEX idx_book_code (book_code)</w:t>
            </w:r>
          </w:p>
          <w:p>
            <w:pPr>
              <w:spacing w:after="40"/>
            </w:pPr>
            <w:r>
              <w:rPr>
                <w:rFonts w:ascii="Consolas" w:cs="Consolas" w:eastAsia="Consolas" w:hAnsi="Consolas"/>
                <w:color w:val="E8E8E8"/>
                <w:sz w:val="19"/>
                <w:szCs w:val="19"/>
              </w:rPr>
              <w:t xml:space="preserve">);</w:t>
            </w:r>
          </w:p>
        </w:tc>
      </w:tr>
    </w:tbl>
    <w:p>
      <w:pPr>
        <w:spacing w:after="100"/>
      </w:pPr>
    </w:p>
    <w:p>
      <w:pPr>
        <w:spacing w:after="150"/>
      </w:pPr>
      <w:r>
        <w:rPr>
          <w:rFonts w:ascii="Calibri" w:cs="Calibri" w:eastAsia="Calibri" w:hAnsi="Calibri"/>
          <w:sz w:val="22"/>
          <w:szCs w:val="22"/>
        </w:rPr>
        <w:t xml:space="preserve">Consideraciones extra de seguridad recomendadas para el comercio:</w:t>
      </w:r>
    </w:p>
    <w:p>
      <w:pPr>
        <w:pStyle w:val="ListParagraph"/>
        <w:numPr>
          <w:ilvl w:val="0"/>
          <w:numId w:val="2"/>
        </w:numPr>
        <w:spacing w:after="80"/>
      </w:pPr>
      <w:r>
        <w:rPr>
          <w:rFonts w:ascii="Calibri" w:cs="Calibri" w:eastAsia="Calibri" w:hAnsi="Calibri"/>
          <w:sz w:val="22"/>
          <w:szCs w:val="22"/>
        </w:rPr>
        <w:t xml:space="preserve">HTTPS obligatorio en ambos endpoints — el token viaja en la URL o body, y sin TLS es interceptable.</w:t>
      </w:r>
    </w:p>
    <w:p>
      <w:pPr>
        <w:pStyle w:val="ListParagraph"/>
        <w:numPr>
          <w:ilvl w:val="0"/>
          <w:numId w:val="2"/>
        </w:numPr>
        <w:spacing w:after="80"/>
      </w:pPr>
      <w:r>
        <w:rPr>
          <w:rFonts w:ascii="Calibri" w:cs="Calibri" w:eastAsia="Calibri" w:hAnsi="Calibri"/>
          <w:sz w:val="22"/>
          <w:szCs w:val="22"/>
        </w:rPr>
        <w:t xml:space="preserve">Timeout corto: 5 minutos es razonable para expires_in (es solo el tiempo entre "voy a notificar" y "notifico").</w:t>
      </w:r>
    </w:p>
    <w:p>
      <w:pPr>
        <w:pStyle w:val="ListParagraph"/>
        <w:numPr>
          <w:ilvl w:val="0"/>
          <w:numId w:val="2"/>
        </w:numPr>
        <w:spacing w:after="80"/>
      </w:pPr>
      <w:r>
        <w:rPr>
          <w:rFonts w:ascii="Calibri" w:cs="Calibri" w:eastAsia="Calibri" w:hAnsi="Calibri"/>
          <w:sz w:val="22"/>
          <w:szCs w:val="22"/>
        </w:rPr>
        <w:t xml:space="preserve">Idempotencia: si Payment_Card_Service reintenta por timeout de red, el comercio debe responder de forma predecible (409) sin romper nada.</w:t>
      </w:r>
    </w:p>
    <w:p>
      <w:pPr>
        <w:pStyle w:val="ListParagraph"/>
        <w:numPr>
          <w:ilvl w:val="0"/>
          <w:numId w:val="2"/>
        </w:numPr>
        <w:spacing w:after="80"/>
      </w:pPr>
      <w:r>
        <w:rPr>
          <w:rFonts w:ascii="Calibri" w:cs="Calibri" w:eastAsia="Calibri" w:hAnsi="Calibri"/>
          <w:sz w:val="22"/>
          <w:szCs w:val="22"/>
        </w:rPr>
        <w:t xml:space="preserve">Logging: registrar cada intento fallido (token inválido, expirado, ya usado) para detectar abuso o bugs de integración.</w:t>
      </w:r>
    </w:p>
    <w:p>
      <w:pPr>
        <w:pStyle w:val="ListParagraph"/>
        <w:numPr>
          <w:ilvl w:val="0"/>
          <w:numId w:val="2"/>
        </w:numPr>
        <w:spacing w:after="80"/>
      </w:pPr>
      <w:r>
        <w:rPr>
          <w:rFonts w:ascii="Calibri" w:cs="Calibri" w:eastAsia="Calibri" w:hAnsi="Calibri"/>
          <w:sz w:val="22"/>
          <w:szCs w:val="22"/>
        </w:rPr>
        <w:t xml:space="preserve">Opcional pero recomendable: firmar el body con HMAC usando un secreto compartido, como capa extra además del token.</w:t>
      </w:r>
    </w:p>
    <w:p>
      <w:pPr>
        <w:spacing w:after="200"/>
      </w:pPr>
    </w:p>
    <w:p>
      <w:pPr>
        <w:pStyle w:val="Heading2"/>
        <w:spacing w:after="150" w:before="300"/>
      </w:pPr>
      <w:r>
        <w:t>4.4 Consultar estado de pago(s)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700"/>
      </w:tblGrid>
      <w:tr>
        <w:tc>
          <w:tcPr>
            <w:tcW w:type="dxa" w:w="2800"/>
            <w:shd w:fill="F2F2F2" w:color="auto" w:val="clear"/>
            <w:tcMar>
              <w:top w:type="dxa" w:w="100"/>
              <w:left w:type="dxa" w:w="150"/>
              <w:bottom w:type="dxa" w:w="100"/>
              <w:right w:type="dxa" w:w="150"/>
            </w:tcMar>
          </w:tcPr>
          <w:p>
            <w:r>
              <w:rPr>
                <w:rFonts w:ascii="Calibri" w:cs="Calibri" w:eastAsia="Calibri" w:hAnsi="Calibri"/>
                <w:b/>
                <w:bCs/>
                <w:sz w:val="20"/>
                <w:szCs w:val="20"/>
              </w:rPr>
              <w:t xml:space="preserve">Método</w:t>
            </w:r>
          </w:p>
        </w:tc>
        <w:tc>
          <w:tcPr>
            <w:tcW w:type="dxa" w:w="6700"/>
            <w:tcMar>
              <w:top w:type="dxa" w:w="100"/>
              <w:left w:type="dxa" w:w="150"/>
              <w:bottom w:type="dxa" w:w="100"/>
              <w:right w:type="dxa" w:w="150"/>
            </w:tcMar>
          </w:tcPr>
          <w:p>
            <w:r>
              <w:rPr>
                <w:rFonts w:ascii="Calibri" w:cs="Calibri" w:eastAsia="Calibri" w:hAnsi="Calibri"/>
                <w:sz w:val="20"/>
                <w:szCs w:val="20"/>
              </w:rPr>
              <w:t xml:space="preserve">POST</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Endpoint</w:t>
            </w:r>
          </w:p>
        </w:tc>
        <w:tc>
          <w:tcPr>
            <w:tcW w:type="dxa" w:w="6700"/>
            <w:tcMar>
              <w:top w:type="dxa" w:w="100"/>
              <w:left w:type="dxa" w:w="150"/>
              <w:bottom w:type="dxa" w:w="100"/>
              <w:right w:type="dxa" w:w="150"/>
            </w:tcMar>
          </w:tcPr>
          <w:p>
            <w:r>
              <w:rPr>
                <w:rFonts w:ascii="Calibri" w:cs="Calibri" w:eastAsia="Calibri" w:hAnsi="Calibri"/>
                <w:sz w:val="20"/>
                <w:szCs w:val="20"/>
              </w:rPr>
              <w:t xml:space="preserve">/search</w:t>
            </w:r>
          </w:p>
        </w:tc>
      </w:tr>
      <w:tr>
        <w:tc>
          <w:tcPr>
            <w:tcW w:type="dxa" w:w="2800"/>
            <w:shd w:fill="FFFFFF" w:color="auto" w:val="clear"/>
            <w:tcMar>
              <w:top w:type="dxa" w:w="100"/>
              <w:left w:type="dxa" w:w="150"/>
              <w:bottom w:type="dxa" w:w="100"/>
              <w:right w:type="dxa" w:w="150"/>
            </w:tcMar>
          </w:tcPr>
          <w:p>
            <w:r>
              <w:rPr>
                <w:rFonts w:ascii="Calibri" w:cs="Calibri" w:eastAsia="Calibri" w:hAnsi="Calibri"/>
                <w:b/>
                <w:bCs/>
                <w:sz w:val="20"/>
                <w:szCs w:val="20"/>
              </w:rPr>
              <w:t xml:space="preserve">Autenticación</w:t>
            </w:r>
          </w:p>
        </w:tc>
        <w:tc>
          <w:tcPr>
            <w:tcW w:type="dxa" w:w="6700"/>
            <w:tcMar>
              <w:top w:type="dxa" w:w="100"/>
              <w:left w:type="dxa" w:w="150"/>
              <w:bottom w:type="dxa" w:w="100"/>
              <w:right w:type="dxa" w:w="150"/>
            </w:tcMar>
          </w:tcPr>
          <w:p>
            <w:r>
              <w:rPr>
                <w:rFonts w:ascii="Calibri" w:cs="Calibri" w:eastAsia="Calibri" w:hAnsi="Calibri"/>
                <w:sz w:val="20"/>
                <w:szCs w:val="20"/>
              </w:rPr>
              <w:t>Authorization: Bearer {merchant_notification_api_key} (misma API key que 4.1, sin paso previo)</w:t>
            </w:r>
          </w:p>
        </w:tc>
      </w:tr>
    </w:tbl>
    <w:p>
      <w:pPr>
        <w:spacing w:after="100"/>
      </w:pPr>
    </w:p>
    <w:p>
      <w:pPr>
        <w:pStyle w:val="Heading3"/>
        <w:spacing w:after="100" w:before="200"/>
      </w:pPr>
      <w:r>
        <w:t xml:space="preserve">Headers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Authorization: Bearer {merchant_notification_api_key}</w:t>
            </w:r>
          </w:p>
        </w:tc>
      </w:tr>
    </w:tbl>
    <w:p>
      <w:pPr>
        <w:spacing w:after="100"/>
      </w:pPr>
    </w:p>
    <w:p>
      <w:pPr>
        <w:pStyle w:val="Heading3"/>
        <w:spacing w:after="100" w:before="200"/>
      </w:pPr>
      <w:r>
        <w:t xml:space="preserve">Request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"from_date": "2026-08-20",</w:t>
            </w:r>
          </w:p>
          <w:p>
            <w:pPr>
              <w:spacing w:after="40"/>
            </w:pPr>
            <w:r>
              <w:rPr>
                <w:rFonts w:ascii="Consolas" w:cs="Consolas" w:eastAsia="Consolas" w:hAnsi="Consolas"/>
                <w:color w:val="E8E8E8"/>
                <w:sz w:val="19"/>
                <w:szCs w:val="19"/>
              </w:rPr>
              <w:t xml:space="preserve">  "to_date": "2026-08-21",</w:t>
            </w:r>
          </w:p>
          <w:p>
            <w:pPr>
              <w:spacing w:after="40"/>
            </w:pPr>
            <w:r>
              <w:rPr>
                <w:rFonts w:ascii="Consolas" w:cs="Consolas" w:eastAsia="Consolas" w:hAnsi="Consolas"/>
                <w:color w:val="E8E8E8"/>
                <w:sz w:val="19"/>
                <w:szCs w:val="19"/>
              </w:rPr>
              <w:t xml:space="preserve">  "bookCode": ""</w:t>
            </w:r>
          </w:p>
          <w:p>
            <w:pPr>
              <w:spacing w:after="40"/>
            </w:pPr>
            <w:r>
              <w:rPr>
                <w:rFonts w:ascii="Consolas" w:cs="Consolas" w:eastAsia="Consolas" w:hAnsi="Consolas"/>
                <w:color w:val="E8E8E8"/>
                <w:sz w:val="19"/>
                <w:szCs w:val="19"/>
              </w:rPr>
              <w:t xml:space="preserve">}</w:t>
            </w:r>
          </w:p>
        </w:tc>
      </w:tr>
    </w:tbl>
    <w:p>
      <w:pPr>
        <w:spacing w:after="1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600"/>
        <w:gridCol w:w="5300"/>
      </w:tblGrid>
      <w:tr>
        <w:trPr>
          <w:tblHeader/>
        </w:trPr>
        <w:tc>
          <w:tcPr>
            <w:tcW w:type="dxa" w:w="2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Campo</w:t>
            </w:r>
          </w:p>
        </w:tc>
        <w:tc>
          <w:tcPr>
            <w:tcW w:type="dxa" w:w="1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Tipo</w:t>
            </w:r>
          </w:p>
        </w:tc>
        <w:tc>
          <w:tcPr>
            <w:tcW w:type="dxa" w:w="53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from_date</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Fecha inicial del rango de búsqueda (opcional).</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 xml:space="preserve">to_date</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 xml:space="preserve">Fecha final del rango de búsqueda (opcional).</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bookCode</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string</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Código de la transacción a buscar (opcional).</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los criterios de búsqueda son excluyentes: se debe buscar por rango de fechas (from_date/to_date) o por bookCode, pero no por ambos al mismo tiempo.</w:t>
            </w:r>
          </w:p>
        </w:tc>
      </w:tr>
    </w:tbl>
    <w:p>
      <w:pPr>
        <w:spacing w:after="100"/>
      </w:pPr>
    </w:p>
    <w:p>
      <w:pPr>
        <w:pStyle w:val="Heading3"/>
        <w:spacing w:after="100" w:before="200"/>
      </w:pPr>
      <w:r>
        <w:t xml:space="preserve">Ejemplo curl</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hAnsi="Consolas"/>
                <w:sz w:val="19"/>
              </w:rPr>
              <w:t>curl -X POST "https://payment-service-card-production.up.railway.app/api/payments/search" \</w:t>
            </w:r>
          </w:p>
          <w:p>
            <w:r>
              <w:rPr>
                <w:rFonts w:ascii="Consolas" w:hAnsi="Consolas"/>
                <w:sz w:val="19"/>
              </w:rPr>
              <w:t xml:space="preserve">  -H "Content-Type: application/json" \</w:t>
            </w:r>
          </w:p>
          <w:p>
            <w:r>
              <w:rPr>
                <w:rFonts w:ascii="Consolas" w:hAnsi="Consolas"/>
                <w:sz w:val="19"/>
              </w:rPr>
              <w:t xml:space="preserve">  -H "Authorization: Bearer {merchant_notification_api_key}" \</w:t>
            </w:r>
          </w:p>
          <w:p>
            <w:r>
              <w:rPr>
                <w:rFonts w:ascii="Consolas" w:hAnsi="Consolas"/>
                <w:sz w:val="19"/>
              </w:rPr>
              <w:t xml:space="preserve">  -d '{</w:t>
            </w:r>
          </w:p>
          <w:p>
            <w:r>
              <w:rPr>
                <w:rFonts w:ascii="Consolas" w:hAnsi="Consolas"/>
                <w:sz w:val="19"/>
              </w:rPr>
              <w:t xml:space="preserve">    "from_date": "2026-08-20",</w:t>
            </w:r>
          </w:p>
          <w:p>
            <w:r>
              <w:rPr>
                <w:rFonts w:ascii="Consolas" w:hAnsi="Consolas"/>
                <w:sz w:val="19"/>
              </w:rPr>
              <w:t xml:space="preserve">    "to_date": "2026-08-21",</w:t>
            </w:r>
          </w:p>
          <w:p>
            <w:r>
              <w:rPr>
                <w:rFonts w:ascii="Consolas" w:hAnsi="Consolas"/>
                <w:sz w:val="19"/>
              </w:rPr>
              <w:t xml:space="preserve">    "bookCode": ""</w:t>
            </w:r>
          </w:p>
          <w:p>
            <w:r>
              <w:rPr>
                <w:rFonts w:ascii="Consolas" w:hAnsi="Consolas"/>
                <w:sz w:val="19"/>
              </w:rPr>
              <w:t xml:space="preserve">  }'</w:t>
            </w:r>
          </w:p>
        </w:tc>
      </w:tr>
    </w:tbl>
    <w:p>
      <w:pPr>
        <w:spacing w:after="100"/>
      </w:pPr>
    </w:p>
    <w:p>
      <w:pPr>
        <w:pStyle w:val="Heading3"/>
        <w:spacing w:after="100" w:before="200"/>
      </w:pPr>
      <w:r>
        <w:t xml:space="preserve">Response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1A1A2E" w:color="auto" w:val="clear"/>
            <w:tcMar>
              <w:top w:type="dxa" w:w="150"/>
              <w:left w:type="dxa" w:w="200"/>
              <w:bottom w:type="dxa" w:w="150"/>
              <w:right w:type="dxa" w:w="20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"success": true,</w:t>
            </w:r>
          </w:p>
          <w:p>
            <w:pPr>
              <w:spacing w:after="40"/>
            </w:pPr>
            <w:r>
              <w:rPr>
                <w:rFonts w:ascii="Consolas" w:cs="Consolas" w:eastAsia="Consolas" w:hAnsi="Consolas"/>
                <w:color w:val="E8E8E8"/>
                <w:sz w:val="19"/>
                <w:szCs w:val="19"/>
              </w:rPr>
              <w:t xml:space="preserve">    "user": {</w:t>
            </w:r>
          </w:p>
          <w:p>
            <w:pPr>
              <w:spacing w:after="40"/>
            </w:pPr>
            <w:r>
              <w:rPr>
                <w:rFonts w:ascii="Consolas" w:cs="Consolas" w:eastAsia="Consolas" w:hAnsi="Consolas"/>
                <w:color w:val="E8E8E8"/>
                <w:sz w:val="19"/>
                <w:szCs w:val="19"/>
              </w:rPr>
              <w:t xml:space="preserve">        "id": 1,</w:t>
            </w:r>
          </w:p>
          <w:p>
            <w:pPr>
              <w:spacing w:after="40"/>
            </w:pPr>
            <w:r>
              <w:rPr>
                <w:rFonts w:ascii="Consolas" w:cs="Consolas" w:eastAsia="Consolas" w:hAnsi="Consolas"/>
                <w:color w:val="E8E8E8"/>
                <w:sz w:val="19"/>
                <w:szCs w:val="19"/>
              </w:rPr>
              <w:t xml:space="preserve">        "username": "testuser",</w:t>
            </w:r>
          </w:p>
          <w:p>
            <w:pPr>
              <w:spacing w:after="40"/>
            </w:pPr>
            <w:r>
              <w:rPr>
                <w:rFonts w:ascii="Consolas" w:cs="Consolas" w:eastAsia="Consolas" w:hAnsi="Consolas"/>
                <w:color w:val="E8E8E8"/>
                <w:sz w:val="19"/>
                <w:szCs w:val="19"/>
              </w:rPr>
              <w:t xml:space="preserve">        "email": "test@example.com"</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"count": 1,</w:t>
            </w:r>
          </w:p>
          <w:p>
            <w:pPr>
              <w:spacing w:after="40"/>
            </w:pPr>
            <w:r>
              <w:rPr>
                <w:rFonts w:ascii="Consolas" w:cs="Consolas" w:eastAsia="Consolas" w:hAnsi="Consolas"/>
                <w:color w:val="E8E8E8"/>
                <w:sz w:val="19"/>
                <w:szCs w:val="19"/>
              </w:rPr>
              <w:t xml:space="preserve">    "payments":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"amount": "0",</w:t>
            </w:r>
          </w:p>
          <w:p>
            <w:pPr>
              <w:spacing w:after="40"/>
            </w:pPr>
            <w:r>
              <w:rPr>
                <w:rFonts w:ascii="Consolas" w:cs="Consolas" w:eastAsia="Consolas" w:hAnsi="Consolas"/>
                <w:color w:val="E8E8E8"/>
                <w:sz w:val="19"/>
                <w:szCs w:val="19"/>
              </w:rPr>
              <w:t xml:space="preserve">            "currency": "BOB",</w:t>
            </w:r>
          </w:p>
          <w:p>
            <w:pPr>
              <w:spacing w:after="40"/>
            </w:pPr>
            <w:r>
              <w:rPr>
                <w:rFonts w:ascii="Consolas" w:cs="Consolas" w:eastAsia="Consolas" w:hAnsi="Consolas"/>
                <w:color w:val="E8E8E8"/>
                <w:sz w:val="19"/>
                <w:szCs w:val="19"/>
              </w:rPr>
              <w:t xml:space="preserve">            "description": "Pago online",</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            "creationDate": "2026-08-19 23:57:38",</w:t>
            </w:r>
          </w:p>
          <w:p>
            <w:pPr>
              <w:spacing w:after="40"/>
            </w:pPr>
            <w:r>
              <w:rPr>
                <w:rFonts w:ascii="Consolas" w:cs="Consolas" w:eastAsia="Consolas" w:hAnsi="Consolas"/>
                <w:color w:val="E8E8E8"/>
                <w:sz w:val="19"/>
                <w:szCs w:val="19"/>
              </w:rPr>
              <w:t xml:space="preserve">            "paymentDate": "2026-08-19 23:57:38"</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"data":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"bookCode": "123456789",</w:t>
            </w:r>
          </w:p>
          <w:p>
            <w:pPr>
              <w:spacing w:after="40"/>
            </w:pPr>
            <w:r>
              <w:rPr>
                <w:rFonts w:ascii="Consolas" w:cs="Consolas" w:eastAsia="Consolas" w:hAnsi="Consolas"/>
                <w:color w:val="E8E8E8"/>
                <w:sz w:val="19"/>
                <w:szCs w:val="19"/>
              </w:rPr>
              <w:t xml:space="preserve">            "amount": "0",</w:t>
            </w:r>
          </w:p>
          <w:p>
            <w:pPr>
              <w:spacing w:after="40"/>
            </w:pPr>
            <w:r>
              <w:rPr>
                <w:rFonts w:ascii="Consolas" w:cs="Consolas" w:eastAsia="Consolas" w:hAnsi="Consolas"/>
                <w:color w:val="E8E8E8"/>
                <w:sz w:val="19"/>
                <w:szCs w:val="19"/>
              </w:rPr>
              <w:t xml:space="preserve">            "currency": "BOB",</w:t>
            </w:r>
          </w:p>
          <w:p>
            <w:pPr>
              <w:spacing w:after="40"/>
            </w:pPr>
            <w:r>
              <w:rPr>
                <w:rFonts w:ascii="Consolas" w:cs="Consolas" w:eastAsia="Consolas" w:hAnsi="Consolas"/>
                <w:color w:val="E8E8E8"/>
                <w:sz w:val="19"/>
                <w:szCs w:val="19"/>
              </w:rPr>
              <w:t xml:space="preserve">            "description": "Pago online",</w:t>
            </w:r>
          </w:p>
          <w:p>
            <w:pPr>
              <w:spacing w:after="40"/>
            </w:pPr>
            <w:r>
              <w:rPr>
                <w:rFonts w:ascii="Consolas" w:cs="Consolas" w:eastAsia="Consolas" w:hAnsi="Consolas"/>
                <w:color w:val="E8E8E8"/>
                <w:sz w:val="19"/>
                <w:szCs w:val="19"/>
              </w:rPr>
              <w:t xml:space="preserve">            "status": "Pagado",</w:t>
            </w:r>
          </w:p>
          <w:p>
            <w:pPr>
              <w:spacing w:after="40"/>
            </w:pPr>
            <w:r>
              <w:rPr>
                <w:rFonts w:ascii="Consolas" w:cs="Consolas" w:eastAsia="Consolas" w:hAnsi="Consolas"/>
                <w:color w:val="E8E8E8"/>
                <w:sz w:val="19"/>
                <w:szCs w:val="19"/>
              </w:rPr>
              <w:t xml:space="preserve">            "creationDate": "2026-08-19 23:57:38",</w:t>
            </w:r>
          </w:p>
          <w:p>
            <w:pPr>
              <w:spacing w:after="40"/>
            </w:pPr>
            <w:r>
              <w:rPr>
                <w:rFonts w:ascii="Consolas" w:cs="Consolas" w:eastAsia="Consolas" w:hAnsi="Consolas"/>
                <w:color w:val="E8E8E8"/>
                <w:sz w:val="19"/>
                <w:szCs w:val="19"/>
              </w:rPr>
              <w:t xml:space="preserve">            "paymentDate": "2026-08-19 23:57:38"</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w:t>
            </w:r>
          </w:p>
        </w:tc>
      </w:tr>
    </w:tbl>
    <w:p>
      <w:pPr>
        <w:spacing w:after="1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600"/>
        <w:gridCol w:w="5300"/>
      </w:tblGrid>
      <w:tr>
        <w:trPr>
          <w:tblHeader/>
        </w:trPr>
        <w:tc>
          <w:tcPr>
            <w:tcW w:type="dxa" w:w="2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Campo</w:t>
            </w:r>
          </w:p>
        </w:tc>
        <w:tc>
          <w:tcPr>
            <w:tcW w:type="dxa" w:w="16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Tipo</w:t>
            </w:r>
          </w:p>
        </w:tc>
        <w:tc>
          <w:tcPr>
            <w:tcW w:type="dxa" w:w="53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Descripción</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success</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boolean</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Indica si la búsqueda fue exitosa.</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 xml:space="preserve">user</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 xml:space="preserve">object</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 xml:space="preserve">Datos del usuario autenticado.</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count</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number</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Cantidad de resultados encontrados.</w:t>
            </w:r>
          </w:p>
        </w:tc>
      </w:tr>
      <w:tr>
        <w:tc>
          <w:tcPr>
            <w:tcW w:type="dxa" w:w="2600"/>
            <w:shd w:fill="F2F2F2" w:color="auto" w:val="clear"/>
            <w:tcMar>
              <w:top w:type="dxa" w:w="100"/>
              <w:left w:type="dxa" w:w="150"/>
              <w:bottom w:type="dxa" w:w="100"/>
              <w:right w:type="dxa" w:w="150"/>
            </w:tcMar>
          </w:tcPr>
          <w:p>
            <w:r>
              <w:rPr>
                <w:rFonts w:ascii="Consolas" w:cs="Consolas" w:eastAsia="Consolas" w:hAnsi="Consolas"/>
                <w:sz w:val="19"/>
                <w:szCs w:val="19"/>
              </w:rPr>
              <w:t xml:space="preserve">payments</w:t>
            </w:r>
          </w:p>
        </w:tc>
        <w:tc>
          <w:tcPr>
            <w:tcW w:type="dxa" w:w="1600"/>
            <w:shd w:fill="F2F2F2" w:color="auto" w:val="clear"/>
            <w:tcMar>
              <w:top w:type="dxa" w:w="100"/>
              <w:left w:type="dxa" w:w="150"/>
              <w:bottom w:type="dxa" w:w="100"/>
              <w:right w:type="dxa" w:w="150"/>
            </w:tcMar>
          </w:tcPr>
          <w:p>
            <w:r>
              <w:rPr>
                <w:rFonts w:ascii="Calibri" w:cs="Calibri" w:eastAsia="Calibri" w:hAnsi="Calibri"/>
                <w:sz w:val="19"/>
                <w:szCs w:val="19"/>
              </w:rPr>
              <w:t xml:space="preserve">array</w:t>
            </w:r>
          </w:p>
        </w:tc>
        <w:tc>
          <w:tcPr>
            <w:tcW w:type="dxa" w:w="5300"/>
            <w:shd w:fill="F2F2F2" w:color="auto" w:val="clear"/>
            <w:tcMar>
              <w:top w:type="dxa" w:w="100"/>
              <w:left w:type="dxa" w:w="150"/>
              <w:bottom w:type="dxa" w:w="100"/>
              <w:right w:type="dxa" w:w="150"/>
            </w:tcMar>
          </w:tcPr>
          <w:p>
            <w:r>
              <w:rPr>
                <w:rFonts w:ascii="Calibri" w:cs="Calibri" w:eastAsia="Calibri" w:hAnsi="Calibri"/>
                <w:sz w:val="19"/>
                <w:szCs w:val="19"/>
              </w:rPr>
              <w:t xml:space="preserve">Listado de pagos encontrados, con la misma estructura que data.</w:t>
            </w:r>
          </w:p>
        </w:tc>
      </w:tr>
      <w:tr>
        <w:tc>
          <w:tcPr>
            <w:tcW w:type="dxa" w:w="2600"/>
            <w:shd w:fill="FFFFFF" w:color="auto" w:val="clear"/>
            <w:tcMar>
              <w:top w:type="dxa" w:w="100"/>
              <w:left w:type="dxa" w:w="150"/>
              <w:bottom w:type="dxa" w:w="100"/>
              <w:right w:type="dxa" w:w="150"/>
            </w:tcMar>
          </w:tcPr>
          <w:p>
            <w:r>
              <w:rPr>
                <w:rFonts w:ascii="Consolas" w:cs="Consolas" w:eastAsia="Consolas" w:hAnsi="Consolas"/>
                <w:sz w:val="19"/>
                <w:szCs w:val="19"/>
              </w:rPr>
              <w:t xml:space="preserve">data</w:t>
            </w:r>
          </w:p>
        </w:tc>
        <w:tc>
          <w:tcPr>
            <w:tcW w:type="dxa" w:w="1600"/>
            <w:shd w:fill="FFFFFF" w:color="auto" w:val="clear"/>
            <w:tcMar>
              <w:top w:type="dxa" w:w="100"/>
              <w:left w:type="dxa" w:w="150"/>
              <w:bottom w:type="dxa" w:w="100"/>
              <w:right w:type="dxa" w:w="150"/>
            </w:tcMar>
          </w:tcPr>
          <w:p>
            <w:r>
              <w:rPr>
                <w:rFonts w:ascii="Calibri" w:cs="Calibri" w:eastAsia="Calibri" w:hAnsi="Calibri"/>
                <w:sz w:val="19"/>
                <w:szCs w:val="19"/>
              </w:rPr>
              <w:t xml:space="preserve">array</w:t>
            </w:r>
          </w:p>
        </w:tc>
        <w:tc>
          <w:tcPr>
            <w:tcW w:type="dxa" w:w="5300"/>
            <w:shd w:fill="FFFFFF" w:color="auto" w:val="clear"/>
            <w:tcMar>
              <w:top w:type="dxa" w:w="100"/>
              <w:left w:type="dxa" w:w="150"/>
              <w:bottom w:type="dxa" w:w="100"/>
              <w:right w:type="dxa" w:w="150"/>
            </w:tcMar>
          </w:tcPr>
          <w:p>
            <w:r>
              <w:rPr>
                <w:rFonts w:ascii="Calibri" w:cs="Calibri" w:eastAsia="Calibri" w:hAnsi="Calibri"/>
                <w:sz w:val="19"/>
                <w:szCs w:val="19"/>
              </w:rPr>
              <w:t xml:space="preserve">Duplicado de payments, con idéntica estructura y contenido.</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payments y data contienen exactamente la misma información en la respuesta. Se documentan ambos campos porque el servicio los devuelve así, pero para integrar basta con leer uno de los dos (se recomienda payments, por ser el nombre más descriptivo).</w:t>
            </w:r>
          </w:p>
        </w:tc>
      </w:tr>
    </w:tbl>
    <w:p>
      <w:pPr>
        <w:spacing w:after="200"/>
      </w:pPr>
    </w:p>
    <w:p>
      <w:pPr>
        <w:pStyle w:val="Heading1"/>
        <w:spacing w:after="200" w:before="400"/>
      </w:pPr>
      <w:r>
        <w:t xml:space="preserve">5. Códigos de error y manejo de excepciones</w:t>
      </w:r>
    </w:p>
    <w:p>
      <w:pPr>
        <w:spacing w:after="150"/>
      </w:pPr>
      <w:r>
        <w:rPr>
          <w:rFonts w:ascii="Calibri" w:cs="Calibri" w:eastAsia="Calibri" w:hAnsi="Calibri"/>
          <w:sz w:val="22"/>
          <w:szCs w:val="22"/>
        </w:rPr>
        <w:t xml:space="preserve">Esta tabla consolida los mensajes de error tal como están implementados actualmente en el servicio. Son los mensajes reales que puede recibir un comercio o el cliente final, agrupados por área.</w:t>
      </w:r>
    </w:p>
    <w:p>
      <w:pPr>
        <w:pStyle w:val="Heading2"/>
        <w:spacing w:after="150" w:before="300"/>
      </w:pPr>
      <w:r>
        <w:t xml:space="preserve">5.1 Autenticación y sesión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4400"/>
        <w:gridCol w:w="4200"/>
      </w:tblGrid>
      <w:tr>
        <w:trPr>
          <w:tblHeader/>
        </w:trPr>
        <w:tc>
          <w:tcPr>
            <w:tcW w:type="dxa" w:w="9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HTTP</w:t>
            </w:r>
          </w:p>
        </w:tc>
        <w:tc>
          <w:tcPr>
            <w:tcW w:type="dxa" w:w="44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Mensaje</w:t>
            </w:r>
          </w:p>
        </w:tc>
        <w:tc>
          <w:tcPr>
            <w:tcW w:type="dxa" w:w="42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Dónde aparece</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401</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Credenciales inválidas.</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Autenticación (/session, /search)</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code, amount y currency son obligatorios.</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Emisión de sesión (/session)</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Este código ya tiene un pago registrado. Genere un nuevo código para un nuevo intento.</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Emisión de sesión (/session) — el code ya se usó</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The payment session token is invalid.</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Sesión de pago (checkout)</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The payment session is not available anymore.</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Sesión de pago (checkout)</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The payment session has expired.</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Sesión de pago (checkout)</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The payment session is not available for payment.</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Sesión de pago (checkout)</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Nota: todas las respuestas de error de esta API (401, 409, 422, etc.) se devuelven siempre en formato JSON, sin importar el header Accept que envíe el cliente.</w:t>
            </w:r>
          </w:p>
        </w:tc>
      </w:tr>
    </w:tbl>
    <w:p>
      <w:pPr>
        <w:spacing w:after="200"/>
      </w:pPr>
    </w:p>
    <w:p>
      <w:pPr>
        <w:pStyle w:val="Heading2"/>
        <w:spacing w:after="150" w:before="300"/>
      </w:pPr>
      <w:r>
        <w:t xml:space="preserve">5.2 Validación de tarjeta y flujo de pago</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4400"/>
        <w:gridCol w:w="4200"/>
      </w:tblGrid>
      <w:tr>
        <w:trPr>
          <w:tblHeader/>
        </w:trPr>
        <w:tc>
          <w:tcPr>
            <w:tcW w:type="dxa" w:w="9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HTTP</w:t>
            </w:r>
          </w:p>
        </w:tc>
        <w:tc>
          <w:tcPr>
            <w:tcW w:type="dxa" w:w="44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Mensaje</w:t>
            </w:r>
          </w:p>
        </w:tc>
        <w:tc>
          <w:tcPr>
            <w:tcW w:type="dxa" w:w="42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Dónde aparece</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409</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Esta reserva ya fue pagada.</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Esta reserva fue cancelada y no puede procesarse.</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El número de tarjeta no es válido. (decline_code: invalid_number)</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La tarjeta está vencida. (decline_code: expired_card)</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No se pudo obtener referenceId o accessToken desde authentication_setup.</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 — inicialización 3DS</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Datos de pago no encontrados.</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422</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authenticationTransactionId no encontrado.</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 — validación 3DS</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cuando el error es de tarjeta (invalid_number / expired_card), la respuesta 422 incluye además un campo decline_code en el JSON con ese valor, útil para diferenciar el motivo exacto del rechazo.</w:t>
            </w:r>
          </w:p>
        </w:tc>
      </w:tr>
    </w:tbl>
    <w:p>
      <w:pPr>
        <w:spacing w:after="200"/>
      </w:pPr>
    </w:p>
    <w:p>
      <w:pPr>
        <w:pStyle w:val="Heading2"/>
        <w:spacing w:after="150" w:before="300"/>
      </w:pPr>
      <w:r>
        <w:t xml:space="preserve">5.3 Errores de gateway / 3DS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4400"/>
        <w:gridCol w:w="4200"/>
      </w:tblGrid>
      <w:tr>
        <w:trPr>
          <w:tblHeader/>
        </w:trPr>
        <w:tc>
          <w:tcPr>
            <w:tcW w:type="dxa" w:w="9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HTTP</w:t>
            </w:r>
          </w:p>
        </w:tc>
        <w:tc>
          <w:tcPr>
            <w:tcW w:type="dxa" w:w="44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Mensaje</w:t>
            </w:r>
          </w:p>
        </w:tc>
        <w:tc>
          <w:tcPr>
            <w:tcW w:type="dxa" w:w="42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Dónde aparece</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Error al Procesar el Pago</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 (pantalla de error al cliente)</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Error en Autenticación 3DS</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Procesamiento de pago (pantalla de error al cliente)</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La autenticación 3DS no fue exitosa.</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La sesión de pago expiró o fue alterada.</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Procesamiento de pago</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 xml:space="preserve">Nota: </w:t>
            </w:r>
            <w:r>
              <w:rPr>
                <w:rFonts w:ascii="Calibri" w:cs="Calibri" w:eastAsia="Calibri" w:hAnsi="Calibri"/>
                <w:sz w:val="20"/>
                <w:szCs w:val="20"/>
              </w:rPr>
              <w:t xml:space="preserve">estos mensajes no siempre vienen con un código HTTP de error propio del servicio: el proveedor de pagos (gateway) rechaza la transacción y el servicio traduce ese resultado a una pantalla HTML de error para el cliente final, en vez de a un JSON.</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Nota: estos textos se muestran en inglés cuando la sesión se creó con language: "eng" (ver 4.1); en cualquier otro caso se muestran en español, como en los ejemplos de esta tabla.</w:t>
            </w:r>
          </w:p>
        </w:tc>
      </w:tr>
    </w:tbl>
    <w:p>
      <w:pPr>
        <w:spacing w:after="200"/>
      </w:pPr>
    </w:p>
    <w:p>
      <w:pPr>
        <w:pStyle w:val="Heading2"/>
        <w:spacing w:after="150" w:before="300"/>
      </w:pPr>
      <w:r>
        <w:t xml:space="preserve">5.4 Errores de persistencia / infraestructura</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4400"/>
        <w:gridCol w:w="4200"/>
      </w:tblGrid>
      <w:tr>
        <w:trPr>
          <w:tblHeader/>
        </w:trPr>
        <w:tc>
          <w:tcPr>
            <w:tcW w:type="dxa" w:w="9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HTTP</w:t>
            </w:r>
          </w:p>
        </w:tc>
        <w:tc>
          <w:tcPr>
            <w:tcW w:type="dxa" w:w="44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Mensaje</w:t>
            </w:r>
          </w:p>
        </w:tc>
        <w:tc>
          <w:tcPr>
            <w:tcW w:type="dxa" w:w="4200"/>
            <w:shd w:fill="1A1A2E" w:color="auto" w:val="clear"/>
            <w:tcMar>
              <w:top w:type="dxa" w:w="100"/>
              <w:left w:type="dxa" w:w="150"/>
              <w:bottom w:type="dxa" w:w="100"/>
              <w:right w:type="dxa" w:w="150"/>
            </w:tcMar>
          </w:tcPr>
          <w:p>
            <w:r>
              <w:rPr>
                <w:rFonts w:ascii="Calibri" w:cs="Calibri" w:eastAsia="Calibri" w:hAnsi="Calibri"/>
                <w:b/>
                <w:bCs/>
                <w:color w:val="FFFFFF"/>
                <w:sz w:val="20"/>
                <w:szCs w:val="20"/>
              </w:rPr>
              <w:t xml:space="preserve">Dónde aparece</w:t>
            </w:r>
          </w:p>
        </w:tc>
      </w:tr>
      <w:tr>
        <w:tc>
          <w:tcPr>
            <w:tcW w:type="dxa" w:w="900"/>
            <w:shd w:fill="FFFFFF" w:color="auto" w:val="clear"/>
            <w:tcMar>
              <w:top w:type="dxa" w:w="100"/>
              <w:left w:type="dxa" w:w="150"/>
              <w:bottom w:type="dxa" w:w="100"/>
              <w:right w:type="dxa" w:w="150"/>
            </w:tcMar>
          </w:tcPr>
          <w:p>
            <w:r>
              <w:rPr>
                <w:rFonts w:ascii="Consolas" w:cs="Consolas" w:eastAsia="Consolas" w:hAnsi="Consolas"/>
                <w:sz w:val="19"/>
                <w:szCs w:val="19"/>
              </w:rPr>
              <w:t xml:space="preserve">500</w:t>
            </w:r>
          </w:p>
        </w:tc>
        <w:tc>
          <w:tcPr>
            <w:tcW w:type="dxa" w:w="4400"/>
            <w:shd w:fill="FFFFFF" w:color="auto" w:val="clear"/>
            <w:tcMar>
              <w:top w:type="dxa" w:w="100"/>
              <w:left w:type="dxa" w:w="150"/>
              <w:bottom w:type="dxa" w:w="100"/>
              <w:right w:type="dxa" w:w="150"/>
            </w:tcMar>
          </w:tcPr>
          <w:p>
            <w:r>
              <w:rPr>
                <w:rFonts w:ascii="Calibri" w:cs="Calibri" w:eastAsia="Calibri" w:hAnsi="Calibri"/>
                <w:sz w:val="19"/>
                <w:szCs w:val="19"/>
              </w:rPr>
              <w:t xml:space="preserve">Payment DB persistence failed.</w:t>
            </w:r>
          </w:p>
        </w:tc>
        <w:tc>
          <w:tcPr>
            <w:tcW w:type="dxa" w:w="4200"/>
            <w:shd w:fill="FFFFFF" w:color="auto" w:val="clear"/>
            <w:tcMar>
              <w:top w:type="dxa" w:w="100"/>
              <w:left w:type="dxa" w:w="150"/>
              <w:bottom w:type="dxa" w:w="100"/>
              <w:right w:type="dxa" w:w="150"/>
            </w:tcMar>
          </w:tcPr>
          <w:p>
            <w:r>
              <w:rPr>
                <w:rFonts w:ascii="Calibri" w:cs="Calibri" w:eastAsia="Calibri" w:hAnsi="Calibri"/>
                <w:sz w:val="19"/>
                <w:szCs w:val="19"/>
              </w:rPr>
              <w:t xml:space="preserve">Procesamiento de pago — fallo al guardar el resultado en base de datos</w:t>
            </w:r>
          </w:p>
        </w:tc>
      </w:tr>
      <w:tr>
        <w:tc>
          <w:tcPr>
            <w:tcW w:type="dxa" w:w="900"/>
            <w:shd w:fill="F2F2F2" w:color="auto" w:val="clear"/>
            <w:tcMar>
              <w:top w:type="dxa" w:w="100"/>
              <w:left w:type="dxa" w:w="150"/>
              <w:bottom w:type="dxa" w:w="100"/>
              <w:right w:type="dxa" w:w="150"/>
            </w:tcMar>
          </w:tcPr>
          <w:p>
            <w:r>
              <w:rPr>
                <w:rFonts w:ascii="Consolas" w:cs="Consolas" w:eastAsia="Consolas" w:hAnsi="Consolas"/>
                <w:sz w:val="19"/>
                <w:szCs w:val="19"/>
              </w:rPr>
              <w:t xml:space="preserve">—</w:t>
            </w:r>
          </w:p>
        </w:tc>
        <w:tc>
          <w:tcPr>
            <w:tcW w:type="dxa" w:w="4400"/>
            <w:shd w:fill="F2F2F2" w:color="auto" w:val="clear"/>
            <w:tcMar>
              <w:top w:type="dxa" w:w="100"/>
              <w:left w:type="dxa" w:w="150"/>
              <w:bottom w:type="dxa" w:w="100"/>
              <w:right w:type="dxa" w:w="150"/>
            </w:tcMar>
          </w:tcPr>
          <w:p>
            <w:r>
              <w:rPr>
                <w:rFonts w:ascii="Calibri" w:cs="Calibri" w:eastAsia="Calibri" w:hAnsi="Calibri"/>
                <w:sz w:val="19"/>
                <w:szCs w:val="19"/>
              </w:rPr>
              <w:t xml:space="preserve">Commerce notification failed.</w:t>
            </w:r>
          </w:p>
        </w:tc>
        <w:tc>
          <w:tcPr>
            <w:tcW w:type="dxa" w:w="4200"/>
            <w:shd w:fill="F2F2F2" w:color="auto" w:val="clear"/>
            <w:tcMar>
              <w:top w:type="dxa" w:w="100"/>
              <w:left w:type="dxa" w:w="150"/>
              <w:bottom w:type="dxa" w:w="100"/>
              <w:right w:type="dxa" w:w="150"/>
            </w:tcMar>
          </w:tcPr>
          <w:p>
            <w:r>
              <w:rPr>
                <w:rFonts w:ascii="Calibri" w:cs="Calibri" w:eastAsia="Calibri" w:hAnsi="Calibri"/>
                <w:sz w:val="19"/>
                <w:szCs w:val="19"/>
              </w:rPr>
              <w:t xml:space="preserve">Servicio de notificación al comercio (webhooks, ver 4.3)</w:t>
            </w:r>
          </w:p>
        </w:tc>
      </w:tr>
    </w:tbl>
    <w:tbl>
      <w:tblPr>
        <w:tblW w:type="pct" w:w="100%"/>
        <w:tblBorders>
          <w:top w:val="single" w:color="2E5EAA" w:sz="4"/>
          <w:left w:val="single" w:color="2E5EAA" w:sz="24"/>
          <w:bottom w:val="single" w:color="2E5EAA" w:sz="4"/>
          <w:right w:val="single" w:color="2E5EAA" w:sz="4"/>
          <w:insideH w:val="single" w:color="auto" w:sz="4"/>
          <w:insideV w:val="single" w:color="auto" w:sz="4"/>
        </w:tblBorders>
      </w:tblPr>
      <w:tblGrid>
        <w:gridCol w:w="100"/>
      </w:tblGrid>
      <w:tr>
        <w:tc>
          <w:tcPr>
            <w:shd w:fill="EAF0FA" w:color="auto" w:val="clear"/>
            <w:tcMar>
              <w:top w:type="dxa" w:w="120"/>
              <w:left w:type="dxa" w:w="200"/>
              <w:bottom w:type="dxa" w:w="120"/>
              <w:right w:type="dxa" w:w="200"/>
            </w:tcMar>
          </w:tcPr>
          <w:p>
            <w:r>
              <w:rPr>
                <w:rFonts w:ascii="Calibri" w:cs="Calibri" w:eastAsia="Calibri" w:hAnsi="Calibri"/>
                <w:b/>
                <w:bCs/>
                <w:color w:val="2E5EAA"/>
                <w:sz w:val="20"/>
                <w:szCs w:val="20"/>
              </w:rPr>
              <w:t>Nota: ambos se registran como log de warning/error internamente. En particular, un fallo de notificación al comercio no bloquea ni afecta la respuesta que recibe el cliente final durante el pago — por eso se recomienda que el comercio use /search (4.4) como verificación adicional del estado de sus transacciones.</w:t>
            </w:r>
          </w:p>
        </w:tc>
      </w:tr>
    </w:tbl>
    <w:p>
      <w:pPr>
        <w:spacing w:after="200"/>
      </w:pPr>
    </w:p>
    <w:p>
      <w:pPr>
        <w:pStyle w:val="Heading2"/>
        <w:spacing w:after="150" w:before="300"/>
      </w:pPr>
      <w:r>
        <w:t xml:space="preserve">5.5 Observación importante</w:t>
      </w:r>
    </w:p>
    <w:p>
      <w:pPr>
        <w:spacing w:after="150"/>
      </w:pPr>
      <w:r>
        <w:rPr>
          <w:rFonts w:ascii="Calibri" w:cs="Calibri" w:eastAsia="Calibri" w:hAnsi="Calibri"/>
          <w:sz w:val="22"/>
          <w:szCs w:val="22"/>
        </w:rPr>
        <w:t xml:space="preserve">El servicio no cuenta con una enumeración central de "códigos de error" como catálogo formal. Los errores están distribuidos entre validaciones de controlador, excepciones de servicios, respuestas HTML renderizadas, y logs de warning/error.</w:t>
      </w:r>
    </w:p>
    <w:p>
      <w:pPr>
        <w:spacing w:after="150"/>
      </w:pPr>
      <w:r>
        <w:rPr>
          <w:rFonts w:ascii="Calibri" w:cs="Calibri" w:eastAsia="Calibri" w:hAnsi="Calibri"/>
          <w:sz w:val="22"/>
          <w:szCs w:val="22"/>
        </w:rPr>
        <w:t xml:space="preserve">Por eso, esta tabla es una consolidación de los mensajes ya existentes en la implementación actual, no un catálogo oficial predefinido. Si el mensaje exacto cambia en una futura versión del servicio, esta sección debe actualizarse.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spacing w:before="60"/>
      <w:jc w:val="center"/>
    </w:pPr>
    <w:r>
      <w:rPr>
        <w:rFonts w:ascii="Calibri" w:cs="Calibri" w:eastAsia="Calibri" w:hAnsi="Calibri"/>
        <w:color w:val="999999"/>
        <w:sz w:val="16"/>
        <w:szCs w:val="16"/>
      </w:rPr>
      <w:t xml:space="preserve">Copyright Sentinel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94019545a25a9dd39661f823012513bbc9ce20.png"/><Relationship Id="rId9" Type="http://schemas.openxmlformats.org/officeDocument/2006/relationships/image" Target="media/873062eb0e38a201fd0f7d10109f3e8360cc7d12.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2026-08-20T01:36:25.363Z</dcterms:created>
  <dcterms:modified xsi:type="dcterms:W3CDTF">2026-08-20T01:36:25.376Z</dcterms:modified>
</cp:coreProperties>
</file>

<file path=docProps/custom.xml><?xml version="1.0" encoding="utf-8"?>
<Properties xmlns="http://schemas.openxmlformats.org/officeDocument/2006/custom-properties" xmlns:vt="http://schemas.openxmlformats.org/officeDocument/2006/docPropsVTypes"/>
</file>