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B1F33"/>
          <w:sz w:val="72"/>
          <w:szCs w:val="72"/>
        </w:rPr>
        <w:t xml:space="preserve">FINDESK</w:t>
      </w:r>
    </w:p>
    <w:p>
      <w:pPr>
        <w:spacing w:after="80"/>
        <w:jc w:val="center"/>
      </w:pPr>
      <w:r>
        <w:rPr>
          <w:rFonts w:ascii="Arial" w:cs="Arial" w:eastAsia="Arial" w:hAnsi="Arial"/>
          <w:color w:val="0E6E74"/>
          <w:sz w:val="30"/>
          <w:szCs w:val="30"/>
        </w:rPr>
        <w:t xml:space="preserve">The Autonomous CFO for Indian SMEs</w:t>
      </w:r>
    </w:p>
    <w:p>
      <w:pPr>
        <w:spacing w:after="600"/>
        <w:jc w:val="center"/>
      </w:pPr>
      <w:r>
        <w:rPr>
          <w:rFonts w:ascii="Arial" w:cs="Arial" w:eastAsia="Arial" w:hAnsi="Arial"/>
          <w:color w:val="64748B"/>
          <w:sz w:val="26"/>
          <w:szCs w:val="26"/>
        </w:rPr>
        <w:t xml:space="preserve">Concept &amp; Design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0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3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Version</w:t>
            </w:r>
          </w:p>
        </w:tc>
        <w:tc>
          <w:tcPr>
            <w:tcW w:type="dxa" w:w="60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1.0 (project complete)</w:t>
            </w:r>
          </w:p>
        </w:tc>
      </w:tr>
      <w:tr>
        <w:tc>
          <w:tcPr>
            <w:tcW w:type="dxa" w:w="3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Date</w:t>
            </w:r>
          </w:p>
        </w:tc>
        <w:tc>
          <w:tcPr>
            <w:tcW w:type="dxa" w:w="60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11 June 2026</w:t>
            </w:r>
          </w:p>
        </w:tc>
      </w:tr>
      <w:tr>
        <w:tc>
          <w:tcPr>
            <w:tcW w:type="dxa" w:w="3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Status</w:t>
            </w:r>
          </w:p>
        </w:tc>
        <w:tc>
          <w:tcPr>
            <w:tcW w:type="dxa" w:w="60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b/>
                <w:bCs/>
                <w:color w:val="047857"/>
                <w:sz w:val="21"/>
                <w:szCs w:val="21"/>
              </w:rPr>
              <w:t xml:space="preserve">Complete</w:t>
            </w:r>
          </w:p>
        </w:tc>
      </w:tr>
      <w:tr>
        <w:tc>
          <w:tcPr>
            <w:tcW w:type="dxa" w:w="3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Repository</w:t>
            </w:r>
          </w:p>
        </w:tc>
        <w:tc>
          <w:tcPr>
            <w:tcW w:type="dxa" w:w="60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github.com/Jee8825/FinDesk (branches: main = release, dev = integration)</w:t>
            </w:r>
          </w:p>
        </w:tc>
      </w:tr>
      <w:tr>
        <w:tc>
          <w:tcPr>
            <w:tcW w:type="dxa" w:w="3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Scope delivered</w:t>
            </w:r>
          </w:p>
        </w:tc>
        <w:tc>
          <w:tcPr>
            <w:tcW w:type="dxa" w:w="60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Full specification — Module A (A1–A8) and Module B (B1–B5)</w:t>
            </w:r>
          </w:p>
        </w:tc>
      </w:tr>
      <w:tr>
        <w:tc>
          <w:tcPr>
            <w:tcW w:type="dxa" w:w="3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Team</w:t>
            </w:r>
          </w:p>
        </w:tc>
        <w:tc>
          <w:tcPr>
            <w:tcW w:type="dxa" w:w="60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8 members · layer-ownership model · AI-assisted development</w:t>
            </w:r>
          </w:p>
        </w:tc>
      </w:tr>
    </w:tbl>
    <w:p>
      <w:pPr>
        <w:spacing w:before="480"/>
        <w:jc w:val="center"/>
      </w:pPr>
      <w:r>
        <w:rPr>
          <w:rFonts w:ascii="Arial" w:cs="Arial" w:eastAsia="Arial" w:hAnsi="Arial"/>
          <w:color w:val="64748B"/>
          <w:sz w:val="20"/>
          <w:szCs w:val="20"/>
        </w:rPr>
        <w:t xml:space="preserve">Confidential — internal team document</w:t>
      </w:r>
    </w:p>
    <w:p>
      <w:r>
        <w:br w:type="page"/>
      </w:r>
    </w:p>
    <w:p>
      <w:pPr>
        <w:pStyle w:val="Heading1"/>
        <w:spacing w:after="200" w:before="320"/>
      </w:pPr>
      <w:r>
        <w:rPr>
          <w:rFonts w:ascii="Arial" w:cs="Arial" w:eastAsia="Arial" w:hAnsi="Arial"/>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Arial" w:cs="Arial" w:eastAsia="Arial" w:hAnsi="Arial"/>
        </w:rPr>
        <w:t xml:space="preserve">1. Concept</w:t>
      </w:r>
    </w:p>
    <w:p>
      <w:pPr>
        <w:pStyle w:val="Heading2"/>
        <w:spacing w:after="140" w:before="240"/>
      </w:pPr>
      <w:r>
        <w:rPr>
          <w:rFonts w:ascii="Arial" w:cs="Arial" w:eastAsia="Arial" w:hAnsi="Arial"/>
        </w:rPr>
        <w:t xml:space="preserve">1.1 The problem</w:t>
      </w:r>
    </w:p>
    <w:p>
      <w:pPr>
        <w:spacing w:after="140"/>
      </w:pPr>
      <w:r>
        <w:rPr>
          <w:rFonts w:ascii="Arial" w:cs="Arial" w:eastAsia="Arial" w:hAnsi="Arial"/>
        </w:rPr>
        <w:t xml:space="preserve">Indian SMEs keep their books in Tally or Zoho — and still close the month by hand, because those tools </w:t>
      </w:r>
      <w:r>
        <w:rPr>
          <w:rFonts w:ascii="Arial" w:cs="Arial" w:eastAsia="Arial" w:hAnsi="Arial"/>
          <w:i/>
          <w:iCs/>
        </w:rPr>
        <w:t xml:space="preserve">store</w:t>
      </w:r>
      <w:r>
        <w:rPr>
          <w:rFonts w:ascii="Arial" w:cs="Arial" w:eastAsia="Arial" w:hAnsi="Arial"/>
        </w:rPr>
        <w:t xml:space="preserve"> data rather than </w:t>
      </w:r>
      <w:r>
        <w:rPr>
          <w:rFonts w:ascii="Arial" w:cs="Arial" w:eastAsia="Arial" w:hAnsi="Arial"/>
          <w:i/>
          <w:iCs/>
        </w:rPr>
        <w:t xml:space="preserve">do</w:t>
      </w:r>
      <w:r>
        <w:rPr>
          <w:rFonts w:ascii="Arial" w:cs="Arial" w:eastAsia="Arial" w:hAnsi="Arial"/>
        </w:rPr>
        <w:t xml:space="preserve"> the work. Meanwhile an estimated ₹8.1 trillion sits trapped in unpaid invoices, and cash-flow failure kills more small businesses than competition does. The advanced AI finance agents that do exist are built for US startups on Stripe and Brex — not for businesses living with GST, TDS, the MSME Act's 45-day rule, and Account Aggregator rails.</w:t>
      </w:r>
    </w:p>
    <w:p>
      <w:pPr>
        <w:pStyle w:val="Heading2"/>
        <w:spacing w:after="140" w:before="240"/>
      </w:pPr>
      <w:r>
        <w:rPr>
          <w:rFonts w:ascii="Arial" w:cs="Arial" w:eastAsia="Arial" w:hAnsi="Arial"/>
        </w:rPr>
        <w:t xml:space="preserve">1.2 The product</w:t>
      </w:r>
    </w:p>
    <w:p>
      <w:pPr>
        <w:spacing w:after="140"/>
      </w:pPr>
      <w:r>
        <w:rPr>
          <w:rFonts w:ascii="Arial" w:cs="Arial" w:eastAsia="Arial" w:hAnsi="Arial"/>
        </w:rPr>
        <w:t xml:space="preserve">FinDesk is an autonomous finance agent that sits </w:t>
      </w:r>
      <w:r>
        <w:rPr>
          <w:rFonts w:ascii="Arial" w:cs="Arial" w:eastAsia="Arial" w:hAnsi="Arial"/>
          <w:i/>
          <w:iCs/>
        </w:rPr>
        <w:t xml:space="preserve">on top of</w:t>
      </w:r>
      <w:r>
        <w:rPr>
          <w:rFonts w:ascii="Arial" w:cs="Arial" w:eastAsia="Arial" w:hAnsi="Arial"/>
        </w:rPr>
        <w:t xml:space="preserve"> the books a business already keeps. Two modules share one engine:</w:t>
      </w:r>
    </w:p>
    <w:p>
      <w:pPr>
        <w:pStyle w:val="ListParagraph"/>
        <w:numPr>
          <w:ilvl w:val="0"/>
          <w:numId w:val="2"/>
        </w:numPr>
        <w:spacing w:after="80"/>
      </w:pPr>
      <w:r>
        <w:rPr>
          <w:rFonts w:ascii="Arial" w:cs="Arial" w:eastAsia="Arial" w:hAnsi="Arial"/>
          <w:b/>
          <w:bCs/>
        </w:rPr>
        <w:t xml:space="preserve">Module A — Bookkeeping Foundation: </w:t>
      </w:r>
      <w:r>
        <w:rPr>
          <w:rFonts w:ascii="Arial" w:cs="Arial" w:eastAsia="Arial" w:hAnsi="Arial"/>
        </w:rPr>
        <w:t xml:space="preserve">ingestion, TDS-aware reconciliation, consistent categorization, cross-period conflict detection, self-correction, anomaly detection, receivables chasing, and reporting where every number answers “Why?”.</w:t>
      </w:r>
    </w:p>
    <w:p>
      <w:pPr>
        <w:pStyle w:val="ListParagraph"/>
        <w:numPr>
          <w:ilvl w:val="0"/>
          <w:numId w:val="2"/>
        </w:numPr>
        <w:spacing w:after="80"/>
      </w:pPr>
      <w:r>
        <w:rPr>
          <w:rFonts w:ascii="Arial" w:cs="Arial" w:eastAsia="Arial" w:hAnsi="Arial"/>
          <w:b/>
          <w:bCs/>
        </w:rPr>
        <w:t xml:space="preserve">Module B — Cash Command: </w:t>
      </w:r>
      <w:r>
        <w:rPr>
          <w:rFonts w:ascii="Arial" w:cs="Arial" w:eastAsia="Arial" w:hAnsi="Arial"/>
        </w:rPr>
        <w:t xml:space="preserve">per-client payment-behavior memory, MSME Act 45-day enforcement, a living scenario cash forecast, TReDS-integrated working-capital actions, and a credit-ready data room.</w:t>
      </w:r>
    </w:p>
    <w:p>
      <w:pPr>
        <w:pBdr>
          <w:left w:val="single" w:color="0E6E74" w:sz="12" w:space="8"/>
        </w:pBdr>
        <w:spacing w:after="160"/>
        <w:ind w:left="240"/>
      </w:pPr>
      <w:r>
        <w:rPr>
          <w:rFonts w:ascii="Arial" w:cs="Arial" w:eastAsia="Arial" w:hAnsi="Arial"/>
          <w:i/>
          <w:iCs/>
          <w:color w:val="64748B"/>
          <w:sz w:val="22"/>
          <w:szCs w:val="22"/>
        </w:rPr>
        <w:t xml:space="preserve">Module A earns the trust. Module B saves the business.</w:t>
      </w:r>
    </w:p>
    <w:p>
      <w:pPr>
        <w:pStyle w:val="Heading2"/>
        <w:spacing w:after="140" w:before="240"/>
      </w:pPr>
      <w:r>
        <w:rPr>
          <w:rFonts w:ascii="Arial" w:cs="Arial" w:eastAsia="Arial" w:hAnsi="Arial"/>
        </w:rPr>
        <w:t xml:space="preserve">1.3 Positioning</w:t>
      </w:r>
    </w:p>
    <w:p>
      <w:pPr>
        <w:spacing w:after="140"/>
      </w:pPr>
      <w:r>
        <w:rPr>
          <w:rFonts w:ascii="Arial" w:cs="Arial" w:eastAsia="Arial" w:hAnsi="Arial"/>
        </w:rPr>
        <w:t xml:space="preserve">“That is not a chatbot. That is an employee — one that never forgets, checks its own work, and always asks before it acts.” The defensibility is structural: memory, conflict detection, provenance, and deterministic guardrails are an architecture, not a feature toggle, and five of the eight whitespace capabilities require Indian law and Indian rails to even exist.</w:t>
      </w:r>
    </w:p>
    <w:p>
      <w:pPr>
        <w:pStyle w:val="Heading2"/>
        <w:spacing w:after="140" w:before="240"/>
      </w:pPr>
      <w:r>
        <w:rPr>
          <w:rFonts w:ascii="Arial" w:cs="Arial" w:eastAsia="Arial" w:hAnsi="Arial"/>
        </w:rPr>
        <w:t xml:space="preserve">1.4 Design principles</w:t>
      </w:r>
    </w:p>
    <w:p>
      <w:pPr>
        <w:pStyle w:val="ListParagraph"/>
        <w:numPr>
          <w:ilvl w:val="0"/>
          <w:numId w:val="3"/>
        </w:numPr>
        <w:spacing w:after="80"/>
      </w:pPr>
      <w:r>
        <w:rPr>
          <w:rFonts w:ascii="Arial" w:cs="Arial" w:eastAsia="Arial" w:hAnsi="Arial"/>
        </w:rPr>
        <w:t xml:space="preserve">Trust is the product: the agent never moves money, never sends external communication unapproved, and never files anything legal — by construction, not by prompt.</w:t>
      </w:r>
    </w:p>
    <w:p>
      <w:pPr>
        <w:pStyle w:val="ListParagraph"/>
        <w:numPr>
          <w:ilvl w:val="0"/>
          <w:numId w:val="3"/>
        </w:numPr>
        <w:spacing w:after="80"/>
      </w:pPr>
      <w:r>
        <w:rPr>
          <w:rFonts w:ascii="Arial" w:cs="Arial" w:eastAsia="Arial" w:hAnsi="Arial"/>
        </w:rPr>
        <w:t xml:space="preserve">Memory-driven intelligence: patterns crystallize, beliefs decay, contradictions surface as human decisions.</w:t>
      </w:r>
    </w:p>
    <w:p>
      <w:pPr>
        <w:pStyle w:val="ListParagraph"/>
        <w:numPr>
          <w:ilvl w:val="0"/>
          <w:numId w:val="3"/>
        </w:numPr>
        <w:spacing w:after="80"/>
      </w:pPr>
      <w:r>
        <w:rPr>
          <w:rFonts w:ascii="Arial" w:cs="Arial" w:eastAsia="Arial" w:hAnsi="Arial"/>
        </w:rPr>
        <w:t xml:space="preserve">Deterministic before generative: every LLM-shaped feature ships behind a rules engine that works without a model having a good day.</w:t>
      </w:r>
    </w:p>
    <w:p>
      <w:pPr>
        <w:pStyle w:val="ListParagraph"/>
        <w:numPr>
          <w:ilvl w:val="0"/>
          <w:numId w:val="3"/>
        </w:numPr>
        <w:spacing w:after="80"/>
      </w:pPr>
      <w:r>
        <w:rPr>
          <w:rFonts w:ascii="Arial" w:cs="Arial" w:eastAsia="Arial" w:hAnsi="Arial"/>
        </w:rPr>
        <w:t xml:space="preserve">Explainability as a feature: the provenance trail is the “Why?” button and the credit asset, not a debug log.</w:t>
      </w:r>
    </w:p>
    <w:p>
      <w:pPr>
        <w:pStyle w:val="ListParagraph"/>
        <w:numPr>
          <w:ilvl w:val="0"/>
          <w:numId w:val="3"/>
        </w:numPr>
        <w:spacing w:after="160"/>
      </w:pPr>
      <w:r>
        <w:rPr>
          <w:rFonts w:ascii="Arial" w:cs="Arial" w:eastAsia="Arial" w:hAnsi="Arial"/>
        </w:rPr>
        <w:t xml:space="preserve">Contract-first collaboration: eight humans and their AI agents work in parallel against versioned contracts, never against each other's internals.</w:t>
      </w:r>
    </w:p>
    <w:p>
      <w:r>
        <w:br w:type="page"/>
      </w:r>
    </w:p>
    <w:p>
      <w:pPr>
        <w:pStyle w:val="Heading1"/>
        <w:spacing w:after="200" w:before="320"/>
      </w:pPr>
      <w:r>
        <w:rPr>
          <w:rFonts w:ascii="Arial" w:cs="Arial" w:eastAsia="Arial" w:hAnsi="Arial"/>
        </w:rPr>
        <w:t xml:space="preserve">2. Delivered Feature Set</w:t>
      </w:r>
    </w:p>
    <w:p>
      <w:pPr>
        <w:spacing w:after="140"/>
      </w:pPr>
      <w:r>
        <w:rPr>
          <w:rFonts w:ascii="Arial" w:cs="Arial" w:eastAsia="Arial" w:hAnsi="Arial"/>
        </w:rPr>
        <w:t xml:space="preserve">All thirteen specified features are implemented, live-verified against the running stack, and released.</w:t>
      </w:r>
    </w:p>
    <w:p>
      <w:pPr>
        <w:pStyle w:val="Heading2"/>
        <w:spacing w:after="140" w:before="240"/>
      </w:pPr>
      <w:r>
        <w:rPr>
          <w:rFonts w:ascii="Arial" w:cs="Arial" w:eastAsia="Arial" w:hAnsi="Arial"/>
        </w:rPr>
        <w:t xml:space="preserve">2.1 Module A — Bookkeeping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926"/>
      </w:tblGrid>
      <w:tr>
        <w:trPr>
          <w:tblHeader/>
        </w:trPr>
        <w:tc>
          <w:tcPr>
            <w:tcW w:type="dxa" w:w="9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52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Capability (as delivered)</w:t>
            </w:r>
          </w:p>
        </w:tc>
        <w:tc>
          <w:tcPr>
            <w:tcW w:type="dxa" w:w="29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Signature behavior</w:t>
            </w:r>
          </w:p>
        </w:tc>
      </w:tr>
      <w:tr>
        <w:tc>
          <w:tcPr>
            <w:tcW w:type="dxa" w:w="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A1</w:t>
            </w:r>
          </w:p>
        </w:tc>
        <w:tc>
          <w:tcPr>
            <w:tcW w:type="dxa" w:w="5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Ingestion: bank-statement CSV upload with dedupe; Tally/Zoho invoice-export onboarding that seeds payment history into memory</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Intelligent from day one — radar predicts from imported history alone</w:t>
            </w:r>
          </w:p>
        </w:tc>
      </w:tr>
      <w:tr>
        <w:tc>
          <w:tcPr>
            <w:tcW w:type="dxa" w:w="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A2</w:t>
            </w:r>
          </w:p>
        </w:tc>
        <w:tc>
          <w:tcPr>
            <w:tcW w:type="dxa" w:w="5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Autonomous reconciliation: named matches (0.95), unique-amount (0.90), TDS-adjusted residuals</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₹44,100 received resolves as ₹45,000 − 2% TDS, to the paisa</w:t>
            </w:r>
          </w:p>
        </w:tc>
      </w:tr>
      <w:tr>
        <w:tc>
          <w:tcPr>
            <w:tcW w:type="dxa" w:w="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A3</w:t>
            </w:r>
          </w:p>
        </w:tc>
        <w:tc>
          <w:tcPr>
            <w:tcW w:type="dxa" w:w="5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Categorization with consistency: memory-first, rules-lexicon second, never a guess</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Human corrections become beliefs and crystallize</w:t>
            </w:r>
          </w:p>
        </w:tc>
      </w:tr>
      <w:tr>
        <w:tc>
          <w:tcPr>
            <w:tcW w:type="dxa" w:w="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A4</w:t>
            </w:r>
          </w:p>
        </w:tc>
        <w:tc>
          <w:tcPr>
            <w:tcW w:type="dxa" w:w="5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Cross-period conflict detection at memory-write time</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Two-claim cards with one-tap resolution</w:t>
            </w:r>
          </w:p>
        </w:tc>
      </w:tr>
      <w:tr>
        <w:tc>
          <w:tcPr>
            <w:tcW w:type="dxa" w:w="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A5</w:t>
            </w:r>
          </w:p>
        </w:tc>
        <w:tc>
          <w:tcPr>
            <w:tcW w:type="dxa" w:w="5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Critic self-correction: independent deterministic re-check + LLM veto seam</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LLM may veto a pass, never revive a fail</w:t>
            </w:r>
          </w:p>
        </w:tc>
      </w:tr>
      <w:tr>
        <w:tc>
          <w:tcPr>
            <w:tcW w:type="dxa" w:w="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A6</w:t>
            </w:r>
          </w:p>
        </w:tc>
        <w:tc>
          <w:tcPr>
            <w:tcW w:type="dxa" w:w="5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Anomaly detection: duplicates, overcharges, pattern breaks vs learned baselines</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“Found money” cards with recoverable amounts</w:t>
            </w:r>
          </w:p>
        </w:tc>
      </w:tr>
      <w:tr>
        <w:tc>
          <w:tcPr>
            <w:tcW w:type="dxa" w:w="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A7</w:t>
            </w:r>
          </w:p>
        </w:tc>
        <w:tc>
          <w:tcPr>
            <w:tcW w:type="dxa" w:w="5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Receivables chasing: behavior-calibrated tone, 7-day cooldown</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Gentle / neutral / firm drafts — sending always human-gated</w:t>
            </w:r>
          </w:p>
        </w:tc>
      </w:tr>
      <w:tr>
        <w:tc>
          <w:tcPr>
            <w:tcW w:type="dxa" w:w="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A8</w:t>
            </w:r>
          </w:p>
        </w:tc>
        <w:tc>
          <w:tcPr>
            <w:tcW w:type="dxa" w:w="5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Reporting + Why drawer: month-end pack, aging, narrative</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Every figure opens its hash-chained evidence trail</w:t>
            </w:r>
          </w:p>
        </w:tc>
      </w:tr>
    </w:tbl>
    <w:p>
      <w:pPr>
        <w:pStyle w:val="Heading2"/>
        <w:spacing w:after="140" w:before="240"/>
      </w:pPr>
      <w:r>
        <w:rPr>
          <w:rFonts w:ascii="Arial" w:cs="Arial" w:eastAsia="Arial" w:hAnsi="Arial"/>
        </w:rPr>
        <w:t xml:space="preserve">2.2 Module B — Cash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926"/>
      </w:tblGrid>
      <w:tr>
        <w:trPr>
          <w:tblHeader/>
        </w:trPr>
        <w:tc>
          <w:tcPr>
            <w:tcW w:type="dxa" w:w="9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52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Capability (as delivered)</w:t>
            </w:r>
          </w:p>
        </w:tc>
        <w:tc>
          <w:tcPr>
            <w:tcW w:type="dxa" w:w="29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Signature behavior</w:t>
            </w:r>
          </w:p>
        </w:tc>
      </w:tr>
      <w:tr>
        <w:tc>
          <w:tcPr>
            <w:tcW w:type="dxa" w:w="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B1</w:t>
            </w:r>
          </w:p>
        </w:tc>
        <w:tc>
          <w:tcPr>
            <w:tcW w:type="dxa" w:w="5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Payment-behavior memory: per-client lateness distributions from every settlement and approval</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“Runs 11.7 days late” from three observations</w:t>
            </w:r>
          </w:p>
        </w:tc>
      </w:tr>
      <w:tr>
        <w:tc>
          <w:tcPr>
            <w:tcW w:type="dxa" w:w="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B2</w:t>
            </w:r>
          </w:p>
        </w:tc>
        <w:tc>
          <w:tcPr>
            <w:tcW w:type="dxa" w:w="5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45-day enforcer: statutory clocks, §16 compound interest with monthly rests, escalation ladder, Act letters, Samadhaan prep</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Fires once per rung crossing; letters cite computed figures; never files</w:t>
            </w:r>
          </w:p>
        </w:tc>
      </w:tr>
      <w:tr>
        <w:tc>
          <w:tcPr>
            <w:tcW w:type="dxa" w:w="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B3</w:t>
            </w:r>
          </w:p>
        </w:tc>
        <w:tc>
          <w:tcPr>
            <w:tcW w:type="dxa" w:w="5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Living cash forecast: 13-week scenario bands (upside/base/downside), gap detection with attribution</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“Largest lever: Subko's INV-055 — collecting it earlier closes the gap”</w:t>
            </w:r>
          </w:p>
        </w:tc>
      </w:tr>
      <w:tr>
        <w:tc>
          <w:tcPr>
            <w:tcW w:type="dxa" w:w="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B4</w:t>
            </w:r>
          </w:p>
        </w:tc>
        <w:tc>
          <w:tcPr>
            <w:tcW w:type="dxa" w:w="5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Working-capital actions: TReDS discounting priced on behavior tenor + collection pushes, ranked by cost per rupee</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Unlock ₹3,91,715 today for ₹8,285 — execution token-gated</w:t>
            </w:r>
          </w:p>
        </w:tc>
      </w:tr>
      <w:tr>
        <w:tc>
          <w:tcPr>
            <w:tcW w:type="dxa" w:w="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B5</w:t>
            </w:r>
          </w:p>
        </w:tc>
        <w:tc>
          <w:tcPr>
            <w:tcW w:type="dxa" w:w="5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Credit data room: FinDesk Score (six published components) + independently verifiable audit chain + expiring lender share links</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“No figure was edited after the fact” as a checkable claim</w:t>
            </w:r>
          </w:p>
        </w:tc>
      </w:tr>
    </w:tbl>
    <w:p>
      <w:r>
        <w:br w:type="page"/>
      </w:r>
    </w:p>
    <w:p>
      <w:pPr>
        <w:pStyle w:val="Heading1"/>
        <w:spacing w:after="200" w:before="320"/>
      </w:pPr>
      <w:r>
        <w:rPr>
          <w:rFonts w:ascii="Arial" w:cs="Arial" w:eastAsia="Arial" w:hAnsi="Arial"/>
        </w:rPr>
        <w:t xml:space="preserve">3. System Design</w:t>
      </w:r>
    </w:p>
    <w:p>
      <w:pPr>
        <w:pStyle w:val="Heading2"/>
        <w:spacing w:after="140" w:before="240"/>
      </w:pPr>
      <w:r>
        <w:rPr>
          <w:rFonts w:ascii="Arial" w:cs="Arial" w:eastAsia="Arial" w:hAnsi="Arial"/>
        </w:rPr>
        <w:t xml:space="preserve">3.1 Architecture at a glance</w:t>
      </w:r>
    </w:p>
    <w:p>
      <w:pPr>
        <w:spacing w:after="140"/>
      </w:pPr>
      <w:r>
        <w:rPr>
          <w:rFonts w:ascii="Arial" w:cs="Arial" w:eastAsia="Arial" w:hAnsi="Arial"/>
        </w:rPr>
        <w:t xml:space="preserve">A Next.js dashboard talks only to a FastAPI control plane. Consequential work never runs in a request handler: jobs travel over Redis streams to stateless workers executing LangGraph state machines, which reach the outside world only through typed MCP tools and reach beliefs only through the Recall memory service. Deterministic guardrails validate every consequential action outside the LLM loop, and everything lands in an append-only, hash-chained audit log streamed live to the UI over 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44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c>
          <w:tcPr>
            <w:tcW w:type="dxa" w:w="24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Key technology</w:t>
            </w:r>
          </w:p>
        </w:tc>
      </w:tr>
      <w:tr>
        <w:tc>
          <w:tcPr>
            <w:tcW w:type="dxa" w:w="2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Frontend</w:t>
            </w:r>
          </w:p>
        </w:tc>
        <w:tc>
          <w:tcPr>
            <w:tcW w:type="dxa" w:w="44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Make agent work legible: live runs, decision cards, Why drawer, score dial</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Next.js 14, TanStack Query 5, Tailwind</w:t>
            </w:r>
          </w:p>
        </w:tc>
      </w:tr>
      <w:tr>
        <w:tc>
          <w:tcPr>
            <w:tcW w:type="dxa" w:w="2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Backend API</w:t>
            </w:r>
          </w:p>
        </w:tc>
        <w:tc>
          <w:tcPr>
            <w:tcW w:type="dxa" w:w="44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Auth/RBAC, approval engine, audit chain, report/radar/forecast composition</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FastAPI, Pydantic v2, SQLAlchemy 2 async</w:t>
            </w:r>
          </w:p>
        </w:tc>
      </w:tr>
      <w:tr>
        <w:tc>
          <w:tcPr>
            <w:tcW w:type="dxa" w:w="2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Orchestration</w:t>
            </w:r>
          </w:p>
        </w:tc>
        <w:tc>
          <w:tcPr>
            <w:tcW w:type="dxa" w:w="44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Seven LangGraph graphs run by stream workers; recall-before-reason; idempotent steps</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LangGraph, Redis streams</w:t>
            </w:r>
          </w:p>
        </w:tc>
      </w:tr>
      <w:tr>
        <w:tc>
          <w:tcPr>
            <w:tcW w:type="dxa" w:w="2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Tools (MCP)</w:t>
            </w:r>
          </w:p>
        </w:tc>
        <w:tc>
          <w:tcPr>
            <w:tcW w:type="dxa" w:w="44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Typed connectors: bank statements, ledger import, email, TReDS — no business logic</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findesk_tools, Pydantic schemas</w:t>
            </w:r>
          </w:p>
        </w:tc>
      </w:tr>
      <w:tr>
        <w:tc>
          <w:tcPr>
            <w:tcW w:type="dxa" w:w="2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Memory</w:t>
            </w:r>
          </w:p>
        </w:tc>
        <w:tc>
          <w:tcPr>
            <w:tcW w:type="dxa" w:w="44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Beliefs: decay, confidence, crystallization, conflicts, provenance</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Recall (vendored), pgvector, Neo4j</w:t>
            </w:r>
          </w:p>
        </w:tc>
      </w:tr>
      <w:tr>
        <w:tc>
          <w:tcPr>
            <w:tcW w:type="dxa" w:w="2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Guardrails</w:t>
            </w:r>
          </w:p>
        </w:tc>
        <w:tc>
          <w:tcPr>
            <w:tcW w:type="dxa" w:w="44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P1–P6 enforced as code: token gates, confidence floors, statutory vetoes</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Pure Python services</w:t>
            </w:r>
          </w:p>
        </w:tc>
      </w:tr>
      <w:tr>
        <w:tc>
          <w:tcPr>
            <w:tcW w:type="dxa" w:w="22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Data</w:t>
            </w:r>
          </w:p>
        </w:tc>
        <w:tc>
          <w:tcPr>
            <w:tcW w:type="dxa" w:w="44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Facts (app Postgres), work (Redis), beliefs (Recall stores), bytes (object storage)</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Postgres 16, Redis 7</w:t>
            </w:r>
          </w:p>
        </w:tc>
      </w:tr>
      <w:tr>
        <w:tc>
          <w:tcPr>
            <w:tcW w:type="dxa" w:w="22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Observability</w:t>
            </w:r>
          </w:p>
        </w:tc>
        <w:tc>
          <w:tcPr>
            <w:tcW w:type="dxa" w:w="44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Run telemetry, accuracy evals, append-only audit</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OTel-style spans, eval harness, CI</w:t>
            </w:r>
          </w:p>
        </w:tc>
      </w:tr>
    </w:tbl>
    <w:p>
      <w:pPr>
        <w:pStyle w:val="Heading2"/>
        <w:spacing w:after="140" w:before="240"/>
      </w:pPr>
      <w:r>
        <w:rPr>
          <w:rFonts w:ascii="Arial" w:cs="Arial" w:eastAsia="Arial" w:hAnsi="Arial"/>
        </w:rPr>
        <w:t xml:space="preserve">3.2 The canonical data flow</w:t>
      </w:r>
    </w:p>
    <w:p>
      <w:pPr>
        <w:spacing w:after="140"/>
      </w:pPr>
      <w:r>
        <w:rPr>
          <w:rFonts w:ascii="Arial" w:cs="Arial" w:eastAsia="Arial" w:hAnsi="Arial"/>
        </w:rPr>
        <w:t xml:space="preserve">One bank transaction exercises every layer exactly once:</w:t>
      </w:r>
    </w:p>
    <w:p>
      <w:pPr>
        <w:pStyle w:val="ListParagraph"/>
        <w:numPr>
          <w:ilvl w:val="0"/>
          <w:numId w:val="4"/>
        </w:numPr>
        <w:spacing w:after="80"/>
      </w:pPr>
      <w:r>
        <w:rPr>
          <w:rFonts w:ascii="Arial" w:cs="Arial" w:eastAsia="Arial" w:hAnsi="Arial"/>
        </w:rPr>
        <w:t xml:space="preserve">Ingest — statement parsed by the bank_statements tool; rows deduped into the books with source provenance.</w:t>
      </w:r>
    </w:p>
    <w:p>
      <w:pPr>
        <w:pStyle w:val="ListParagraph"/>
        <w:numPr>
          <w:ilvl w:val="0"/>
          <w:numId w:val="4"/>
        </w:numPr>
        <w:spacing w:after="80"/>
      </w:pPr>
      <w:r>
        <w:rPr>
          <w:rFonts w:ascii="Arial" w:cs="Arial" w:eastAsia="Arial" w:hAnsi="Arial"/>
        </w:rPr>
        <w:t xml:space="preserve">Recall before reason — the matcher retrieves this counterparty's remembered deduction and payment patterns under a token budget.</w:t>
      </w:r>
    </w:p>
    <w:p>
      <w:pPr>
        <w:pStyle w:val="ListParagraph"/>
        <w:numPr>
          <w:ilvl w:val="0"/>
          <w:numId w:val="4"/>
        </w:numPr>
        <w:spacing w:after="80"/>
      </w:pPr>
      <w:r>
        <w:rPr>
          <w:rFonts w:ascii="Arial" w:cs="Arial" w:eastAsia="Arial" w:hAnsi="Arial"/>
        </w:rPr>
        <w:t xml:space="preserve">Match — exact rules first, then TDS-adjusted candidates priced against remembered rates; ambiguity stays human.</w:t>
      </w:r>
    </w:p>
    <w:p>
      <w:pPr>
        <w:pStyle w:val="ListParagraph"/>
        <w:numPr>
          <w:ilvl w:val="0"/>
          <w:numId w:val="4"/>
        </w:numPr>
        <w:spacing w:after="80"/>
      </w:pPr>
      <w:r>
        <w:rPr>
          <w:rFonts w:ascii="Arial" w:cs="Arial" w:eastAsia="Arial" w:hAnsi="Arial"/>
        </w:rPr>
        <w:t xml:space="preserve">Critic — an independent re-check; disagreement routes to a human, never overwrites.</w:t>
      </w:r>
    </w:p>
    <w:p>
      <w:pPr>
        <w:pStyle w:val="ListParagraph"/>
        <w:numPr>
          <w:ilvl w:val="0"/>
          <w:numId w:val="4"/>
        </w:numPr>
        <w:spacing w:after="80"/>
      </w:pPr>
      <w:r>
        <w:rPr>
          <w:rFonts w:ascii="Arial" w:cs="Arial" w:eastAsia="Arial" w:hAnsi="Arial"/>
        </w:rPr>
        <w:t xml:space="preserve">Guardrails — deterministic floor/balance/conflict checks outside the LLM loop; sub-floor proposals queue for approval.</w:t>
      </w:r>
    </w:p>
    <w:p>
      <w:pPr>
        <w:pStyle w:val="ListParagraph"/>
        <w:numPr>
          <w:ilvl w:val="0"/>
          <w:numId w:val="4"/>
        </w:numPr>
        <w:spacing w:after="80"/>
      </w:pPr>
      <w:r>
        <w:rPr>
          <w:rFonts w:ascii="Arial" w:cs="Arial" w:eastAsia="Arial" w:hAnsi="Arial"/>
        </w:rPr>
        <w:t xml:space="preserve">Commit + learn — double-entry posting, hash-chained audit, and a payment-behavior observation written back to memory.</w:t>
      </w:r>
    </w:p>
    <w:p>
      <w:pPr>
        <w:pStyle w:val="ListParagraph"/>
        <w:numPr>
          <w:ilvl w:val="0"/>
          <w:numId w:val="4"/>
        </w:numPr>
        <w:spacing w:after="160"/>
      </w:pPr>
      <w:r>
        <w:rPr>
          <w:rFonts w:ascii="Arial" w:cs="Arial" w:eastAsia="Arial" w:hAnsi="Arial"/>
        </w:rPr>
        <w:t xml:space="preserve">Explain — the Why API composes the audit chain into the evidence trail behind every on-screen number.</w:t>
      </w:r>
    </w:p>
    <w:p>
      <w:pPr>
        <w:pStyle w:val="Heading2"/>
        <w:spacing w:after="140" w:before="240"/>
      </w:pPr>
      <w:r>
        <w:rPr>
          <w:rFonts w:ascii="Arial" w:cs="Arial" w:eastAsia="Arial" w:hAnsi="Arial"/>
        </w:rPr>
        <w:t xml:space="preserve">3.3 Agent graph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426"/>
      </w:tblGrid>
      <w:tr>
        <w:trPr>
          <w:tblHeader/>
        </w:trPr>
        <w:tc>
          <w:tcPr>
            <w:tcW w:type="dxa" w:w="25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Graph</w:t>
            </w:r>
          </w:p>
        </w:tc>
        <w:tc>
          <w:tcPr>
            <w:tcW w:type="dxa" w:w="41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Pipeline</w:t>
            </w:r>
          </w:p>
        </w:tc>
        <w:tc>
          <w:tcPr>
            <w:tcW w:type="dxa" w:w="24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Consequential output (always gated)</w:t>
            </w:r>
          </w:p>
        </w:tc>
      </w:tr>
      <w:tr>
        <w:tc>
          <w:tcPr>
            <w:tcW w:type="dxa" w:w="25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reconciliation</w:t>
            </w:r>
          </w:p>
        </w:tc>
        <w:tc>
          <w:tcPr>
            <w:tcW w:type="dxa" w:w="41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fetch → parse → ingest → match → categorize → critic → commit → learn</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Ledger commits (floor-gated)</w:t>
            </w:r>
          </w:p>
        </w:tc>
      </w:tr>
      <w:tr>
        <w:tc>
          <w:tcPr>
            <w:tcW w:type="dxa" w:w="25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anomaly_scan</w:t>
            </w:r>
          </w:p>
        </w:tc>
        <w:tc>
          <w:tcPr>
            <w:tcW w:type="dxa" w:w="41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fetch → recall baselines → detect → persist → learn</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None — cards only</w:t>
            </w:r>
          </w:p>
        </w:tc>
      </w:tr>
      <w:tr>
        <w:tc>
          <w:tcPr>
            <w:tcW w:type="dxa" w:w="25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collections</w:t>
            </w:r>
          </w:p>
        </w:tc>
        <w:tc>
          <w:tcPr>
            <w:tcW w:type="dxa" w:w="41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overdue scan → behavior recall → draft → queue</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Email sends (token-gated)</w:t>
            </w:r>
          </w:p>
        </w:tc>
      </w:tr>
      <w:tr>
        <w:tc>
          <w:tcPr>
            <w:tcW w:type="dxa" w:w="25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enforcer_45day</w:t>
            </w:r>
          </w:p>
        </w:tc>
        <w:tc>
          <w:tcPr>
            <w:tcW w:type="dxa" w:w="41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detect rung crossings → prepare letters / Samadhaan prep</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Act letters (token-gated); documents only</w:t>
            </w:r>
          </w:p>
        </w:tc>
      </w:tr>
      <w:tr>
        <w:tc>
          <w:tcPr>
            <w:tcW w:type="dxa" w:w="25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cash_forecast</w:t>
            </w:r>
          </w:p>
        </w:tc>
        <w:tc>
          <w:tcPr>
            <w:tcW w:type="dxa" w:w="41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fetch → recall behavior → project bands → persist</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None — alerts only</w:t>
            </w:r>
          </w:p>
        </w:tc>
      </w:tr>
      <w:tr>
        <w:tc>
          <w:tcPr>
            <w:tcW w:type="dxa" w:w="25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working_capital</w:t>
            </w:r>
          </w:p>
        </w:tc>
        <w:tc>
          <w:tcPr>
            <w:tcW w:type="dxa" w:w="41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fetch + gap → recall → build options → persist</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TReDS listings (token-gated)</w:t>
            </w:r>
          </w:p>
        </w:tc>
      </w:tr>
      <w:tr>
        <w:tc>
          <w:tcPr>
            <w:tcW w:type="dxa" w:w="25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ping</w:t>
            </w:r>
          </w:p>
        </w:tc>
        <w:tc>
          <w:tcPr>
            <w:tcW w:type="dxa" w:w="41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plan → execute → critic (walking-skeleton pulse)</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None</w:t>
            </w:r>
          </w:p>
        </w:tc>
      </w:tr>
    </w:tbl>
    <w:p>
      <w:r>
        <w:br w:type="page"/>
      </w:r>
    </w:p>
    <w:p>
      <w:pPr>
        <w:pStyle w:val="Heading1"/>
        <w:spacing w:after="200" w:before="320"/>
      </w:pPr>
      <w:r>
        <w:rPr>
          <w:rFonts w:ascii="Arial" w:cs="Arial" w:eastAsia="Arial" w:hAnsi="Arial"/>
        </w:rPr>
        <w:t xml:space="preserve">4. Key Design Decisions</w:t>
      </w:r>
    </w:p>
    <w:p>
      <w:pPr>
        <w:pStyle w:val="Heading2"/>
        <w:spacing w:after="140" w:before="240"/>
      </w:pPr>
      <w:r>
        <w:rPr>
          <w:rFonts w:ascii="Arial" w:cs="Arial" w:eastAsia="Arial" w:hAnsi="Arial"/>
        </w:rPr>
        <w:t xml:space="preserve">4.1 Guardrails are capabilities, not prompts</w:t>
      </w:r>
    </w:p>
    <w:p>
      <w:pPr>
        <w:spacing w:after="140"/>
      </w:pPr>
      <w:r>
        <w:rPr>
          <w:rFonts w:ascii="Arial" w:cs="Arial" w:eastAsia="Arial" w:hAnsi="Arial"/>
        </w:rPr>
        <w:t xml:space="preserve">The six hard policies are enforced where prompts cannot reach. The strongest is absence: no payment-initiation capability exists anywhere in the codebase. External actions (email, TReDS listings, Act letters) require a single-use, action-hash-bound approval token minted only by a human decision — the tools physically raise an exception without one, and integration tests prove no file is written on refusal.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2926"/>
      </w:tblGrid>
      <w:tr>
        <w:trPr>
          <w:tblHeader/>
        </w:trPr>
        <w:tc>
          <w:tcPr>
            <w:tcW w:type="dxa" w:w="8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53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Policy</w:t>
            </w:r>
          </w:p>
        </w:tc>
        <w:tc>
          <w:tcPr>
            <w:tcW w:type="dxa" w:w="29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Enforcement</w:t>
            </w:r>
          </w:p>
        </w:tc>
      </w:tr>
      <w:tr>
        <w:tc>
          <w:tcPr>
            <w:tcW w:type="dxa" w:w="8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P1</w:t>
            </w:r>
          </w:p>
        </w:tc>
        <w:tc>
          <w:tcPr>
            <w:tcW w:type="dxa" w:w="53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Never move money</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Capability absence</w:t>
            </w:r>
          </w:p>
        </w:tc>
      </w:tr>
      <w:tr>
        <w:tc>
          <w:tcPr>
            <w:tcW w:type="dxa" w:w="8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P2</w:t>
            </w:r>
          </w:p>
        </w:tc>
        <w:tc>
          <w:tcPr>
            <w:tcW w:type="dxa" w:w="53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Never send external communication unapproved</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Single-use tokens; tools refuse without one</w:t>
            </w:r>
          </w:p>
        </w:tc>
      </w:tr>
      <w:tr>
        <w:tc>
          <w:tcPr>
            <w:tcW w:type="dxa" w:w="8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P3</w:t>
            </w:r>
          </w:p>
        </w:tc>
        <w:tc>
          <w:tcPr>
            <w:tcW w:type="dxa" w:w="53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Never commit contested or low-confidence entries</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Deterministic commit service: critic pass + ≥0.90 floor + exact balance</w:t>
            </w:r>
          </w:p>
        </w:tc>
      </w:tr>
      <w:tr>
        <w:tc>
          <w:tcPr>
            <w:tcW w:type="dxa" w:w="8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P4</w:t>
            </w:r>
          </w:p>
        </w:tc>
        <w:tc>
          <w:tcPr>
            <w:tcW w:type="dxa" w:w="53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Never breach our own 45-day obligations</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Statutory engine veto on payables re-timing</w:t>
            </w:r>
          </w:p>
        </w:tc>
      </w:tr>
      <w:tr>
        <w:tc>
          <w:tcPr>
            <w:tcW w:type="dxa" w:w="8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P5</w:t>
            </w:r>
          </w:p>
        </w:tc>
        <w:tc>
          <w:tcPr>
            <w:tcW w:type="dxa" w:w="53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Tenancy isolation everywhere</w:t>
            </w:r>
          </w:p>
        </w:tc>
        <w:tc>
          <w:tcPr>
            <w:tcW w:type="dxa" w:w="29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Tenant-scoped repositories; cross-tenant attack integration-tested</w:t>
            </w:r>
          </w:p>
        </w:tc>
      </w:tr>
      <w:tr>
        <w:tc>
          <w:tcPr>
            <w:tcW w:type="dxa" w:w="8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P6</w:t>
            </w:r>
          </w:p>
        </w:tc>
        <w:tc>
          <w:tcPr>
            <w:tcW w:type="dxa" w:w="53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Legal-adjacent = preparation only</w:t>
            </w:r>
          </w:p>
        </w:tc>
        <w:tc>
          <w:tcPr>
            <w:tcW w:type="dxa" w:w="29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“Review with your CA” framing; no filing capability; “FinDesk does not file”</w:t>
            </w:r>
          </w:p>
        </w:tc>
      </w:tr>
    </w:tbl>
    <w:p>
      <w:pPr>
        <w:pStyle w:val="Heading2"/>
        <w:spacing w:after="140" w:before="240"/>
      </w:pPr>
      <w:r>
        <w:rPr>
          <w:rFonts w:ascii="Arial" w:cs="Arial" w:eastAsia="Arial" w:hAnsi="Arial"/>
        </w:rPr>
        <w:t xml:space="preserve">4.2 Memory as a living system</w:t>
      </w:r>
    </w:p>
    <w:p>
      <w:pPr>
        <w:spacing w:after="140"/>
      </w:pPr>
      <w:r>
        <w:rPr>
          <w:rFonts w:ascii="Arial" w:cs="Arial" w:eastAsia="Arial" w:hAnsi="Arial"/>
        </w:rPr>
        <w:t xml:space="preserve">The Recall engine (vendored, Apache-2.0) models beliefs on two axes — strength that decays and reinforces, confidence that corroborates, drops on contradiction, and crystallizes at ≥0.95 — across episodic, semantic, and procedural tiers. FinDesk layers a financial claim taxonomy on top; all engine-math changes are governed by ADRs, keeping an upstream merge path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426"/>
      </w:tblGrid>
      <w:tr>
        <w:trPr>
          <w:tblHeader/>
        </w:trPr>
        <w:tc>
          <w:tcPr>
            <w:tcW w:type="dxa" w:w="27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Claim kind</w:t>
            </w:r>
          </w:p>
        </w:tc>
        <w:tc>
          <w:tcPr>
            <w:tcW w:type="dxa" w:w="39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Example belief</w:t>
            </w:r>
          </w:p>
        </w:tc>
        <w:tc>
          <w:tcPr>
            <w:tcW w:type="dxa" w:w="24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Feeds</w:t>
            </w:r>
          </w:p>
        </w:tc>
      </w:tr>
      <w:tr>
        <w:tc>
          <w:tcPr>
            <w:tcW w:type="dxa" w:w="27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deduction_pattern</w:t>
            </w:r>
          </w:p>
        </w:tc>
        <w:tc>
          <w:tcPr>
            <w:tcW w:type="dxa" w:w="3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“This client deducts 2% TDS — confirmed by human approval”</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TDS matching (A2)</w:t>
            </w:r>
          </w:p>
        </w:tc>
      </w:tr>
      <w:tr>
        <w:tc>
          <w:tcPr>
            <w:tcW w:type="dxa" w:w="27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payment_behavior</w:t>
            </w:r>
          </w:p>
        </w:tc>
        <w:tc>
          <w:tcPr>
            <w:tcW w:type="dxa" w:w="3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“INV-049 was paid 12 days late relative to its due date”</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Tone (A7), predictions (B1), forecast (B3), TReDS tenor (B4)</w:t>
            </w:r>
          </w:p>
        </w:tc>
      </w:tr>
      <w:tr>
        <w:tc>
          <w:tcPr>
            <w:tcW w:type="dxa" w:w="27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vendor_category</w:t>
            </w:r>
          </w:p>
        </w:tc>
        <w:tc>
          <w:tcPr>
            <w:tcW w:type="dxa" w:w="3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“Vendor X expenses are categorized as travel (human correction)”</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Categorization (A3), conflicts (A4)</w:t>
            </w:r>
          </w:p>
        </w:tc>
      </w:tr>
      <w:tr>
        <w:tc>
          <w:tcPr>
            <w:tcW w:type="dxa" w:w="27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anomaly_baseline</w:t>
            </w:r>
          </w:p>
        </w:tc>
        <w:tc>
          <w:tcPr>
            <w:tcW w:type="dxa" w:w="3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“This vendor bills consistently around ₹6,800 per cycle”</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Overcharge detection (A6)</w:t>
            </w:r>
          </w:p>
        </w:tc>
      </w:tr>
    </w:tbl>
    <w:p>
      <w:pPr>
        <w:spacing w:after="140"/>
      </w:pPr>
      <w:r>
        <w:rPr>
          <w:rFonts w:ascii="Arial" w:cs="Arial" w:eastAsia="Arial" w:hAnsi="Arial"/>
        </w:rPr>
        <w:t xml:space="preserve">Three learning loops close the system: agents learn on commit, humans teach on approval and correction, and conflict resolutions prune the losing belief while reinforcing the winner. Write discipline matters: near-duplicate claims are never re-ingested (the engine treats them as contradictions), so beliefs corroborate instead of spamming the conflict queue.</w:t>
      </w:r>
    </w:p>
    <w:p>
      <w:pPr>
        <w:pStyle w:val="Heading2"/>
        <w:spacing w:after="140" w:before="240"/>
      </w:pPr>
      <w:r>
        <w:rPr>
          <w:rFonts w:ascii="Arial" w:cs="Arial" w:eastAsia="Arial" w:hAnsi="Arial"/>
        </w:rPr>
        <w:t xml:space="preserve">4.3 Pure engines for anything legal or financial</w:t>
      </w:r>
    </w:p>
    <w:p>
      <w:pPr>
        <w:spacing w:after="140"/>
      </w:pPr>
      <w:r>
        <w:rPr>
          <w:rFonts w:ascii="Arial" w:cs="Arial" w:eastAsia="Arial" w:hAnsi="Arial"/>
        </w:rPr>
        <w:t xml:space="preserve">The MSME statutory engine (45-day clocks, 3× bank-rate compound interest with monthly rests), the forecast projector, the anomaly detectors, and the option pricer are pure functions with hand-computed test vectors — exact to the paisa, reproducible, and out of any LLM's reach. The escalation ladder's states are engine territory; agents only ever choose wording within a state.</w:t>
      </w:r>
    </w:p>
    <w:p>
      <w:pPr>
        <w:pStyle w:val="Heading2"/>
        <w:spacing w:after="140" w:before="240"/>
      </w:pPr>
      <w:r>
        <w:rPr>
          <w:rFonts w:ascii="Arial" w:cs="Arial" w:eastAsia="Arial" w:hAnsi="Arial"/>
        </w:rPr>
        <w:t xml:space="preserve">4.4 Deterministic first, LLM as an upgrade</w:t>
      </w:r>
    </w:p>
    <w:p>
      <w:pPr>
        <w:spacing w:after="140"/>
      </w:pPr>
      <w:r>
        <w:rPr>
          <w:rFonts w:ascii="Arial" w:cs="Arial" w:eastAsia="Arial" w:hAnsi="Arial"/>
        </w:rPr>
        <w:t xml:space="preserve">Every reasoning surface ships with a deterministic core and a clean LLM seam: the Critic's model pass can veto but never resurrect, memory extraction runs against any OpenAI-compatible endpoint, and the whole system demos with zero model spend. Activating Groq (or any provider) is an environment change, not a rebuild.</w:t>
      </w:r>
    </w:p>
    <w:p>
      <w:pPr>
        <w:pStyle w:val="Heading2"/>
        <w:spacing w:after="140" w:before="240"/>
      </w:pPr>
      <w:r>
        <w:rPr>
          <w:rFonts w:ascii="Arial" w:cs="Arial" w:eastAsia="Arial" w:hAnsi="Arial"/>
        </w:rPr>
        <w:t xml:space="preserve">4.5 Contract-first, multi-agent team design</w:t>
      </w:r>
    </w:p>
    <w:p>
      <w:pPr>
        <w:spacing w:after="140"/>
      </w:pPr>
      <w:r>
        <w:rPr>
          <w:rFonts w:ascii="Arial" w:cs="Arial" w:eastAsia="Arial" w:hAnsi="Arial"/>
        </w:rPr>
        <w:t xml:space="preserve">The monorepo is engineered for eight parallel humans-with-agents: versioned contracts (API, tools, memory, events, DB) are the only legal cross-layer surface; generated models drift-checked in CI; per-layer CLAUDE.md context files; a blast-radius rule; and CODEOWNERS routing. An invented field is a hallucination by definition and fails review even if it works.</w:t>
      </w:r>
    </w:p>
    <w:p>
      <w:r>
        <w:br w:type="page"/>
      </w:r>
    </w:p>
    <w:p>
      <w:pPr>
        <w:pStyle w:val="Heading1"/>
        <w:spacing w:after="200" w:before="320"/>
      </w:pPr>
      <w:r>
        <w:rPr>
          <w:rFonts w:ascii="Arial" w:cs="Arial" w:eastAsia="Arial" w:hAnsi="Arial"/>
        </w:rPr>
        <w:t xml:space="preserve">5. Trust, Compliance &amp; the Data Room</w:t>
      </w:r>
    </w:p>
    <w:p>
      <w:pPr>
        <w:spacing w:after="140"/>
      </w:pPr>
      <w:r>
        <w:rPr>
          <w:rFonts w:ascii="Arial" w:cs="Arial" w:eastAsia="Arial" w:hAnsi="Arial"/>
        </w:rPr>
        <w:t xml:space="preserve">The audit log is append-only and hash-chained (row = SHA-256 of the previous hash and the canonical payload). The data room re-derives every link on each view, so “nothing was edited after the fact” is a verifiable claim — and an integration test proves a raw UPDATE breaks the chain at exactly the tampered row. The FinDesk Score (0–100) composes six published, recomputable components: reconciliation coverage 25, audit integrity 20, categorization 15, receivables discipline 15, forecast freshness 15, conflict hygiene 10. Owners and CAs mint signed, 7-day, read-only lender links; the token is the only credential.</w:t>
      </w:r>
    </w:p>
    <w:p>
      <w:pPr>
        <w:spacing w:after="140"/>
      </w:pPr>
      <w:r>
        <w:rPr>
          <w:rFonts w:ascii="Arial" w:cs="Arial" w:eastAsia="Arial" w:hAnsi="Arial"/>
        </w:rPr>
        <w:t xml:space="preserve">Compliance is the architecture rather than a retrofit: maker–checker is the approval engine, the audit trail exceeds SOC-2-style expectations, statutory computations carry explicit CA-review framing, and fixtures/telemetry contain no real financial data (reference pattern: IDs in traces, payloads in the store).</w:t>
      </w:r>
    </w:p>
    <w:p>
      <w:pPr>
        <w:pStyle w:val="Heading1"/>
        <w:spacing w:after="200" w:before="320"/>
      </w:pPr>
      <w:r>
        <w:rPr>
          <w:rFonts w:ascii="Arial" w:cs="Arial" w:eastAsia="Arial" w:hAnsi="Arial"/>
        </w:rPr>
        <w:t xml:space="preserve">6. Data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426"/>
      </w:tblGrid>
      <w:tr>
        <w:trPr>
          <w:tblHeader/>
        </w:trPr>
        <w:tc>
          <w:tcPr>
            <w:tcW w:type="dxa" w:w="27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Store</w:t>
            </w:r>
          </w:p>
        </w:tc>
        <w:tc>
          <w:tcPr>
            <w:tcW w:type="dxa" w:w="39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Holds</w:t>
            </w:r>
          </w:p>
        </w:tc>
        <w:tc>
          <w:tcPr>
            <w:tcW w:type="dxa" w:w="24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7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App Postgres 16</w:t>
            </w:r>
          </w:p>
        </w:tc>
        <w:tc>
          <w:tcPr>
            <w:tcW w:type="dxa" w:w="3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Facts: tenants, books, matches, ledger, approvals, conflicts, anomalies, clocks, forecasts, actions, audit chain</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10 Alembic migrations; UUIDv7 keys; money as integer paise; UTC</w:t>
            </w:r>
          </w:p>
        </w:tc>
      </w:tr>
      <w:tr>
        <w:tc>
          <w:tcPr>
            <w:tcW w:type="dxa" w:w="27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Redis 7</w:t>
            </w:r>
          </w:p>
        </w:tc>
        <w:tc>
          <w:tcPr>
            <w:tcW w:type="dxa" w:w="3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Work: job streams, run-event stream, SSE pub/sub</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At-least-once consumer groups; idempotent steps</w:t>
            </w:r>
          </w:p>
        </w:tc>
      </w:tr>
      <w:tr>
        <w:tc>
          <w:tcPr>
            <w:tcW w:type="dxa" w:w="27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Recall Postgres + pgvector</w:t>
            </w:r>
          </w:p>
        </w:tc>
        <w:tc>
          <w:tcPr>
            <w:tcW w:type="dxa" w:w="3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Belief units and embeddings</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Tenant-scoped; budget-packed retrieval</w:t>
            </w:r>
          </w:p>
        </w:tc>
      </w:tr>
      <w:tr>
        <w:tc>
          <w:tcPr>
            <w:tcW w:type="dxa" w:w="27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Recall Neo4j</w:t>
            </w:r>
          </w:p>
        </w:tc>
        <w:tc>
          <w:tcPr>
            <w:tcW w:type="dxa" w:w="39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Provenance graph: belief → evidence → resolution</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Atomic per-tenant deletion</w:t>
            </w:r>
          </w:p>
        </w:tc>
      </w:tr>
      <w:tr>
        <w:tc>
          <w:tcPr>
            <w:tcW w:type="dxa" w:w="27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Object storage (dev: var/)</w:t>
            </w:r>
          </w:p>
        </w:tc>
        <w:tc>
          <w:tcPr>
            <w:tcW w:type="dxa" w:w="39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Statement files, letters, Samadhaan preparations, TReDS listings</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Bytes never live in Postgres</w:t>
            </w:r>
          </w:p>
        </w:tc>
      </w:tr>
    </w:tbl>
    <w:p>
      <w:pPr>
        <w:pStyle w:val="Heading1"/>
        <w:spacing w:after="200" w:before="320"/>
      </w:pPr>
      <w:r>
        <w:rPr>
          <w:rFonts w:ascii="Arial" w:cs="Arial" w:eastAsia="Arial" w:hAnsi="Arial"/>
        </w:rPr>
        <w:t xml:space="preserve">7. Quality &amp; Verification</w:t>
      </w:r>
    </w:p>
    <w:p>
      <w:pPr>
        <w:pStyle w:val="ListParagraph"/>
        <w:numPr>
          <w:ilvl w:val="0"/>
          <w:numId w:val="2"/>
        </w:numPr>
        <w:spacing w:after="80"/>
      </w:pPr>
      <w:r>
        <w:rPr>
          <w:rFonts w:ascii="Arial" w:cs="Arial" w:eastAsia="Arial" w:hAnsi="Arial"/>
        </w:rPr>
        <w:t xml:space="preserve">86 automated tests: 83 unit (pure engines, matchers, detectors, templates, guardrail math) + 3 integration on real Postgres via testcontainers — the guardrail cycle, a cross-tenant smuggling attack, and audit-chain tamper detection.</w:t>
      </w:r>
    </w:p>
    <w:p>
      <w:pPr>
        <w:pStyle w:val="ListParagraph"/>
        <w:numPr>
          <w:ilvl w:val="0"/>
          <w:numId w:val="2"/>
        </w:numPr>
        <w:spacing w:after="80"/>
      </w:pPr>
      <w:r>
        <w:rPr>
          <w:rFonts w:ascii="Arial" w:cs="Arial" w:eastAsia="Arial" w:hAnsi="Arial"/>
        </w:rPr>
        <w:t xml:space="preserve">Accuracy is a number, not a claim: a golden-set eval harness (precision/recall/guardrail floors) runs nightly in CI and blocks regressions.</w:t>
      </w:r>
    </w:p>
    <w:p>
      <w:pPr>
        <w:pStyle w:val="ListParagraph"/>
        <w:numPr>
          <w:ilvl w:val="0"/>
          <w:numId w:val="2"/>
        </w:numPr>
        <w:spacing w:after="80"/>
      </w:pPr>
      <w:r>
        <w:rPr>
          <w:rFonts w:ascii="Arial" w:cs="Arial" w:eastAsia="Arial" w:hAnsi="Arial"/>
        </w:rPr>
        <w:t xml:space="preserve">Every phase exited through a live end-to-end demo on the running stack — fourteen reviewed PRs, each with its verification transcript in the commit message.</w:t>
      </w:r>
    </w:p>
    <w:p>
      <w:pPr>
        <w:pStyle w:val="ListParagraph"/>
        <w:numPr>
          <w:ilvl w:val="0"/>
          <w:numId w:val="2"/>
        </w:numPr>
        <w:spacing w:after="80"/>
      </w:pPr>
      <w:r>
        <w:rPr>
          <w:rFonts w:ascii="Arial" w:cs="Arial" w:eastAsia="Arial" w:hAnsi="Arial"/>
        </w:rPr>
        <w:t xml:space="preserve">CI on every PR: ruff, eslint, tsc, builds, contract-drift checks, conventional-commit titles, secret hygiene; nightly: evals + integration suite.</w:t>
      </w:r>
    </w:p>
    <w:p>
      <w:r>
        <w:br w:type="page"/>
      </w:r>
    </w:p>
    <w:p>
      <w:pPr>
        <w:pStyle w:val="Heading1"/>
        <w:spacing w:after="200" w:before="320"/>
      </w:pPr>
      <w:r>
        <w:rPr>
          <w:rFonts w:ascii="Arial" w:cs="Arial" w:eastAsia="Arial" w:hAnsi="Arial"/>
        </w:rPr>
        <w:t xml:space="preserve">8. Delivery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tblHeader/>
        </w:trPr>
        <w:tc>
          <w:tcPr>
            <w:tcW w:type="dxa" w:w="16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50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Slice</w:t>
            </w:r>
          </w:p>
        </w:tc>
        <w:tc>
          <w:tcPr>
            <w:tcW w:type="dxa" w:w="24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Exit demo (run live)</w:t>
            </w:r>
          </w:p>
        </w:tc>
      </w:tr>
      <w:tr>
        <w:tc>
          <w:tcPr>
            <w:tcW w:type="dxa" w:w="16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0</w:t>
            </w:r>
          </w:p>
        </w:tc>
        <w:tc>
          <w:tcPr>
            <w:tcW w:type="dxa" w:w="5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Walking skeleton: all layers talking</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Login → ping graph → live SSE steps</w:t>
            </w:r>
          </w:p>
        </w:tc>
      </w:tr>
      <w:tr>
        <w:tc>
          <w:tcPr>
            <w:tcW w:type="dxa" w:w="16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1</w:t>
            </w:r>
          </w:p>
        </w:tc>
        <w:tc>
          <w:tcPr>
            <w:tcW w:type="dxa" w:w="5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Statement → reconciled books (rules-only)</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16 txns in, 8 posted, dedupe proven, Why trail</w:t>
            </w:r>
          </w:p>
        </w:tc>
      </w:tr>
      <w:tr>
        <w:tc>
          <w:tcPr>
            <w:tcW w:type="dxa" w:w="16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2</w:t>
            </w:r>
          </w:p>
        </w:tc>
        <w:tc>
          <w:tcPr>
            <w:tcW w:type="dxa" w:w="5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Trust machine: approvals, TDS, memory live</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₹44,100 TDS case approved with token; pattern remembered</w:t>
            </w:r>
          </w:p>
        </w:tc>
      </w:tr>
      <w:tr>
        <w:tc>
          <w:tcPr>
            <w:tcW w:type="dxa" w:w="16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2b/2c</w:t>
            </w:r>
          </w:p>
        </w:tc>
        <w:tc>
          <w:tcPr>
            <w:tcW w:type="dxa" w:w="5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Conflict cards, eval harness, categorization, critic seam</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Taxonomy disagreement surfaced and resolved one-tap</w:t>
            </w:r>
          </w:p>
        </w:tc>
      </w:tr>
      <w:tr>
        <w:tc>
          <w:tcPr>
            <w:tcW w:type="dxa" w:w="16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3</w:t>
            </w:r>
          </w:p>
        </w:tc>
        <w:tc>
          <w:tcPr>
            <w:tcW w:type="dxa" w:w="5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Anomalies, collections, reports + Why drawer</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₹97,600 found; gated chaser sent; every figure explains itself</w:t>
            </w:r>
          </w:p>
        </w:tc>
      </w:tr>
      <w:tr>
        <w:tc>
          <w:tcPr>
            <w:tcW w:type="dxa" w:w="16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4</w:t>
            </w:r>
          </w:p>
        </w:tc>
        <w:tc>
          <w:tcPr>
            <w:tcW w:type="dxa" w:w="5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Cash command: radar, forecast, TReDS, data room, enforcer</w:t>
            </w:r>
          </w:p>
        </w:tc>
        <w:tc>
          <w:tcPr>
            <w:tcW w:type="dxa" w:w="24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Bands spread by behavior; Act letter cites computed §16 interest</w:t>
            </w:r>
          </w:p>
        </w:tc>
      </w:tr>
      <w:tr>
        <w:tc>
          <w:tcPr>
            <w:tcW w:type="dxa" w:w="16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5</w:t>
            </w:r>
          </w:p>
        </w:tc>
        <w:tc>
          <w:tcPr>
            <w:tcW w:type="dxa" w:w="5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A1 onboarding + hardening</w:t>
            </w:r>
          </w:p>
        </w:tc>
        <w:tc>
          <w:tcPr>
            <w:tcW w:type="dxa" w:w="24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Day-one predictions from imported history; tamper test red-teams the chain</w:t>
            </w:r>
          </w:p>
        </w:tc>
      </w:tr>
    </w:tbl>
    <w:p>
      <w:pPr>
        <w:pStyle w:val="Heading1"/>
        <w:spacing w:after="200" w:before="320"/>
      </w:pPr>
      <w:r>
        <w:rPr>
          <w:rFonts w:ascii="Arial" w:cs="Arial" w:eastAsia="Arial" w:hAnsi="Arial"/>
        </w:rPr>
        <w:t xml:space="preserve">9. Production Roadmap</w:t>
      </w:r>
    </w:p>
    <w:p>
      <w:pPr>
        <w:spacing w:after="140"/>
      </w:pPr>
      <w:r>
        <w:rPr>
          <w:rFonts w:ascii="Arial" w:cs="Arial" w:eastAsia="Arial" w:hAnsi="Arial"/>
        </w:rPr>
        <w:t xml:space="preserve">Engineering maturity items beyond the delivered specification, in recommended order:</w:t>
      </w:r>
    </w:p>
    <w:p>
      <w:pPr>
        <w:pStyle w:val="ListParagraph"/>
        <w:numPr>
          <w:ilvl w:val="0"/>
          <w:numId w:val="5"/>
        </w:numPr>
        <w:spacing w:after="80"/>
      </w:pPr>
      <w:r>
        <w:rPr>
          <w:rFonts w:ascii="Arial" w:cs="Arial" w:eastAsia="Arial" w:hAnsi="Arial"/>
        </w:rPr>
        <w:t xml:space="preserve">Database-level RLS to back the service-layer tenancy (isolation is integration-tested today).</w:t>
      </w:r>
    </w:p>
    <w:p>
      <w:pPr>
        <w:pStyle w:val="ListParagraph"/>
        <w:numPr>
          <w:ilvl w:val="0"/>
          <w:numId w:val="5"/>
        </w:numPr>
        <w:spacing w:after="80"/>
      </w:pPr>
      <w:r>
        <w:rPr>
          <w:rFonts w:ascii="Arial" w:cs="Arial" w:eastAsia="Arial" w:hAnsi="Arial"/>
        </w:rPr>
        <w:t xml:space="preserve">Staging environment and image-promotion pipeline (compose → small k8s).</w:t>
      </w:r>
    </w:p>
    <w:p>
      <w:pPr>
        <w:pStyle w:val="ListParagraph"/>
        <w:numPr>
          <w:ilvl w:val="0"/>
          <w:numId w:val="5"/>
        </w:numPr>
        <w:spacing w:after="80"/>
      </w:pPr>
      <w:r>
        <w:rPr>
          <w:rFonts w:ascii="Arial" w:cs="Arial" w:eastAsia="Arial" w:hAnsi="Arial"/>
        </w:rPr>
        <w:t xml:space="preserve">Production connectors behind the existing tool surfaces: Account Aggregator, native Tally XML, transactional email, TReDS platform APIs.</w:t>
      </w:r>
    </w:p>
    <w:p>
      <w:pPr>
        <w:pStyle w:val="ListParagraph"/>
        <w:numPr>
          <w:ilvl w:val="0"/>
          <w:numId w:val="5"/>
        </w:numPr>
        <w:spacing w:after="80"/>
      </w:pPr>
      <w:r>
        <w:rPr>
          <w:rFonts w:ascii="Arial" w:cs="Arial" w:eastAsia="Arial" w:hAnsi="Arial"/>
        </w:rPr>
        <w:t xml:space="preserve">Provider keys to activate the LLM critic and richer memory extraction (pre-wired; environment change only).</w:t>
      </w:r>
    </w:p>
    <w:p>
      <w:pPr>
        <w:pStyle w:val="ListParagraph"/>
        <w:numPr>
          <w:ilvl w:val="0"/>
          <w:numId w:val="5"/>
        </w:numPr>
        <w:spacing w:after="200"/>
      </w:pPr>
      <w:r>
        <w:rPr>
          <w:rFonts w:ascii="Arial" w:cs="Arial" w:eastAsia="Arial" w:hAnsi="Arial"/>
        </w:rPr>
        <w:t xml:space="preserve">CA multi-client console and forecast-calibration publishing in-product.</w:t>
      </w:r>
    </w:p>
    <w:p>
      <w:pPr>
        <w:pStyle w:val="Heading1"/>
        <w:spacing w:after="200" w:before="320"/>
      </w:pPr>
      <w:r>
        <w:rPr>
          <w:rFonts w:ascii="Arial" w:cs="Arial" w:eastAsia="Arial" w:hAnsi="Arial"/>
        </w:rPr>
        <w:t xml:space="preserve">Appendix A —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Concern</w:t>
            </w:r>
          </w:p>
        </w:tc>
        <w:tc>
          <w:tcPr>
            <w:tcW w:type="dxa" w:w="6026"/>
            <w:tcBorders>
              <w:top w:val="single" w:color="C9D6DB" w:sz="1"/>
              <w:left w:val="single" w:color="C9D6DB" w:sz="1"/>
              <w:bottom w:val="single" w:color="C9D6DB" w:sz="1"/>
              <w:right w:val="single" w:color="C9D6DB" w:sz="1"/>
            </w:tcBorders>
            <w:shd w:fill="0B1F33" w:val="clear"/>
            <w:tcMar>
              <w:top w:type="dxa" w:w="80"/>
              <w:left w:type="dxa" w:w="120"/>
              <w:bottom w:type="dxa" w:w="80"/>
              <w:right w:type="dxa" w:w="120"/>
            </w:tcMar>
          </w:tcPr>
          <w:p>
            <w:r>
              <w:rPr>
                <w:rFonts w:ascii="Arial" w:cs="Arial" w:eastAsia="Arial" w:hAnsi="Arial"/>
                <w:b/>
                <w:bCs/>
                <w:color w:val="FFFFFF"/>
                <w:sz w:val="21"/>
                <w:szCs w:val="21"/>
              </w:rPr>
              <w:t xml:space="preserve">Choice</w:t>
            </w:r>
          </w:p>
        </w:tc>
      </w:tr>
      <w:tr>
        <w:tc>
          <w:tcPr>
            <w:tcW w:type="dxa" w:w="3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Orchestration</w:t>
            </w:r>
          </w:p>
        </w:tc>
        <w:tc>
          <w:tcPr>
            <w:tcW w:type="dxa" w:w="60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LangGraph (Planner → Executor → Critic → Approval Gate), Python 3.11</w:t>
            </w:r>
          </w:p>
        </w:tc>
      </w:tr>
      <w:tr>
        <w:tc>
          <w:tcPr>
            <w:tcW w:type="dxa" w:w="3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Backend</w:t>
            </w:r>
          </w:p>
        </w:tc>
        <w:tc>
          <w:tcPr>
            <w:tcW w:type="dxa" w:w="60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FastAPI · Pydantic v2 · SQLAlchemy 2 (async) · Alembic · PyJWT · argon2</w:t>
            </w:r>
          </w:p>
        </w:tc>
      </w:tr>
      <w:tr>
        <w:tc>
          <w:tcPr>
            <w:tcW w:type="dxa" w:w="3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Memory</w:t>
            </w:r>
          </w:p>
        </w:tc>
        <w:tc>
          <w:tcPr>
            <w:tcW w:type="dxa" w:w="60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Recall engine (vendored): Postgres + pgvector, Neo4j 5, Redis 7</w:t>
            </w:r>
          </w:p>
        </w:tc>
      </w:tr>
      <w:tr>
        <w:tc>
          <w:tcPr>
            <w:tcW w:type="dxa" w:w="3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Frontend</w:t>
            </w:r>
          </w:p>
        </w:tc>
        <w:tc>
          <w:tcPr>
            <w:tcW w:type="dxa" w:w="60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Next.js 14 (App Router) · TypeScript · Tailwind · TanStack Query 5</w:t>
            </w:r>
          </w:p>
        </w:tc>
      </w:tr>
      <w:tr>
        <w:tc>
          <w:tcPr>
            <w:tcW w:type="dxa" w:w="3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Transport</w:t>
            </w:r>
          </w:p>
        </w:tc>
        <w:tc>
          <w:tcPr>
            <w:tcW w:type="dxa" w:w="60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Redis 7 streams (jobs/events) · Server-Sent Events (live runs)</w:t>
            </w:r>
          </w:p>
        </w:tc>
      </w:tr>
      <w:tr>
        <w:tc>
          <w:tcPr>
            <w:tcW w:type="dxa" w:w="3000"/>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Quality</w:t>
            </w:r>
          </w:p>
        </w:tc>
        <w:tc>
          <w:tcPr>
            <w:tcW w:type="dxa" w:w="6026"/>
            <w:tcBorders>
              <w:top w:val="single" w:color="C9D6DB" w:sz="1"/>
              <w:left w:val="single" w:color="C9D6DB" w:sz="1"/>
              <w:bottom w:val="single" w:color="C9D6DB" w:sz="1"/>
              <w:right w:val="single" w:color="C9D6DB" w:sz="1"/>
            </w:tcBorders>
            <w:shd w:fill="FFFFFF" w:val="clear"/>
            <w:tcMar>
              <w:top w:type="dxa" w:w="80"/>
              <w:left w:type="dxa" w:w="120"/>
              <w:bottom w:type="dxa" w:w="80"/>
              <w:right w:type="dxa" w:w="120"/>
            </w:tcMar>
          </w:tcPr>
          <w:p>
            <w:r>
              <w:rPr>
                <w:rFonts w:ascii="Arial" w:cs="Arial" w:eastAsia="Arial" w:hAnsi="Arial"/>
                <w:sz w:val="21"/>
                <w:szCs w:val="21"/>
              </w:rPr>
              <w:t xml:space="preserve">pytest + testcontainers · ruff · eslint/tsc · golden-set eval harness · GitHub Actions</w:t>
            </w:r>
          </w:p>
        </w:tc>
      </w:tr>
      <w:tr>
        <w:tc>
          <w:tcPr>
            <w:tcW w:type="dxa" w:w="3000"/>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Dev environment</w:t>
            </w:r>
          </w:p>
        </w:tc>
        <w:tc>
          <w:tcPr>
            <w:tcW w:type="dxa" w:w="6026"/>
            <w:tcBorders>
              <w:top w:val="single" w:color="C9D6DB" w:sz="1"/>
              <w:left w:val="single" w:color="C9D6DB" w:sz="1"/>
              <w:bottom w:val="single" w:color="C9D6DB" w:sz="1"/>
              <w:right w:val="single" w:color="C9D6DB" w:sz="1"/>
            </w:tcBorders>
            <w:shd w:fill="EAF4F5" w:val="clear"/>
            <w:tcMar>
              <w:top w:type="dxa" w:w="80"/>
              <w:left w:type="dxa" w:w="120"/>
              <w:bottom w:type="dxa" w:w="80"/>
              <w:right w:type="dxa" w:w="120"/>
            </w:tcMar>
          </w:tcPr>
          <w:p>
            <w:r>
              <w:rPr>
                <w:rFonts w:ascii="Arial" w:cs="Arial" w:eastAsia="Arial" w:hAnsi="Arial"/>
                <w:sz w:val="21"/>
                <w:szCs w:val="21"/>
              </w:rPr>
              <w:t xml:space="preserve">Docker Compose (app + memory stacks) · synthetic seed · one-command make up</w:t>
            </w:r>
          </w:p>
        </w:tc>
      </w:tr>
    </w:tbl>
    <w:p>
      <w:pPr>
        <w:pStyle w:val="Heading1"/>
        <w:spacing w:after="200" w:before="320"/>
      </w:pPr>
      <w:r>
        <w:rPr>
          <w:rFonts w:ascii="Arial" w:cs="Arial" w:eastAsia="Arial" w:hAnsi="Arial"/>
        </w:rPr>
        <w:t xml:space="preserve">Appendix B — Five-Minute Demo Path</w:t>
      </w:r>
    </w:p>
    <w:p>
      <w:pPr>
        <w:pStyle w:val="ListParagraph"/>
        <w:numPr>
          <w:ilvl w:val="0"/>
          <w:numId w:val="6"/>
        </w:numPr>
        <w:spacing w:after="80"/>
      </w:pPr>
      <w:r>
        <w:rPr>
          <w:rFonts w:ascii="Arial" w:cs="Arial" w:eastAsia="Arial" w:hAnsi="Arial"/>
        </w:rPr>
        <w:t xml:space="preserve">Books → Import invoices (Zoho fixture): two clients and their payment history land; memory is seeded.</w:t>
      </w:r>
    </w:p>
    <w:p>
      <w:pPr>
        <w:pStyle w:val="ListParagraph"/>
        <w:numPr>
          <w:ilvl w:val="0"/>
          <w:numId w:val="6"/>
        </w:numPr>
        <w:spacing w:after="80"/>
      </w:pPr>
      <w:r>
        <w:rPr>
          <w:rFonts w:ascii="Arial" w:cs="Arial" w:eastAsia="Arial" w:hAnsi="Arial"/>
        </w:rPr>
        <w:t xml:space="preserve">Books → Upload statement: watch the reconciliation run live; 50% auto-posts, the ambiguous credit waits for a human.</w:t>
      </w:r>
    </w:p>
    <w:p>
      <w:pPr>
        <w:pStyle w:val="ListParagraph"/>
        <w:numPr>
          <w:ilvl w:val="0"/>
          <w:numId w:val="6"/>
        </w:numPr>
        <w:spacing w:after="80"/>
      </w:pPr>
      <w:r>
        <w:rPr>
          <w:rFonts w:ascii="Arial" w:cs="Arial" w:eastAsia="Arial" w:hAnsi="Arial"/>
        </w:rPr>
        <w:t xml:space="preserve">Approvals: read the TDS breakdown, approve — the ledger splits bank / TDS receivable / AR to the paisa.</w:t>
      </w:r>
    </w:p>
    <w:p>
      <w:pPr>
        <w:pStyle w:val="ListParagraph"/>
        <w:numPr>
          <w:ilvl w:val="0"/>
          <w:numId w:val="6"/>
        </w:numPr>
        <w:spacing w:after="80"/>
      </w:pPr>
      <w:r>
        <w:rPr>
          <w:rFonts w:ascii="Arial" w:cs="Arial" w:eastAsia="Arial" w:hAnsi="Arial"/>
        </w:rPr>
        <w:t xml:space="preserve">Anomalies → Run scan: a double rent and a 2.9× cloud bill surface with ₹97,600 recoverable.</w:t>
      </w:r>
    </w:p>
    <w:p>
      <w:pPr>
        <w:pStyle w:val="ListParagraph"/>
        <w:numPr>
          <w:ilvl w:val="0"/>
          <w:numId w:val="6"/>
        </w:numPr>
        <w:spacing w:after="80"/>
      </w:pPr>
      <w:r>
        <w:rPr>
          <w:rFonts w:ascii="Arial" w:cs="Arial" w:eastAsia="Arial" w:hAnsi="Arial"/>
        </w:rPr>
        <w:t xml:space="preserve">Receivables: statutory clocks with accrued §16 interest beside “likely pays” dates from memory.</w:t>
      </w:r>
    </w:p>
    <w:p>
      <w:pPr>
        <w:pStyle w:val="ListParagraph"/>
        <w:numPr>
          <w:ilvl w:val="0"/>
          <w:numId w:val="6"/>
        </w:numPr>
        <w:spacing w:after="80"/>
      </w:pPr>
      <w:r>
        <w:rPr>
          <w:rFonts w:ascii="Arial" w:cs="Arial" w:eastAsia="Arial" w:hAnsi="Arial"/>
        </w:rPr>
        <w:t xml:space="preserve">Forecast → Recompute: scenario bands spread where behavior says they should.</w:t>
      </w:r>
    </w:p>
    <w:p>
      <w:pPr>
        <w:pStyle w:val="ListParagraph"/>
        <w:numPr>
          <w:ilvl w:val="0"/>
          <w:numId w:val="6"/>
        </w:numPr>
        <w:spacing w:after="80"/>
      </w:pPr>
      <w:r>
        <w:rPr>
          <w:rFonts w:ascii="Arial" w:cs="Arial" w:eastAsia="Arial" w:hAnsi="Arial"/>
        </w:rPr>
        <w:t xml:space="preserve">Reports: click any figure's “Why?” — the hash-chained trail opens.</w:t>
      </w:r>
    </w:p>
    <w:p>
      <w:pPr>
        <w:pStyle w:val="ListParagraph"/>
        <w:numPr>
          <w:ilvl w:val="0"/>
          <w:numId w:val="6"/>
        </w:numPr>
        <w:spacing w:after="160"/>
      </w:pPr>
      <w:r>
        <w:rPr>
          <w:rFonts w:ascii="Arial" w:cs="Arial" w:eastAsia="Arial" w:hAnsi="Arial"/>
        </w:rPr>
        <w:t xml:space="preserve">Data room: Score 80, chain verified 40/40, one click mints a lender link that works logged-out.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8"/>
        <w:szCs w:val="18"/>
      </w:rPr>
      <w:t xml:space="preserve">Confidential — internal team document</w:t>
    </w:r>
    <w:r>
      <w:rPr>
        <w:rFonts w:ascii="Arial" w:cs="Arial" w:eastAsia="Arial" w:hAnsi="Arial"/>
        <w:color w:val="64748B"/>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4" w:space="2"/>
      </w:pBdr>
      <w:tabs>
        <w:tab w:val="right" w:pos="9026"/>
      </w:tabs>
    </w:pPr>
    <w:r>
      <w:rPr>
        <w:rFonts w:ascii="Arial" w:cs="Arial" w:eastAsia="Arial" w:hAnsi="Arial"/>
        <w:color w:val="64748B"/>
        <w:sz w:val="18"/>
        <w:szCs w:val="18"/>
      </w:rPr>
      <w:t xml:space="preserve">FINDESK  ·  Concept &amp; Design</w:t>
    </w:r>
    <w:r>
      <w:rPr>
        <w:rFonts w:ascii="Arial" w:cs="Arial" w:eastAsia="Arial" w:hAnsi="Arial"/>
        <w:color w:val="64748B"/>
        <w:sz w:val="18"/>
        <w:szCs w:val="18"/>
      </w:rPr>
      <w:t xml:space="preserve">	The Autonomous CFO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6E74" w:sz="8" w:space="4"/>
      </w:pBdr>
      <w:spacing w:after="200" w:before="300"/>
      <w:outlineLvl w:val="0"/>
    </w:pPr>
    <w:rPr>
      <w:rFonts w:ascii="Arial" w:cs="Arial" w:eastAsia="Arial" w:hAnsi="Arial"/>
      <w:b/>
      <w:bCs/>
      <w:color w:val="0B1F33"/>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E6E7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2026-06-11T05:29:16.236Z</dcterms:created>
  <dcterms:modified xsi:type="dcterms:W3CDTF">2026-06-11T05:29:16.237Z</dcterms:modified>
</cp:coreProperties>
</file>

<file path=docProps/custom.xml><?xml version="1.0" encoding="utf-8"?>
<Properties xmlns="http://schemas.openxmlformats.org/officeDocument/2006/custom-properties" xmlns:vt="http://schemas.openxmlformats.org/officeDocument/2006/docPropsVTypes"/>
</file>