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9555B" w14:textId="77777777" w:rsidR="00CC5814" w:rsidRPr="00B729E1" w:rsidRDefault="00000000">
      <w:pPr>
        <w:spacing w:after="200"/>
        <w:jc w:val="center"/>
        <w:rPr>
          <w:rFonts w:ascii="Times New Roman" w:hAnsi="Times New Roman" w:cs="Times New Roman"/>
        </w:rPr>
      </w:pPr>
      <w:r w:rsidRPr="00B729E1">
        <w:rPr>
          <w:rFonts w:ascii="Times New Roman" w:hAnsi="Times New Roman" w:cs="Times New Roman"/>
          <w:b/>
          <w:bCs/>
          <w:color w:val="1F3864"/>
          <w:sz w:val="40"/>
          <w:szCs w:val="40"/>
        </w:rPr>
        <w:t>SIMATS ENGINEERING</w:t>
      </w:r>
    </w:p>
    <w:p w14:paraId="7A9C4F82" w14:textId="77777777" w:rsidR="00CC5814" w:rsidRPr="00B729E1" w:rsidRDefault="00000000">
      <w:pPr>
        <w:spacing w:after="400"/>
        <w:jc w:val="center"/>
        <w:rPr>
          <w:rFonts w:ascii="Times New Roman" w:hAnsi="Times New Roman" w:cs="Times New Roman"/>
        </w:rPr>
      </w:pPr>
      <w:r w:rsidRPr="00B729E1">
        <w:rPr>
          <w:rFonts w:ascii="Times New Roman" w:hAnsi="Times New Roman" w:cs="Times New Roman"/>
          <w:b/>
          <w:bCs/>
          <w:color w:val="2E74B5"/>
          <w:sz w:val="30"/>
          <w:szCs w:val="30"/>
        </w:rPr>
        <w:t>ASSESSMENT TOOL 2</w:t>
      </w:r>
    </w:p>
    <w:p w14:paraId="59A32B0E" w14:textId="77777777" w:rsidR="00CC5814" w:rsidRPr="00B729E1" w:rsidRDefault="00000000">
      <w:pPr>
        <w:spacing w:after="600"/>
        <w:jc w:val="center"/>
        <w:rPr>
          <w:rFonts w:ascii="Times New Roman" w:hAnsi="Times New Roman" w:cs="Times New Roman"/>
        </w:rPr>
      </w:pPr>
      <w:r w:rsidRPr="00B729E1">
        <w:rPr>
          <w:rFonts w:ascii="Times New Roman" w:hAnsi="Times New Roman" w:cs="Times New Roman"/>
          <w:i/>
          <w:iCs/>
          <w:sz w:val="24"/>
          <w:szCs w:val="24"/>
        </w:rPr>
        <w:t>Alternative Solution Design – Answer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C5814" w:rsidRPr="00B729E1" w14:paraId="476FCE68" w14:textId="77777777">
        <w:tc>
          <w:tcPr>
            <w:tcW w:w="3120" w:type="dxa"/>
            <w:shd w:val="clear" w:color="auto" w:fill="1F3864"/>
            <w:tcMar>
              <w:top w:w="100" w:type="dxa"/>
              <w:left w:w="120" w:type="dxa"/>
              <w:bottom w:w="100" w:type="dxa"/>
              <w:right w:w="120" w:type="dxa"/>
            </w:tcMar>
            <w:vAlign w:val="center"/>
          </w:tcPr>
          <w:p w14:paraId="63B7A99A"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Course Name</w:t>
            </w:r>
          </w:p>
        </w:tc>
        <w:tc>
          <w:tcPr>
            <w:tcW w:w="6240" w:type="dxa"/>
            <w:tcMar>
              <w:top w:w="100" w:type="dxa"/>
              <w:left w:w="120" w:type="dxa"/>
              <w:bottom w:w="100" w:type="dxa"/>
              <w:right w:w="120" w:type="dxa"/>
            </w:tcMar>
            <w:vAlign w:val="center"/>
          </w:tcPr>
          <w:p w14:paraId="17F259E8"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Internet Programming</w:t>
            </w:r>
          </w:p>
        </w:tc>
      </w:tr>
      <w:tr w:rsidR="00CC5814" w:rsidRPr="00B729E1" w14:paraId="37C8AFDA" w14:textId="77777777">
        <w:tc>
          <w:tcPr>
            <w:tcW w:w="3120" w:type="dxa"/>
            <w:shd w:val="clear" w:color="auto" w:fill="1F3864"/>
            <w:tcMar>
              <w:top w:w="100" w:type="dxa"/>
              <w:left w:w="120" w:type="dxa"/>
              <w:bottom w:w="100" w:type="dxa"/>
              <w:right w:w="120" w:type="dxa"/>
            </w:tcMar>
            <w:vAlign w:val="center"/>
          </w:tcPr>
          <w:p w14:paraId="274E3D4E"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Course Code</w:t>
            </w:r>
          </w:p>
        </w:tc>
        <w:tc>
          <w:tcPr>
            <w:tcW w:w="6240" w:type="dxa"/>
            <w:tcMar>
              <w:top w:w="100" w:type="dxa"/>
              <w:left w:w="120" w:type="dxa"/>
              <w:bottom w:w="100" w:type="dxa"/>
              <w:right w:w="120" w:type="dxa"/>
            </w:tcMar>
            <w:vAlign w:val="center"/>
          </w:tcPr>
          <w:p w14:paraId="7F92A4C9" w14:textId="7A4BC768"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CSA43</w:t>
            </w:r>
            <w:r w:rsidR="00077318">
              <w:rPr>
                <w:rFonts w:ascii="Times New Roman" w:hAnsi="Times New Roman" w:cs="Times New Roman"/>
                <w:color w:val="000000"/>
                <w:sz w:val="20"/>
                <w:szCs w:val="20"/>
              </w:rPr>
              <w:t>03</w:t>
            </w:r>
          </w:p>
        </w:tc>
      </w:tr>
      <w:tr w:rsidR="00CC5814" w:rsidRPr="00B729E1" w14:paraId="653AFE5E" w14:textId="77777777">
        <w:tc>
          <w:tcPr>
            <w:tcW w:w="3120" w:type="dxa"/>
            <w:shd w:val="clear" w:color="auto" w:fill="1F3864"/>
            <w:tcMar>
              <w:top w:w="100" w:type="dxa"/>
              <w:left w:w="120" w:type="dxa"/>
              <w:bottom w:w="100" w:type="dxa"/>
              <w:right w:w="120" w:type="dxa"/>
            </w:tcMar>
            <w:vAlign w:val="center"/>
          </w:tcPr>
          <w:p w14:paraId="290F095A"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Course Outcome</w:t>
            </w:r>
          </w:p>
        </w:tc>
        <w:tc>
          <w:tcPr>
            <w:tcW w:w="6240" w:type="dxa"/>
            <w:tcMar>
              <w:top w:w="100" w:type="dxa"/>
              <w:left w:w="120" w:type="dxa"/>
              <w:bottom w:w="100" w:type="dxa"/>
              <w:right w:w="120" w:type="dxa"/>
            </w:tcMar>
            <w:vAlign w:val="center"/>
          </w:tcPr>
          <w:p w14:paraId="40E67C4A"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CO5: Construct interoperable web services by leveraging JAX-RPC, WSDL, SOAP, and XML Schema for seamless data exchange across distributed systems. (L4, L5)</w:t>
            </w:r>
          </w:p>
        </w:tc>
      </w:tr>
      <w:tr w:rsidR="00CC5814" w:rsidRPr="00B729E1" w14:paraId="26CE97AD" w14:textId="77777777">
        <w:tc>
          <w:tcPr>
            <w:tcW w:w="3120" w:type="dxa"/>
            <w:shd w:val="clear" w:color="auto" w:fill="1F3864"/>
            <w:tcMar>
              <w:top w:w="100" w:type="dxa"/>
              <w:left w:w="120" w:type="dxa"/>
              <w:bottom w:w="100" w:type="dxa"/>
              <w:right w:w="120" w:type="dxa"/>
            </w:tcMar>
            <w:vAlign w:val="center"/>
          </w:tcPr>
          <w:p w14:paraId="233D5409"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Assessment Tool</w:t>
            </w:r>
          </w:p>
        </w:tc>
        <w:tc>
          <w:tcPr>
            <w:tcW w:w="6240" w:type="dxa"/>
            <w:tcMar>
              <w:top w:w="100" w:type="dxa"/>
              <w:left w:w="120" w:type="dxa"/>
              <w:bottom w:w="100" w:type="dxa"/>
              <w:right w:w="120" w:type="dxa"/>
            </w:tcMar>
            <w:vAlign w:val="center"/>
          </w:tcPr>
          <w:p w14:paraId="02CDA8BA"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Alternative Solution Design</w:t>
            </w:r>
          </w:p>
        </w:tc>
      </w:tr>
      <w:tr w:rsidR="00CC5814" w:rsidRPr="00B729E1" w14:paraId="4B440202" w14:textId="77777777">
        <w:tc>
          <w:tcPr>
            <w:tcW w:w="3120" w:type="dxa"/>
            <w:shd w:val="clear" w:color="auto" w:fill="1F3864"/>
            <w:tcMar>
              <w:top w:w="100" w:type="dxa"/>
              <w:left w:w="120" w:type="dxa"/>
              <w:bottom w:w="100" w:type="dxa"/>
              <w:right w:w="120" w:type="dxa"/>
            </w:tcMar>
            <w:vAlign w:val="center"/>
          </w:tcPr>
          <w:p w14:paraId="5E9D92DA"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Weightage</w:t>
            </w:r>
          </w:p>
        </w:tc>
        <w:tc>
          <w:tcPr>
            <w:tcW w:w="6240" w:type="dxa"/>
            <w:tcMar>
              <w:top w:w="100" w:type="dxa"/>
              <w:left w:w="120" w:type="dxa"/>
              <w:bottom w:w="100" w:type="dxa"/>
              <w:right w:w="120" w:type="dxa"/>
            </w:tcMar>
            <w:vAlign w:val="center"/>
          </w:tcPr>
          <w:p w14:paraId="5E179F38"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20%</w:t>
            </w:r>
          </w:p>
        </w:tc>
      </w:tr>
      <w:tr w:rsidR="00CC5814" w:rsidRPr="00B729E1" w14:paraId="41726BC0" w14:textId="77777777">
        <w:tc>
          <w:tcPr>
            <w:tcW w:w="3120" w:type="dxa"/>
            <w:shd w:val="clear" w:color="auto" w:fill="1F3864"/>
            <w:tcMar>
              <w:top w:w="100" w:type="dxa"/>
              <w:left w:w="120" w:type="dxa"/>
              <w:bottom w:w="100" w:type="dxa"/>
              <w:right w:w="120" w:type="dxa"/>
            </w:tcMar>
            <w:vAlign w:val="center"/>
          </w:tcPr>
          <w:p w14:paraId="0B0DD854"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Questions Answered</w:t>
            </w:r>
          </w:p>
        </w:tc>
        <w:tc>
          <w:tcPr>
            <w:tcW w:w="6240" w:type="dxa"/>
            <w:tcMar>
              <w:top w:w="100" w:type="dxa"/>
              <w:left w:w="120" w:type="dxa"/>
              <w:bottom w:w="100" w:type="dxa"/>
              <w:right w:w="120" w:type="dxa"/>
            </w:tcMar>
            <w:vAlign w:val="center"/>
          </w:tcPr>
          <w:p w14:paraId="2D30BA93"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Q1 – Q5 (all questions)</w:t>
            </w:r>
          </w:p>
        </w:tc>
      </w:tr>
      <w:tr w:rsidR="00CC5814" w:rsidRPr="00B729E1" w14:paraId="21BC9789" w14:textId="77777777">
        <w:tc>
          <w:tcPr>
            <w:tcW w:w="3120" w:type="dxa"/>
            <w:shd w:val="clear" w:color="auto" w:fill="1F3864"/>
            <w:tcMar>
              <w:top w:w="100" w:type="dxa"/>
              <w:left w:w="120" w:type="dxa"/>
              <w:bottom w:w="100" w:type="dxa"/>
              <w:right w:w="120" w:type="dxa"/>
            </w:tcMar>
            <w:vAlign w:val="center"/>
          </w:tcPr>
          <w:p w14:paraId="5D9C7020"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Total Marks</w:t>
            </w:r>
          </w:p>
        </w:tc>
        <w:tc>
          <w:tcPr>
            <w:tcW w:w="6240" w:type="dxa"/>
            <w:tcMar>
              <w:top w:w="100" w:type="dxa"/>
              <w:left w:w="120" w:type="dxa"/>
              <w:bottom w:w="100" w:type="dxa"/>
              <w:right w:w="120" w:type="dxa"/>
            </w:tcMar>
            <w:vAlign w:val="center"/>
          </w:tcPr>
          <w:p w14:paraId="5586717C"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25</w:t>
            </w:r>
          </w:p>
        </w:tc>
      </w:tr>
    </w:tbl>
    <w:p w14:paraId="5B0E356A" w14:textId="77777777" w:rsidR="00CC5814" w:rsidRPr="00B729E1" w:rsidRDefault="00000000">
      <w:pPr>
        <w:spacing w:before="600" w:after="120"/>
        <w:rPr>
          <w:rFonts w:ascii="Times New Roman" w:hAnsi="Times New Roman" w:cs="Times New Roman"/>
        </w:rPr>
      </w:pPr>
      <w:r w:rsidRPr="00B729E1">
        <w:rPr>
          <w:rFonts w:ascii="Times New Roman" w:hAnsi="Times New Roman" w:cs="Times New Roman"/>
          <w:b/>
          <w:bCs/>
          <w:color w:val="1F3864"/>
          <w:sz w:val="24"/>
          <w:szCs w:val="24"/>
        </w:rPr>
        <w:t>Code of Conduct</w:t>
      </w:r>
    </w:p>
    <w:p w14:paraId="4B240AC2" w14:textId="423070D4"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 xml:space="preserve">I </w:t>
      </w:r>
      <w:r w:rsidR="00077318">
        <w:rPr>
          <w:rFonts w:ascii="Times New Roman" w:hAnsi="Times New Roman" w:cs="Times New Roman"/>
        </w:rPr>
        <w:t>Mohammad Jeelani</w:t>
      </w:r>
      <w:r w:rsidR="00252C9F" w:rsidRPr="00B729E1">
        <w:rPr>
          <w:rFonts w:ascii="Times New Roman" w:hAnsi="Times New Roman" w:cs="Times New Roman"/>
        </w:rPr>
        <w:t xml:space="preserve"> – 19237</w:t>
      </w:r>
      <w:r w:rsidR="00077318">
        <w:rPr>
          <w:rFonts w:ascii="Times New Roman" w:hAnsi="Times New Roman" w:cs="Times New Roman"/>
        </w:rPr>
        <w:t>3043</w:t>
      </w:r>
      <w:r w:rsidR="00573BA2" w:rsidRPr="00B729E1">
        <w:rPr>
          <w:rFonts w:ascii="Times New Roman" w:hAnsi="Times New Roman" w:cs="Times New Roman"/>
        </w:rPr>
        <w:t xml:space="preserve"> </w:t>
      </w:r>
      <w:r w:rsidRPr="00B729E1">
        <w:rPr>
          <w:rFonts w:ascii="Times New Roman" w:hAnsi="Times New Roman" w:cs="Times New Roman"/>
        </w:rPr>
        <w:t>(Name / Reg No) certify that this submission is my original work and that I have adhered to the guidelines specified for this assessment.</w:t>
      </w:r>
    </w:p>
    <w:p w14:paraId="40BD99DB"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I understand that any violation of academic integrity rules will result in disciplinary action.</w:t>
      </w:r>
    </w:p>
    <w:p w14:paraId="3685CAA2" w14:textId="5E17724C" w:rsidR="00CC5814" w:rsidRPr="00B729E1" w:rsidRDefault="00000000" w:rsidP="00077318">
      <w:pPr>
        <w:spacing w:before="300"/>
        <w:rPr>
          <w:rFonts w:ascii="Times New Roman" w:hAnsi="Times New Roman" w:cs="Times New Roman"/>
        </w:rPr>
        <w:sectPr w:rsidR="00CC5814" w:rsidRPr="00B729E1">
          <w:pgSz w:w="12240" w:h="15840"/>
          <w:pgMar w:top="1440" w:right="1440" w:bottom="1440" w:left="1440" w:header="708" w:footer="708" w:gutter="0"/>
          <w:cols w:space="720"/>
          <w:docGrid w:linePitch="360"/>
        </w:sectPr>
      </w:pPr>
      <w:r w:rsidRPr="00B729E1">
        <w:rPr>
          <w:rFonts w:ascii="Times New Roman" w:hAnsi="Times New Roman" w:cs="Times New Roman"/>
          <w:b/>
          <w:bCs/>
        </w:rPr>
        <w:t xml:space="preserve">Signature of the student: </w:t>
      </w:r>
      <w:r w:rsidR="00077318">
        <w:rPr>
          <w:rFonts w:ascii="Times New Roman" w:hAnsi="Times New Roman" w:cs="Times New Roman"/>
          <w:b/>
          <w:bCs/>
        </w:rPr>
        <w:t>Mohammad Jeelani</w:t>
      </w:r>
    </w:p>
    <w:p w14:paraId="45BB8A68" w14:textId="77777777" w:rsidR="00CC5814" w:rsidRPr="00B729E1" w:rsidRDefault="00000000">
      <w:pPr>
        <w:shd w:val="clear" w:color="auto" w:fill="1F3864"/>
        <w:spacing w:before="500" w:after="60"/>
        <w:rPr>
          <w:rFonts w:ascii="Times New Roman" w:hAnsi="Times New Roman" w:cs="Times New Roman"/>
        </w:rPr>
      </w:pPr>
      <w:r w:rsidRPr="00B729E1">
        <w:rPr>
          <w:rFonts w:ascii="Times New Roman" w:hAnsi="Times New Roman" w:cs="Times New Roman"/>
          <w:b/>
          <w:bCs/>
          <w:color w:val="FFFFFF"/>
          <w:sz w:val="26"/>
          <w:szCs w:val="26"/>
        </w:rPr>
        <w:lastRenderedPageBreak/>
        <w:t xml:space="preserve">  QUESTION 1</w:t>
      </w:r>
    </w:p>
    <w:p w14:paraId="46B9A4A7" w14:textId="77777777" w:rsidR="00CC5814" w:rsidRPr="00B729E1" w:rsidRDefault="00000000">
      <w:pPr>
        <w:pBdr>
          <w:left w:val="single" w:sz="24" w:space="8" w:color="2E74B5"/>
        </w:pBdr>
        <w:shd w:val="clear" w:color="auto" w:fill="DEE7F1"/>
        <w:spacing w:after="240"/>
        <w:rPr>
          <w:rFonts w:ascii="Times New Roman" w:hAnsi="Times New Roman" w:cs="Times New Roman"/>
        </w:rPr>
      </w:pPr>
      <w:r w:rsidRPr="00B729E1">
        <w:rPr>
          <w:rFonts w:ascii="Times New Roman" w:hAnsi="Times New Roman" w:cs="Times New Roman"/>
          <w:i/>
          <w:iCs/>
          <w:color w:val="333333"/>
          <w:sz w:val="21"/>
          <w:szCs w:val="21"/>
        </w:rPr>
        <w:t xml:space="preserve">A company needs to develop a web service for a mobile and web application. </w:t>
      </w:r>
      <w:proofErr w:type="spellStart"/>
      <w:r w:rsidRPr="00B729E1">
        <w:rPr>
          <w:rFonts w:ascii="Times New Roman" w:hAnsi="Times New Roman" w:cs="Times New Roman"/>
          <w:i/>
          <w:iCs/>
          <w:color w:val="333333"/>
          <w:sz w:val="21"/>
          <w:szCs w:val="21"/>
        </w:rPr>
        <w:t>Analyze</w:t>
      </w:r>
      <w:proofErr w:type="spellEnd"/>
      <w:r w:rsidRPr="00B729E1">
        <w:rPr>
          <w:rFonts w:ascii="Times New Roman" w:hAnsi="Times New Roman" w:cs="Times New Roman"/>
          <w:i/>
          <w:iCs/>
          <w:color w:val="333333"/>
          <w:sz w:val="21"/>
          <w:szCs w:val="21"/>
        </w:rPr>
        <w:t xml:space="preserve"> both REST and SOAP approaches and design an appropriate solution by selecting one. Justify your choice based on performance, scalability, and security requirements.</w:t>
      </w:r>
    </w:p>
    <w:p w14:paraId="5AEE7195"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1. Problem Understanding</w:t>
      </w:r>
    </w:p>
    <w:p w14:paraId="088855F2"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The service must be consumed by two very different client types – native/hybrid mobile apps (often on constrained networks and battery budgets) and a browser-based web front end – which means the objectives are lightweight payloads, fast response times, straightforward client-side integration, broad platform support, and adequate security for whatever data the service exposes (assume typical business data, not highly regulated data as in Question 3).</w:t>
      </w:r>
    </w:p>
    <w:p w14:paraId="7155DF35"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2. Generation of Alternatives</w:t>
      </w:r>
    </w:p>
    <w:p w14:paraId="0660DA3C"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Alternative A – SOAP web service: XML-based, WSDL-described, protocol-independent messaging with WS-* extensions for security and reliability.</w:t>
      </w:r>
    </w:p>
    <w:p w14:paraId="4CA0EB84"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Alternative B – REST web service: Resource-oriented architecture over plain HTTP, using JSON payloads and standard HTTP verbs (GET/POST/PUT/DELETE).</w:t>
      </w:r>
    </w:p>
    <w:p w14:paraId="5477F7E0"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 xml:space="preserve">Alternative C – </w:t>
      </w:r>
      <w:proofErr w:type="spellStart"/>
      <w:r w:rsidRPr="00B729E1">
        <w:rPr>
          <w:rFonts w:ascii="Times New Roman" w:hAnsi="Times New Roman" w:cs="Times New Roman"/>
        </w:rPr>
        <w:t>GraphQL</w:t>
      </w:r>
      <w:proofErr w:type="spellEnd"/>
      <w:r w:rsidRPr="00B729E1">
        <w:rPr>
          <w:rFonts w:ascii="Times New Roman" w:hAnsi="Times New Roman" w:cs="Times New Roman"/>
        </w:rPr>
        <w:t xml:space="preserve"> API: A query-language-based API allowing clients to request exactly the fields they need in a single call.</w:t>
      </w:r>
    </w:p>
    <w:p w14:paraId="196D2CCF"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3. Evaluation of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CC5814" w:rsidRPr="00B729E1" w14:paraId="6301B9B0" w14:textId="77777777">
        <w:trPr>
          <w:tblHeader/>
        </w:trPr>
        <w:tc>
          <w:tcPr>
            <w:tcW w:w="2400" w:type="dxa"/>
            <w:shd w:val="clear" w:color="auto" w:fill="1F3864"/>
            <w:tcMar>
              <w:top w:w="100" w:type="dxa"/>
              <w:left w:w="120" w:type="dxa"/>
              <w:bottom w:w="100" w:type="dxa"/>
              <w:right w:w="120" w:type="dxa"/>
            </w:tcMar>
            <w:vAlign w:val="center"/>
          </w:tcPr>
          <w:p w14:paraId="0C5CD246"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Criterion</w:t>
            </w:r>
          </w:p>
        </w:tc>
        <w:tc>
          <w:tcPr>
            <w:tcW w:w="2320" w:type="dxa"/>
            <w:shd w:val="clear" w:color="auto" w:fill="1F3864"/>
            <w:tcMar>
              <w:top w:w="100" w:type="dxa"/>
              <w:left w:w="120" w:type="dxa"/>
              <w:bottom w:w="100" w:type="dxa"/>
              <w:right w:w="120" w:type="dxa"/>
            </w:tcMar>
            <w:vAlign w:val="center"/>
          </w:tcPr>
          <w:p w14:paraId="5FFB8F6F"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SOAP</w:t>
            </w:r>
          </w:p>
        </w:tc>
        <w:tc>
          <w:tcPr>
            <w:tcW w:w="2320" w:type="dxa"/>
            <w:shd w:val="clear" w:color="auto" w:fill="1F3864"/>
            <w:tcMar>
              <w:top w:w="100" w:type="dxa"/>
              <w:left w:w="120" w:type="dxa"/>
              <w:bottom w:w="100" w:type="dxa"/>
              <w:right w:w="120" w:type="dxa"/>
            </w:tcMar>
            <w:vAlign w:val="center"/>
          </w:tcPr>
          <w:p w14:paraId="50BA8484"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REST</w:t>
            </w:r>
          </w:p>
        </w:tc>
        <w:tc>
          <w:tcPr>
            <w:tcW w:w="2320" w:type="dxa"/>
            <w:shd w:val="clear" w:color="auto" w:fill="1F3864"/>
            <w:tcMar>
              <w:top w:w="100" w:type="dxa"/>
              <w:left w:w="120" w:type="dxa"/>
              <w:bottom w:w="100" w:type="dxa"/>
              <w:right w:w="120" w:type="dxa"/>
            </w:tcMar>
            <w:vAlign w:val="center"/>
          </w:tcPr>
          <w:p w14:paraId="1E7AAB13" w14:textId="77777777" w:rsidR="00CC5814" w:rsidRPr="00B729E1" w:rsidRDefault="00000000">
            <w:pPr>
              <w:rPr>
                <w:rFonts w:ascii="Times New Roman" w:hAnsi="Times New Roman" w:cs="Times New Roman"/>
              </w:rPr>
            </w:pPr>
            <w:proofErr w:type="spellStart"/>
            <w:r w:rsidRPr="00B729E1">
              <w:rPr>
                <w:rFonts w:ascii="Times New Roman" w:hAnsi="Times New Roman" w:cs="Times New Roman"/>
                <w:b/>
                <w:bCs/>
                <w:color w:val="FFFFFF"/>
                <w:sz w:val="20"/>
                <w:szCs w:val="20"/>
              </w:rPr>
              <w:t>GraphQL</w:t>
            </w:r>
            <w:proofErr w:type="spellEnd"/>
          </w:p>
        </w:tc>
      </w:tr>
      <w:tr w:rsidR="00CC5814" w:rsidRPr="00B729E1" w14:paraId="60FCC4EF" w14:textId="77777777">
        <w:tc>
          <w:tcPr>
            <w:tcW w:w="2400" w:type="dxa"/>
            <w:shd w:val="clear" w:color="auto" w:fill="F2F2F2"/>
            <w:tcMar>
              <w:top w:w="100" w:type="dxa"/>
              <w:left w:w="120" w:type="dxa"/>
              <w:bottom w:w="100" w:type="dxa"/>
              <w:right w:w="120" w:type="dxa"/>
            </w:tcMar>
            <w:vAlign w:val="center"/>
          </w:tcPr>
          <w:p w14:paraId="543D8135"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Performance (mobile networks)</w:t>
            </w:r>
          </w:p>
        </w:tc>
        <w:tc>
          <w:tcPr>
            <w:tcW w:w="2320" w:type="dxa"/>
            <w:shd w:val="clear" w:color="auto" w:fill="F2F2F2"/>
            <w:tcMar>
              <w:top w:w="100" w:type="dxa"/>
              <w:left w:w="120" w:type="dxa"/>
              <w:bottom w:w="100" w:type="dxa"/>
              <w:right w:w="120" w:type="dxa"/>
            </w:tcMar>
            <w:vAlign w:val="center"/>
          </w:tcPr>
          <w:p w14:paraId="5692BA26"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Heavier XML payloads, more parsing overhead</w:t>
            </w:r>
          </w:p>
        </w:tc>
        <w:tc>
          <w:tcPr>
            <w:tcW w:w="2320" w:type="dxa"/>
            <w:shd w:val="clear" w:color="auto" w:fill="F2F2F2"/>
            <w:tcMar>
              <w:top w:w="100" w:type="dxa"/>
              <w:left w:w="120" w:type="dxa"/>
              <w:bottom w:w="100" w:type="dxa"/>
              <w:right w:w="120" w:type="dxa"/>
            </w:tcMar>
            <w:vAlign w:val="center"/>
          </w:tcPr>
          <w:p w14:paraId="55FC3339"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Lightweight JSON, faster parse/transmit on constrained networks</w:t>
            </w:r>
          </w:p>
        </w:tc>
        <w:tc>
          <w:tcPr>
            <w:tcW w:w="2320" w:type="dxa"/>
            <w:shd w:val="clear" w:color="auto" w:fill="F2F2F2"/>
            <w:tcMar>
              <w:top w:w="100" w:type="dxa"/>
              <w:left w:w="120" w:type="dxa"/>
              <w:bottom w:w="100" w:type="dxa"/>
              <w:right w:w="120" w:type="dxa"/>
            </w:tcMar>
            <w:vAlign w:val="center"/>
          </w:tcPr>
          <w:p w14:paraId="4745EF5E"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Efficient – avoids over-fetching, but query parsing adds server-side cost</w:t>
            </w:r>
          </w:p>
        </w:tc>
      </w:tr>
      <w:tr w:rsidR="00CC5814" w:rsidRPr="00B729E1" w14:paraId="65E710CB" w14:textId="77777777">
        <w:tc>
          <w:tcPr>
            <w:tcW w:w="2400" w:type="dxa"/>
            <w:shd w:val="clear" w:color="auto" w:fill="FFFFFF"/>
            <w:tcMar>
              <w:top w:w="100" w:type="dxa"/>
              <w:left w:w="120" w:type="dxa"/>
              <w:bottom w:w="100" w:type="dxa"/>
              <w:right w:w="120" w:type="dxa"/>
            </w:tcMar>
            <w:vAlign w:val="center"/>
          </w:tcPr>
          <w:p w14:paraId="5C1BF238"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Scalability</w:t>
            </w:r>
          </w:p>
        </w:tc>
        <w:tc>
          <w:tcPr>
            <w:tcW w:w="2320" w:type="dxa"/>
            <w:shd w:val="clear" w:color="auto" w:fill="FFFFFF"/>
            <w:tcMar>
              <w:top w:w="100" w:type="dxa"/>
              <w:left w:w="120" w:type="dxa"/>
              <w:bottom w:w="100" w:type="dxa"/>
              <w:right w:w="120" w:type="dxa"/>
            </w:tcMar>
            <w:vAlign w:val="center"/>
          </w:tcPr>
          <w:p w14:paraId="37282FAD"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Stateful features (WS-</w:t>
            </w:r>
            <w:proofErr w:type="spellStart"/>
            <w:r w:rsidRPr="00B729E1">
              <w:rPr>
                <w:rFonts w:ascii="Times New Roman" w:hAnsi="Times New Roman" w:cs="Times New Roman"/>
                <w:color w:val="000000"/>
                <w:sz w:val="20"/>
                <w:szCs w:val="20"/>
              </w:rPr>
              <w:t>ReliableMessaging</w:t>
            </w:r>
            <w:proofErr w:type="spellEnd"/>
            <w:r w:rsidRPr="00B729E1">
              <w:rPr>
                <w:rFonts w:ascii="Times New Roman" w:hAnsi="Times New Roman" w:cs="Times New Roman"/>
                <w:color w:val="000000"/>
                <w:sz w:val="20"/>
                <w:szCs w:val="20"/>
              </w:rPr>
              <w:t>) can hinder horizontal scaling; needs a SOAP engine</w:t>
            </w:r>
          </w:p>
        </w:tc>
        <w:tc>
          <w:tcPr>
            <w:tcW w:w="2320" w:type="dxa"/>
            <w:shd w:val="clear" w:color="auto" w:fill="FFFFFF"/>
            <w:tcMar>
              <w:top w:w="100" w:type="dxa"/>
              <w:left w:w="120" w:type="dxa"/>
              <w:bottom w:w="100" w:type="dxa"/>
              <w:right w:w="120" w:type="dxa"/>
            </w:tcMar>
            <w:vAlign w:val="center"/>
          </w:tcPr>
          <w:p w14:paraId="1BB9D7D1"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Stateless by design – scales horizontally behind load balancers/CDNs with ease</w:t>
            </w:r>
          </w:p>
        </w:tc>
        <w:tc>
          <w:tcPr>
            <w:tcW w:w="2320" w:type="dxa"/>
            <w:shd w:val="clear" w:color="auto" w:fill="FFFFFF"/>
            <w:tcMar>
              <w:top w:w="100" w:type="dxa"/>
              <w:left w:w="120" w:type="dxa"/>
              <w:bottom w:w="100" w:type="dxa"/>
              <w:right w:w="120" w:type="dxa"/>
            </w:tcMar>
            <w:vAlign w:val="center"/>
          </w:tcPr>
          <w:p w14:paraId="439929D8"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Stateless, scales similarly to REST, but a single complex query can be harder to cache</w:t>
            </w:r>
          </w:p>
        </w:tc>
      </w:tr>
      <w:tr w:rsidR="00CC5814" w:rsidRPr="00B729E1" w14:paraId="0A64296C" w14:textId="77777777">
        <w:tc>
          <w:tcPr>
            <w:tcW w:w="2400" w:type="dxa"/>
            <w:shd w:val="clear" w:color="auto" w:fill="F2F2F2"/>
            <w:tcMar>
              <w:top w:w="100" w:type="dxa"/>
              <w:left w:w="120" w:type="dxa"/>
              <w:bottom w:w="100" w:type="dxa"/>
              <w:right w:w="120" w:type="dxa"/>
            </w:tcMar>
            <w:vAlign w:val="center"/>
          </w:tcPr>
          <w:p w14:paraId="6C7C26F7"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Security</w:t>
            </w:r>
          </w:p>
        </w:tc>
        <w:tc>
          <w:tcPr>
            <w:tcW w:w="2320" w:type="dxa"/>
            <w:shd w:val="clear" w:color="auto" w:fill="F2F2F2"/>
            <w:tcMar>
              <w:top w:w="100" w:type="dxa"/>
              <w:left w:w="120" w:type="dxa"/>
              <w:bottom w:w="100" w:type="dxa"/>
              <w:right w:w="120" w:type="dxa"/>
            </w:tcMar>
            <w:vAlign w:val="center"/>
          </w:tcPr>
          <w:p w14:paraId="71EFCF28"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Strong built-in WS-Security (message-level encryption/signing)</w:t>
            </w:r>
          </w:p>
        </w:tc>
        <w:tc>
          <w:tcPr>
            <w:tcW w:w="2320" w:type="dxa"/>
            <w:shd w:val="clear" w:color="auto" w:fill="F2F2F2"/>
            <w:tcMar>
              <w:top w:w="100" w:type="dxa"/>
              <w:left w:w="120" w:type="dxa"/>
              <w:bottom w:w="100" w:type="dxa"/>
              <w:right w:w="120" w:type="dxa"/>
            </w:tcMar>
            <w:vAlign w:val="center"/>
          </w:tcPr>
          <w:p w14:paraId="17EB346F"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Relies on transport-level security (HTTPS/TLS) plus OAuth2/JWT – sufficient for most business apps</w:t>
            </w:r>
          </w:p>
        </w:tc>
        <w:tc>
          <w:tcPr>
            <w:tcW w:w="2320" w:type="dxa"/>
            <w:shd w:val="clear" w:color="auto" w:fill="F2F2F2"/>
            <w:tcMar>
              <w:top w:w="100" w:type="dxa"/>
              <w:left w:w="120" w:type="dxa"/>
              <w:bottom w:w="100" w:type="dxa"/>
              <w:right w:w="120" w:type="dxa"/>
            </w:tcMar>
            <w:vAlign w:val="center"/>
          </w:tcPr>
          <w:p w14:paraId="35474664"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Same as REST – relies on HTTPS + token-based auth</w:t>
            </w:r>
          </w:p>
        </w:tc>
      </w:tr>
      <w:tr w:rsidR="00CC5814" w:rsidRPr="00B729E1" w14:paraId="67E03728" w14:textId="77777777">
        <w:tc>
          <w:tcPr>
            <w:tcW w:w="2400" w:type="dxa"/>
            <w:shd w:val="clear" w:color="auto" w:fill="FFFFFF"/>
            <w:tcMar>
              <w:top w:w="100" w:type="dxa"/>
              <w:left w:w="120" w:type="dxa"/>
              <w:bottom w:w="100" w:type="dxa"/>
              <w:right w:w="120" w:type="dxa"/>
            </w:tcMar>
            <w:vAlign w:val="center"/>
          </w:tcPr>
          <w:p w14:paraId="3F95C576"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Client integration effort</w:t>
            </w:r>
          </w:p>
        </w:tc>
        <w:tc>
          <w:tcPr>
            <w:tcW w:w="2320" w:type="dxa"/>
            <w:shd w:val="clear" w:color="auto" w:fill="FFFFFF"/>
            <w:tcMar>
              <w:top w:w="100" w:type="dxa"/>
              <w:left w:w="120" w:type="dxa"/>
              <w:bottom w:w="100" w:type="dxa"/>
              <w:right w:w="120" w:type="dxa"/>
            </w:tcMar>
            <w:vAlign w:val="center"/>
          </w:tcPr>
          <w:p w14:paraId="6FC526AB"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 xml:space="preserve">Requires SOAP toolkits/WSDL-generated </w:t>
            </w:r>
            <w:r w:rsidRPr="00B729E1">
              <w:rPr>
                <w:rFonts w:ascii="Times New Roman" w:hAnsi="Times New Roman" w:cs="Times New Roman"/>
                <w:color w:val="000000"/>
                <w:sz w:val="20"/>
                <w:szCs w:val="20"/>
              </w:rPr>
              <w:lastRenderedPageBreak/>
              <w:t>stubs – heavier on mobile SDKs</w:t>
            </w:r>
          </w:p>
        </w:tc>
        <w:tc>
          <w:tcPr>
            <w:tcW w:w="2320" w:type="dxa"/>
            <w:shd w:val="clear" w:color="auto" w:fill="FFFFFF"/>
            <w:tcMar>
              <w:top w:w="100" w:type="dxa"/>
              <w:left w:w="120" w:type="dxa"/>
              <w:bottom w:w="100" w:type="dxa"/>
              <w:right w:w="120" w:type="dxa"/>
            </w:tcMar>
            <w:vAlign w:val="center"/>
          </w:tcPr>
          <w:p w14:paraId="7969500D"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lastRenderedPageBreak/>
              <w:t xml:space="preserve">Native, well-supported by virtually every </w:t>
            </w:r>
            <w:r w:rsidRPr="00B729E1">
              <w:rPr>
                <w:rFonts w:ascii="Times New Roman" w:hAnsi="Times New Roman" w:cs="Times New Roman"/>
                <w:color w:val="000000"/>
                <w:sz w:val="20"/>
                <w:szCs w:val="20"/>
              </w:rPr>
              <w:lastRenderedPageBreak/>
              <w:t>mobile/web HTTP client library</w:t>
            </w:r>
          </w:p>
        </w:tc>
        <w:tc>
          <w:tcPr>
            <w:tcW w:w="2320" w:type="dxa"/>
            <w:shd w:val="clear" w:color="auto" w:fill="FFFFFF"/>
            <w:tcMar>
              <w:top w:w="100" w:type="dxa"/>
              <w:left w:w="120" w:type="dxa"/>
              <w:bottom w:w="100" w:type="dxa"/>
              <w:right w:w="120" w:type="dxa"/>
            </w:tcMar>
            <w:vAlign w:val="center"/>
          </w:tcPr>
          <w:p w14:paraId="5830EC25"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lastRenderedPageBreak/>
              <w:t xml:space="preserve">Requires a </w:t>
            </w:r>
            <w:proofErr w:type="spellStart"/>
            <w:r w:rsidRPr="00B729E1">
              <w:rPr>
                <w:rFonts w:ascii="Times New Roman" w:hAnsi="Times New Roman" w:cs="Times New Roman"/>
                <w:color w:val="000000"/>
                <w:sz w:val="20"/>
                <w:szCs w:val="20"/>
              </w:rPr>
              <w:t>GraphQL</w:t>
            </w:r>
            <w:proofErr w:type="spellEnd"/>
            <w:r w:rsidRPr="00B729E1">
              <w:rPr>
                <w:rFonts w:ascii="Times New Roman" w:hAnsi="Times New Roman" w:cs="Times New Roman"/>
                <w:color w:val="000000"/>
                <w:sz w:val="20"/>
                <w:szCs w:val="20"/>
              </w:rPr>
              <w:t xml:space="preserve"> client library; steeper </w:t>
            </w:r>
            <w:r w:rsidRPr="00B729E1">
              <w:rPr>
                <w:rFonts w:ascii="Times New Roman" w:hAnsi="Times New Roman" w:cs="Times New Roman"/>
                <w:color w:val="000000"/>
                <w:sz w:val="20"/>
                <w:szCs w:val="20"/>
              </w:rPr>
              <w:lastRenderedPageBreak/>
              <w:t>learning curve for the team</w:t>
            </w:r>
          </w:p>
        </w:tc>
      </w:tr>
      <w:tr w:rsidR="00CC5814" w:rsidRPr="00B729E1" w14:paraId="1BDFF558" w14:textId="77777777">
        <w:tc>
          <w:tcPr>
            <w:tcW w:w="2400" w:type="dxa"/>
            <w:shd w:val="clear" w:color="auto" w:fill="F2F2F2"/>
            <w:tcMar>
              <w:top w:w="100" w:type="dxa"/>
              <w:left w:w="120" w:type="dxa"/>
              <w:bottom w:w="100" w:type="dxa"/>
              <w:right w:w="120" w:type="dxa"/>
            </w:tcMar>
            <w:vAlign w:val="center"/>
          </w:tcPr>
          <w:p w14:paraId="1FB0F311"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lastRenderedPageBreak/>
              <w:t>Caching</w:t>
            </w:r>
          </w:p>
        </w:tc>
        <w:tc>
          <w:tcPr>
            <w:tcW w:w="2320" w:type="dxa"/>
            <w:shd w:val="clear" w:color="auto" w:fill="F2F2F2"/>
            <w:tcMar>
              <w:top w:w="100" w:type="dxa"/>
              <w:left w:w="120" w:type="dxa"/>
              <w:bottom w:w="100" w:type="dxa"/>
              <w:right w:w="120" w:type="dxa"/>
            </w:tcMar>
            <w:vAlign w:val="center"/>
          </w:tcPr>
          <w:p w14:paraId="62699E7A"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Difficult – SOAP typically uses POST for everything</w:t>
            </w:r>
          </w:p>
        </w:tc>
        <w:tc>
          <w:tcPr>
            <w:tcW w:w="2320" w:type="dxa"/>
            <w:shd w:val="clear" w:color="auto" w:fill="F2F2F2"/>
            <w:tcMar>
              <w:top w:w="100" w:type="dxa"/>
              <w:left w:w="120" w:type="dxa"/>
              <w:bottom w:w="100" w:type="dxa"/>
              <w:right w:w="120" w:type="dxa"/>
            </w:tcMar>
            <w:vAlign w:val="center"/>
          </w:tcPr>
          <w:p w14:paraId="08F19D38"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Native HTTP caching (GET, ETags, Cache-Control)</w:t>
            </w:r>
          </w:p>
        </w:tc>
        <w:tc>
          <w:tcPr>
            <w:tcW w:w="2320" w:type="dxa"/>
            <w:shd w:val="clear" w:color="auto" w:fill="F2F2F2"/>
            <w:tcMar>
              <w:top w:w="100" w:type="dxa"/>
              <w:left w:w="120" w:type="dxa"/>
              <w:bottom w:w="100" w:type="dxa"/>
              <w:right w:w="120" w:type="dxa"/>
            </w:tcMar>
            <w:vAlign w:val="center"/>
          </w:tcPr>
          <w:p w14:paraId="38291A3A"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Limited – typically a single POST endpoint, harder to cache at the HTTP layer</w:t>
            </w:r>
          </w:p>
        </w:tc>
      </w:tr>
    </w:tbl>
    <w:p w14:paraId="79D3F560"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4. Solution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14" w:rsidRPr="00B729E1" w14:paraId="4D1E8FA7" w14:textId="77777777">
        <w:tc>
          <w:tcPr>
            <w:tcW w:w="9360" w:type="dxa"/>
            <w:tcBorders>
              <w:top w:val="single" w:sz="12" w:space="0" w:color="2E7D32"/>
              <w:left w:val="single" w:sz="12" w:space="0" w:color="2E7D32"/>
              <w:bottom w:val="single" w:sz="12" w:space="0" w:color="2E7D32"/>
              <w:right w:val="single" w:sz="12" w:space="0" w:color="2E7D32"/>
            </w:tcBorders>
            <w:shd w:val="clear" w:color="auto" w:fill="E8F5E9"/>
            <w:tcMar>
              <w:top w:w="160" w:type="dxa"/>
              <w:left w:w="200" w:type="dxa"/>
              <w:bottom w:w="160" w:type="dxa"/>
              <w:right w:w="200" w:type="dxa"/>
            </w:tcMar>
          </w:tcPr>
          <w:p w14:paraId="53795DDB" w14:textId="77777777" w:rsidR="00CC5814" w:rsidRPr="00B729E1" w:rsidRDefault="00000000">
            <w:pPr>
              <w:spacing w:after="60"/>
              <w:rPr>
                <w:rFonts w:ascii="Times New Roman" w:hAnsi="Times New Roman" w:cs="Times New Roman"/>
              </w:rPr>
            </w:pPr>
            <w:r w:rsidRPr="00B729E1">
              <w:rPr>
                <w:rFonts w:ascii="Times New Roman" w:hAnsi="Times New Roman" w:cs="Times New Roman"/>
                <w:b/>
                <w:bCs/>
                <w:color w:val="2E7D32"/>
                <w:sz w:val="20"/>
                <w:szCs w:val="20"/>
              </w:rPr>
              <w:t>SELECTED SOLUTION</w:t>
            </w:r>
          </w:p>
          <w:p w14:paraId="72128FAB" w14:textId="77777777" w:rsidR="00CC5814" w:rsidRPr="00B729E1" w:rsidRDefault="00000000">
            <w:pPr>
              <w:spacing w:line="290" w:lineRule="auto"/>
              <w:rPr>
                <w:rFonts w:ascii="Times New Roman" w:hAnsi="Times New Roman" w:cs="Times New Roman"/>
              </w:rPr>
            </w:pPr>
            <w:r w:rsidRPr="00B729E1">
              <w:rPr>
                <w:rFonts w:ascii="Times New Roman" w:hAnsi="Times New Roman" w:cs="Times New Roman"/>
              </w:rPr>
              <w:t>REST (over HTTPS, with JSON payloads and JWT/OAuth2 authentication) is selected as the web service style for this mobile-and-web application.</w:t>
            </w:r>
          </w:p>
        </w:tc>
      </w:tr>
    </w:tbl>
    <w:p w14:paraId="2879CF50"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 xml:space="preserve">REST is justified on all three stated dimensions: performance – compact JSON and native HTTP caching minimize payload size and round trips, which matters most on mobile data connections; scalability – REST's statelessness allows the service to be replicated behind a load balancer and scaled horizontally without session affinity concerns, and it caches naturally at CDN/proxy layers; and security – HTTPS/TLS in transit combined with OAuth2/JWT token-based authentication provides security appropriate to typical business/consumer data with far less integration overhead on mobile SDKs than SOAP's WS-Security stack. </w:t>
      </w:r>
      <w:proofErr w:type="spellStart"/>
      <w:r w:rsidRPr="00B729E1">
        <w:rPr>
          <w:rFonts w:ascii="Times New Roman" w:hAnsi="Times New Roman" w:cs="Times New Roman"/>
        </w:rPr>
        <w:t>GraphQL</w:t>
      </w:r>
      <w:proofErr w:type="spellEnd"/>
      <w:r w:rsidRPr="00B729E1">
        <w:rPr>
          <w:rFonts w:ascii="Times New Roman" w:hAnsi="Times New Roman" w:cs="Times New Roman"/>
        </w:rPr>
        <w:t xml:space="preserve"> was not selected because its benefit (precise field selection) is not a stated requirement here, while it introduces caching and tooling complexity the team would have to absorb.</w:t>
      </w:r>
    </w:p>
    <w:p w14:paraId="6412FB24"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5. Feasibility</w:t>
      </w:r>
    </w:p>
    <w:p w14:paraId="47396E11"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REST is implementable with mainstream frameworks on both the mobile clients (</w:t>
      </w:r>
      <w:proofErr w:type="spellStart"/>
      <w:r w:rsidRPr="00B729E1">
        <w:rPr>
          <w:rFonts w:ascii="Times New Roman" w:hAnsi="Times New Roman" w:cs="Times New Roman"/>
        </w:rPr>
        <w:t>URLSession</w:t>
      </w:r>
      <w:proofErr w:type="spellEnd"/>
      <w:r w:rsidRPr="00B729E1">
        <w:rPr>
          <w:rFonts w:ascii="Times New Roman" w:hAnsi="Times New Roman" w:cs="Times New Roman"/>
        </w:rPr>
        <w:t>/</w:t>
      </w:r>
      <w:proofErr w:type="spellStart"/>
      <w:r w:rsidRPr="00B729E1">
        <w:rPr>
          <w:rFonts w:ascii="Times New Roman" w:hAnsi="Times New Roman" w:cs="Times New Roman"/>
        </w:rPr>
        <w:t>OkHttp</w:t>
      </w:r>
      <w:proofErr w:type="spellEnd"/>
      <w:r w:rsidRPr="00B729E1">
        <w:rPr>
          <w:rFonts w:ascii="Times New Roman" w:hAnsi="Times New Roman" w:cs="Times New Roman"/>
        </w:rPr>
        <w:t>/fetch) and the server (Spring Boot, Express, Laravel), requires no specialized SOAP tooling, and is directly compatible with standard API gateways, rate limiters, and monitoring tools already common in mobile-and-web deployments, making it a low-risk, highly feasible choice for the team to build and operate.</w:t>
      </w:r>
    </w:p>
    <w:p w14:paraId="014061CA" w14:textId="77777777" w:rsidR="00CC5814" w:rsidRPr="00B729E1" w:rsidRDefault="00000000">
      <w:pPr>
        <w:shd w:val="clear" w:color="auto" w:fill="1F3864"/>
        <w:spacing w:before="500" w:after="60"/>
        <w:rPr>
          <w:rFonts w:ascii="Times New Roman" w:hAnsi="Times New Roman" w:cs="Times New Roman"/>
        </w:rPr>
      </w:pPr>
      <w:r w:rsidRPr="00B729E1">
        <w:rPr>
          <w:rFonts w:ascii="Times New Roman" w:hAnsi="Times New Roman" w:cs="Times New Roman"/>
          <w:b/>
          <w:bCs/>
          <w:color w:val="FFFFFF"/>
          <w:sz w:val="26"/>
          <w:szCs w:val="26"/>
        </w:rPr>
        <w:t xml:space="preserve">  QUESTION 2</w:t>
      </w:r>
    </w:p>
    <w:p w14:paraId="1DF42D2B" w14:textId="77777777" w:rsidR="00CC5814" w:rsidRPr="00B729E1" w:rsidRDefault="00000000">
      <w:pPr>
        <w:pBdr>
          <w:left w:val="single" w:sz="24" w:space="8" w:color="2E74B5"/>
        </w:pBdr>
        <w:shd w:val="clear" w:color="auto" w:fill="DEE7F1"/>
        <w:spacing w:after="240"/>
        <w:rPr>
          <w:rFonts w:ascii="Times New Roman" w:hAnsi="Times New Roman" w:cs="Times New Roman"/>
        </w:rPr>
      </w:pPr>
      <w:r w:rsidRPr="00B729E1">
        <w:rPr>
          <w:rFonts w:ascii="Times New Roman" w:hAnsi="Times New Roman" w:cs="Times New Roman"/>
          <w:i/>
          <w:iCs/>
          <w:color w:val="333333"/>
          <w:sz w:val="21"/>
          <w:szCs w:val="21"/>
        </w:rPr>
        <w:t>An online platform expects a large number of users accessing its services simultaneously. Design a scalable service architecture showing how client, server, API, and database interact. Propose an alternative design to improve scalability and justify your approach.</w:t>
      </w:r>
    </w:p>
    <w:p w14:paraId="3B759999"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1. Problem Understanding</w:t>
      </w:r>
    </w:p>
    <w:p w14:paraId="299252CB"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The platform must serve a large, concurrent user base without response-time degradation or downtime. The core objective is to remove single points of bottleneck across the request path – client to server, server to API layer, and API layer to database – while keeping the design operationally manageable.</w:t>
      </w:r>
    </w:p>
    <w:p w14:paraId="6D7F0D8F"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lastRenderedPageBreak/>
        <w:t>2. Generation of Alternatives</w:t>
      </w:r>
    </w:p>
    <w:p w14:paraId="3E3822A8"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Alternative A – Single-server (vertical scaling): One application server and one database, scaled by adding more CPU/RAM to the same machine.</w:t>
      </w:r>
    </w:p>
    <w:p w14:paraId="0A965CAE"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Alternative B – Horizontally-scaled layered architecture: Multiple stateless application server instances behind a load balancer, a caching layer, and a database with read replicas.</w:t>
      </w:r>
    </w:p>
    <w:p w14:paraId="456E23ED"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Alternative C – Microservices with message queues: The platform decomposed into independently-scalable services communicating asynchronously via a message broker, each with its own datastore.</w:t>
      </w:r>
    </w:p>
    <w:p w14:paraId="2D651517"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3. Baseline Design – Horizontally-Scaled Layered Architecture</w:t>
      </w:r>
    </w:p>
    <w:p w14:paraId="19E6CC9A" w14:textId="77777777" w:rsidR="00CC5814" w:rsidRPr="00B729E1" w:rsidRDefault="00000000">
      <w:pPr>
        <w:spacing w:before="120" w:after="60"/>
        <w:rPr>
          <w:rFonts w:ascii="Times New Roman" w:hAnsi="Times New Roman" w:cs="Times New Roman"/>
        </w:rPr>
      </w:pPr>
      <w:r w:rsidRPr="00B729E1">
        <w:rPr>
          <w:rFonts w:ascii="Times New Roman" w:hAnsi="Times New Roman" w:cs="Times New Roman"/>
          <w:i/>
          <w:iCs/>
          <w:color w:val="555555"/>
          <w:sz w:val="19"/>
          <w:szCs w:val="19"/>
        </w:rPr>
        <w:t>Baseline scalable architecture – client, load-balanced API tier, cache, and replicated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14" w:rsidRPr="00B729E1" w14:paraId="079A6D58" w14:textId="77777777">
        <w:tc>
          <w:tcPr>
            <w:tcW w:w="9360" w:type="dxa"/>
            <w:shd w:val="clear" w:color="auto" w:fill="1E1E1E"/>
            <w:tcMar>
              <w:top w:w="180" w:type="dxa"/>
              <w:left w:w="220" w:type="dxa"/>
              <w:bottom w:w="180" w:type="dxa"/>
              <w:right w:w="220" w:type="dxa"/>
            </w:tcMar>
          </w:tcPr>
          <w:p w14:paraId="46440118"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 Mobile / Web </w:t>
            </w:r>
            <w:proofErr w:type="gramStart"/>
            <w:r w:rsidRPr="00B729E1">
              <w:rPr>
                <w:rFonts w:ascii="Times New Roman" w:eastAsia="Consolas" w:hAnsi="Times New Roman" w:cs="Times New Roman"/>
                <w:color w:val="D4D4D4"/>
                <w:sz w:val="18"/>
                <w:szCs w:val="18"/>
              </w:rPr>
              <w:t>Clients ]</w:t>
            </w:r>
            <w:proofErr w:type="gramEnd"/>
          </w:p>
          <w:p w14:paraId="39EAC4B2"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w:t>
            </w:r>
          </w:p>
          <w:p w14:paraId="7E88A55F"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v</w:t>
            </w:r>
          </w:p>
          <w:p w14:paraId="5B3D1D01"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 CDN / Static </w:t>
            </w:r>
            <w:proofErr w:type="gramStart"/>
            <w:r w:rsidRPr="00B729E1">
              <w:rPr>
                <w:rFonts w:ascii="Times New Roman" w:eastAsia="Consolas" w:hAnsi="Times New Roman" w:cs="Times New Roman"/>
                <w:color w:val="D4D4D4"/>
                <w:sz w:val="18"/>
                <w:szCs w:val="18"/>
              </w:rPr>
              <w:t>Cache ]</w:t>
            </w:r>
            <w:proofErr w:type="gramEnd"/>
          </w:p>
          <w:p w14:paraId="528E93FE"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w:t>
            </w:r>
          </w:p>
          <w:p w14:paraId="42D04EF1"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v</w:t>
            </w:r>
          </w:p>
          <w:p w14:paraId="4C713AF5"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 Load Balancer (L7</w:t>
            </w:r>
            <w:proofErr w:type="gramStart"/>
            <w:r w:rsidRPr="00B729E1">
              <w:rPr>
                <w:rFonts w:ascii="Times New Roman" w:eastAsia="Consolas" w:hAnsi="Times New Roman" w:cs="Times New Roman"/>
                <w:color w:val="D4D4D4"/>
                <w:sz w:val="18"/>
                <w:szCs w:val="18"/>
              </w:rPr>
              <w:t>) ]</w:t>
            </w:r>
            <w:proofErr w:type="gramEnd"/>
          </w:p>
          <w:p w14:paraId="2EEFA6D1"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      |      \</w:t>
            </w:r>
          </w:p>
          <w:p w14:paraId="3ADF6349"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v       </w:t>
            </w:r>
            <w:proofErr w:type="spellStart"/>
            <w:r w:rsidRPr="00B729E1">
              <w:rPr>
                <w:rFonts w:ascii="Times New Roman" w:eastAsia="Consolas" w:hAnsi="Times New Roman" w:cs="Times New Roman"/>
                <w:color w:val="D4D4D4"/>
                <w:sz w:val="18"/>
                <w:szCs w:val="18"/>
              </w:rPr>
              <w:t>v</w:t>
            </w:r>
            <w:proofErr w:type="spellEnd"/>
            <w:r w:rsidRPr="00B729E1">
              <w:rPr>
                <w:rFonts w:ascii="Times New Roman" w:eastAsia="Consolas" w:hAnsi="Times New Roman" w:cs="Times New Roman"/>
                <w:color w:val="D4D4D4"/>
                <w:sz w:val="18"/>
                <w:szCs w:val="18"/>
              </w:rPr>
              <w:t xml:space="preserve">       </w:t>
            </w:r>
            <w:proofErr w:type="spellStart"/>
            <w:r w:rsidRPr="00B729E1">
              <w:rPr>
                <w:rFonts w:ascii="Times New Roman" w:eastAsia="Consolas" w:hAnsi="Times New Roman" w:cs="Times New Roman"/>
                <w:color w:val="D4D4D4"/>
                <w:sz w:val="18"/>
                <w:szCs w:val="18"/>
              </w:rPr>
              <w:t>v</w:t>
            </w:r>
            <w:proofErr w:type="spellEnd"/>
          </w:p>
          <w:p w14:paraId="26F0CCAD"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 API #</w:t>
            </w:r>
            <w:proofErr w:type="gramStart"/>
            <w:r w:rsidRPr="00B729E1">
              <w:rPr>
                <w:rFonts w:ascii="Times New Roman" w:eastAsia="Consolas" w:hAnsi="Times New Roman" w:cs="Times New Roman"/>
                <w:color w:val="D4D4D4"/>
                <w:sz w:val="18"/>
                <w:szCs w:val="18"/>
              </w:rPr>
              <w:t>1 ]</w:t>
            </w:r>
            <w:proofErr w:type="gramEnd"/>
            <w:r w:rsidRPr="00B729E1">
              <w:rPr>
                <w:rFonts w:ascii="Times New Roman" w:eastAsia="Consolas" w:hAnsi="Times New Roman" w:cs="Times New Roman"/>
                <w:color w:val="D4D4D4"/>
                <w:sz w:val="18"/>
                <w:szCs w:val="18"/>
              </w:rPr>
              <w:t xml:space="preserve"> [ API #</w:t>
            </w:r>
            <w:proofErr w:type="gramStart"/>
            <w:r w:rsidRPr="00B729E1">
              <w:rPr>
                <w:rFonts w:ascii="Times New Roman" w:eastAsia="Consolas" w:hAnsi="Times New Roman" w:cs="Times New Roman"/>
                <w:color w:val="D4D4D4"/>
                <w:sz w:val="18"/>
                <w:szCs w:val="18"/>
              </w:rPr>
              <w:t>2 ]</w:t>
            </w:r>
            <w:proofErr w:type="gramEnd"/>
            <w:r w:rsidRPr="00B729E1">
              <w:rPr>
                <w:rFonts w:ascii="Times New Roman" w:eastAsia="Consolas" w:hAnsi="Times New Roman" w:cs="Times New Roman"/>
                <w:color w:val="D4D4D4"/>
                <w:sz w:val="18"/>
                <w:szCs w:val="18"/>
              </w:rPr>
              <w:t xml:space="preserve"> [ API #</w:t>
            </w:r>
            <w:proofErr w:type="gramStart"/>
            <w:r w:rsidRPr="00B729E1">
              <w:rPr>
                <w:rFonts w:ascii="Times New Roman" w:eastAsia="Consolas" w:hAnsi="Times New Roman" w:cs="Times New Roman"/>
                <w:color w:val="D4D4D4"/>
                <w:sz w:val="18"/>
                <w:szCs w:val="18"/>
              </w:rPr>
              <w:t>3 ]</w:t>
            </w:r>
            <w:proofErr w:type="gramEnd"/>
            <w:r w:rsidRPr="00B729E1">
              <w:rPr>
                <w:rFonts w:ascii="Times New Roman" w:eastAsia="Consolas" w:hAnsi="Times New Roman" w:cs="Times New Roman"/>
                <w:color w:val="D4D4D4"/>
                <w:sz w:val="18"/>
                <w:szCs w:val="18"/>
              </w:rPr>
              <w:t xml:space="preserve">   &lt;- stateless application servers</w:t>
            </w:r>
          </w:p>
          <w:p w14:paraId="7EE8C490"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       |       /</w:t>
            </w:r>
          </w:p>
          <w:p w14:paraId="42C9BF99"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v      </w:t>
            </w:r>
            <w:proofErr w:type="spellStart"/>
            <w:r w:rsidRPr="00B729E1">
              <w:rPr>
                <w:rFonts w:ascii="Times New Roman" w:eastAsia="Consolas" w:hAnsi="Times New Roman" w:cs="Times New Roman"/>
                <w:color w:val="D4D4D4"/>
                <w:sz w:val="18"/>
                <w:szCs w:val="18"/>
              </w:rPr>
              <w:t>v</w:t>
            </w:r>
            <w:proofErr w:type="spellEnd"/>
            <w:r w:rsidRPr="00B729E1">
              <w:rPr>
                <w:rFonts w:ascii="Times New Roman" w:eastAsia="Consolas" w:hAnsi="Times New Roman" w:cs="Times New Roman"/>
                <w:color w:val="D4D4D4"/>
                <w:sz w:val="18"/>
                <w:szCs w:val="18"/>
              </w:rPr>
              <w:t xml:space="preserve">      v</w:t>
            </w:r>
          </w:p>
          <w:p w14:paraId="50C83104"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 Cache Layer (Redis</w:t>
            </w:r>
            <w:proofErr w:type="gramStart"/>
            <w:r w:rsidRPr="00B729E1">
              <w:rPr>
                <w:rFonts w:ascii="Times New Roman" w:eastAsia="Consolas" w:hAnsi="Times New Roman" w:cs="Times New Roman"/>
                <w:color w:val="D4D4D4"/>
                <w:sz w:val="18"/>
                <w:szCs w:val="18"/>
              </w:rPr>
              <w:t>) ]</w:t>
            </w:r>
            <w:proofErr w:type="gramEnd"/>
          </w:p>
          <w:p w14:paraId="2B0D3787"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w:t>
            </w:r>
          </w:p>
          <w:p w14:paraId="3517FE0D"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v</w:t>
            </w:r>
          </w:p>
          <w:p w14:paraId="747A018D" w14:textId="77777777" w:rsidR="00CC5814" w:rsidRPr="00B729E1" w:rsidRDefault="00000000">
            <w:pPr>
              <w:spacing w:after="20"/>
              <w:rPr>
                <w:rFonts w:ascii="Times New Roman" w:hAnsi="Times New Roman" w:cs="Times New Roman"/>
              </w:rPr>
            </w:pPr>
            <w:r w:rsidRPr="00B729E1">
              <w:rPr>
                <w:rFonts w:ascii="Times New Roman" w:eastAsia="Consolas" w:hAnsi="Times New Roman" w:cs="Times New Roman"/>
                <w:color w:val="D4D4D4"/>
                <w:sz w:val="18"/>
                <w:szCs w:val="18"/>
              </w:rPr>
              <w:t xml:space="preserve">     [ Primary </w:t>
            </w:r>
            <w:proofErr w:type="gramStart"/>
            <w:r w:rsidRPr="00B729E1">
              <w:rPr>
                <w:rFonts w:ascii="Times New Roman" w:eastAsia="Consolas" w:hAnsi="Times New Roman" w:cs="Times New Roman"/>
                <w:color w:val="D4D4D4"/>
                <w:sz w:val="18"/>
                <w:szCs w:val="18"/>
              </w:rPr>
              <w:t>Database ]</w:t>
            </w:r>
            <w:proofErr w:type="gramEnd"/>
            <w:r w:rsidRPr="00B729E1">
              <w:rPr>
                <w:rFonts w:ascii="Times New Roman" w:eastAsia="Consolas" w:hAnsi="Times New Roman" w:cs="Times New Roman"/>
                <w:color w:val="D4D4D4"/>
                <w:sz w:val="18"/>
                <w:szCs w:val="18"/>
              </w:rPr>
              <w:t xml:space="preserve"> --replicates--&gt; [ Read Replica </w:t>
            </w:r>
            <w:proofErr w:type="gramStart"/>
            <w:r w:rsidRPr="00B729E1">
              <w:rPr>
                <w:rFonts w:ascii="Times New Roman" w:eastAsia="Consolas" w:hAnsi="Times New Roman" w:cs="Times New Roman"/>
                <w:color w:val="D4D4D4"/>
                <w:sz w:val="18"/>
                <w:szCs w:val="18"/>
              </w:rPr>
              <w:t>1 ]</w:t>
            </w:r>
            <w:proofErr w:type="gramEnd"/>
            <w:r w:rsidRPr="00B729E1">
              <w:rPr>
                <w:rFonts w:ascii="Times New Roman" w:eastAsia="Consolas" w:hAnsi="Times New Roman" w:cs="Times New Roman"/>
                <w:color w:val="D4D4D4"/>
                <w:sz w:val="18"/>
                <w:szCs w:val="18"/>
              </w:rPr>
              <w:t xml:space="preserve"> [ Read Replica </w:t>
            </w:r>
            <w:proofErr w:type="gramStart"/>
            <w:r w:rsidRPr="00B729E1">
              <w:rPr>
                <w:rFonts w:ascii="Times New Roman" w:eastAsia="Consolas" w:hAnsi="Times New Roman" w:cs="Times New Roman"/>
                <w:color w:val="D4D4D4"/>
                <w:sz w:val="18"/>
                <w:szCs w:val="18"/>
              </w:rPr>
              <w:t>2 ]</w:t>
            </w:r>
            <w:proofErr w:type="gramEnd"/>
          </w:p>
        </w:tc>
      </w:tr>
    </w:tbl>
    <w:p w14:paraId="4A618AD5"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Clients call a CDN-fronted, load-balanced set of stateless API servers; each API instance checks the Redis cache before querying the database, writes go to the primary database, and read-heavy traffic is spread across read replicas kept in sync via replication.</w:t>
      </w:r>
    </w:p>
    <w:p w14:paraId="1B17DA42"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4. Evaluation of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CC5814" w:rsidRPr="00B729E1" w14:paraId="733EED09" w14:textId="77777777">
        <w:trPr>
          <w:tblHeader/>
        </w:trPr>
        <w:tc>
          <w:tcPr>
            <w:tcW w:w="2400" w:type="dxa"/>
            <w:shd w:val="clear" w:color="auto" w:fill="1F3864"/>
            <w:tcMar>
              <w:top w:w="100" w:type="dxa"/>
              <w:left w:w="120" w:type="dxa"/>
              <w:bottom w:w="100" w:type="dxa"/>
              <w:right w:w="120" w:type="dxa"/>
            </w:tcMar>
            <w:vAlign w:val="center"/>
          </w:tcPr>
          <w:p w14:paraId="7D1CD763"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Criterion</w:t>
            </w:r>
          </w:p>
        </w:tc>
        <w:tc>
          <w:tcPr>
            <w:tcW w:w="2320" w:type="dxa"/>
            <w:shd w:val="clear" w:color="auto" w:fill="1F3864"/>
            <w:tcMar>
              <w:top w:w="100" w:type="dxa"/>
              <w:left w:w="120" w:type="dxa"/>
              <w:bottom w:w="100" w:type="dxa"/>
              <w:right w:w="120" w:type="dxa"/>
            </w:tcMar>
            <w:vAlign w:val="center"/>
          </w:tcPr>
          <w:p w14:paraId="567FE0C2"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A: Vertical Scaling</w:t>
            </w:r>
          </w:p>
        </w:tc>
        <w:tc>
          <w:tcPr>
            <w:tcW w:w="2320" w:type="dxa"/>
            <w:shd w:val="clear" w:color="auto" w:fill="1F3864"/>
            <w:tcMar>
              <w:top w:w="100" w:type="dxa"/>
              <w:left w:w="120" w:type="dxa"/>
              <w:bottom w:w="100" w:type="dxa"/>
              <w:right w:w="120" w:type="dxa"/>
            </w:tcMar>
            <w:vAlign w:val="center"/>
          </w:tcPr>
          <w:p w14:paraId="02DE4C9F"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B: Horizontal + Cache + Replicas</w:t>
            </w:r>
          </w:p>
        </w:tc>
        <w:tc>
          <w:tcPr>
            <w:tcW w:w="2320" w:type="dxa"/>
            <w:shd w:val="clear" w:color="auto" w:fill="1F3864"/>
            <w:tcMar>
              <w:top w:w="100" w:type="dxa"/>
              <w:left w:w="120" w:type="dxa"/>
              <w:bottom w:w="100" w:type="dxa"/>
              <w:right w:w="120" w:type="dxa"/>
            </w:tcMar>
            <w:vAlign w:val="center"/>
          </w:tcPr>
          <w:p w14:paraId="252E1095"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C: Microservices + Message Queue</w:t>
            </w:r>
          </w:p>
        </w:tc>
      </w:tr>
      <w:tr w:rsidR="00CC5814" w:rsidRPr="00B729E1" w14:paraId="73A6B939" w14:textId="77777777">
        <w:tc>
          <w:tcPr>
            <w:tcW w:w="2400" w:type="dxa"/>
            <w:shd w:val="clear" w:color="auto" w:fill="F2F2F2"/>
            <w:tcMar>
              <w:top w:w="100" w:type="dxa"/>
              <w:left w:w="120" w:type="dxa"/>
              <w:bottom w:w="100" w:type="dxa"/>
              <w:right w:w="120" w:type="dxa"/>
            </w:tcMar>
            <w:vAlign w:val="center"/>
          </w:tcPr>
          <w:p w14:paraId="501858FF"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Scalability ceiling</w:t>
            </w:r>
          </w:p>
        </w:tc>
        <w:tc>
          <w:tcPr>
            <w:tcW w:w="2320" w:type="dxa"/>
            <w:shd w:val="clear" w:color="auto" w:fill="F2F2F2"/>
            <w:tcMar>
              <w:top w:w="100" w:type="dxa"/>
              <w:left w:w="120" w:type="dxa"/>
              <w:bottom w:w="100" w:type="dxa"/>
              <w:right w:w="120" w:type="dxa"/>
            </w:tcMar>
            <w:vAlign w:val="center"/>
          </w:tcPr>
          <w:p w14:paraId="511B09AD"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Limited by the largest available machine</w:t>
            </w:r>
          </w:p>
        </w:tc>
        <w:tc>
          <w:tcPr>
            <w:tcW w:w="2320" w:type="dxa"/>
            <w:shd w:val="clear" w:color="auto" w:fill="F2F2F2"/>
            <w:tcMar>
              <w:top w:w="100" w:type="dxa"/>
              <w:left w:w="120" w:type="dxa"/>
              <w:bottom w:w="100" w:type="dxa"/>
              <w:right w:w="120" w:type="dxa"/>
            </w:tcMar>
            <w:vAlign w:val="center"/>
          </w:tcPr>
          <w:p w14:paraId="154EFFED"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High – add more API instances/replicas as needed</w:t>
            </w:r>
          </w:p>
        </w:tc>
        <w:tc>
          <w:tcPr>
            <w:tcW w:w="2320" w:type="dxa"/>
            <w:shd w:val="clear" w:color="auto" w:fill="F2F2F2"/>
            <w:tcMar>
              <w:top w:w="100" w:type="dxa"/>
              <w:left w:w="120" w:type="dxa"/>
              <w:bottom w:w="100" w:type="dxa"/>
              <w:right w:w="120" w:type="dxa"/>
            </w:tcMar>
            <w:vAlign w:val="center"/>
          </w:tcPr>
          <w:p w14:paraId="12BCE4EB"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Very high – each service scales independently</w:t>
            </w:r>
          </w:p>
        </w:tc>
      </w:tr>
      <w:tr w:rsidR="00CC5814" w:rsidRPr="00B729E1" w14:paraId="00B6B620" w14:textId="77777777">
        <w:tc>
          <w:tcPr>
            <w:tcW w:w="2400" w:type="dxa"/>
            <w:shd w:val="clear" w:color="auto" w:fill="FFFFFF"/>
            <w:tcMar>
              <w:top w:w="100" w:type="dxa"/>
              <w:left w:w="120" w:type="dxa"/>
              <w:bottom w:w="100" w:type="dxa"/>
              <w:right w:w="120" w:type="dxa"/>
            </w:tcMar>
            <w:vAlign w:val="center"/>
          </w:tcPr>
          <w:p w14:paraId="5E1CC634"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Complexity to build/operate</w:t>
            </w:r>
          </w:p>
        </w:tc>
        <w:tc>
          <w:tcPr>
            <w:tcW w:w="2320" w:type="dxa"/>
            <w:shd w:val="clear" w:color="auto" w:fill="FFFFFF"/>
            <w:tcMar>
              <w:top w:w="100" w:type="dxa"/>
              <w:left w:w="120" w:type="dxa"/>
              <w:bottom w:w="100" w:type="dxa"/>
              <w:right w:w="120" w:type="dxa"/>
            </w:tcMar>
            <w:vAlign w:val="center"/>
          </w:tcPr>
          <w:p w14:paraId="10EC9488"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Low</w:t>
            </w:r>
          </w:p>
        </w:tc>
        <w:tc>
          <w:tcPr>
            <w:tcW w:w="2320" w:type="dxa"/>
            <w:shd w:val="clear" w:color="auto" w:fill="FFFFFF"/>
            <w:tcMar>
              <w:top w:w="100" w:type="dxa"/>
              <w:left w:w="120" w:type="dxa"/>
              <w:bottom w:w="100" w:type="dxa"/>
              <w:right w:w="120" w:type="dxa"/>
            </w:tcMar>
            <w:vAlign w:val="center"/>
          </w:tcPr>
          <w:p w14:paraId="5F0ADE80"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Moderate</w:t>
            </w:r>
          </w:p>
        </w:tc>
        <w:tc>
          <w:tcPr>
            <w:tcW w:w="2320" w:type="dxa"/>
            <w:shd w:val="clear" w:color="auto" w:fill="FFFFFF"/>
            <w:tcMar>
              <w:top w:w="100" w:type="dxa"/>
              <w:left w:w="120" w:type="dxa"/>
              <w:bottom w:w="100" w:type="dxa"/>
              <w:right w:w="120" w:type="dxa"/>
            </w:tcMar>
            <w:vAlign w:val="center"/>
          </w:tcPr>
          <w:p w14:paraId="3F06BE13"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High – needs service discovery, distributed tracing, orchestration</w:t>
            </w:r>
          </w:p>
        </w:tc>
      </w:tr>
      <w:tr w:rsidR="00CC5814" w:rsidRPr="00B729E1" w14:paraId="75B51256" w14:textId="77777777">
        <w:tc>
          <w:tcPr>
            <w:tcW w:w="2400" w:type="dxa"/>
            <w:shd w:val="clear" w:color="auto" w:fill="F2F2F2"/>
            <w:tcMar>
              <w:top w:w="100" w:type="dxa"/>
              <w:left w:w="120" w:type="dxa"/>
              <w:bottom w:w="100" w:type="dxa"/>
              <w:right w:w="120" w:type="dxa"/>
            </w:tcMar>
            <w:vAlign w:val="center"/>
          </w:tcPr>
          <w:p w14:paraId="7C758738"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lastRenderedPageBreak/>
              <w:t>Fault tolerance</w:t>
            </w:r>
          </w:p>
        </w:tc>
        <w:tc>
          <w:tcPr>
            <w:tcW w:w="2320" w:type="dxa"/>
            <w:shd w:val="clear" w:color="auto" w:fill="F2F2F2"/>
            <w:tcMar>
              <w:top w:w="100" w:type="dxa"/>
              <w:left w:w="120" w:type="dxa"/>
              <w:bottom w:w="100" w:type="dxa"/>
              <w:right w:w="120" w:type="dxa"/>
            </w:tcMar>
            <w:vAlign w:val="center"/>
          </w:tcPr>
          <w:p w14:paraId="43D165E2"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Single point of failure</w:t>
            </w:r>
          </w:p>
        </w:tc>
        <w:tc>
          <w:tcPr>
            <w:tcW w:w="2320" w:type="dxa"/>
            <w:shd w:val="clear" w:color="auto" w:fill="F2F2F2"/>
            <w:tcMar>
              <w:top w:w="100" w:type="dxa"/>
              <w:left w:w="120" w:type="dxa"/>
              <w:bottom w:w="100" w:type="dxa"/>
              <w:right w:w="120" w:type="dxa"/>
            </w:tcMar>
            <w:vAlign w:val="center"/>
          </w:tcPr>
          <w:p w14:paraId="533E5BC1"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High – no single instance failure takes the system down</w:t>
            </w:r>
          </w:p>
        </w:tc>
        <w:tc>
          <w:tcPr>
            <w:tcW w:w="2320" w:type="dxa"/>
            <w:shd w:val="clear" w:color="auto" w:fill="F2F2F2"/>
            <w:tcMar>
              <w:top w:w="100" w:type="dxa"/>
              <w:left w:w="120" w:type="dxa"/>
              <w:bottom w:w="100" w:type="dxa"/>
              <w:right w:w="120" w:type="dxa"/>
            </w:tcMar>
            <w:vAlign w:val="center"/>
          </w:tcPr>
          <w:p w14:paraId="1A52CDFD"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High, but failure modes are more distributed and harder to diagnose</w:t>
            </w:r>
          </w:p>
        </w:tc>
      </w:tr>
      <w:tr w:rsidR="00CC5814" w:rsidRPr="00B729E1" w14:paraId="672A45B6" w14:textId="77777777">
        <w:tc>
          <w:tcPr>
            <w:tcW w:w="2400" w:type="dxa"/>
            <w:shd w:val="clear" w:color="auto" w:fill="FFFFFF"/>
            <w:tcMar>
              <w:top w:w="100" w:type="dxa"/>
              <w:left w:w="120" w:type="dxa"/>
              <w:bottom w:w="100" w:type="dxa"/>
              <w:right w:w="120" w:type="dxa"/>
            </w:tcMar>
            <w:vAlign w:val="center"/>
          </w:tcPr>
          <w:p w14:paraId="3E8D6C9F"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Cost efficiency at scale</w:t>
            </w:r>
          </w:p>
        </w:tc>
        <w:tc>
          <w:tcPr>
            <w:tcW w:w="2320" w:type="dxa"/>
            <w:shd w:val="clear" w:color="auto" w:fill="FFFFFF"/>
            <w:tcMar>
              <w:top w:w="100" w:type="dxa"/>
              <w:left w:w="120" w:type="dxa"/>
              <w:bottom w:w="100" w:type="dxa"/>
              <w:right w:w="120" w:type="dxa"/>
            </w:tcMar>
            <w:vAlign w:val="center"/>
          </w:tcPr>
          <w:p w14:paraId="528CE182"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Poor – vertical hardware gets expensive fast</w:t>
            </w:r>
          </w:p>
        </w:tc>
        <w:tc>
          <w:tcPr>
            <w:tcW w:w="2320" w:type="dxa"/>
            <w:shd w:val="clear" w:color="auto" w:fill="FFFFFF"/>
            <w:tcMar>
              <w:top w:w="100" w:type="dxa"/>
              <w:left w:w="120" w:type="dxa"/>
              <w:bottom w:w="100" w:type="dxa"/>
              <w:right w:w="120" w:type="dxa"/>
            </w:tcMar>
            <w:vAlign w:val="center"/>
          </w:tcPr>
          <w:p w14:paraId="01B41897"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Good – scale only the tier under load</w:t>
            </w:r>
          </w:p>
        </w:tc>
        <w:tc>
          <w:tcPr>
            <w:tcW w:w="2320" w:type="dxa"/>
            <w:shd w:val="clear" w:color="auto" w:fill="FFFFFF"/>
            <w:tcMar>
              <w:top w:w="100" w:type="dxa"/>
              <w:left w:w="120" w:type="dxa"/>
              <w:bottom w:w="100" w:type="dxa"/>
              <w:right w:w="120" w:type="dxa"/>
            </w:tcMar>
            <w:vAlign w:val="center"/>
          </w:tcPr>
          <w:p w14:paraId="751FFC98"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Good, but operational overhead adds cost</w:t>
            </w:r>
          </w:p>
        </w:tc>
      </w:tr>
    </w:tbl>
    <w:p w14:paraId="5BC136A6"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5. Solution Selection – Alternative Design to Improve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14" w:rsidRPr="00B729E1" w14:paraId="5FC967CB" w14:textId="77777777">
        <w:tc>
          <w:tcPr>
            <w:tcW w:w="9360" w:type="dxa"/>
            <w:tcBorders>
              <w:top w:val="single" w:sz="12" w:space="0" w:color="2E7D32"/>
              <w:left w:val="single" w:sz="12" w:space="0" w:color="2E7D32"/>
              <w:bottom w:val="single" w:sz="12" w:space="0" w:color="2E7D32"/>
              <w:right w:val="single" w:sz="12" w:space="0" w:color="2E7D32"/>
            </w:tcBorders>
            <w:shd w:val="clear" w:color="auto" w:fill="E8F5E9"/>
            <w:tcMar>
              <w:top w:w="160" w:type="dxa"/>
              <w:left w:w="200" w:type="dxa"/>
              <w:bottom w:w="160" w:type="dxa"/>
              <w:right w:w="200" w:type="dxa"/>
            </w:tcMar>
          </w:tcPr>
          <w:p w14:paraId="1E5A6ED9" w14:textId="77777777" w:rsidR="00CC5814" w:rsidRPr="00B729E1" w:rsidRDefault="00000000">
            <w:pPr>
              <w:spacing w:after="60"/>
              <w:rPr>
                <w:rFonts w:ascii="Times New Roman" w:hAnsi="Times New Roman" w:cs="Times New Roman"/>
              </w:rPr>
            </w:pPr>
            <w:r w:rsidRPr="00B729E1">
              <w:rPr>
                <w:rFonts w:ascii="Times New Roman" w:hAnsi="Times New Roman" w:cs="Times New Roman"/>
                <w:b/>
                <w:bCs/>
                <w:color w:val="2E7D32"/>
                <w:sz w:val="20"/>
                <w:szCs w:val="20"/>
              </w:rPr>
              <w:t>SELECTED SOLUTION</w:t>
            </w:r>
          </w:p>
          <w:p w14:paraId="0E5B4DEE" w14:textId="77777777" w:rsidR="00CC5814" w:rsidRPr="00B729E1" w:rsidRDefault="00000000">
            <w:pPr>
              <w:spacing w:line="290" w:lineRule="auto"/>
              <w:rPr>
                <w:rFonts w:ascii="Times New Roman" w:hAnsi="Times New Roman" w:cs="Times New Roman"/>
              </w:rPr>
            </w:pPr>
            <w:r w:rsidRPr="00B729E1">
              <w:rPr>
                <w:rFonts w:ascii="Times New Roman" w:hAnsi="Times New Roman" w:cs="Times New Roman"/>
              </w:rPr>
              <w:t>Adopt Alternative B (horizontally-scaled layered architecture with caching and read replicas) as the primary design, with the message-queue pattern from Alternative C introduced selectively for write-heavy or long-running operations (e.g., order processing, notifications) rather than a full microservices rewrite.</w:t>
            </w:r>
          </w:p>
        </w:tc>
      </w:tr>
    </w:tbl>
    <w:p w14:paraId="4C9FC9C3"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This hybrid is justified because Alternative B directly removes the bottlenecks in the client-to-database path with proven, moderate-complexity techniques – load balancing spreads concurrent requests, caching absorbs repeated read traffic before it reaches the database, and read replicas scale the database's read capacity, which is typically where high-concurrency platforms strain first. Layering in asynchronous message queues for specific write-heavy workflows (Alternative C's core idea) further improves scalability for those hotspots without committing the whole platform to full microservices, which Alternative C's evaluation shows carries a much higher operational cost that is not justified unless the platform's complexity independently demands it.</w:t>
      </w:r>
    </w:p>
    <w:p w14:paraId="290C10B6"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6. Feasibility</w:t>
      </w:r>
    </w:p>
    <w:p w14:paraId="4EE9EBE9"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Load balancers, managed Redis caches, and read-replica database configurations are standard, well-documented offerings on every major cloud platform, and stateless API servers require no architectural rewrite of typical MVC-based services – making this design practical to implement incrementally, starting with the load balancer and cache and adding replicas and queues as concurrent load grows.</w:t>
      </w:r>
    </w:p>
    <w:p w14:paraId="7F0C22A8" w14:textId="77777777" w:rsidR="00CC5814" w:rsidRPr="00B729E1" w:rsidRDefault="00000000">
      <w:pPr>
        <w:shd w:val="clear" w:color="auto" w:fill="1F3864"/>
        <w:spacing w:before="500" w:after="60"/>
        <w:rPr>
          <w:rFonts w:ascii="Times New Roman" w:hAnsi="Times New Roman" w:cs="Times New Roman"/>
        </w:rPr>
      </w:pPr>
      <w:r w:rsidRPr="00B729E1">
        <w:rPr>
          <w:rFonts w:ascii="Times New Roman" w:hAnsi="Times New Roman" w:cs="Times New Roman"/>
          <w:b/>
          <w:bCs/>
          <w:color w:val="FFFFFF"/>
          <w:sz w:val="26"/>
          <w:szCs w:val="26"/>
        </w:rPr>
        <w:t xml:space="preserve">  QUESTION 3</w:t>
      </w:r>
    </w:p>
    <w:p w14:paraId="0F9A7F25" w14:textId="77777777" w:rsidR="00CC5814" w:rsidRPr="00B729E1" w:rsidRDefault="00000000">
      <w:pPr>
        <w:pBdr>
          <w:left w:val="single" w:sz="24" w:space="8" w:color="2E74B5"/>
        </w:pBdr>
        <w:shd w:val="clear" w:color="auto" w:fill="DEE7F1"/>
        <w:spacing w:after="240"/>
        <w:rPr>
          <w:rFonts w:ascii="Times New Roman" w:hAnsi="Times New Roman" w:cs="Times New Roman"/>
        </w:rPr>
      </w:pPr>
      <w:r w:rsidRPr="00B729E1">
        <w:rPr>
          <w:rFonts w:ascii="Times New Roman" w:hAnsi="Times New Roman" w:cs="Times New Roman"/>
          <w:i/>
          <w:iCs/>
          <w:color w:val="333333"/>
          <w:sz w:val="21"/>
          <w:szCs w:val="21"/>
        </w:rPr>
        <w:t xml:space="preserve">A banking application requires secure communication between client and server. </w:t>
      </w:r>
      <w:proofErr w:type="spellStart"/>
      <w:r w:rsidRPr="00B729E1">
        <w:rPr>
          <w:rFonts w:ascii="Times New Roman" w:hAnsi="Times New Roman" w:cs="Times New Roman"/>
          <w:i/>
          <w:iCs/>
          <w:color w:val="333333"/>
          <w:sz w:val="21"/>
          <w:szCs w:val="21"/>
        </w:rPr>
        <w:t>Analyze</w:t>
      </w:r>
      <w:proofErr w:type="spellEnd"/>
      <w:r w:rsidRPr="00B729E1">
        <w:rPr>
          <w:rFonts w:ascii="Times New Roman" w:hAnsi="Times New Roman" w:cs="Times New Roman"/>
          <w:i/>
          <w:iCs/>
          <w:color w:val="333333"/>
          <w:sz w:val="21"/>
          <w:szCs w:val="21"/>
        </w:rPr>
        <w:t xml:space="preserve"> available communication protocols and select the most suitable protocol. Justify your selection based on security, reliability, and performance.</w:t>
      </w:r>
    </w:p>
    <w:p w14:paraId="350C6883"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1. Problem Understanding</w:t>
      </w:r>
    </w:p>
    <w:p w14:paraId="38123AAA"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 xml:space="preserve">Banking communication must protect highly sensitive financial data in transit against interception and tampering, guarantee that messages are not lost or duplicated during transactions, and still perform </w:t>
      </w:r>
      <w:r w:rsidRPr="00B729E1">
        <w:rPr>
          <w:rFonts w:ascii="Times New Roman" w:hAnsi="Times New Roman" w:cs="Times New Roman"/>
        </w:rPr>
        <w:lastRenderedPageBreak/>
        <w:t>acceptably for a responsive user experience – all while meeting the regulatory expectations typical of financial systems.</w:t>
      </w:r>
    </w:p>
    <w:p w14:paraId="2E6153C4"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2. Generation of Alternatives</w:t>
      </w:r>
    </w:p>
    <w:p w14:paraId="66D74F08"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Alternative A – Plain HTTP with application-level encryption: Encrypting only the payload while leaving the transport itself unencrypted.</w:t>
      </w:r>
    </w:p>
    <w:p w14:paraId="6CFFD506"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Alternative B – HTTPS (HTTP over TLS 1.2/1.3), optionally with mutual TLS (</w:t>
      </w:r>
      <w:proofErr w:type="spellStart"/>
      <w:r w:rsidRPr="00B729E1">
        <w:rPr>
          <w:rFonts w:ascii="Times New Roman" w:hAnsi="Times New Roman" w:cs="Times New Roman"/>
        </w:rPr>
        <w:t>mTLS</w:t>
      </w:r>
      <w:proofErr w:type="spellEnd"/>
      <w:r w:rsidRPr="00B729E1">
        <w:rPr>
          <w:rFonts w:ascii="Times New Roman" w:hAnsi="Times New Roman" w:cs="Times New Roman"/>
        </w:rPr>
        <w:t>) for client certificate authentication.</w:t>
      </w:r>
    </w:p>
    <w:p w14:paraId="2D9C2F55"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Alternative C – SOAP with WS-Security over HTTPS: Message-level encryption/signing layered on top of an already-encrypted transport.</w:t>
      </w:r>
    </w:p>
    <w:p w14:paraId="5BD095EF"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3. Evaluation of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CC5814" w:rsidRPr="00B729E1" w14:paraId="72107ECE" w14:textId="77777777">
        <w:trPr>
          <w:tblHeader/>
        </w:trPr>
        <w:tc>
          <w:tcPr>
            <w:tcW w:w="2400" w:type="dxa"/>
            <w:shd w:val="clear" w:color="auto" w:fill="1F3864"/>
            <w:tcMar>
              <w:top w:w="100" w:type="dxa"/>
              <w:left w:w="120" w:type="dxa"/>
              <w:bottom w:w="100" w:type="dxa"/>
              <w:right w:w="120" w:type="dxa"/>
            </w:tcMar>
            <w:vAlign w:val="center"/>
          </w:tcPr>
          <w:p w14:paraId="6C14EBA8"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Criterion</w:t>
            </w:r>
          </w:p>
        </w:tc>
        <w:tc>
          <w:tcPr>
            <w:tcW w:w="2320" w:type="dxa"/>
            <w:shd w:val="clear" w:color="auto" w:fill="1F3864"/>
            <w:tcMar>
              <w:top w:w="100" w:type="dxa"/>
              <w:left w:w="120" w:type="dxa"/>
              <w:bottom w:w="100" w:type="dxa"/>
              <w:right w:w="120" w:type="dxa"/>
            </w:tcMar>
            <w:vAlign w:val="center"/>
          </w:tcPr>
          <w:p w14:paraId="79A17334"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A: HTTP + App-level Encryption</w:t>
            </w:r>
          </w:p>
        </w:tc>
        <w:tc>
          <w:tcPr>
            <w:tcW w:w="2320" w:type="dxa"/>
            <w:shd w:val="clear" w:color="auto" w:fill="1F3864"/>
            <w:tcMar>
              <w:top w:w="100" w:type="dxa"/>
              <w:left w:w="120" w:type="dxa"/>
              <w:bottom w:w="100" w:type="dxa"/>
              <w:right w:w="120" w:type="dxa"/>
            </w:tcMar>
            <w:vAlign w:val="center"/>
          </w:tcPr>
          <w:p w14:paraId="41CD96BD"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 xml:space="preserve">B: HTTPS / TLS (+ </w:t>
            </w:r>
            <w:proofErr w:type="spellStart"/>
            <w:r w:rsidRPr="00B729E1">
              <w:rPr>
                <w:rFonts w:ascii="Times New Roman" w:hAnsi="Times New Roman" w:cs="Times New Roman"/>
                <w:b/>
                <w:bCs/>
                <w:color w:val="FFFFFF"/>
                <w:sz w:val="20"/>
                <w:szCs w:val="20"/>
              </w:rPr>
              <w:t>mTLS</w:t>
            </w:r>
            <w:proofErr w:type="spellEnd"/>
            <w:r w:rsidRPr="00B729E1">
              <w:rPr>
                <w:rFonts w:ascii="Times New Roman" w:hAnsi="Times New Roman" w:cs="Times New Roman"/>
                <w:b/>
                <w:bCs/>
                <w:color w:val="FFFFFF"/>
                <w:sz w:val="20"/>
                <w:szCs w:val="20"/>
              </w:rPr>
              <w:t>)</w:t>
            </w:r>
          </w:p>
        </w:tc>
        <w:tc>
          <w:tcPr>
            <w:tcW w:w="2320" w:type="dxa"/>
            <w:shd w:val="clear" w:color="auto" w:fill="1F3864"/>
            <w:tcMar>
              <w:top w:w="100" w:type="dxa"/>
              <w:left w:w="120" w:type="dxa"/>
              <w:bottom w:w="100" w:type="dxa"/>
              <w:right w:w="120" w:type="dxa"/>
            </w:tcMar>
            <w:vAlign w:val="center"/>
          </w:tcPr>
          <w:p w14:paraId="071CAC73"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C: SOAP + WS-Security over HTTPS</w:t>
            </w:r>
          </w:p>
        </w:tc>
      </w:tr>
      <w:tr w:rsidR="00CC5814" w:rsidRPr="00B729E1" w14:paraId="2E55ECDB" w14:textId="77777777">
        <w:tc>
          <w:tcPr>
            <w:tcW w:w="2400" w:type="dxa"/>
            <w:shd w:val="clear" w:color="auto" w:fill="F2F2F2"/>
            <w:tcMar>
              <w:top w:w="100" w:type="dxa"/>
              <w:left w:w="120" w:type="dxa"/>
              <w:bottom w:w="100" w:type="dxa"/>
              <w:right w:w="120" w:type="dxa"/>
            </w:tcMar>
            <w:vAlign w:val="center"/>
          </w:tcPr>
          <w:p w14:paraId="7DDDAC87"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Security</w:t>
            </w:r>
          </w:p>
        </w:tc>
        <w:tc>
          <w:tcPr>
            <w:tcW w:w="2320" w:type="dxa"/>
            <w:shd w:val="clear" w:color="auto" w:fill="F2F2F2"/>
            <w:tcMar>
              <w:top w:w="100" w:type="dxa"/>
              <w:left w:w="120" w:type="dxa"/>
              <w:bottom w:w="100" w:type="dxa"/>
              <w:right w:w="120" w:type="dxa"/>
            </w:tcMar>
            <w:vAlign w:val="center"/>
          </w:tcPr>
          <w:p w14:paraId="3C30B573"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Weak – headers, metadata, and routing information remain exposed; easy to misconfigure</w:t>
            </w:r>
          </w:p>
        </w:tc>
        <w:tc>
          <w:tcPr>
            <w:tcW w:w="2320" w:type="dxa"/>
            <w:shd w:val="clear" w:color="auto" w:fill="F2F2F2"/>
            <w:tcMar>
              <w:top w:w="100" w:type="dxa"/>
              <w:left w:w="120" w:type="dxa"/>
              <w:bottom w:w="100" w:type="dxa"/>
              <w:right w:w="120" w:type="dxa"/>
            </w:tcMar>
            <w:vAlign w:val="center"/>
          </w:tcPr>
          <w:p w14:paraId="33ADC0BD"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Strong – industry-standard encryption, certificate-based server (and optionally client) authentication, integrity checking</w:t>
            </w:r>
          </w:p>
        </w:tc>
        <w:tc>
          <w:tcPr>
            <w:tcW w:w="2320" w:type="dxa"/>
            <w:shd w:val="clear" w:color="auto" w:fill="F2F2F2"/>
            <w:tcMar>
              <w:top w:w="100" w:type="dxa"/>
              <w:left w:w="120" w:type="dxa"/>
              <w:bottom w:w="100" w:type="dxa"/>
              <w:right w:w="120" w:type="dxa"/>
            </w:tcMar>
            <w:vAlign w:val="center"/>
          </w:tcPr>
          <w:p w14:paraId="2BC7E2D6"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Strongest – adds message-level signing/encryption in addition to transport security, protecting data even at rest in intermediary logs</w:t>
            </w:r>
          </w:p>
        </w:tc>
      </w:tr>
      <w:tr w:rsidR="00CC5814" w:rsidRPr="00B729E1" w14:paraId="3B8C4CD2" w14:textId="77777777">
        <w:tc>
          <w:tcPr>
            <w:tcW w:w="2400" w:type="dxa"/>
            <w:shd w:val="clear" w:color="auto" w:fill="FFFFFF"/>
            <w:tcMar>
              <w:top w:w="100" w:type="dxa"/>
              <w:left w:w="120" w:type="dxa"/>
              <w:bottom w:w="100" w:type="dxa"/>
              <w:right w:w="120" w:type="dxa"/>
            </w:tcMar>
            <w:vAlign w:val="center"/>
          </w:tcPr>
          <w:p w14:paraId="316C617B"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Reliability</w:t>
            </w:r>
          </w:p>
        </w:tc>
        <w:tc>
          <w:tcPr>
            <w:tcW w:w="2320" w:type="dxa"/>
            <w:shd w:val="clear" w:color="auto" w:fill="FFFFFF"/>
            <w:tcMar>
              <w:top w:w="100" w:type="dxa"/>
              <w:left w:w="120" w:type="dxa"/>
              <w:bottom w:w="100" w:type="dxa"/>
              <w:right w:w="120" w:type="dxa"/>
            </w:tcMar>
            <w:vAlign w:val="center"/>
          </w:tcPr>
          <w:p w14:paraId="25E46FF2"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No standard delivery guarantees</w:t>
            </w:r>
          </w:p>
        </w:tc>
        <w:tc>
          <w:tcPr>
            <w:tcW w:w="2320" w:type="dxa"/>
            <w:shd w:val="clear" w:color="auto" w:fill="FFFFFF"/>
            <w:tcMar>
              <w:top w:w="100" w:type="dxa"/>
              <w:left w:w="120" w:type="dxa"/>
              <w:bottom w:w="100" w:type="dxa"/>
              <w:right w:w="120" w:type="dxa"/>
            </w:tcMar>
            <w:vAlign w:val="center"/>
          </w:tcPr>
          <w:p w14:paraId="47A75C99"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Reliable at the transport layer; needs application-level retry logic for message guarantees</w:t>
            </w:r>
          </w:p>
        </w:tc>
        <w:tc>
          <w:tcPr>
            <w:tcW w:w="2320" w:type="dxa"/>
            <w:shd w:val="clear" w:color="auto" w:fill="FFFFFF"/>
            <w:tcMar>
              <w:top w:w="100" w:type="dxa"/>
              <w:left w:w="120" w:type="dxa"/>
              <w:bottom w:w="100" w:type="dxa"/>
              <w:right w:w="120" w:type="dxa"/>
            </w:tcMar>
            <w:vAlign w:val="center"/>
          </w:tcPr>
          <w:p w14:paraId="7A983092"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Can add WS-</w:t>
            </w:r>
            <w:proofErr w:type="spellStart"/>
            <w:r w:rsidRPr="00B729E1">
              <w:rPr>
                <w:rFonts w:ascii="Times New Roman" w:hAnsi="Times New Roman" w:cs="Times New Roman"/>
                <w:color w:val="000000"/>
                <w:sz w:val="20"/>
                <w:szCs w:val="20"/>
              </w:rPr>
              <w:t>ReliableMessaging</w:t>
            </w:r>
            <w:proofErr w:type="spellEnd"/>
            <w:r w:rsidRPr="00B729E1">
              <w:rPr>
                <w:rFonts w:ascii="Times New Roman" w:hAnsi="Times New Roman" w:cs="Times New Roman"/>
                <w:color w:val="000000"/>
                <w:sz w:val="20"/>
                <w:szCs w:val="20"/>
              </w:rPr>
              <w:t xml:space="preserve"> for guaranteed, ordered delivery</w:t>
            </w:r>
          </w:p>
        </w:tc>
      </w:tr>
      <w:tr w:rsidR="00CC5814" w:rsidRPr="00B729E1" w14:paraId="507F47EC" w14:textId="77777777">
        <w:tc>
          <w:tcPr>
            <w:tcW w:w="2400" w:type="dxa"/>
            <w:shd w:val="clear" w:color="auto" w:fill="F2F2F2"/>
            <w:tcMar>
              <w:top w:w="100" w:type="dxa"/>
              <w:left w:w="120" w:type="dxa"/>
              <w:bottom w:w="100" w:type="dxa"/>
              <w:right w:w="120" w:type="dxa"/>
            </w:tcMar>
            <w:vAlign w:val="center"/>
          </w:tcPr>
          <w:p w14:paraId="106BF0D4"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Performance</w:t>
            </w:r>
          </w:p>
        </w:tc>
        <w:tc>
          <w:tcPr>
            <w:tcW w:w="2320" w:type="dxa"/>
            <w:shd w:val="clear" w:color="auto" w:fill="F2F2F2"/>
            <w:tcMar>
              <w:top w:w="100" w:type="dxa"/>
              <w:left w:w="120" w:type="dxa"/>
              <w:bottom w:w="100" w:type="dxa"/>
              <w:right w:w="120" w:type="dxa"/>
            </w:tcMar>
            <w:vAlign w:val="center"/>
          </w:tcPr>
          <w:p w14:paraId="1802B502"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Fast, but insecure trade-off is unacceptable for banking</w:t>
            </w:r>
          </w:p>
        </w:tc>
        <w:tc>
          <w:tcPr>
            <w:tcW w:w="2320" w:type="dxa"/>
            <w:shd w:val="clear" w:color="auto" w:fill="F2F2F2"/>
            <w:tcMar>
              <w:top w:w="100" w:type="dxa"/>
              <w:left w:w="120" w:type="dxa"/>
              <w:bottom w:w="100" w:type="dxa"/>
              <w:right w:w="120" w:type="dxa"/>
            </w:tcMar>
            <w:vAlign w:val="center"/>
          </w:tcPr>
          <w:p w14:paraId="3AE6C5D9"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Fast – TLS 1.3 adds minimal handshake overhead, well optimized in modern stacks</w:t>
            </w:r>
          </w:p>
        </w:tc>
        <w:tc>
          <w:tcPr>
            <w:tcW w:w="2320" w:type="dxa"/>
            <w:shd w:val="clear" w:color="auto" w:fill="F2F2F2"/>
            <w:tcMar>
              <w:top w:w="100" w:type="dxa"/>
              <w:left w:w="120" w:type="dxa"/>
              <w:bottom w:w="100" w:type="dxa"/>
              <w:right w:w="120" w:type="dxa"/>
            </w:tcMar>
            <w:vAlign w:val="center"/>
          </w:tcPr>
          <w:p w14:paraId="4240F18B"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Slower – XML processing and additional cryptographic operations add latency</w:t>
            </w:r>
          </w:p>
        </w:tc>
      </w:tr>
      <w:tr w:rsidR="00CC5814" w:rsidRPr="00B729E1" w14:paraId="0048F3E8" w14:textId="77777777">
        <w:tc>
          <w:tcPr>
            <w:tcW w:w="2400" w:type="dxa"/>
            <w:shd w:val="clear" w:color="auto" w:fill="FFFFFF"/>
            <w:tcMar>
              <w:top w:w="100" w:type="dxa"/>
              <w:left w:w="120" w:type="dxa"/>
              <w:bottom w:w="100" w:type="dxa"/>
              <w:right w:w="120" w:type="dxa"/>
            </w:tcMar>
            <w:vAlign w:val="center"/>
          </w:tcPr>
          <w:p w14:paraId="3DF70E30"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Ecosystem/compliance fit</w:t>
            </w:r>
          </w:p>
        </w:tc>
        <w:tc>
          <w:tcPr>
            <w:tcW w:w="2320" w:type="dxa"/>
            <w:shd w:val="clear" w:color="auto" w:fill="FFFFFF"/>
            <w:tcMar>
              <w:top w:w="100" w:type="dxa"/>
              <w:left w:w="120" w:type="dxa"/>
              <w:bottom w:w="100" w:type="dxa"/>
              <w:right w:w="120" w:type="dxa"/>
            </w:tcMar>
            <w:vAlign w:val="center"/>
          </w:tcPr>
          <w:p w14:paraId="49E81F07"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Non-standard, unlikely to pass a security audit</w:t>
            </w:r>
          </w:p>
        </w:tc>
        <w:tc>
          <w:tcPr>
            <w:tcW w:w="2320" w:type="dxa"/>
            <w:shd w:val="clear" w:color="auto" w:fill="FFFFFF"/>
            <w:tcMar>
              <w:top w:w="100" w:type="dxa"/>
              <w:left w:w="120" w:type="dxa"/>
              <w:bottom w:w="100" w:type="dxa"/>
              <w:right w:w="120" w:type="dxa"/>
            </w:tcMar>
            <w:vAlign w:val="center"/>
          </w:tcPr>
          <w:p w14:paraId="68FB3658"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Universally expected baseline for any financial web/mobile channel (PCI-DSS assumes TLS)</w:t>
            </w:r>
          </w:p>
        </w:tc>
        <w:tc>
          <w:tcPr>
            <w:tcW w:w="2320" w:type="dxa"/>
            <w:shd w:val="clear" w:color="auto" w:fill="FFFFFF"/>
            <w:tcMar>
              <w:top w:w="100" w:type="dxa"/>
              <w:left w:w="120" w:type="dxa"/>
              <w:bottom w:w="100" w:type="dxa"/>
              <w:right w:w="120" w:type="dxa"/>
            </w:tcMar>
            <w:vAlign w:val="center"/>
          </w:tcPr>
          <w:p w14:paraId="0860AFE7"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Common in bank-to-bank/legacy enterprise integration (e.g., SWIFT-adjacent systems), less common for consumer apps</w:t>
            </w:r>
          </w:p>
        </w:tc>
      </w:tr>
    </w:tbl>
    <w:p w14:paraId="09C1CD99"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4. Solution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14" w:rsidRPr="00B729E1" w14:paraId="451118C5" w14:textId="77777777">
        <w:tc>
          <w:tcPr>
            <w:tcW w:w="9360" w:type="dxa"/>
            <w:tcBorders>
              <w:top w:val="single" w:sz="12" w:space="0" w:color="2E7D32"/>
              <w:left w:val="single" w:sz="12" w:space="0" w:color="2E7D32"/>
              <w:bottom w:val="single" w:sz="12" w:space="0" w:color="2E7D32"/>
              <w:right w:val="single" w:sz="12" w:space="0" w:color="2E7D32"/>
            </w:tcBorders>
            <w:shd w:val="clear" w:color="auto" w:fill="E8F5E9"/>
            <w:tcMar>
              <w:top w:w="160" w:type="dxa"/>
              <w:left w:w="200" w:type="dxa"/>
              <w:bottom w:w="160" w:type="dxa"/>
              <w:right w:w="200" w:type="dxa"/>
            </w:tcMar>
          </w:tcPr>
          <w:p w14:paraId="6AF9108B" w14:textId="77777777" w:rsidR="00CC5814" w:rsidRPr="00B729E1" w:rsidRDefault="00000000">
            <w:pPr>
              <w:spacing w:after="60"/>
              <w:rPr>
                <w:rFonts w:ascii="Times New Roman" w:hAnsi="Times New Roman" w:cs="Times New Roman"/>
              </w:rPr>
            </w:pPr>
            <w:r w:rsidRPr="00B729E1">
              <w:rPr>
                <w:rFonts w:ascii="Times New Roman" w:hAnsi="Times New Roman" w:cs="Times New Roman"/>
                <w:b/>
                <w:bCs/>
                <w:color w:val="2E7D32"/>
                <w:sz w:val="20"/>
                <w:szCs w:val="20"/>
              </w:rPr>
              <w:t>SELECTED SOLUTION</w:t>
            </w:r>
          </w:p>
          <w:p w14:paraId="6FFC81EB" w14:textId="77777777" w:rsidR="00CC5814" w:rsidRPr="00B729E1" w:rsidRDefault="00000000">
            <w:pPr>
              <w:spacing w:line="290" w:lineRule="auto"/>
              <w:rPr>
                <w:rFonts w:ascii="Times New Roman" w:hAnsi="Times New Roman" w:cs="Times New Roman"/>
              </w:rPr>
            </w:pPr>
            <w:r w:rsidRPr="00B729E1">
              <w:rPr>
                <w:rFonts w:ascii="Times New Roman" w:hAnsi="Times New Roman" w:cs="Times New Roman"/>
              </w:rPr>
              <w:lastRenderedPageBreak/>
              <w:t>HTTPS (TLS 1.3) as the baseline for all client–server communication, with mutual TLS and OAuth2/JWT-based authentication for API calls, is selected for the customer-facing banking application. SOAP + WS-Security over HTTPS remains the recommended choice specifically for server-to-server integration with other banks or legacy financial networks.</w:t>
            </w:r>
          </w:p>
        </w:tc>
      </w:tr>
    </w:tbl>
    <w:p w14:paraId="3BF015E8"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lastRenderedPageBreak/>
        <w:t xml:space="preserve">For the primary client–server channel (mobile app and web portal to bank server), HTTPS/TLS is justified because it delivers strong, well-audited encryption and authentication with performance overhead that modern TLS 1.3 has minimized to a negligible handshake cost, and it is the universally expected baseline for financial compliance regimes. Reliability is addressed at the application layer with idempotent transaction APIs and retry-with-deduplication logic rather than relying on transport-level guarantees alone. SOAP + WS-Security is reserved for back-end, system-to-system integrations where message-level, non-repudiable signing is required independent of the transport, which is a genuine strength of that stack but unnecessary overhead for a mobile banking app's direct client </w:t>
      </w:r>
      <w:proofErr w:type="gramStart"/>
      <w:r w:rsidRPr="00B729E1">
        <w:rPr>
          <w:rFonts w:ascii="Times New Roman" w:hAnsi="Times New Roman" w:cs="Times New Roman"/>
        </w:rPr>
        <w:t>connections</w:t>
      </w:r>
      <w:proofErr w:type="gramEnd"/>
      <w:r w:rsidRPr="00B729E1">
        <w:rPr>
          <w:rFonts w:ascii="Times New Roman" w:hAnsi="Times New Roman" w:cs="Times New Roman"/>
        </w:rPr>
        <w:t>.</w:t>
      </w:r>
    </w:p>
    <w:p w14:paraId="0485450B"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5. Feasibility</w:t>
      </w:r>
    </w:p>
    <w:p w14:paraId="07B66FB8"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 xml:space="preserve">TLS 1.3 and </w:t>
      </w:r>
      <w:proofErr w:type="spellStart"/>
      <w:r w:rsidRPr="00B729E1">
        <w:rPr>
          <w:rFonts w:ascii="Times New Roman" w:hAnsi="Times New Roman" w:cs="Times New Roman"/>
        </w:rPr>
        <w:t>mTLS</w:t>
      </w:r>
      <w:proofErr w:type="spellEnd"/>
      <w:r w:rsidRPr="00B729E1">
        <w:rPr>
          <w:rFonts w:ascii="Times New Roman" w:hAnsi="Times New Roman" w:cs="Times New Roman"/>
        </w:rPr>
        <w:t xml:space="preserve"> are supported natively by all modern mobile OS networking stacks, browsers, and server frameworks, requiring only certificate provisioning and standard configuration rather than custom cryptographic work, making this the most operationally feasible option while still meeting the stringent security bar banking applications require.</w:t>
      </w:r>
    </w:p>
    <w:p w14:paraId="7CE8AC93" w14:textId="77777777" w:rsidR="00CC5814" w:rsidRPr="00B729E1" w:rsidRDefault="00000000">
      <w:pPr>
        <w:shd w:val="clear" w:color="auto" w:fill="1F3864"/>
        <w:spacing w:before="500" w:after="60"/>
        <w:rPr>
          <w:rFonts w:ascii="Times New Roman" w:hAnsi="Times New Roman" w:cs="Times New Roman"/>
        </w:rPr>
      </w:pPr>
      <w:r w:rsidRPr="00B729E1">
        <w:rPr>
          <w:rFonts w:ascii="Times New Roman" w:hAnsi="Times New Roman" w:cs="Times New Roman"/>
          <w:b/>
          <w:bCs/>
          <w:color w:val="FFFFFF"/>
          <w:sz w:val="26"/>
          <w:szCs w:val="26"/>
        </w:rPr>
        <w:t xml:space="preserve">  QUESTION 4</w:t>
      </w:r>
    </w:p>
    <w:p w14:paraId="05316F3A" w14:textId="77777777" w:rsidR="00CC5814" w:rsidRPr="00B729E1" w:rsidRDefault="00000000">
      <w:pPr>
        <w:pBdr>
          <w:left w:val="single" w:sz="24" w:space="8" w:color="2E74B5"/>
        </w:pBdr>
        <w:shd w:val="clear" w:color="auto" w:fill="DEE7F1"/>
        <w:spacing w:after="240"/>
        <w:rPr>
          <w:rFonts w:ascii="Times New Roman" w:hAnsi="Times New Roman" w:cs="Times New Roman"/>
        </w:rPr>
      </w:pPr>
      <w:r w:rsidRPr="00B729E1">
        <w:rPr>
          <w:rFonts w:ascii="Times New Roman" w:hAnsi="Times New Roman" w:cs="Times New Roman"/>
          <w:i/>
          <w:iCs/>
          <w:color w:val="333333"/>
          <w:sz w:val="21"/>
          <w:szCs w:val="21"/>
        </w:rPr>
        <w:t>An application needs to integrate with third-party services such as payment gateways or maps. Design an API integration strategy, including request handling, authentication, and response processing. Suggest an alternative approach to improve efficiency or reliability.</w:t>
      </w:r>
    </w:p>
    <w:p w14:paraId="5484C63B"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1. Problem Understanding</w:t>
      </w:r>
    </w:p>
    <w:p w14:paraId="04B5AE30"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Integrating a payment gateway or maps API means the application depends on an external system whose latency, downtime, and rate limits it does not control. The integration must handle authenticated requests, interpret varied response/error formats, and avoid letting third-party slowness or failure cascade into the application's own reliability.</w:t>
      </w:r>
    </w:p>
    <w:p w14:paraId="48E8185E"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2. Baseline Integration Strategy</w:t>
      </w:r>
    </w:p>
    <w:p w14:paraId="0AFB9915" w14:textId="77777777" w:rsidR="00CC5814" w:rsidRPr="00B729E1" w:rsidRDefault="00000000">
      <w:pPr>
        <w:pStyle w:val="ListParagraph"/>
        <w:numPr>
          <w:ilvl w:val="0"/>
          <w:numId w:val="3"/>
        </w:numPr>
        <w:spacing w:after="100" w:line="280" w:lineRule="auto"/>
        <w:rPr>
          <w:rFonts w:ascii="Times New Roman" w:hAnsi="Times New Roman" w:cs="Times New Roman"/>
        </w:rPr>
      </w:pPr>
      <w:r w:rsidRPr="00B729E1">
        <w:rPr>
          <w:rFonts w:ascii="Times New Roman" w:hAnsi="Times New Roman" w:cs="Times New Roman"/>
        </w:rPr>
        <w:t>Request handling: Route third-party calls through a dedicated integration/adapter layer (not scattered across the codebase), which builds the outgoing request, attaches required headers, and enforces a request timeout.</w:t>
      </w:r>
    </w:p>
    <w:p w14:paraId="712C6051" w14:textId="77777777" w:rsidR="00CC5814" w:rsidRPr="00B729E1" w:rsidRDefault="00000000">
      <w:pPr>
        <w:pStyle w:val="ListParagraph"/>
        <w:numPr>
          <w:ilvl w:val="0"/>
          <w:numId w:val="3"/>
        </w:numPr>
        <w:spacing w:after="100" w:line="280" w:lineRule="auto"/>
        <w:rPr>
          <w:rFonts w:ascii="Times New Roman" w:hAnsi="Times New Roman" w:cs="Times New Roman"/>
        </w:rPr>
      </w:pPr>
      <w:r w:rsidRPr="00B729E1">
        <w:rPr>
          <w:rFonts w:ascii="Times New Roman" w:hAnsi="Times New Roman" w:cs="Times New Roman"/>
        </w:rPr>
        <w:t>Authentication: Store API keys/secrets in a secrets manager (never in code); for OAuth2-based providers, implement token acquisition and automatic refresh before expiry, and sign requests as required (e.g., HMAC signatures for some payment gateways).</w:t>
      </w:r>
    </w:p>
    <w:p w14:paraId="4E77EB47" w14:textId="77777777" w:rsidR="00CC5814" w:rsidRPr="00B729E1" w:rsidRDefault="00000000">
      <w:pPr>
        <w:pStyle w:val="ListParagraph"/>
        <w:numPr>
          <w:ilvl w:val="0"/>
          <w:numId w:val="3"/>
        </w:numPr>
        <w:spacing w:after="100" w:line="280" w:lineRule="auto"/>
        <w:rPr>
          <w:rFonts w:ascii="Times New Roman" w:hAnsi="Times New Roman" w:cs="Times New Roman"/>
        </w:rPr>
      </w:pPr>
      <w:r w:rsidRPr="00B729E1">
        <w:rPr>
          <w:rFonts w:ascii="Times New Roman" w:hAnsi="Times New Roman" w:cs="Times New Roman"/>
        </w:rPr>
        <w:lastRenderedPageBreak/>
        <w:t>Sending the request: Issue the call with a bounded timeout and a retry policy (limited retries with exponential backoff) restricted to idempotent operations or operations explicitly marked safe to retry (e.g., using an idempotency key for payment requests).</w:t>
      </w:r>
    </w:p>
    <w:p w14:paraId="6989D357" w14:textId="77777777" w:rsidR="00CC5814" w:rsidRPr="00B729E1" w:rsidRDefault="00000000">
      <w:pPr>
        <w:pStyle w:val="ListParagraph"/>
        <w:numPr>
          <w:ilvl w:val="0"/>
          <w:numId w:val="3"/>
        </w:numPr>
        <w:spacing w:after="100" w:line="280" w:lineRule="auto"/>
        <w:rPr>
          <w:rFonts w:ascii="Times New Roman" w:hAnsi="Times New Roman" w:cs="Times New Roman"/>
        </w:rPr>
      </w:pPr>
      <w:r w:rsidRPr="00B729E1">
        <w:rPr>
          <w:rFonts w:ascii="Times New Roman" w:hAnsi="Times New Roman" w:cs="Times New Roman"/>
        </w:rPr>
        <w:t>Response processing: Normalize the third-party's response/error format into the application's own internal result model, so the rest of the codebase never depends directly on the vendor's schema.</w:t>
      </w:r>
    </w:p>
    <w:p w14:paraId="677D948F" w14:textId="77777777" w:rsidR="00CC5814" w:rsidRPr="00B729E1" w:rsidRDefault="00000000">
      <w:pPr>
        <w:pStyle w:val="ListParagraph"/>
        <w:numPr>
          <w:ilvl w:val="0"/>
          <w:numId w:val="3"/>
        </w:numPr>
        <w:spacing w:after="100" w:line="280" w:lineRule="auto"/>
        <w:rPr>
          <w:rFonts w:ascii="Times New Roman" w:hAnsi="Times New Roman" w:cs="Times New Roman"/>
        </w:rPr>
      </w:pPr>
      <w:r w:rsidRPr="00B729E1">
        <w:rPr>
          <w:rFonts w:ascii="Times New Roman" w:hAnsi="Times New Roman" w:cs="Times New Roman"/>
        </w:rPr>
        <w:t>Failure handling: On timeout, non-2xx response, or malformed payload, log the failure with a correlation ID and surface a clear, user-appropriate error rather than exposing the raw vendor error.</w:t>
      </w:r>
    </w:p>
    <w:p w14:paraId="57B917A0"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3. Generation of Alternatives for Efficiency/Reliability</w:t>
      </w:r>
    </w:p>
    <w:p w14:paraId="72CC419E"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Alternative A – Synchronous, direct calls (as above) for every integration point.</w:t>
      </w:r>
    </w:p>
    <w:p w14:paraId="20FE4B34"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Alternative B – Synchronous calls wrapped in a circuit breaker, with response caching for cacheable data (e.g., geocoding results from a maps API).</w:t>
      </w:r>
    </w:p>
    <w:p w14:paraId="5697C6A8"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Alternative C – Asynchronous/webhook-driven integration for operations the provider supports asynchronously (e.g., payment status updates), decoupling the application from waiting on a live response.</w:t>
      </w:r>
    </w:p>
    <w:p w14:paraId="17AD00C9"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4. Evaluation of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3"/>
        <w:gridCol w:w="2292"/>
        <w:gridCol w:w="2287"/>
        <w:gridCol w:w="2408"/>
      </w:tblGrid>
      <w:tr w:rsidR="00CC5814" w:rsidRPr="00B729E1" w14:paraId="5263F994" w14:textId="77777777">
        <w:trPr>
          <w:tblHeader/>
        </w:trPr>
        <w:tc>
          <w:tcPr>
            <w:tcW w:w="2400" w:type="dxa"/>
            <w:shd w:val="clear" w:color="auto" w:fill="1F3864"/>
            <w:tcMar>
              <w:top w:w="100" w:type="dxa"/>
              <w:left w:w="120" w:type="dxa"/>
              <w:bottom w:w="100" w:type="dxa"/>
              <w:right w:w="120" w:type="dxa"/>
            </w:tcMar>
            <w:vAlign w:val="center"/>
          </w:tcPr>
          <w:p w14:paraId="6303EC1E"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Criterion</w:t>
            </w:r>
          </w:p>
        </w:tc>
        <w:tc>
          <w:tcPr>
            <w:tcW w:w="2320" w:type="dxa"/>
            <w:shd w:val="clear" w:color="auto" w:fill="1F3864"/>
            <w:tcMar>
              <w:top w:w="100" w:type="dxa"/>
              <w:left w:w="120" w:type="dxa"/>
              <w:bottom w:w="100" w:type="dxa"/>
              <w:right w:w="120" w:type="dxa"/>
            </w:tcMar>
            <w:vAlign w:val="center"/>
          </w:tcPr>
          <w:p w14:paraId="28863795"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A: Direct Synchronous Calls</w:t>
            </w:r>
          </w:p>
        </w:tc>
        <w:tc>
          <w:tcPr>
            <w:tcW w:w="2320" w:type="dxa"/>
            <w:shd w:val="clear" w:color="auto" w:fill="1F3864"/>
            <w:tcMar>
              <w:top w:w="100" w:type="dxa"/>
              <w:left w:w="120" w:type="dxa"/>
              <w:bottom w:w="100" w:type="dxa"/>
              <w:right w:w="120" w:type="dxa"/>
            </w:tcMar>
            <w:vAlign w:val="center"/>
          </w:tcPr>
          <w:p w14:paraId="400F0C32"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B: Circuit Breaker + Caching</w:t>
            </w:r>
          </w:p>
        </w:tc>
        <w:tc>
          <w:tcPr>
            <w:tcW w:w="2320" w:type="dxa"/>
            <w:shd w:val="clear" w:color="auto" w:fill="1F3864"/>
            <w:tcMar>
              <w:top w:w="100" w:type="dxa"/>
              <w:left w:w="120" w:type="dxa"/>
              <w:bottom w:w="100" w:type="dxa"/>
              <w:right w:w="120" w:type="dxa"/>
            </w:tcMar>
            <w:vAlign w:val="center"/>
          </w:tcPr>
          <w:p w14:paraId="1C53B56E"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C: Asynchronous/Webhook-Driven</w:t>
            </w:r>
          </w:p>
        </w:tc>
      </w:tr>
      <w:tr w:rsidR="00CC5814" w:rsidRPr="00B729E1" w14:paraId="65556F04" w14:textId="77777777">
        <w:tc>
          <w:tcPr>
            <w:tcW w:w="2400" w:type="dxa"/>
            <w:shd w:val="clear" w:color="auto" w:fill="F2F2F2"/>
            <w:tcMar>
              <w:top w:w="100" w:type="dxa"/>
              <w:left w:w="120" w:type="dxa"/>
              <w:bottom w:w="100" w:type="dxa"/>
              <w:right w:w="120" w:type="dxa"/>
            </w:tcMar>
            <w:vAlign w:val="center"/>
          </w:tcPr>
          <w:p w14:paraId="606A7A94"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Reliability under vendor outage</w:t>
            </w:r>
          </w:p>
        </w:tc>
        <w:tc>
          <w:tcPr>
            <w:tcW w:w="2320" w:type="dxa"/>
            <w:shd w:val="clear" w:color="auto" w:fill="F2F2F2"/>
            <w:tcMar>
              <w:top w:w="100" w:type="dxa"/>
              <w:left w:w="120" w:type="dxa"/>
              <w:bottom w:w="100" w:type="dxa"/>
              <w:right w:w="120" w:type="dxa"/>
            </w:tcMar>
            <w:vAlign w:val="center"/>
          </w:tcPr>
          <w:p w14:paraId="6FED7B78"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Poor – every request waits and fails individually</w:t>
            </w:r>
          </w:p>
        </w:tc>
        <w:tc>
          <w:tcPr>
            <w:tcW w:w="2320" w:type="dxa"/>
            <w:shd w:val="clear" w:color="auto" w:fill="F2F2F2"/>
            <w:tcMar>
              <w:top w:w="100" w:type="dxa"/>
              <w:left w:w="120" w:type="dxa"/>
              <w:bottom w:w="100" w:type="dxa"/>
              <w:right w:w="120" w:type="dxa"/>
            </w:tcMar>
            <w:vAlign w:val="center"/>
          </w:tcPr>
          <w:p w14:paraId="04A6A687"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Good – circuit breaker fails fast and protects the app once the vendor is clearly down</w:t>
            </w:r>
          </w:p>
        </w:tc>
        <w:tc>
          <w:tcPr>
            <w:tcW w:w="2320" w:type="dxa"/>
            <w:shd w:val="clear" w:color="auto" w:fill="F2F2F2"/>
            <w:tcMar>
              <w:top w:w="100" w:type="dxa"/>
              <w:left w:w="120" w:type="dxa"/>
              <w:bottom w:w="100" w:type="dxa"/>
              <w:right w:w="120" w:type="dxa"/>
            </w:tcMar>
            <w:vAlign w:val="center"/>
          </w:tcPr>
          <w:p w14:paraId="084F4D4E"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Very good – application is not blocked waiting on the vendor at all</w:t>
            </w:r>
          </w:p>
        </w:tc>
      </w:tr>
      <w:tr w:rsidR="00CC5814" w:rsidRPr="00B729E1" w14:paraId="7BFD23D4" w14:textId="77777777">
        <w:tc>
          <w:tcPr>
            <w:tcW w:w="2400" w:type="dxa"/>
            <w:shd w:val="clear" w:color="auto" w:fill="FFFFFF"/>
            <w:tcMar>
              <w:top w:w="100" w:type="dxa"/>
              <w:left w:w="120" w:type="dxa"/>
              <w:bottom w:w="100" w:type="dxa"/>
              <w:right w:w="120" w:type="dxa"/>
            </w:tcMar>
            <w:vAlign w:val="center"/>
          </w:tcPr>
          <w:p w14:paraId="1990E9D0"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Efficiency (repeated identical requests)</w:t>
            </w:r>
          </w:p>
        </w:tc>
        <w:tc>
          <w:tcPr>
            <w:tcW w:w="2320" w:type="dxa"/>
            <w:shd w:val="clear" w:color="auto" w:fill="FFFFFF"/>
            <w:tcMar>
              <w:top w:w="100" w:type="dxa"/>
              <w:left w:w="120" w:type="dxa"/>
              <w:bottom w:w="100" w:type="dxa"/>
              <w:right w:w="120" w:type="dxa"/>
            </w:tcMar>
            <w:vAlign w:val="center"/>
          </w:tcPr>
          <w:p w14:paraId="67667F9E"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No reuse – every request hits the vendor</w:t>
            </w:r>
          </w:p>
        </w:tc>
        <w:tc>
          <w:tcPr>
            <w:tcW w:w="2320" w:type="dxa"/>
            <w:shd w:val="clear" w:color="auto" w:fill="FFFFFF"/>
            <w:tcMar>
              <w:top w:w="100" w:type="dxa"/>
              <w:left w:w="120" w:type="dxa"/>
              <w:bottom w:w="100" w:type="dxa"/>
              <w:right w:w="120" w:type="dxa"/>
            </w:tcMar>
            <w:vAlign w:val="center"/>
          </w:tcPr>
          <w:p w14:paraId="623AACEF"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High – cached responses (e.g., map geocoding) avoid repeat vendor calls</w:t>
            </w:r>
          </w:p>
        </w:tc>
        <w:tc>
          <w:tcPr>
            <w:tcW w:w="2320" w:type="dxa"/>
            <w:shd w:val="clear" w:color="auto" w:fill="FFFFFF"/>
            <w:tcMar>
              <w:top w:w="100" w:type="dxa"/>
              <w:left w:w="120" w:type="dxa"/>
              <w:bottom w:w="100" w:type="dxa"/>
              <w:right w:w="120" w:type="dxa"/>
            </w:tcMar>
            <w:vAlign w:val="center"/>
          </w:tcPr>
          <w:p w14:paraId="0009332E"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High for status-driven flows, since the vendor pushes updates only when they occur</w:t>
            </w:r>
          </w:p>
        </w:tc>
      </w:tr>
      <w:tr w:rsidR="00CC5814" w:rsidRPr="00B729E1" w14:paraId="53DCADB1" w14:textId="77777777">
        <w:tc>
          <w:tcPr>
            <w:tcW w:w="2400" w:type="dxa"/>
            <w:shd w:val="clear" w:color="auto" w:fill="F2F2F2"/>
            <w:tcMar>
              <w:top w:w="100" w:type="dxa"/>
              <w:left w:w="120" w:type="dxa"/>
              <w:bottom w:w="100" w:type="dxa"/>
              <w:right w:w="120" w:type="dxa"/>
            </w:tcMar>
            <w:vAlign w:val="center"/>
          </w:tcPr>
          <w:p w14:paraId="39547E18"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Implementation complexity</w:t>
            </w:r>
          </w:p>
        </w:tc>
        <w:tc>
          <w:tcPr>
            <w:tcW w:w="2320" w:type="dxa"/>
            <w:shd w:val="clear" w:color="auto" w:fill="F2F2F2"/>
            <w:tcMar>
              <w:top w:w="100" w:type="dxa"/>
              <w:left w:w="120" w:type="dxa"/>
              <w:bottom w:w="100" w:type="dxa"/>
              <w:right w:w="120" w:type="dxa"/>
            </w:tcMar>
            <w:vAlign w:val="center"/>
          </w:tcPr>
          <w:p w14:paraId="79762C91"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Low</w:t>
            </w:r>
          </w:p>
        </w:tc>
        <w:tc>
          <w:tcPr>
            <w:tcW w:w="2320" w:type="dxa"/>
            <w:shd w:val="clear" w:color="auto" w:fill="F2F2F2"/>
            <w:tcMar>
              <w:top w:w="100" w:type="dxa"/>
              <w:left w:w="120" w:type="dxa"/>
              <w:bottom w:w="100" w:type="dxa"/>
              <w:right w:w="120" w:type="dxa"/>
            </w:tcMar>
            <w:vAlign w:val="center"/>
          </w:tcPr>
          <w:p w14:paraId="4598AC50"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Moderate</w:t>
            </w:r>
          </w:p>
        </w:tc>
        <w:tc>
          <w:tcPr>
            <w:tcW w:w="2320" w:type="dxa"/>
            <w:shd w:val="clear" w:color="auto" w:fill="F2F2F2"/>
            <w:tcMar>
              <w:top w:w="100" w:type="dxa"/>
              <w:left w:w="120" w:type="dxa"/>
              <w:bottom w:w="100" w:type="dxa"/>
              <w:right w:w="120" w:type="dxa"/>
            </w:tcMar>
            <w:vAlign w:val="center"/>
          </w:tcPr>
          <w:p w14:paraId="0D1759CC"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Higher – requires webhook endpoints, signature verification, and idempotent event handling</w:t>
            </w:r>
          </w:p>
        </w:tc>
      </w:tr>
      <w:tr w:rsidR="00CC5814" w:rsidRPr="00B729E1" w14:paraId="47EDDF04" w14:textId="77777777">
        <w:tc>
          <w:tcPr>
            <w:tcW w:w="2400" w:type="dxa"/>
            <w:shd w:val="clear" w:color="auto" w:fill="FFFFFF"/>
            <w:tcMar>
              <w:top w:w="100" w:type="dxa"/>
              <w:left w:w="120" w:type="dxa"/>
              <w:bottom w:w="100" w:type="dxa"/>
              <w:right w:w="120" w:type="dxa"/>
            </w:tcMar>
            <w:vAlign w:val="center"/>
          </w:tcPr>
          <w:p w14:paraId="54003D2F"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Best fit</w:t>
            </w:r>
          </w:p>
        </w:tc>
        <w:tc>
          <w:tcPr>
            <w:tcW w:w="2320" w:type="dxa"/>
            <w:shd w:val="clear" w:color="auto" w:fill="FFFFFF"/>
            <w:tcMar>
              <w:top w:w="100" w:type="dxa"/>
              <w:left w:w="120" w:type="dxa"/>
              <w:bottom w:w="100" w:type="dxa"/>
              <w:right w:w="120" w:type="dxa"/>
            </w:tcMar>
            <w:vAlign w:val="center"/>
          </w:tcPr>
          <w:p w14:paraId="283824C5"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Simple, low-volume integrations</w:t>
            </w:r>
          </w:p>
        </w:tc>
        <w:tc>
          <w:tcPr>
            <w:tcW w:w="2320" w:type="dxa"/>
            <w:shd w:val="clear" w:color="auto" w:fill="FFFFFF"/>
            <w:tcMar>
              <w:top w:w="100" w:type="dxa"/>
              <w:left w:w="120" w:type="dxa"/>
              <w:bottom w:w="100" w:type="dxa"/>
              <w:right w:w="120" w:type="dxa"/>
            </w:tcMar>
            <w:vAlign w:val="center"/>
          </w:tcPr>
          <w:p w14:paraId="0CE7543D"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High-traffic integrations with cacheable, repeatable data (maps)</w:t>
            </w:r>
          </w:p>
        </w:tc>
        <w:tc>
          <w:tcPr>
            <w:tcW w:w="2320" w:type="dxa"/>
            <w:shd w:val="clear" w:color="auto" w:fill="FFFFFF"/>
            <w:tcMar>
              <w:top w:w="100" w:type="dxa"/>
              <w:left w:w="120" w:type="dxa"/>
              <w:bottom w:w="100" w:type="dxa"/>
              <w:right w:w="120" w:type="dxa"/>
            </w:tcMar>
            <w:vAlign w:val="center"/>
          </w:tcPr>
          <w:p w14:paraId="21976441"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Long-running or state-changing operations (payment confirmation)</w:t>
            </w:r>
          </w:p>
        </w:tc>
      </w:tr>
    </w:tbl>
    <w:p w14:paraId="0B916849"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5. Solution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14" w:rsidRPr="00B729E1" w14:paraId="4F818D26" w14:textId="77777777">
        <w:tc>
          <w:tcPr>
            <w:tcW w:w="9360" w:type="dxa"/>
            <w:tcBorders>
              <w:top w:val="single" w:sz="12" w:space="0" w:color="2E7D32"/>
              <w:left w:val="single" w:sz="12" w:space="0" w:color="2E7D32"/>
              <w:bottom w:val="single" w:sz="12" w:space="0" w:color="2E7D32"/>
              <w:right w:val="single" w:sz="12" w:space="0" w:color="2E7D32"/>
            </w:tcBorders>
            <w:shd w:val="clear" w:color="auto" w:fill="E8F5E9"/>
            <w:tcMar>
              <w:top w:w="160" w:type="dxa"/>
              <w:left w:w="200" w:type="dxa"/>
              <w:bottom w:w="160" w:type="dxa"/>
              <w:right w:w="200" w:type="dxa"/>
            </w:tcMar>
          </w:tcPr>
          <w:p w14:paraId="645A651A" w14:textId="77777777" w:rsidR="00CC5814" w:rsidRPr="00B729E1" w:rsidRDefault="00000000">
            <w:pPr>
              <w:spacing w:after="60"/>
              <w:rPr>
                <w:rFonts w:ascii="Times New Roman" w:hAnsi="Times New Roman" w:cs="Times New Roman"/>
              </w:rPr>
            </w:pPr>
            <w:r w:rsidRPr="00B729E1">
              <w:rPr>
                <w:rFonts w:ascii="Times New Roman" w:hAnsi="Times New Roman" w:cs="Times New Roman"/>
                <w:b/>
                <w:bCs/>
                <w:color w:val="2E7D32"/>
                <w:sz w:val="20"/>
                <w:szCs w:val="20"/>
              </w:rPr>
              <w:t>SELECTED SOLUTION</w:t>
            </w:r>
          </w:p>
          <w:p w14:paraId="7AE57334" w14:textId="77777777" w:rsidR="00CC5814" w:rsidRPr="00B729E1" w:rsidRDefault="00000000">
            <w:pPr>
              <w:spacing w:line="290" w:lineRule="auto"/>
              <w:rPr>
                <w:rFonts w:ascii="Times New Roman" w:hAnsi="Times New Roman" w:cs="Times New Roman"/>
              </w:rPr>
            </w:pPr>
            <w:r w:rsidRPr="00B729E1">
              <w:rPr>
                <w:rFonts w:ascii="Times New Roman" w:hAnsi="Times New Roman" w:cs="Times New Roman"/>
              </w:rPr>
              <w:lastRenderedPageBreak/>
              <w:t>Combine Alternative B and Alternative C by integration type: wrap all synchronous third-party calls (e.g., maps geocoding) in a circuit breaker with response caching, and use asynchronous webhook callbacks for state-changing, longer-running operations such as payment confirmation, rather than polling the payment gateway synchronously.</w:t>
            </w:r>
          </w:p>
        </w:tc>
      </w:tr>
    </w:tbl>
    <w:p w14:paraId="3810BD00"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lastRenderedPageBreak/>
        <w:t>This selection is justified because the two alternatives address different failure/efficiency profiles: geocoding-style lookups are read-heavy and highly repeatable, so caching directly reduces both latency and vendor call volume, while a circuit breaker prevents a struggling maps provider from degrading the whole application. Payment confirmation, by contrast, is inherently asynchronous on the provider's side (fraud checks, bank processing), so a webhook-driven design avoids holding a client connection open and lets the application react the moment the vendor reports a final status, improving both reliability and perceived performance.</w:t>
      </w:r>
    </w:p>
    <w:p w14:paraId="752F8CCD"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6. Feasibility</w:t>
      </w:r>
    </w:p>
    <w:p w14:paraId="3C399294"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Circuit breaker libraries (e.g., Resilience4j, Polly) and standard HTTP caching are available in virtually every modern backend stack, and most major payment gateways and maps providers already support webhooks/callback URLs and idempotency keys natively, so this strategy uses vendor-supported features rather than requiring custom infrastructure, keeping implementation effort proportional to the reliability gained.</w:t>
      </w:r>
    </w:p>
    <w:p w14:paraId="07B90638" w14:textId="77777777" w:rsidR="00CC5814" w:rsidRPr="00B729E1" w:rsidRDefault="00000000">
      <w:pPr>
        <w:shd w:val="clear" w:color="auto" w:fill="1F3864"/>
        <w:spacing w:before="500" w:after="60"/>
        <w:rPr>
          <w:rFonts w:ascii="Times New Roman" w:hAnsi="Times New Roman" w:cs="Times New Roman"/>
        </w:rPr>
      </w:pPr>
      <w:r w:rsidRPr="00B729E1">
        <w:rPr>
          <w:rFonts w:ascii="Times New Roman" w:hAnsi="Times New Roman" w:cs="Times New Roman"/>
          <w:b/>
          <w:bCs/>
          <w:color w:val="FFFFFF"/>
          <w:sz w:val="26"/>
          <w:szCs w:val="26"/>
        </w:rPr>
        <w:t xml:space="preserve">  QUESTION 5</w:t>
      </w:r>
    </w:p>
    <w:p w14:paraId="60304CA3" w14:textId="77777777" w:rsidR="00CC5814" w:rsidRPr="00B729E1" w:rsidRDefault="00000000">
      <w:pPr>
        <w:pBdr>
          <w:left w:val="single" w:sz="24" w:space="8" w:color="2E74B5"/>
        </w:pBdr>
        <w:shd w:val="clear" w:color="auto" w:fill="DEE7F1"/>
        <w:spacing w:after="240"/>
        <w:rPr>
          <w:rFonts w:ascii="Times New Roman" w:hAnsi="Times New Roman" w:cs="Times New Roman"/>
        </w:rPr>
      </w:pPr>
      <w:r w:rsidRPr="00B729E1">
        <w:rPr>
          <w:rFonts w:ascii="Times New Roman" w:hAnsi="Times New Roman" w:cs="Times New Roman"/>
          <w:i/>
          <w:iCs/>
          <w:color w:val="333333"/>
          <w:sz w:val="21"/>
          <w:szCs w:val="21"/>
        </w:rPr>
        <w:t>A web service frequently encounters errors during client requests. Design an error handling and fault tolerance mechanism. Propose alternative strategies to improve system reliability and ensure smooth user experience.</w:t>
      </w:r>
    </w:p>
    <w:p w14:paraId="37F8EF31"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1. Problem Understanding</w:t>
      </w:r>
    </w:p>
    <w:p w14:paraId="63FD0CCE"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Frequent, poorly-handled errors typically mean failures are surfacing directly to users as generic crashes or timeouts, and/or that a failure in one dependency is cascading into unrelated parts of the service. The objective is to catch, classify, and contain errors close to their source while giving the client a predictable, actionable response.</w:t>
      </w:r>
    </w:p>
    <w:p w14:paraId="7DE12B26"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2. Baseline Error Handling Design</w:t>
      </w:r>
    </w:p>
    <w:p w14:paraId="42415BB9"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Centralized exception handling: A single error-handling layer (e.g., a global exception filter/middleware) catches unhandled exceptions and converts them into a consistent, structured error response (status code, error code, message, correlation ID) instead of leaking stack traces.</w:t>
      </w:r>
    </w:p>
    <w:p w14:paraId="6068990E"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Input validation at the boundary: Requests are validated against a schema before reaching business logic, returning clear 4xx-level errors for malformed input rather than failing deep inside the system.</w:t>
      </w:r>
    </w:p>
    <w:p w14:paraId="27C4878D"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lastRenderedPageBreak/>
        <w:t>Logging with correlation IDs: Every request is tagged with a correlation ID that is logged at each layer, making it possible to trace a single failed request across services.</w:t>
      </w:r>
    </w:p>
    <w:p w14:paraId="3991016B"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3. Generation of Alternatives for Fault Tolerance</w:t>
      </w:r>
    </w:p>
    <w:p w14:paraId="0AF02D82"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Alternative A – Retry with exponential backoff: Automatically retries transient failures (timeouts, temporary network errors) a limited number of times with increasing delay.</w:t>
      </w:r>
    </w:p>
    <w:p w14:paraId="3B0E7A37"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Alternative B – Circuit breaker with graceful degradation: Stops calling a failing dependency once a failure threshold is crossed, and returns a reduced/fallback response (e.g., cached or default data) instead of an error.</w:t>
      </w:r>
    </w:p>
    <w:p w14:paraId="35736D58" w14:textId="77777777" w:rsidR="00CC5814" w:rsidRPr="00B729E1" w:rsidRDefault="00000000">
      <w:pPr>
        <w:pStyle w:val="ListParagraph"/>
        <w:numPr>
          <w:ilvl w:val="0"/>
          <w:numId w:val="2"/>
        </w:numPr>
        <w:spacing w:after="90" w:line="280" w:lineRule="auto"/>
        <w:rPr>
          <w:rFonts w:ascii="Times New Roman" w:hAnsi="Times New Roman" w:cs="Times New Roman"/>
        </w:rPr>
      </w:pPr>
      <w:r w:rsidRPr="00B729E1">
        <w:rPr>
          <w:rFonts w:ascii="Times New Roman" w:hAnsi="Times New Roman" w:cs="Times New Roman"/>
        </w:rPr>
        <w:t>Alternative C – Bulkhead isolation with a dead-letter queue: Limits the resources (threads/connections) any single dependency can consume, and routes repeatedly-failing asynchronous messages to a dead-letter queue for later inspection instead of endlessly retrying inline.</w:t>
      </w:r>
    </w:p>
    <w:p w14:paraId="283688E2"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4. Evaluation of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1"/>
        <w:gridCol w:w="2295"/>
        <w:gridCol w:w="2298"/>
        <w:gridCol w:w="2396"/>
      </w:tblGrid>
      <w:tr w:rsidR="00CC5814" w:rsidRPr="00B729E1" w14:paraId="14FC4504" w14:textId="77777777">
        <w:trPr>
          <w:tblHeader/>
        </w:trPr>
        <w:tc>
          <w:tcPr>
            <w:tcW w:w="2400" w:type="dxa"/>
            <w:shd w:val="clear" w:color="auto" w:fill="1F3864"/>
            <w:tcMar>
              <w:top w:w="100" w:type="dxa"/>
              <w:left w:w="120" w:type="dxa"/>
              <w:bottom w:w="100" w:type="dxa"/>
              <w:right w:w="120" w:type="dxa"/>
            </w:tcMar>
            <w:vAlign w:val="center"/>
          </w:tcPr>
          <w:p w14:paraId="4F2E1D9E"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Criterion</w:t>
            </w:r>
          </w:p>
        </w:tc>
        <w:tc>
          <w:tcPr>
            <w:tcW w:w="2320" w:type="dxa"/>
            <w:shd w:val="clear" w:color="auto" w:fill="1F3864"/>
            <w:tcMar>
              <w:top w:w="100" w:type="dxa"/>
              <w:left w:w="120" w:type="dxa"/>
              <w:bottom w:w="100" w:type="dxa"/>
              <w:right w:w="120" w:type="dxa"/>
            </w:tcMar>
            <w:vAlign w:val="center"/>
          </w:tcPr>
          <w:p w14:paraId="3733163C"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A: Retry with Backoff</w:t>
            </w:r>
          </w:p>
        </w:tc>
        <w:tc>
          <w:tcPr>
            <w:tcW w:w="2320" w:type="dxa"/>
            <w:shd w:val="clear" w:color="auto" w:fill="1F3864"/>
            <w:tcMar>
              <w:top w:w="100" w:type="dxa"/>
              <w:left w:w="120" w:type="dxa"/>
              <w:bottom w:w="100" w:type="dxa"/>
              <w:right w:w="120" w:type="dxa"/>
            </w:tcMar>
            <w:vAlign w:val="center"/>
          </w:tcPr>
          <w:p w14:paraId="3DE8BB7D"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B: Circuit Breaker + Fallback</w:t>
            </w:r>
          </w:p>
        </w:tc>
        <w:tc>
          <w:tcPr>
            <w:tcW w:w="2320" w:type="dxa"/>
            <w:shd w:val="clear" w:color="auto" w:fill="1F3864"/>
            <w:tcMar>
              <w:top w:w="100" w:type="dxa"/>
              <w:left w:w="120" w:type="dxa"/>
              <w:bottom w:w="100" w:type="dxa"/>
              <w:right w:w="120" w:type="dxa"/>
            </w:tcMar>
            <w:vAlign w:val="center"/>
          </w:tcPr>
          <w:p w14:paraId="246D6D06" w14:textId="77777777" w:rsidR="00CC5814" w:rsidRPr="00B729E1" w:rsidRDefault="00000000">
            <w:pPr>
              <w:rPr>
                <w:rFonts w:ascii="Times New Roman" w:hAnsi="Times New Roman" w:cs="Times New Roman"/>
              </w:rPr>
            </w:pPr>
            <w:r w:rsidRPr="00B729E1">
              <w:rPr>
                <w:rFonts w:ascii="Times New Roman" w:hAnsi="Times New Roman" w:cs="Times New Roman"/>
                <w:b/>
                <w:bCs/>
                <w:color w:val="FFFFFF"/>
                <w:sz w:val="20"/>
                <w:szCs w:val="20"/>
              </w:rPr>
              <w:t>C: Bulkhead + Dead-Letter Queue</w:t>
            </w:r>
          </w:p>
        </w:tc>
      </w:tr>
      <w:tr w:rsidR="00CC5814" w:rsidRPr="00B729E1" w14:paraId="6018429D" w14:textId="77777777">
        <w:tc>
          <w:tcPr>
            <w:tcW w:w="2400" w:type="dxa"/>
            <w:shd w:val="clear" w:color="auto" w:fill="F2F2F2"/>
            <w:tcMar>
              <w:top w:w="100" w:type="dxa"/>
              <w:left w:w="120" w:type="dxa"/>
              <w:bottom w:w="100" w:type="dxa"/>
              <w:right w:w="120" w:type="dxa"/>
            </w:tcMar>
            <w:vAlign w:val="center"/>
          </w:tcPr>
          <w:p w14:paraId="2CF06905"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Handles transient errors</w:t>
            </w:r>
          </w:p>
        </w:tc>
        <w:tc>
          <w:tcPr>
            <w:tcW w:w="2320" w:type="dxa"/>
            <w:shd w:val="clear" w:color="auto" w:fill="F2F2F2"/>
            <w:tcMar>
              <w:top w:w="100" w:type="dxa"/>
              <w:left w:w="120" w:type="dxa"/>
              <w:bottom w:w="100" w:type="dxa"/>
              <w:right w:w="120" w:type="dxa"/>
            </w:tcMar>
            <w:vAlign w:val="center"/>
          </w:tcPr>
          <w:p w14:paraId="1DF9B1FF"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Very effective – directly targets brief, temporary failures</w:t>
            </w:r>
          </w:p>
        </w:tc>
        <w:tc>
          <w:tcPr>
            <w:tcW w:w="2320" w:type="dxa"/>
            <w:shd w:val="clear" w:color="auto" w:fill="F2F2F2"/>
            <w:tcMar>
              <w:top w:w="100" w:type="dxa"/>
              <w:left w:w="120" w:type="dxa"/>
              <w:bottom w:w="100" w:type="dxa"/>
              <w:right w:w="120" w:type="dxa"/>
            </w:tcMar>
            <w:vAlign w:val="center"/>
          </w:tcPr>
          <w:p w14:paraId="0F2E3A90"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 xml:space="preserve">Not its purpose – complements </w:t>
            </w:r>
            <w:proofErr w:type="gramStart"/>
            <w:r w:rsidRPr="00B729E1">
              <w:rPr>
                <w:rFonts w:ascii="Times New Roman" w:hAnsi="Times New Roman" w:cs="Times New Roman"/>
                <w:color w:val="000000"/>
                <w:sz w:val="20"/>
                <w:szCs w:val="20"/>
              </w:rPr>
              <w:t>retries</w:t>
            </w:r>
            <w:proofErr w:type="gramEnd"/>
            <w:r w:rsidRPr="00B729E1">
              <w:rPr>
                <w:rFonts w:ascii="Times New Roman" w:hAnsi="Times New Roman" w:cs="Times New Roman"/>
                <w:color w:val="000000"/>
                <w:sz w:val="20"/>
                <w:szCs w:val="20"/>
              </w:rPr>
              <w:t xml:space="preserve"> rather than replacing them</w:t>
            </w:r>
          </w:p>
        </w:tc>
        <w:tc>
          <w:tcPr>
            <w:tcW w:w="2320" w:type="dxa"/>
            <w:shd w:val="clear" w:color="auto" w:fill="F2F2F2"/>
            <w:tcMar>
              <w:top w:w="100" w:type="dxa"/>
              <w:left w:w="120" w:type="dxa"/>
              <w:bottom w:w="100" w:type="dxa"/>
              <w:right w:w="120" w:type="dxa"/>
            </w:tcMar>
            <w:vAlign w:val="center"/>
          </w:tcPr>
          <w:p w14:paraId="7B895F41"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Not its purpose – focused on isolation, not recovery</w:t>
            </w:r>
          </w:p>
        </w:tc>
      </w:tr>
      <w:tr w:rsidR="00CC5814" w:rsidRPr="00B729E1" w14:paraId="12B16F7E" w14:textId="77777777">
        <w:tc>
          <w:tcPr>
            <w:tcW w:w="2400" w:type="dxa"/>
            <w:shd w:val="clear" w:color="auto" w:fill="FFFFFF"/>
            <w:tcMar>
              <w:top w:w="100" w:type="dxa"/>
              <w:left w:w="120" w:type="dxa"/>
              <w:bottom w:w="100" w:type="dxa"/>
              <w:right w:w="120" w:type="dxa"/>
            </w:tcMar>
            <w:vAlign w:val="center"/>
          </w:tcPr>
          <w:p w14:paraId="1DC06092"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Handles sustained outages</w:t>
            </w:r>
          </w:p>
        </w:tc>
        <w:tc>
          <w:tcPr>
            <w:tcW w:w="2320" w:type="dxa"/>
            <w:shd w:val="clear" w:color="auto" w:fill="FFFFFF"/>
            <w:tcMar>
              <w:top w:w="100" w:type="dxa"/>
              <w:left w:w="120" w:type="dxa"/>
              <w:bottom w:w="100" w:type="dxa"/>
              <w:right w:w="120" w:type="dxa"/>
            </w:tcMar>
            <w:vAlign w:val="center"/>
          </w:tcPr>
          <w:p w14:paraId="78458B37"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Poor – can amplify load on an already-struggling dependency</w:t>
            </w:r>
          </w:p>
        </w:tc>
        <w:tc>
          <w:tcPr>
            <w:tcW w:w="2320" w:type="dxa"/>
            <w:shd w:val="clear" w:color="auto" w:fill="FFFFFF"/>
            <w:tcMar>
              <w:top w:w="100" w:type="dxa"/>
              <w:left w:w="120" w:type="dxa"/>
              <w:bottom w:w="100" w:type="dxa"/>
              <w:right w:w="120" w:type="dxa"/>
            </w:tcMar>
            <w:vAlign w:val="center"/>
          </w:tcPr>
          <w:p w14:paraId="1EFAB671"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Very effective – stops sending traffic once failure is confirmed</w:t>
            </w:r>
          </w:p>
        </w:tc>
        <w:tc>
          <w:tcPr>
            <w:tcW w:w="2320" w:type="dxa"/>
            <w:shd w:val="clear" w:color="auto" w:fill="FFFFFF"/>
            <w:tcMar>
              <w:top w:w="100" w:type="dxa"/>
              <w:left w:w="120" w:type="dxa"/>
              <w:bottom w:w="100" w:type="dxa"/>
              <w:right w:w="120" w:type="dxa"/>
            </w:tcMar>
            <w:vAlign w:val="center"/>
          </w:tcPr>
          <w:p w14:paraId="1335D177"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Effective indirectly – isolates the impact so other flows keep working</w:t>
            </w:r>
          </w:p>
        </w:tc>
      </w:tr>
      <w:tr w:rsidR="00CC5814" w:rsidRPr="00B729E1" w14:paraId="7AF52855" w14:textId="77777777">
        <w:tc>
          <w:tcPr>
            <w:tcW w:w="2400" w:type="dxa"/>
            <w:shd w:val="clear" w:color="auto" w:fill="F2F2F2"/>
            <w:tcMar>
              <w:top w:w="100" w:type="dxa"/>
              <w:left w:w="120" w:type="dxa"/>
              <w:bottom w:w="100" w:type="dxa"/>
              <w:right w:w="120" w:type="dxa"/>
            </w:tcMar>
            <w:vAlign w:val="center"/>
          </w:tcPr>
          <w:p w14:paraId="3C0EDD29"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User experience during failure</w:t>
            </w:r>
          </w:p>
        </w:tc>
        <w:tc>
          <w:tcPr>
            <w:tcW w:w="2320" w:type="dxa"/>
            <w:shd w:val="clear" w:color="auto" w:fill="F2F2F2"/>
            <w:tcMar>
              <w:top w:w="100" w:type="dxa"/>
              <w:left w:w="120" w:type="dxa"/>
              <w:bottom w:w="100" w:type="dxa"/>
              <w:right w:w="120" w:type="dxa"/>
            </w:tcMar>
            <w:vAlign w:val="center"/>
          </w:tcPr>
          <w:p w14:paraId="21474410"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Delays grow with each retry attempt</w:t>
            </w:r>
          </w:p>
        </w:tc>
        <w:tc>
          <w:tcPr>
            <w:tcW w:w="2320" w:type="dxa"/>
            <w:shd w:val="clear" w:color="auto" w:fill="F2F2F2"/>
            <w:tcMar>
              <w:top w:w="100" w:type="dxa"/>
              <w:left w:w="120" w:type="dxa"/>
              <w:bottom w:w="100" w:type="dxa"/>
              <w:right w:w="120" w:type="dxa"/>
            </w:tcMar>
            <w:vAlign w:val="center"/>
          </w:tcPr>
          <w:p w14:paraId="460AEF4E"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Smooth – user gets a fast fallback response instead of a hanging request</w:t>
            </w:r>
          </w:p>
        </w:tc>
        <w:tc>
          <w:tcPr>
            <w:tcW w:w="2320" w:type="dxa"/>
            <w:shd w:val="clear" w:color="auto" w:fill="F2F2F2"/>
            <w:tcMar>
              <w:top w:w="100" w:type="dxa"/>
              <w:left w:w="120" w:type="dxa"/>
              <w:bottom w:w="100" w:type="dxa"/>
              <w:right w:w="120" w:type="dxa"/>
            </w:tcMar>
            <w:vAlign w:val="center"/>
          </w:tcPr>
          <w:p w14:paraId="2C8B66D8"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Smooth for unaffected flows; failing flow is queued for later resolution</w:t>
            </w:r>
          </w:p>
        </w:tc>
      </w:tr>
      <w:tr w:rsidR="00CC5814" w:rsidRPr="00B729E1" w14:paraId="119225F9" w14:textId="77777777">
        <w:tc>
          <w:tcPr>
            <w:tcW w:w="2400" w:type="dxa"/>
            <w:shd w:val="clear" w:color="auto" w:fill="FFFFFF"/>
            <w:tcMar>
              <w:top w:w="100" w:type="dxa"/>
              <w:left w:w="120" w:type="dxa"/>
              <w:bottom w:w="100" w:type="dxa"/>
              <w:right w:w="120" w:type="dxa"/>
            </w:tcMar>
            <w:vAlign w:val="center"/>
          </w:tcPr>
          <w:p w14:paraId="2A194A1A"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Best fit</w:t>
            </w:r>
          </w:p>
        </w:tc>
        <w:tc>
          <w:tcPr>
            <w:tcW w:w="2320" w:type="dxa"/>
            <w:shd w:val="clear" w:color="auto" w:fill="FFFFFF"/>
            <w:tcMar>
              <w:top w:w="100" w:type="dxa"/>
              <w:left w:w="120" w:type="dxa"/>
              <w:bottom w:w="100" w:type="dxa"/>
              <w:right w:w="120" w:type="dxa"/>
            </w:tcMar>
            <w:vAlign w:val="center"/>
          </w:tcPr>
          <w:p w14:paraId="273C9FCA"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Short-lived network blips</w:t>
            </w:r>
          </w:p>
        </w:tc>
        <w:tc>
          <w:tcPr>
            <w:tcW w:w="2320" w:type="dxa"/>
            <w:shd w:val="clear" w:color="auto" w:fill="FFFFFF"/>
            <w:tcMar>
              <w:top w:w="100" w:type="dxa"/>
              <w:left w:w="120" w:type="dxa"/>
              <w:bottom w:w="100" w:type="dxa"/>
              <w:right w:w="120" w:type="dxa"/>
            </w:tcMar>
            <w:vAlign w:val="center"/>
          </w:tcPr>
          <w:p w14:paraId="5BCAC1C7"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Downstream services with variable availability</w:t>
            </w:r>
          </w:p>
        </w:tc>
        <w:tc>
          <w:tcPr>
            <w:tcW w:w="2320" w:type="dxa"/>
            <w:shd w:val="clear" w:color="auto" w:fill="FFFFFF"/>
            <w:tcMar>
              <w:top w:w="100" w:type="dxa"/>
              <w:left w:w="120" w:type="dxa"/>
              <w:bottom w:w="100" w:type="dxa"/>
              <w:right w:w="120" w:type="dxa"/>
            </w:tcMar>
            <w:vAlign w:val="center"/>
          </w:tcPr>
          <w:p w14:paraId="0C78CE61" w14:textId="77777777" w:rsidR="00CC5814" w:rsidRPr="00B729E1" w:rsidRDefault="00000000">
            <w:pPr>
              <w:rPr>
                <w:rFonts w:ascii="Times New Roman" w:hAnsi="Times New Roman" w:cs="Times New Roman"/>
              </w:rPr>
            </w:pPr>
            <w:r w:rsidRPr="00B729E1">
              <w:rPr>
                <w:rFonts w:ascii="Times New Roman" w:hAnsi="Times New Roman" w:cs="Times New Roman"/>
                <w:color w:val="000000"/>
                <w:sz w:val="20"/>
                <w:szCs w:val="20"/>
              </w:rPr>
              <w:t>Asynchronous/background processing pipelines</w:t>
            </w:r>
          </w:p>
        </w:tc>
      </w:tr>
    </w:tbl>
    <w:p w14:paraId="2EC786EB"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5. Solution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5814" w:rsidRPr="00B729E1" w14:paraId="3FF56CEF" w14:textId="77777777">
        <w:tc>
          <w:tcPr>
            <w:tcW w:w="9360" w:type="dxa"/>
            <w:tcBorders>
              <w:top w:val="single" w:sz="12" w:space="0" w:color="2E7D32"/>
              <w:left w:val="single" w:sz="12" w:space="0" w:color="2E7D32"/>
              <w:bottom w:val="single" w:sz="12" w:space="0" w:color="2E7D32"/>
              <w:right w:val="single" w:sz="12" w:space="0" w:color="2E7D32"/>
            </w:tcBorders>
            <w:shd w:val="clear" w:color="auto" w:fill="E8F5E9"/>
            <w:tcMar>
              <w:top w:w="160" w:type="dxa"/>
              <w:left w:w="200" w:type="dxa"/>
              <w:bottom w:w="160" w:type="dxa"/>
              <w:right w:w="200" w:type="dxa"/>
            </w:tcMar>
          </w:tcPr>
          <w:p w14:paraId="378FA775" w14:textId="77777777" w:rsidR="00CC5814" w:rsidRPr="00B729E1" w:rsidRDefault="00000000">
            <w:pPr>
              <w:spacing w:after="60"/>
              <w:rPr>
                <w:rFonts w:ascii="Times New Roman" w:hAnsi="Times New Roman" w:cs="Times New Roman"/>
              </w:rPr>
            </w:pPr>
            <w:r w:rsidRPr="00B729E1">
              <w:rPr>
                <w:rFonts w:ascii="Times New Roman" w:hAnsi="Times New Roman" w:cs="Times New Roman"/>
                <w:b/>
                <w:bCs/>
                <w:color w:val="2E7D32"/>
                <w:sz w:val="20"/>
                <w:szCs w:val="20"/>
              </w:rPr>
              <w:t>SELECTED SOLUTION</w:t>
            </w:r>
          </w:p>
          <w:p w14:paraId="1D18154A" w14:textId="77777777" w:rsidR="00CC5814" w:rsidRPr="00B729E1" w:rsidRDefault="00000000">
            <w:pPr>
              <w:spacing w:line="290" w:lineRule="auto"/>
              <w:rPr>
                <w:rFonts w:ascii="Times New Roman" w:hAnsi="Times New Roman" w:cs="Times New Roman"/>
              </w:rPr>
            </w:pPr>
            <w:r w:rsidRPr="00B729E1">
              <w:rPr>
                <w:rFonts w:ascii="Times New Roman" w:hAnsi="Times New Roman" w:cs="Times New Roman"/>
              </w:rPr>
              <w:t xml:space="preserve">Layer all three mechanisms together: retry-with-backoff as the first line of </w:t>
            </w:r>
            <w:proofErr w:type="spellStart"/>
            <w:r w:rsidRPr="00B729E1">
              <w:rPr>
                <w:rFonts w:ascii="Times New Roman" w:hAnsi="Times New Roman" w:cs="Times New Roman"/>
              </w:rPr>
              <w:t>defense</w:t>
            </w:r>
            <w:proofErr w:type="spellEnd"/>
            <w:r w:rsidRPr="00B729E1">
              <w:rPr>
                <w:rFonts w:ascii="Times New Roman" w:hAnsi="Times New Roman" w:cs="Times New Roman"/>
              </w:rPr>
              <w:t xml:space="preserve"> for transient failures, a circuit breaker with a graceful-degradation fallback around each external/downstream dependency, and bulkhead isolation with a dead-letter queue for asynchronous processing paths.</w:t>
            </w:r>
          </w:p>
        </w:tc>
      </w:tr>
    </w:tbl>
    <w:p w14:paraId="4560D761"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 xml:space="preserve">The evaluation shows each alternative solves a distinct part of the reliability problem rather than competing with the others: retries recover from the brief failures that make up the majority of real-world errors, the </w:t>
      </w:r>
      <w:r w:rsidRPr="00B729E1">
        <w:rPr>
          <w:rFonts w:ascii="Times New Roman" w:hAnsi="Times New Roman" w:cs="Times New Roman"/>
        </w:rPr>
        <w:lastRenderedPageBreak/>
        <w:t>circuit breaker prevents those same retries from making a genuinely down dependency worse while giving users an immediate, smooth fallback instead of a stalled request, and bulkhead isolation with a dead-letter queue ensures that a persistently failing background job (e.g., a notification send) cannot exhaust shared resources or block unrelated requests, while still preserving the failed message for later reprocessing instead of silently dropping it.</w:t>
      </w:r>
    </w:p>
    <w:p w14:paraId="2F3373D0" w14:textId="77777777" w:rsidR="00CC5814" w:rsidRPr="00B729E1" w:rsidRDefault="00000000">
      <w:pPr>
        <w:pStyle w:val="Heading1"/>
        <w:pBdr>
          <w:bottom w:val="single" w:sz="6" w:space="4" w:color="1F3864"/>
        </w:pBdr>
        <w:spacing w:before="360" w:after="160"/>
        <w:rPr>
          <w:rFonts w:ascii="Times New Roman" w:hAnsi="Times New Roman" w:cs="Times New Roman"/>
        </w:rPr>
      </w:pPr>
      <w:r w:rsidRPr="00B729E1">
        <w:rPr>
          <w:rFonts w:ascii="Times New Roman" w:hAnsi="Times New Roman" w:cs="Times New Roman"/>
          <w:b/>
          <w:bCs/>
          <w:color w:val="1F3864"/>
          <w:sz w:val="28"/>
          <w:szCs w:val="28"/>
        </w:rPr>
        <w:t>6. Feasibility</w:t>
      </w:r>
    </w:p>
    <w:p w14:paraId="63EEC8A7" w14:textId="77777777" w:rsidR="00CC5814" w:rsidRPr="00B729E1" w:rsidRDefault="00000000">
      <w:pPr>
        <w:spacing w:after="160" w:line="300" w:lineRule="auto"/>
        <w:jc w:val="both"/>
        <w:rPr>
          <w:rFonts w:ascii="Times New Roman" w:hAnsi="Times New Roman" w:cs="Times New Roman"/>
        </w:rPr>
      </w:pPr>
      <w:r w:rsidRPr="00B729E1">
        <w:rPr>
          <w:rFonts w:ascii="Times New Roman" w:hAnsi="Times New Roman" w:cs="Times New Roman"/>
        </w:rPr>
        <w:t>All three patterns are supported by mature, widely-used libraries (Resilience4j, Polly, Hystrix-style patterns) and standard message-broker features (dead-letter queues in RabbitMQ/SQS/Kafka), meaning the mechanism can be added incrementally around existing service calls without a system rewrite, making it a practical and low-risk improvement to the service's reliability.</w:t>
      </w:r>
    </w:p>
    <w:sectPr w:rsidR="00CC5814" w:rsidRPr="00B729E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B8E94" w14:textId="77777777" w:rsidR="00984F1A" w:rsidRDefault="00984F1A">
      <w:r>
        <w:separator/>
      </w:r>
    </w:p>
  </w:endnote>
  <w:endnote w:type="continuationSeparator" w:id="0">
    <w:p w14:paraId="70047A8A" w14:textId="77777777" w:rsidR="00984F1A" w:rsidRDefault="00984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4131" w14:textId="77777777" w:rsidR="00CC5814"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252C9F">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074B7" w14:textId="77777777" w:rsidR="00984F1A" w:rsidRDefault="00984F1A">
      <w:r>
        <w:separator/>
      </w:r>
    </w:p>
  </w:footnote>
  <w:footnote w:type="continuationSeparator" w:id="0">
    <w:p w14:paraId="1217A1CF" w14:textId="77777777" w:rsidR="00984F1A" w:rsidRDefault="00984F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3B4E" w14:textId="77777777" w:rsidR="00CC5814" w:rsidRDefault="00000000">
    <w:pPr>
      <w:pBdr>
        <w:bottom w:val="single" w:sz="4" w:space="4" w:color="AAAAAA"/>
      </w:pBdr>
      <w:tabs>
        <w:tab w:val="right" w:pos="9026"/>
      </w:tabs>
    </w:pPr>
    <w:r>
      <w:rPr>
        <w:color w:val="666666"/>
        <w:sz w:val="16"/>
        <w:szCs w:val="16"/>
      </w:rPr>
      <w:t>CSA43 – Internet Programming | CO5 Alternative Solution Design</w:t>
    </w:r>
    <w:r>
      <w:rPr>
        <w:color w:val="666666"/>
        <w:sz w:val="16"/>
        <w:szCs w:val="16"/>
      </w:rPr>
      <w:tab/>
      <w:t>SIMATS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E34A5"/>
    <w:multiLevelType w:val="hybridMultilevel"/>
    <w:tmpl w:val="D8A8651A"/>
    <w:lvl w:ilvl="0" w:tplc="FADA391A">
      <w:start w:val="1"/>
      <w:numFmt w:val="decimal"/>
      <w:lvlText w:val="%1."/>
      <w:lvlJc w:val="left"/>
      <w:pPr>
        <w:ind w:left="460" w:hanging="260"/>
      </w:pPr>
    </w:lvl>
    <w:lvl w:ilvl="1" w:tplc="ED9626A2">
      <w:numFmt w:val="decimal"/>
      <w:lvlText w:val=""/>
      <w:lvlJc w:val="left"/>
    </w:lvl>
    <w:lvl w:ilvl="2" w:tplc="70F27726">
      <w:numFmt w:val="decimal"/>
      <w:lvlText w:val=""/>
      <w:lvlJc w:val="left"/>
    </w:lvl>
    <w:lvl w:ilvl="3" w:tplc="8B6C3B66">
      <w:numFmt w:val="decimal"/>
      <w:lvlText w:val=""/>
      <w:lvlJc w:val="left"/>
    </w:lvl>
    <w:lvl w:ilvl="4" w:tplc="3DDC8CF4">
      <w:numFmt w:val="decimal"/>
      <w:lvlText w:val=""/>
      <w:lvlJc w:val="left"/>
    </w:lvl>
    <w:lvl w:ilvl="5" w:tplc="061E2C64">
      <w:numFmt w:val="decimal"/>
      <w:lvlText w:val=""/>
      <w:lvlJc w:val="left"/>
    </w:lvl>
    <w:lvl w:ilvl="6" w:tplc="58BC8386">
      <w:numFmt w:val="decimal"/>
      <w:lvlText w:val=""/>
      <w:lvlJc w:val="left"/>
    </w:lvl>
    <w:lvl w:ilvl="7" w:tplc="55D8A490">
      <w:numFmt w:val="decimal"/>
      <w:lvlText w:val=""/>
      <w:lvlJc w:val="left"/>
    </w:lvl>
    <w:lvl w:ilvl="8" w:tplc="AE86C992">
      <w:numFmt w:val="decimal"/>
      <w:lvlText w:val=""/>
      <w:lvlJc w:val="left"/>
    </w:lvl>
  </w:abstractNum>
  <w:abstractNum w:abstractNumId="1" w15:restartNumberingAfterBreak="0">
    <w:nsid w:val="3DF52645"/>
    <w:multiLevelType w:val="hybridMultilevel"/>
    <w:tmpl w:val="A0A2E5A8"/>
    <w:lvl w:ilvl="0" w:tplc="12B27886">
      <w:start w:val="1"/>
      <w:numFmt w:val="bullet"/>
      <w:lvlText w:val="•"/>
      <w:lvlJc w:val="left"/>
      <w:pPr>
        <w:ind w:left="460" w:hanging="260"/>
      </w:pPr>
    </w:lvl>
    <w:lvl w:ilvl="1" w:tplc="4A54E148">
      <w:numFmt w:val="decimal"/>
      <w:lvlText w:val=""/>
      <w:lvlJc w:val="left"/>
    </w:lvl>
    <w:lvl w:ilvl="2" w:tplc="43FA6404">
      <w:numFmt w:val="decimal"/>
      <w:lvlText w:val=""/>
      <w:lvlJc w:val="left"/>
    </w:lvl>
    <w:lvl w:ilvl="3" w:tplc="5E14AC36">
      <w:numFmt w:val="decimal"/>
      <w:lvlText w:val=""/>
      <w:lvlJc w:val="left"/>
    </w:lvl>
    <w:lvl w:ilvl="4" w:tplc="3BE4053E">
      <w:numFmt w:val="decimal"/>
      <w:lvlText w:val=""/>
      <w:lvlJc w:val="left"/>
    </w:lvl>
    <w:lvl w:ilvl="5" w:tplc="7F1CF67C">
      <w:numFmt w:val="decimal"/>
      <w:lvlText w:val=""/>
      <w:lvlJc w:val="left"/>
    </w:lvl>
    <w:lvl w:ilvl="6" w:tplc="7C1A614E">
      <w:numFmt w:val="decimal"/>
      <w:lvlText w:val=""/>
      <w:lvlJc w:val="left"/>
    </w:lvl>
    <w:lvl w:ilvl="7" w:tplc="58CCF078">
      <w:numFmt w:val="decimal"/>
      <w:lvlText w:val=""/>
      <w:lvlJc w:val="left"/>
    </w:lvl>
    <w:lvl w:ilvl="8" w:tplc="B6660F06">
      <w:numFmt w:val="decimal"/>
      <w:lvlText w:val=""/>
      <w:lvlJc w:val="left"/>
    </w:lvl>
  </w:abstractNum>
  <w:abstractNum w:abstractNumId="2" w15:restartNumberingAfterBreak="0">
    <w:nsid w:val="630E5ACF"/>
    <w:multiLevelType w:val="hybridMultilevel"/>
    <w:tmpl w:val="332EE618"/>
    <w:lvl w:ilvl="0" w:tplc="E1AE6A0A">
      <w:start w:val="1"/>
      <w:numFmt w:val="bullet"/>
      <w:lvlText w:val="●"/>
      <w:lvlJc w:val="left"/>
      <w:pPr>
        <w:ind w:left="720" w:hanging="360"/>
      </w:pPr>
    </w:lvl>
    <w:lvl w:ilvl="1" w:tplc="8B9C5A84">
      <w:start w:val="1"/>
      <w:numFmt w:val="bullet"/>
      <w:lvlText w:val="○"/>
      <w:lvlJc w:val="left"/>
      <w:pPr>
        <w:ind w:left="1440" w:hanging="360"/>
      </w:pPr>
    </w:lvl>
    <w:lvl w:ilvl="2" w:tplc="EBF01AD2">
      <w:start w:val="1"/>
      <w:numFmt w:val="bullet"/>
      <w:lvlText w:val="■"/>
      <w:lvlJc w:val="left"/>
      <w:pPr>
        <w:ind w:left="2160" w:hanging="360"/>
      </w:pPr>
    </w:lvl>
    <w:lvl w:ilvl="3" w:tplc="3F425BD0">
      <w:start w:val="1"/>
      <w:numFmt w:val="bullet"/>
      <w:lvlText w:val="●"/>
      <w:lvlJc w:val="left"/>
      <w:pPr>
        <w:ind w:left="2880" w:hanging="360"/>
      </w:pPr>
    </w:lvl>
    <w:lvl w:ilvl="4" w:tplc="9CB68E12">
      <w:start w:val="1"/>
      <w:numFmt w:val="bullet"/>
      <w:lvlText w:val="○"/>
      <w:lvlJc w:val="left"/>
      <w:pPr>
        <w:ind w:left="3600" w:hanging="360"/>
      </w:pPr>
    </w:lvl>
    <w:lvl w:ilvl="5" w:tplc="EACE771C">
      <w:start w:val="1"/>
      <w:numFmt w:val="bullet"/>
      <w:lvlText w:val="■"/>
      <w:lvlJc w:val="left"/>
      <w:pPr>
        <w:ind w:left="4320" w:hanging="360"/>
      </w:pPr>
    </w:lvl>
    <w:lvl w:ilvl="6" w:tplc="F3604DFE">
      <w:start w:val="1"/>
      <w:numFmt w:val="bullet"/>
      <w:lvlText w:val="●"/>
      <w:lvlJc w:val="left"/>
      <w:pPr>
        <w:ind w:left="5040" w:hanging="360"/>
      </w:pPr>
    </w:lvl>
    <w:lvl w:ilvl="7" w:tplc="8CB2345E">
      <w:start w:val="1"/>
      <w:numFmt w:val="bullet"/>
      <w:lvlText w:val="●"/>
      <w:lvlJc w:val="left"/>
      <w:pPr>
        <w:ind w:left="5760" w:hanging="360"/>
      </w:pPr>
    </w:lvl>
    <w:lvl w:ilvl="8" w:tplc="6CFC5940">
      <w:start w:val="1"/>
      <w:numFmt w:val="bullet"/>
      <w:lvlText w:val="●"/>
      <w:lvlJc w:val="left"/>
      <w:pPr>
        <w:ind w:left="6480" w:hanging="360"/>
      </w:pPr>
    </w:lvl>
  </w:abstractNum>
  <w:num w:numId="1" w16cid:durableId="122385622">
    <w:abstractNumId w:val="2"/>
    <w:lvlOverride w:ilvl="0">
      <w:startOverride w:val="1"/>
    </w:lvlOverride>
  </w:num>
  <w:num w:numId="2" w16cid:durableId="921523121">
    <w:abstractNumId w:val="1"/>
    <w:lvlOverride w:ilvl="0">
      <w:startOverride w:val="1"/>
    </w:lvlOverride>
  </w:num>
  <w:num w:numId="3" w16cid:durableId="905644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814"/>
    <w:rsid w:val="00077318"/>
    <w:rsid w:val="00252C9F"/>
    <w:rsid w:val="004C30F8"/>
    <w:rsid w:val="004D7F27"/>
    <w:rsid w:val="00573BA2"/>
    <w:rsid w:val="007E7543"/>
    <w:rsid w:val="00917C1D"/>
    <w:rsid w:val="00984F1A"/>
    <w:rsid w:val="00A47F47"/>
    <w:rsid w:val="00B729E1"/>
    <w:rsid w:val="00BC0260"/>
    <w:rsid w:val="00BE39EA"/>
    <w:rsid w:val="00BF2C03"/>
    <w:rsid w:val="00CC5814"/>
    <w:rsid w:val="00F46DA2"/>
    <w:rsid w:val="00F7148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7FF2F"/>
  <w15:docId w15:val="{908438E2-1412-4A86-9E62-FFD146CF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3221</Words>
  <Characters>18366</Characters>
  <Application>Microsoft Office Word</Application>
  <DocSecurity>0</DocSecurity>
  <Lines>153</Lines>
  <Paragraphs>43</Paragraphs>
  <ScaleCrop>false</ScaleCrop>
  <Company/>
  <LinksUpToDate>false</LinksUpToDate>
  <CharactersWithSpaces>21544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Jeelani</cp:lastModifiedBy>
  <cp:revision>2</cp:revision>
  <dcterms:created xsi:type="dcterms:W3CDTF">2026-09-03T13:53:00Z</dcterms:created>
  <dcterms:modified xsi:type="dcterms:W3CDTF">2026-09-03T13:53:00Z</dcterms:modified>
</cp:coreProperties>
</file>