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11A6A0"/>
          <w:sz w:val="20"/>
        </w:rPr>
        <w:t>DELIVERY ROADMAP</w:t>
      </w:r>
    </w:p>
    <w:p>
      <w:pPr>
        <w:pStyle w:val="Title"/>
      </w:pPr>
      <w:r>
        <w:t>AI Customer Support Platform</w:t>
      </w:r>
    </w:p>
    <w:p>
      <w:r>
        <w:rPr>
          <w:color w:val="246BFD"/>
          <w:sz w:val="32"/>
        </w:rPr>
        <w:t>Task 5 — Development &amp; Implementation Plan v1.0</w:t>
      </w:r>
    </w:p>
    <w:p>
      <w:r>
        <w:t>An execution-focused roadmap for product, engineering, AI, integrations, QA, security, and operations. Designed for a 20-person team building a multi-tenant SaaS platform across chat, email, and inbound voice.</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4233B"/>
          </w:tcPr>
          <w:p>
            <w:pPr>
              <w:spacing w:after="0"/>
            </w:pPr>
            <w:r/>
            <w:r>
              <w:rPr>
                <w:rFonts w:ascii="Aptos" w:hAnsi="Aptos"/>
                <w:b/>
                <w:color w:val="FFFFFF"/>
                <w:sz w:val="16"/>
              </w:rPr>
              <w:t>Plan detail</w:t>
            </w:r>
          </w:p>
        </w:tc>
        <w:tc>
          <w:tcPr>
            <w:tcW w:type="dxa" w:w="7992"/>
            <w:vAlign w:val="center"/>
            <w:shd w:fill="14233B"/>
          </w:tcPr>
          <w:p>
            <w:pPr>
              <w:spacing w:after="0"/>
            </w:pPr>
            <w:r/>
            <w:r>
              <w:rPr>
                <w:rFonts w:ascii="Aptos" w:hAnsi="Aptos"/>
                <w:b/>
                <w:color w:val="FFFFFF"/>
                <w:sz w:val="16"/>
              </w:rPr>
              <w:t>Baseline</w:t>
            </w:r>
          </w:p>
        </w:tc>
      </w:tr>
      <w:tr>
        <w:tc>
          <w:tcPr>
            <w:tcW w:type="dxa" w:w="2376"/>
            <w:vAlign w:val="center"/>
          </w:tcPr>
          <w:p>
            <w:pPr>
              <w:spacing w:after="0"/>
            </w:pPr>
            <w:r/>
            <w:r>
              <w:rPr>
                <w:rFonts w:ascii="Aptos" w:hAnsi="Aptos"/>
                <w:b w:val="0"/>
                <w:color w:val="202B3C"/>
                <w:sz w:val="15"/>
              </w:rPr>
              <w:t>Planning horizon</w:t>
            </w:r>
          </w:p>
        </w:tc>
        <w:tc>
          <w:tcPr>
            <w:tcW w:type="dxa" w:w="7992"/>
            <w:vAlign w:val="center"/>
          </w:tcPr>
          <w:p>
            <w:pPr>
              <w:spacing w:after="0"/>
            </w:pPr>
            <w:r/>
            <w:r>
              <w:rPr>
                <w:rFonts w:ascii="Aptos" w:hAnsi="Aptos"/>
                <w:b w:val="0"/>
                <w:color w:val="202B3C"/>
                <w:sz w:val="15"/>
              </w:rPr>
              <w:t>Approximately 16–20 weeks to a controlled pilot, subject to team skills, provider access, and scope.</w:t>
            </w:r>
          </w:p>
        </w:tc>
      </w:tr>
      <w:tr>
        <w:tc>
          <w:tcPr>
            <w:tcW w:type="dxa" w:w="2376"/>
            <w:vAlign w:val="center"/>
            <w:shd w:fill="F7F9FC"/>
          </w:tcPr>
          <w:p>
            <w:pPr>
              <w:spacing w:after="0"/>
            </w:pPr>
            <w:r/>
            <w:r>
              <w:rPr>
                <w:rFonts w:ascii="Aptos" w:hAnsi="Aptos"/>
                <w:b w:val="0"/>
                <w:color w:val="202B3C"/>
                <w:sz w:val="15"/>
              </w:rPr>
              <w:t>Sprint cadence</w:t>
            </w:r>
          </w:p>
        </w:tc>
        <w:tc>
          <w:tcPr>
            <w:tcW w:type="dxa" w:w="7992"/>
            <w:vAlign w:val="center"/>
            <w:shd w:fill="F7F9FC"/>
          </w:tcPr>
          <w:p>
            <w:pPr>
              <w:spacing w:after="0"/>
            </w:pPr>
            <w:r/>
            <w:r>
              <w:rPr>
                <w:rFonts w:ascii="Aptos" w:hAnsi="Aptos"/>
                <w:b w:val="0"/>
                <w:color w:val="202B3C"/>
                <w:sz w:val="15"/>
              </w:rPr>
              <w:t>Two-week sprints; one integrated demo per sprint.</w:t>
            </w:r>
          </w:p>
        </w:tc>
      </w:tr>
      <w:tr>
        <w:tc>
          <w:tcPr>
            <w:tcW w:type="dxa" w:w="2376"/>
            <w:vAlign w:val="center"/>
          </w:tcPr>
          <w:p>
            <w:pPr>
              <w:spacing w:after="0"/>
            </w:pPr>
            <w:r/>
            <w:r>
              <w:rPr>
                <w:rFonts w:ascii="Aptos" w:hAnsi="Aptos"/>
                <w:b w:val="0"/>
                <w:color w:val="202B3C"/>
                <w:sz w:val="15"/>
              </w:rPr>
              <w:t>Delivery strategy</w:t>
            </w:r>
          </w:p>
        </w:tc>
        <w:tc>
          <w:tcPr>
            <w:tcW w:type="dxa" w:w="7992"/>
            <w:vAlign w:val="center"/>
          </w:tcPr>
          <w:p>
            <w:pPr>
              <w:spacing w:after="0"/>
            </w:pPr>
            <w:r/>
            <w:r>
              <w:rPr>
                <w:rFonts w:ascii="Aptos" w:hAnsi="Aptos"/>
                <w:b w:val="0"/>
                <w:color w:val="202B3C"/>
                <w:sz w:val="15"/>
              </w:rPr>
              <w:t>Vertical slices; chat first for fastest feedback, then email and voice, with all three included in the initial release plan.</w:t>
            </w:r>
          </w:p>
        </w:tc>
      </w:tr>
      <w:tr>
        <w:tc>
          <w:tcPr>
            <w:tcW w:type="dxa" w:w="2376"/>
            <w:vAlign w:val="center"/>
            <w:shd w:fill="F7F9FC"/>
          </w:tcPr>
          <w:p>
            <w:pPr>
              <w:spacing w:after="0"/>
            </w:pPr>
            <w:r/>
            <w:r>
              <w:rPr>
                <w:rFonts w:ascii="Aptos" w:hAnsi="Aptos"/>
                <w:b w:val="0"/>
                <w:color w:val="202B3C"/>
                <w:sz w:val="15"/>
              </w:rPr>
              <w:t>Architecture assumption</w:t>
            </w:r>
          </w:p>
        </w:tc>
        <w:tc>
          <w:tcPr>
            <w:tcW w:type="dxa" w:w="7992"/>
            <w:vAlign w:val="center"/>
            <w:shd w:fill="F7F9FC"/>
          </w:tcPr>
          <w:p>
            <w:pPr>
              <w:spacing w:after="0"/>
            </w:pPr>
            <w:r/>
            <w:r>
              <w:rPr>
                <w:rFonts w:ascii="Aptos" w:hAnsi="Aptos"/>
                <w:b w:val="0"/>
                <w:color w:val="202B3C"/>
                <w:sz w:val="15"/>
              </w:rPr>
              <w:t>Modular monolith + separately deployed workers and channel adapters; managed infrastructure.</w:t>
            </w:r>
          </w:p>
        </w:tc>
      </w:tr>
      <w:tr>
        <w:tc>
          <w:tcPr>
            <w:tcW w:type="dxa" w:w="2376"/>
            <w:vAlign w:val="center"/>
          </w:tcPr>
          <w:p>
            <w:pPr>
              <w:spacing w:after="0"/>
            </w:pPr>
            <w:r/>
            <w:r>
              <w:rPr>
                <w:rFonts w:ascii="Aptos" w:hAnsi="Aptos"/>
                <w:b w:val="0"/>
                <w:color w:val="202B3C"/>
                <w:sz w:val="15"/>
              </w:rPr>
              <w:t>Quality principle</w:t>
            </w:r>
          </w:p>
        </w:tc>
        <w:tc>
          <w:tcPr>
            <w:tcW w:type="dxa" w:w="7992"/>
            <w:vAlign w:val="center"/>
          </w:tcPr>
          <w:p>
            <w:pPr>
              <w:spacing w:after="0"/>
            </w:pPr>
            <w:r/>
            <w:r>
              <w:rPr>
                <w:rFonts w:ascii="Aptos" w:hAnsi="Aptos"/>
                <w:b w:val="0"/>
                <w:color w:val="202B3C"/>
                <w:sz w:val="15"/>
              </w:rPr>
              <w:t>No autonomous customer-facing rollout until security, evaluation, handoff, and rollback gates pass.</w:t>
            </w:r>
          </w:p>
        </w:tc>
      </w:tr>
    </w:tbl>
    <w:p/>
    <w:p>
      <w:pPr>
        <w:pStyle w:val="Heading1"/>
      </w:pPr>
      <w:r>
        <w:t>Executive summary</w:t>
      </w:r>
    </w:p>
    <w:p>
      <w:r>
        <w:rPr>
          <w:b/>
        </w:rPr>
        <w:t xml:space="preserve">Build the complete support workflow before broadening automation. </w:t>
      </w:r>
      <w:r>
        <w:t>The first meaningful milestone is not a polished dashboard or a sophisticated AI prompt. It is one customer conversation that enters through a channel, gets a grounded answer or safe handoff, reaches an agent with full context, resolves correctly, and produces reliable operational data.</w:t>
      </w:r>
    </w:p>
    <w:p>
      <w:r>
        <w:br w:type="page"/>
      </w:r>
    </w:p>
    <w:p>
      <w:pPr>
        <w:pStyle w:val="Heading1"/>
      </w:pPr>
      <w:r>
        <w:t>1. Delivery principles</w:t>
      </w:r>
    </w:p>
    <w:p>
      <w:pPr>
        <w:pStyle w:val="ListBullet"/>
        <w:spacing w:after="30"/>
      </w:pPr>
      <w:r>
        <w:t>Work in two-week sprints and demonstrate integrated software, not just completed tickets.</w:t>
      </w:r>
    </w:p>
    <w:p>
      <w:pPr>
        <w:pStyle w:val="ListBullet"/>
        <w:spacing w:after="30"/>
      </w:pPr>
      <w:r>
        <w:t>Build a thin vertical slice across frontend, API, database, AI, channel adapter, and QA before scaling individual modules.</w:t>
      </w:r>
    </w:p>
    <w:p>
      <w:pPr>
        <w:pStyle w:val="ListBullet"/>
        <w:spacing w:after="30"/>
      </w:pPr>
      <w:r>
        <w:t>Keep one canonical case and conversation model for chat, email, and voice.</w:t>
      </w:r>
    </w:p>
    <w:p>
      <w:pPr>
        <w:pStyle w:val="ListBullet"/>
        <w:spacing w:after="30"/>
      </w:pPr>
      <w:r>
        <w:t>Use feature flags to enable capabilities and AI autonomy per tenant and per channel.</w:t>
      </w:r>
    </w:p>
    <w:p>
      <w:pPr>
        <w:pStyle w:val="ListBullet"/>
        <w:spacing w:after="30"/>
      </w:pPr>
      <w:r>
        <w:t>Treat security, observability, accessibility, and AI evaluation as work in every sprint—not final-stage cleanup.</w:t>
      </w:r>
    </w:p>
    <w:p>
      <w:pPr>
        <w:pStyle w:val="ListBullet"/>
        <w:spacing w:after="30"/>
      </w:pPr>
      <w:r>
        <w:t>Prefer managed infrastructure and a modular codebase until real scale justifies more operational complexity.</w:t>
      </w:r>
    </w:p>
    <w:p>
      <w:pPr>
        <w:pStyle w:val="ListBullet"/>
        <w:spacing w:after="30"/>
      </w:pPr>
      <w:r>
        <w:t>Make human handoff, provider outage, model failure, retries, and data deletion first-class product behavior.</w:t>
      </w:r>
    </w:p>
    <w:p>
      <w:pPr>
        <w:pStyle w:val="Heading1"/>
      </w:pPr>
      <w:r>
        <w:t>2. Roadmap and milestones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14233B"/>
          </w:tcPr>
          <w:p>
            <w:pPr>
              <w:spacing w:after="0"/>
            </w:pPr>
            <w:r/>
            <w:r>
              <w:rPr>
                <w:rFonts w:ascii="Aptos" w:hAnsi="Aptos"/>
                <w:b/>
                <w:color w:val="FFFFFF"/>
                <w:sz w:val="16"/>
              </w:rPr>
              <w:t>Phase / timing</w:t>
            </w:r>
          </w:p>
        </w:tc>
        <w:tc>
          <w:tcPr>
            <w:tcW w:type="dxa" w:w="2160"/>
            <w:vAlign w:val="center"/>
            <w:shd w:fill="14233B"/>
          </w:tcPr>
          <w:p>
            <w:pPr>
              <w:spacing w:after="0"/>
            </w:pPr>
            <w:r/>
            <w:r>
              <w:rPr>
                <w:rFonts w:ascii="Aptos" w:hAnsi="Aptos"/>
                <w:b/>
                <w:color w:val="FFFFFF"/>
                <w:sz w:val="16"/>
              </w:rPr>
              <w:t>Primary outcome</w:t>
            </w:r>
          </w:p>
        </w:tc>
        <w:tc>
          <w:tcPr>
            <w:tcW w:type="dxa" w:w="3744"/>
            <w:vAlign w:val="center"/>
            <w:shd w:fill="14233B"/>
          </w:tcPr>
          <w:p>
            <w:pPr>
              <w:spacing w:after="0"/>
            </w:pPr>
            <w:r/>
            <w:r>
              <w:rPr>
                <w:rFonts w:ascii="Aptos" w:hAnsi="Aptos"/>
                <w:b/>
                <w:color w:val="FFFFFF"/>
                <w:sz w:val="16"/>
              </w:rPr>
              <w:t>Major deliverables</w:t>
            </w:r>
          </w:p>
        </w:tc>
        <w:tc>
          <w:tcPr>
            <w:tcW w:type="dxa" w:w="2880"/>
            <w:vAlign w:val="center"/>
            <w:shd w:fill="14233B"/>
          </w:tcPr>
          <w:p>
            <w:pPr>
              <w:spacing w:after="0"/>
            </w:pPr>
            <w:r/>
            <w:r>
              <w:rPr>
                <w:rFonts w:ascii="Aptos" w:hAnsi="Aptos"/>
                <w:b/>
                <w:color w:val="FFFFFF"/>
                <w:sz w:val="16"/>
              </w:rPr>
              <w:t>Exit gate</w:t>
            </w:r>
          </w:p>
        </w:tc>
      </w:tr>
      <w:tr>
        <w:tc>
          <w:tcPr>
            <w:tcW w:type="dxa" w:w="1800"/>
            <w:vAlign w:val="center"/>
          </w:tcPr>
          <w:p>
            <w:pPr>
              <w:spacing w:after="0"/>
            </w:pPr>
            <w:r/>
            <w:r>
              <w:rPr>
                <w:rFonts w:ascii="Aptos" w:hAnsi="Aptos"/>
                <w:b w:val="0"/>
                <w:color w:val="202B3C"/>
                <w:sz w:val="14"/>
              </w:rPr>
              <w:t>Phase 0 — Week 1</w:t>
            </w:r>
          </w:p>
        </w:tc>
        <w:tc>
          <w:tcPr>
            <w:tcW w:type="dxa" w:w="2160"/>
            <w:vAlign w:val="center"/>
          </w:tcPr>
          <w:p>
            <w:pPr>
              <w:spacing w:after="0"/>
            </w:pPr>
            <w:r/>
            <w:r>
              <w:rPr>
                <w:rFonts w:ascii="Aptos" w:hAnsi="Aptos"/>
                <w:b w:val="0"/>
                <w:color w:val="202B3C"/>
                <w:sz w:val="14"/>
              </w:rPr>
              <w:t>Confirm scope and reduce unknowns</w:t>
            </w:r>
          </w:p>
        </w:tc>
        <w:tc>
          <w:tcPr>
            <w:tcW w:type="dxa" w:w="3744"/>
            <w:vAlign w:val="center"/>
          </w:tcPr>
          <w:p>
            <w:pPr>
              <w:spacing w:after="0"/>
            </w:pPr>
            <w:r/>
            <w:r>
              <w:rPr>
                <w:rFonts w:ascii="Aptos" w:hAnsi="Aptos"/>
                <w:b w:val="0"/>
                <w:color w:val="202B3C"/>
                <w:sz w:val="14"/>
              </w:rPr>
              <w:t>Provider spikes, ADRs, backlog, test strategy, risk register</w:t>
            </w:r>
          </w:p>
        </w:tc>
        <w:tc>
          <w:tcPr>
            <w:tcW w:type="dxa" w:w="2880"/>
            <w:vAlign w:val="center"/>
          </w:tcPr>
          <w:p>
            <w:pPr>
              <w:spacing w:after="0"/>
            </w:pPr>
            <w:r/>
            <w:r>
              <w:rPr>
                <w:rFonts w:ascii="Aptos" w:hAnsi="Aptos"/>
                <w:b w:val="0"/>
                <w:color w:val="202B3C"/>
                <w:sz w:val="14"/>
              </w:rPr>
              <w:t>Critical provider/latency/security unknowns measured; MVP scope signed off.</w:t>
            </w:r>
          </w:p>
        </w:tc>
      </w:tr>
      <w:tr>
        <w:tc>
          <w:tcPr>
            <w:tcW w:type="dxa" w:w="1800"/>
            <w:vAlign w:val="center"/>
            <w:shd w:fill="F7F9FC"/>
          </w:tcPr>
          <w:p>
            <w:pPr>
              <w:spacing w:after="0"/>
            </w:pPr>
            <w:r/>
            <w:r>
              <w:rPr>
                <w:rFonts w:ascii="Aptos" w:hAnsi="Aptos"/>
                <w:b w:val="0"/>
                <w:color w:val="202B3C"/>
                <w:sz w:val="14"/>
              </w:rPr>
              <w:t>Phase 1 — Weeks 2–4</w:t>
            </w:r>
          </w:p>
        </w:tc>
        <w:tc>
          <w:tcPr>
            <w:tcW w:type="dxa" w:w="2160"/>
            <w:vAlign w:val="center"/>
            <w:shd w:fill="F7F9FC"/>
          </w:tcPr>
          <w:p>
            <w:pPr>
              <w:spacing w:after="0"/>
            </w:pPr>
            <w:r/>
            <w:r>
              <w:rPr>
                <w:rFonts w:ascii="Aptos" w:hAnsi="Aptos"/>
                <w:b w:val="0"/>
                <w:color w:val="202B3C"/>
                <w:sz w:val="14"/>
              </w:rPr>
              <w:t>Secure platform foundation</w:t>
            </w:r>
          </w:p>
        </w:tc>
        <w:tc>
          <w:tcPr>
            <w:tcW w:type="dxa" w:w="3744"/>
            <w:vAlign w:val="center"/>
            <w:shd w:fill="F7F9FC"/>
          </w:tcPr>
          <w:p>
            <w:pPr>
              <w:spacing w:after="0"/>
            </w:pPr>
            <w:r/>
            <w:r>
              <w:rPr>
                <w:rFonts w:ascii="Aptos" w:hAnsi="Aptos"/>
                <w:b w:val="0"/>
                <w:color w:val="202B3C"/>
                <w:sz w:val="14"/>
              </w:rPr>
              <w:t>CI/CD, auth, tenant isolation, roles, schema, audit, observability, queue/outbox</w:t>
            </w:r>
          </w:p>
        </w:tc>
        <w:tc>
          <w:tcPr>
            <w:tcW w:type="dxa" w:w="2880"/>
            <w:vAlign w:val="center"/>
            <w:shd w:fill="F7F9FC"/>
          </w:tcPr>
          <w:p>
            <w:pPr>
              <w:spacing w:after="0"/>
            </w:pPr>
            <w:r/>
            <w:r>
              <w:rPr>
                <w:rFonts w:ascii="Aptos" w:hAnsi="Aptos"/>
                <w:b w:val="0"/>
                <w:color w:val="202B3C"/>
                <w:sz w:val="14"/>
              </w:rPr>
              <w:t>Cross-tenant negative tests pass; deploy/rollback and backups demonstrated.</w:t>
            </w:r>
          </w:p>
        </w:tc>
      </w:tr>
      <w:tr>
        <w:tc>
          <w:tcPr>
            <w:tcW w:type="dxa" w:w="1800"/>
            <w:vAlign w:val="center"/>
          </w:tcPr>
          <w:p>
            <w:pPr>
              <w:spacing w:after="0"/>
            </w:pPr>
            <w:r/>
            <w:r>
              <w:rPr>
                <w:rFonts w:ascii="Aptos" w:hAnsi="Aptos"/>
                <w:b w:val="0"/>
                <w:color w:val="202B3C"/>
                <w:sz w:val="14"/>
              </w:rPr>
              <w:t>Phase 2 — Weeks 5–8</w:t>
            </w:r>
          </w:p>
        </w:tc>
        <w:tc>
          <w:tcPr>
            <w:tcW w:type="dxa" w:w="2160"/>
            <w:vAlign w:val="center"/>
          </w:tcPr>
          <w:p>
            <w:pPr>
              <w:spacing w:after="0"/>
            </w:pPr>
            <w:r/>
            <w:r>
              <w:rPr>
                <w:rFonts w:ascii="Aptos" w:hAnsi="Aptos"/>
                <w:b w:val="0"/>
                <w:color w:val="202B3C"/>
                <w:sz w:val="14"/>
              </w:rPr>
              <w:t>Chat end-to-end slice</w:t>
            </w:r>
          </w:p>
        </w:tc>
        <w:tc>
          <w:tcPr>
            <w:tcW w:type="dxa" w:w="3744"/>
            <w:vAlign w:val="center"/>
          </w:tcPr>
          <w:p>
            <w:pPr>
              <w:spacing w:after="0"/>
            </w:pPr>
            <w:r/>
            <w:r>
              <w:rPr>
                <w:rFonts w:ascii="Aptos" w:hAnsi="Aptos"/>
                <w:b w:val="0"/>
                <w:color w:val="202B3C"/>
                <w:sz w:val="14"/>
              </w:rPr>
              <w:t>Widget, inbox, case workspace, knowledge ingestion, grounded AI, handoff</w:t>
            </w:r>
          </w:p>
        </w:tc>
        <w:tc>
          <w:tcPr>
            <w:tcW w:type="dxa" w:w="2880"/>
            <w:vAlign w:val="center"/>
          </w:tcPr>
          <w:p>
            <w:pPr>
              <w:spacing w:after="0"/>
            </w:pPr>
            <w:r/>
            <w:r>
              <w:rPr>
                <w:rFonts w:ascii="Aptos" w:hAnsi="Aptos"/>
                <w:b w:val="0"/>
                <w:color w:val="202B3C"/>
                <w:sz w:val="14"/>
              </w:rPr>
              <w:t>A real chat test can resolve or escalate and be completed by an agent.</w:t>
            </w:r>
          </w:p>
        </w:tc>
      </w:tr>
      <w:tr>
        <w:tc>
          <w:tcPr>
            <w:tcW w:type="dxa" w:w="1800"/>
            <w:vAlign w:val="center"/>
            <w:shd w:fill="F7F9FC"/>
          </w:tcPr>
          <w:p>
            <w:pPr>
              <w:spacing w:after="0"/>
            </w:pPr>
            <w:r/>
            <w:r>
              <w:rPr>
                <w:rFonts w:ascii="Aptos" w:hAnsi="Aptos"/>
                <w:b w:val="0"/>
                <w:color w:val="202B3C"/>
                <w:sz w:val="14"/>
              </w:rPr>
              <w:t>Phase 3 — Weeks 9–11</w:t>
            </w:r>
          </w:p>
        </w:tc>
        <w:tc>
          <w:tcPr>
            <w:tcW w:type="dxa" w:w="2160"/>
            <w:vAlign w:val="center"/>
            <w:shd w:fill="F7F9FC"/>
          </w:tcPr>
          <w:p>
            <w:pPr>
              <w:spacing w:after="0"/>
            </w:pPr>
            <w:r/>
            <w:r>
              <w:rPr>
                <w:rFonts w:ascii="Aptos" w:hAnsi="Aptos"/>
                <w:b w:val="0"/>
                <w:color w:val="202B3C"/>
                <w:sz w:val="14"/>
              </w:rPr>
              <w:t>Email support workflow</w:t>
            </w:r>
          </w:p>
        </w:tc>
        <w:tc>
          <w:tcPr>
            <w:tcW w:type="dxa" w:w="3744"/>
            <w:vAlign w:val="center"/>
            <w:shd w:fill="F7F9FC"/>
          </w:tcPr>
          <w:p>
            <w:pPr>
              <w:spacing w:after="0"/>
            </w:pPr>
            <w:r/>
            <w:r>
              <w:rPr>
                <w:rFonts w:ascii="Aptos" w:hAnsi="Aptos"/>
                <w:b w:val="0"/>
                <w:color w:val="202B3C"/>
                <w:sz w:val="14"/>
              </w:rPr>
              <w:t>Inbound/outbound, threading, delivery states, retry/DLQ, attachment controls</w:t>
            </w:r>
          </w:p>
        </w:tc>
        <w:tc>
          <w:tcPr>
            <w:tcW w:type="dxa" w:w="2880"/>
            <w:vAlign w:val="center"/>
            <w:shd w:fill="F7F9FC"/>
          </w:tcPr>
          <w:p>
            <w:pPr>
              <w:spacing w:after="0"/>
            </w:pPr>
            <w:r/>
            <w:r>
              <w:rPr>
                <w:rFonts w:ascii="Aptos" w:hAnsi="Aptos"/>
                <w:b w:val="0"/>
                <w:color w:val="202B3C"/>
                <w:sz w:val="14"/>
              </w:rPr>
              <w:t>Duplicate, bounce, threading and provider outage tests pass.</w:t>
            </w:r>
          </w:p>
        </w:tc>
      </w:tr>
      <w:tr>
        <w:tc>
          <w:tcPr>
            <w:tcW w:type="dxa" w:w="1800"/>
            <w:vAlign w:val="center"/>
          </w:tcPr>
          <w:p>
            <w:pPr>
              <w:spacing w:after="0"/>
            </w:pPr>
            <w:r/>
            <w:r>
              <w:rPr>
                <w:rFonts w:ascii="Aptos" w:hAnsi="Aptos"/>
                <w:b w:val="0"/>
                <w:color w:val="202B3C"/>
                <w:sz w:val="14"/>
              </w:rPr>
              <w:t>Phase 4 — Weeks 12–15</w:t>
            </w:r>
          </w:p>
        </w:tc>
        <w:tc>
          <w:tcPr>
            <w:tcW w:type="dxa" w:w="2160"/>
            <w:vAlign w:val="center"/>
          </w:tcPr>
          <w:p>
            <w:pPr>
              <w:spacing w:after="0"/>
            </w:pPr>
            <w:r/>
            <w:r>
              <w:rPr>
                <w:rFonts w:ascii="Aptos" w:hAnsi="Aptos"/>
                <w:b w:val="0"/>
                <w:color w:val="202B3C"/>
                <w:sz w:val="14"/>
              </w:rPr>
              <w:t>Inbound voice workflow</w:t>
            </w:r>
          </w:p>
        </w:tc>
        <w:tc>
          <w:tcPr>
            <w:tcW w:type="dxa" w:w="3744"/>
            <w:vAlign w:val="center"/>
          </w:tcPr>
          <w:p>
            <w:pPr>
              <w:spacing w:after="0"/>
            </w:pPr>
            <w:r/>
            <w:r>
              <w:rPr>
                <w:rFonts w:ascii="Aptos" w:hAnsi="Aptos"/>
                <w:b w:val="0"/>
                <w:color w:val="202B3C"/>
                <w:sz w:val="14"/>
              </w:rPr>
              <w:t>Number setup, speech pipeline, AI turn handling, transfer, consent, fallback</w:t>
            </w:r>
          </w:p>
        </w:tc>
        <w:tc>
          <w:tcPr>
            <w:tcW w:type="dxa" w:w="2880"/>
            <w:vAlign w:val="center"/>
          </w:tcPr>
          <w:p>
            <w:pPr>
              <w:spacing w:after="0"/>
            </w:pPr>
            <w:r/>
            <w:r>
              <w:rPr>
                <w:rFonts w:ascii="Aptos" w:hAnsi="Aptos"/>
                <w:b w:val="0"/>
                <w:color w:val="202B3C"/>
                <w:sz w:val="14"/>
              </w:rPr>
              <w:t>Real test calls meet agreed latency and transfer reliability thresholds.</w:t>
            </w:r>
          </w:p>
        </w:tc>
      </w:tr>
      <w:tr>
        <w:tc>
          <w:tcPr>
            <w:tcW w:type="dxa" w:w="1800"/>
            <w:vAlign w:val="center"/>
            <w:shd w:fill="F7F9FC"/>
          </w:tcPr>
          <w:p>
            <w:pPr>
              <w:spacing w:after="0"/>
            </w:pPr>
            <w:r/>
            <w:r>
              <w:rPr>
                <w:rFonts w:ascii="Aptos" w:hAnsi="Aptos"/>
                <w:b w:val="0"/>
                <w:color w:val="202B3C"/>
                <w:sz w:val="14"/>
              </w:rPr>
              <w:t>Phase 5 — Weeks 16–18</w:t>
            </w:r>
          </w:p>
        </w:tc>
        <w:tc>
          <w:tcPr>
            <w:tcW w:type="dxa" w:w="2160"/>
            <w:vAlign w:val="center"/>
            <w:shd w:fill="F7F9FC"/>
          </w:tcPr>
          <w:p>
            <w:pPr>
              <w:spacing w:after="0"/>
            </w:pPr>
            <w:r/>
            <w:r>
              <w:rPr>
                <w:rFonts w:ascii="Aptos" w:hAnsi="Aptos"/>
                <w:b w:val="0"/>
                <w:color w:val="202B3C"/>
                <w:sz w:val="14"/>
              </w:rPr>
              <w:t>Tenant configuration and quality</w:t>
            </w:r>
          </w:p>
        </w:tc>
        <w:tc>
          <w:tcPr>
            <w:tcW w:type="dxa" w:w="3744"/>
            <w:vAlign w:val="center"/>
            <w:shd w:fill="F7F9FC"/>
          </w:tcPr>
          <w:p>
            <w:pPr>
              <w:spacing w:after="0"/>
            </w:pPr>
            <w:r/>
            <w:r>
              <w:rPr>
                <w:rFonts w:ascii="Aptos" w:hAnsi="Aptos"/>
                <w:b w:val="0"/>
                <w:color w:val="202B3C"/>
                <w:sz w:val="14"/>
              </w:rPr>
              <w:t>Onboarding, policy publish/rollback, evaluation dashboard, analytics, quotas</w:t>
            </w:r>
          </w:p>
        </w:tc>
        <w:tc>
          <w:tcPr>
            <w:tcW w:type="dxa" w:w="2880"/>
            <w:vAlign w:val="center"/>
            <w:shd w:fill="F7F9FC"/>
          </w:tcPr>
          <w:p>
            <w:pPr>
              <w:spacing w:after="0"/>
            </w:pPr>
            <w:r/>
            <w:r>
              <w:rPr>
                <w:rFonts w:ascii="Aptos" w:hAnsi="Aptos"/>
                <w:b w:val="0"/>
                <w:color w:val="202B3C"/>
                <w:sz w:val="14"/>
              </w:rPr>
              <w:t>A pilot tenant can configure, test, publish, pause and inspect automation.</w:t>
            </w:r>
          </w:p>
        </w:tc>
      </w:tr>
      <w:tr>
        <w:tc>
          <w:tcPr>
            <w:tcW w:type="dxa" w:w="1800"/>
            <w:vAlign w:val="center"/>
          </w:tcPr>
          <w:p>
            <w:pPr>
              <w:spacing w:after="0"/>
            </w:pPr>
            <w:r/>
            <w:r>
              <w:rPr>
                <w:rFonts w:ascii="Aptos" w:hAnsi="Aptos"/>
                <w:b w:val="0"/>
                <w:color w:val="202B3C"/>
                <w:sz w:val="14"/>
              </w:rPr>
              <w:t>Phase 6 — Weeks 19–20+</w:t>
            </w:r>
          </w:p>
        </w:tc>
        <w:tc>
          <w:tcPr>
            <w:tcW w:type="dxa" w:w="2160"/>
            <w:vAlign w:val="center"/>
          </w:tcPr>
          <w:p>
            <w:pPr>
              <w:spacing w:after="0"/>
            </w:pPr>
            <w:r/>
            <w:r>
              <w:rPr>
                <w:rFonts w:ascii="Aptos" w:hAnsi="Aptos"/>
                <w:b w:val="0"/>
                <w:color w:val="202B3C"/>
                <w:sz w:val="14"/>
              </w:rPr>
              <w:t>Controlled pilot / GA readiness</w:t>
            </w:r>
          </w:p>
        </w:tc>
        <w:tc>
          <w:tcPr>
            <w:tcW w:type="dxa" w:w="3744"/>
            <w:vAlign w:val="center"/>
          </w:tcPr>
          <w:p>
            <w:pPr>
              <w:spacing w:after="0"/>
            </w:pPr>
            <w:r/>
            <w:r>
              <w:rPr>
                <w:rFonts w:ascii="Aptos" w:hAnsi="Aptos"/>
                <w:b w:val="0"/>
                <w:color w:val="202B3C"/>
                <w:sz w:val="14"/>
              </w:rPr>
              <w:t>Security review, load tests, runbooks, restore drill, customer feedback</w:t>
            </w:r>
          </w:p>
        </w:tc>
        <w:tc>
          <w:tcPr>
            <w:tcW w:type="dxa" w:w="2880"/>
            <w:vAlign w:val="center"/>
          </w:tcPr>
          <w:p>
            <w:pPr>
              <w:spacing w:after="0"/>
            </w:pPr>
            <w:r/>
            <w:r>
              <w:rPr>
                <w:rFonts w:ascii="Aptos" w:hAnsi="Aptos"/>
                <w:b w:val="0"/>
                <w:color w:val="202B3C"/>
                <w:sz w:val="14"/>
              </w:rPr>
              <w:t>Go/no-go checklist approved; critical defects closed; pilot owner assigned.</w:t>
            </w:r>
          </w:p>
        </w:tc>
      </w:tr>
    </w:tbl>
    <w:p/>
    <w:p>
      <w:pPr>
        <w:pStyle w:val="SmallNote"/>
      </w:pPr>
      <w:r>
        <w:t>Schedule is an initial planning estimate, not a guarantee. Provider onboarding, telephony requirements, compliance review, team experience, and changes in scope can materially shift the timeline. Do not remove safety gates to protect a date.</w:t>
      </w:r>
    </w:p>
    <w:p>
      <w:pPr>
        <w:pStyle w:val="Heading1"/>
      </w:pPr>
      <w:r>
        <w:t>3. Sprint-by-sprint plan</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4233B"/>
          </w:tcPr>
          <w:p>
            <w:pPr>
              <w:spacing w:after="0"/>
            </w:pPr>
            <w:r/>
            <w:r>
              <w:rPr>
                <w:rFonts w:ascii="Aptos" w:hAnsi="Aptos"/>
                <w:b/>
                <w:color w:val="FFFFFF"/>
                <w:sz w:val="16"/>
              </w:rPr>
              <w:t>Sprint</w:t>
            </w:r>
          </w:p>
        </w:tc>
        <w:tc>
          <w:tcPr>
            <w:tcW w:type="dxa" w:w="4464"/>
            <w:vAlign w:val="center"/>
            <w:shd w:fill="14233B"/>
          </w:tcPr>
          <w:p>
            <w:pPr>
              <w:spacing w:after="0"/>
            </w:pPr>
            <w:r/>
            <w:r>
              <w:rPr>
                <w:rFonts w:ascii="Aptos" w:hAnsi="Aptos"/>
                <w:b/>
                <w:color w:val="FFFFFF"/>
                <w:sz w:val="16"/>
              </w:rPr>
              <w:t>Build focus</w:t>
            </w:r>
          </w:p>
        </w:tc>
        <w:tc>
          <w:tcPr>
            <w:tcW w:type="dxa" w:w="4680"/>
            <w:vAlign w:val="center"/>
            <w:shd w:fill="14233B"/>
          </w:tcPr>
          <w:p>
            <w:pPr>
              <w:spacing w:after="0"/>
            </w:pPr>
            <w:r/>
            <w:r>
              <w:rPr>
                <w:rFonts w:ascii="Aptos" w:hAnsi="Aptos"/>
                <w:b/>
                <w:color w:val="FFFFFF"/>
                <w:sz w:val="16"/>
              </w:rPr>
              <w:t>Demo / acceptance target</w:t>
            </w:r>
          </w:p>
        </w:tc>
      </w:tr>
      <w:tr>
        <w:tc>
          <w:tcPr>
            <w:tcW w:type="dxa" w:w="1440"/>
            <w:vAlign w:val="center"/>
          </w:tcPr>
          <w:p>
            <w:pPr>
              <w:spacing w:after="0"/>
            </w:pPr>
            <w:r/>
            <w:r>
              <w:rPr>
                <w:rFonts w:ascii="Aptos" w:hAnsi="Aptos"/>
                <w:b w:val="0"/>
                <w:color w:val="202B3C"/>
                <w:sz w:val="14"/>
              </w:rPr>
              <w:t>S0 — 1 week</w:t>
            </w:r>
          </w:p>
        </w:tc>
        <w:tc>
          <w:tcPr>
            <w:tcW w:type="dxa" w:w="4464"/>
            <w:vAlign w:val="center"/>
          </w:tcPr>
          <w:p>
            <w:pPr>
              <w:spacing w:after="0"/>
            </w:pPr>
            <w:r/>
            <w:r>
              <w:rPr>
                <w:rFonts w:ascii="Aptos" w:hAnsi="Aptos"/>
                <w:b w:val="0"/>
                <w:color w:val="202B3C"/>
                <w:sz w:val="14"/>
              </w:rPr>
              <w:t>Discovery and technical spikes</w:t>
            </w:r>
          </w:p>
        </w:tc>
        <w:tc>
          <w:tcPr>
            <w:tcW w:type="dxa" w:w="4680"/>
            <w:vAlign w:val="center"/>
          </w:tcPr>
          <w:p>
            <w:pPr>
              <w:spacing w:after="0"/>
            </w:pPr>
            <w:r/>
            <w:r>
              <w:rPr>
                <w:rFonts w:ascii="Aptos" w:hAnsi="Aptos"/>
                <w:b w:val="0"/>
                <w:color w:val="202B3C"/>
                <w:sz w:val="14"/>
              </w:rPr>
              <w:t>Recorded decisions for backend, tenant isolation, queue, email provider, voice provider, model/RAG and budget.</w:t>
            </w:r>
          </w:p>
        </w:tc>
      </w:tr>
      <w:tr>
        <w:tc>
          <w:tcPr>
            <w:tcW w:type="dxa" w:w="1440"/>
            <w:vAlign w:val="center"/>
            <w:shd w:fill="F7F9FC"/>
          </w:tcPr>
          <w:p>
            <w:pPr>
              <w:spacing w:after="0"/>
            </w:pPr>
            <w:r/>
            <w:r>
              <w:rPr>
                <w:rFonts w:ascii="Aptos" w:hAnsi="Aptos"/>
                <w:b w:val="0"/>
                <w:color w:val="202B3C"/>
                <w:sz w:val="14"/>
              </w:rPr>
              <w:t>S1 — 2 weeks</w:t>
            </w:r>
          </w:p>
        </w:tc>
        <w:tc>
          <w:tcPr>
            <w:tcW w:type="dxa" w:w="4464"/>
            <w:vAlign w:val="center"/>
            <w:shd w:fill="F7F9FC"/>
          </w:tcPr>
          <w:p>
            <w:pPr>
              <w:spacing w:after="0"/>
            </w:pPr>
            <w:r/>
            <w:r>
              <w:rPr>
                <w:rFonts w:ascii="Aptos" w:hAnsi="Aptos"/>
                <w:b w:val="0"/>
                <w:color w:val="202B3C"/>
                <w:sz w:val="14"/>
              </w:rPr>
              <w:t>Repo, CI, environments, auth, tenant membership, RBAC skeleton</w:t>
            </w:r>
          </w:p>
        </w:tc>
        <w:tc>
          <w:tcPr>
            <w:tcW w:type="dxa" w:w="4680"/>
            <w:vAlign w:val="center"/>
            <w:shd w:fill="F7F9FC"/>
          </w:tcPr>
          <w:p>
            <w:pPr>
              <w:spacing w:after="0"/>
            </w:pPr>
            <w:r/>
            <w:r>
              <w:rPr>
                <w:rFonts w:ascii="Aptos" w:hAnsi="Aptos"/>
                <w:b w:val="0"/>
                <w:color w:val="202B3C"/>
                <w:sz w:val="14"/>
              </w:rPr>
              <w:t>Deployable app; user can sign in; server resolves tenant from authorized membership.</w:t>
            </w:r>
          </w:p>
        </w:tc>
      </w:tr>
      <w:tr>
        <w:tc>
          <w:tcPr>
            <w:tcW w:type="dxa" w:w="1440"/>
            <w:vAlign w:val="center"/>
          </w:tcPr>
          <w:p>
            <w:pPr>
              <w:spacing w:after="0"/>
            </w:pPr>
            <w:r/>
            <w:r>
              <w:rPr>
                <w:rFonts w:ascii="Aptos" w:hAnsi="Aptos"/>
                <w:b w:val="0"/>
                <w:color w:val="202B3C"/>
                <w:sz w:val="14"/>
              </w:rPr>
              <w:t>S2 — 2 weeks</w:t>
            </w:r>
          </w:p>
        </w:tc>
        <w:tc>
          <w:tcPr>
            <w:tcW w:type="dxa" w:w="4464"/>
            <w:vAlign w:val="center"/>
          </w:tcPr>
          <w:p>
            <w:pPr>
              <w:spacing w:after="0"/>
            </w:pPr>
            <w:r/>
            <w:r>
              <w:rPr>
                <w:rFonts w:ascii="Aptos" w:hAnsi="Aptos"/>
                <w:b w:val="0"/>
                <w:color w:val="202B3C"/>
                <w:sz w:val="14"/>
              </w:rPr>
              <w:t>Core case/message schema, API conventions, audit, outbox/queue, observability</w:t>
            </w:r>
          </w:p>
        </w:tc>
        <w:tc>
          <w:tcPr>
            <w:tcW w:type="dxa" w:w="4680"/>
            <w:vAlign w:val="center"/>
          </w:tcPr>
          <w:p>
            <w:pPr>
              <w:spacing w:after="0"/>
            </w:pPr>
            <w:r/>
            <w:r>
              <w:rPr>
                <w:rFonts w:ascii="Aptos" w:hAnsi="Aptos"/>
                <w:b w:val="0"/>
                <w:color w:val="202B3C"/>
                <w:sz w:val="14"/>
              </w:rPr>
              <w:t>Create/list case; duplicate event is safely deduplicated; correlation ID visible in logs.</w:t>
            </w:r>
          </w:p>
        </w:tc>
      </w:tr>
      <w:tr>
        <w:tc>
          <w:tcPr>
            <w:tcW w:type="dxa" w:w="1440"/>
            <w:vAlign w:val="center"/>
            <w:shd w:fill="F7F9FC"/>
          </w:tcPr>
          <w:p>
            <w:pPr>
              <w:spacing w:after="0"/>
            </w:pPr>
            <w:r/>
            <w:r>
              <w:rPr>
                <w:rFonts w:ascii="Aptos" w:hAnsi="Aptos"/>
                <w:b w:val="0"/>
                <w:color w:val="202B3C"/>
                <w:sz w:val="14"/>
              </w:rPr>
              <w:t>S3 — 2 weeks</w:t>
            </w:r>
          </w:p>
        </w:tc>
        <w:tc>
          <w:tcPr>
            <w:tcW w:type="dxa" w:w="4464"/>
            <w:vAlign w:val="center"/>
            <w:shd w:fill="F7F9FC"/>
          </w:tcPr>
          <w:p>
            <w:pPr>
              <w:spacing w:after="0"/>
            </w:pPr>
            <w:r/>
            <w:r>
              <w:rPr>
                <w:rFonts w:ascii="Aptos" w:hAnsi="Aptos"/>
                <w:b w:val="0"/>
                <w:color w:val="202B3C"/>
                <w:sz w:val="14"/>
              </w:rPr>
              <w:t>Chat widget, session handling, channel adapter, basic agent inbox</w:t>
            </w:r>
          </w:p>
        </w:tc>
        <w:tc>
          <w:tcPr>
            <w:tcW w:type="dxa" w:w="4680"/>
            <w:vAlign w:val="center"/>
            <w:shd w:fill="F7F9FC"/>
          </w:tcPr>
          <w:p>
            <w:pPr>
              <w:spacing w:after="0"/>
            </w:pPr>
            <w:r/>
            <w:r>
              <w:rPr>
                <w:rFonts w:ascii="Aptos" w:hAnsi="Aptos"/>
                <w:b w:val="0"/>
                <w:color w:val="202B3C"/>
                <w:sz w:val="14"/>
              </w:rPr>
              <w:t>Customer message appears once in the correct tenant's inbox.</w:t>
            </w:r>
          </w:p>
        </w:tc>
      </w:tr>
      <w:tr>
        <w:tc>
          <w:tcPr>
            <w:tcW w:type="dxa" w:w="1440"/>
            <w:vAlign w:val="center"/>
          </w:tcPr>
          <w:p>
            <w:pPr>
              <w:spacing w:after="0"/>
            </w:pPr>
            <w:r/>
            <w:r>
              <w:rPr>
                <w:rFonts w:ascii="Aptos" w:hAnsi="Aptos"/>
                <w:b w:val="0"/>
                <w:color w:val="202B3C"/>
                <w:sz w:val="14"/>
              </w:rPr>
              <w:t>S4 — 2 weeks</w:t>
            </w:r>
          </w:p>
        </w:tc>
        <w:tc>
          <w:tcPr>
            <w:tcW w:type="dxa" w:w="4464"/>
            <w:vAlign w:val="center"/>
          </w:tcPr>
          <w:p>
            <w:pPr>
              <w:spacing w:after="0"/>
            </w:pPr>
            <w:r/>
            <w:r>
              <w:rPr>
                <w:rFonts w:ascii="Aptos" w:hAnsi="Aptos"/>
                <w:b w:val="0"/>
                <w:color w:val="202B3C"/>
                <w:sz w:val="14"/>
              </w:rPr>
              <w:t>Knowledge ingestion, retrieval, AI policy, grounded response, handoff</w:t>
            </w:r>
          </w:p>
        </w:tc>
        <w:tc>
          <w:tcPr>
            <w:tcW w:type="dxa" w:w="4680"/>
            <w:vAlign w:val="center"/>
          </w:tcPr>
          <w:p>
            <w:pPr>
              <w:spacing w:after="0"/>
            </w:pPr>
            <w:r/>
            <w:r>
              <w:rPr>
                <w:rFonts w:ascii="Aptos" w:hAnsi="Aptos"/>
                <w:b w:val="0"/>
                <w:color w:val="202B3C"/>
                <w:sz w:val="14"/>
              </w:rPr>
              <w:t>Known answer cites approved source; unknown answer safely escalates; agent sees summary.</w:t>
            </w:r>
          </w:p>
        </w:tc>
      </w:tr>
      <w:tr>
        <w:tc>
          <w:tcPr>
            <w:tcW w:type="dxa" w:w="1440"/>
            <w:vAlign w:val="center"/>
            <w:shd w:fill="F7F9FC"/>
          </w:tcPr>
          <w:p>
            <w:pPr>
              <w:spacing w:after="0"/>
            </w:pPr>
            <w:r/>
            <w:r>
              <w:rPr>
                <w:rFonts w:ascii="Aptos" w:hAnsi="Aptos"/>
                <w:b w:val="0"/>
                <w:color w:val="202B3C"/>
                <w:sz w:val="14"/>
              </w:rPr>
              <w:t>S5 — 2 weeks</w:t>
            </w:r>
          </w:p>
        </w:tc>
        <w:tc>
          <w:tcPr>
            <w:tcW w:type="dxa" w:w="4464"/>
            <w:vAlign w:val="center"/>
            <w:shd w:fill="F7F9FC"/>
          </w:tcPr>
          <w:p>
            <w:pPr>
              <w:spacing w:after="0"/>
            </w:pPr>
            <w:r/>
            <w:r>
              <w:rPr>
                <w:rFonts w:ascii="Aptos" w:hAnsi="Aptos"/>
                <w:b w:val="0"/>
                <w:color w:val="202B3C"/>
                <w:sz w:val="14"/>
              </w:rPr>
              <w:t>Agent case workspace, assignment, SLA basics, customer timeline, resolution</w:t>
            </w:r>
          </w:p>
        </w:tc>
        <w:tc>
          <w:tcPr>
            <w:tcW w:type="dxa" w:w="4680"/>
            <w:vAlign w:val="center"/>
            <w:shd w:fill="F7F9FC"/>
          </w:tcPr>
          <w:p>
            <w:pPr>
              <w:spacing w:after="0"/>
            </w:pPr>
            <w:r/>
            <w:r>
              <w:rPr>
                <w:rFonts w:ascii="Aptos" w:hAnsi="Aptos"/>
                <w:b w:val="0"/>
                <w:color w:val="202B3C"/>
                <w:sz w:val="14"/>
              </w:rPr>
              <w:t>Agent replies, resolves, reopens as configured; events and metrics update.</w:t>
            </w:r>
          </w:p>
        </w:tc>
      </w:tr>
      <w:tr>
        <w:tc>
          <w:tcPr>
            <w:tcW w:type="dxa" w:w="1440"/>
            <w:vAlign w:val="center"/>
          </w:tcPr>
          <w:p>
            <w:pPr>
              <w:spacing w:after="0"/>
            </w:pPr>
            <w:r/>
            <w:r>
              <w:rPr>
                <w:rFonts w:ascii="Aptos" w:hAnsi="Aptos"/>
                <w:b w:val="0"/>
                <w:color w:val="202B3C"/>
                <w:sz w:val="14"/>
              </w:rPr>
              <w:t>S6 — 2 weeks</w:t>
            </w:r>
          </w:p>
        </w:tc>
        <w:tc>
          <w:tcPr>
            <w:tcW w:type="dxa" w:w="4464"/>
            <w:vAlign w:val="center"/>
          </w:tcPr>
          <w:p>
            <w:pPr>
              <w:spacing w:after="0"/>
            </w:pPr>
            <w:r/>
            <w:r>
              <w:rPr>
                <w:rFonts w:ascii="Aptos" w:hAnsi="Aptos"/>
                <w:b w:val="0"/>
                <w:color w:val="202B3C"/>
                <w:sz w:val="14"/>
              </w:rPr>
              <w:t>Email inbound/outbound, threading, delivery state, retries</w:t>
            </w:r>
          </w:p>
        </w:tc>
        <w:tc>
          <w:tcPr>
            <w:tcW w:type="dxa" w:w="4680"/>
            <w:vAlign w:val="center"/>
          </w:tcPr>
          <w:p>
            <w:pPr>
              <w:spacing w:after="0"/>
            </w:pPr>
            <w:r/>
            <w:r>
              <w:rPr>
                <w:rFonts w:ascii="Aptos" w:hAnsi="Aptos"/>
                <w:b w:val="0"/>
                <w:color w:val="202B3C"/>
                <w:sz w:val="14"/>
              </w:rPr>
              <w:t>Email thread remains linked; bounce/duplicate/outage cases recover safely.</w:t>
            </w:r>
          </w:p>
        </w:tc>
      </w:tr>
      <w:tr>
        <w:tc>
          <w:tcPr>
            <w:tcW w:type="dxa" w:w="1440"/>
            <w:vAlign w:val="center"/>
            <w:shd w:fill="F7F9FC"/>
          </w:tcPr>
          <w:p>
            <w:pPr>
              <w:spacing w:after="0"/>
            </w:pPr>
            <w:r/>
            <w:r>
              <w:rPr>
                <w:rFonts w:ascii="Aptos" w:hAnsi="Aptos"/>
                <w:b w:val="0"/>
                <w:color w:val="202B3C"/>
                <w:sz w:val="14"/>
              </w:rPr>
              <w:t>S7 — 2 weeks</w:t>
            </w:r>
          </w:p>
        </w:tc>
        <w:tc>
          <w:tcPr>
            <w:tcW w:type="dxa" w:w="4464"/>
            <w:vAlign w:val="center"/>
            <w:shd w:fill="F7F9FC"/>
          </w:tcPr>
          <w:p>
            <w:pPr>
              <w:spacing w:after="0"/>
            </w:pPr>
            <w:r/>
            <w:r>
              <w:rPr>
                <w:rFonts w:ascii="Aptos" w:hAnsi="Aptos"/>
                <w:b w:val="0"/>
                <w:color w:val="202B3C"/>
                <w:sz w:val="14"/>
              </w:rPr>
              <w:t>Voice provider integration, call state, speech pipeline, transfer, fallback</w:t>
            </w:r>
          </w:p>
        </w:tc>
        <w:tc>
          <w:tcPr>
            <w:tcW w:type="dxa" w:w="4680"/>
            <w:vAlign w:val="center"/>
            <w:shd w:fill="F7F9FC"/>
          </w:tcPr>
          <w:p>
            <w:pPr>
              <w:spacing w:after="0"/>
            </w:pPr>
            <w:r/>
            <w:r>
              <w:rPr>
                <w:rFonts w:ascii="Aptos" w:hAnsi="Aptos"/>
                <w:b w:val="0"/>
                <w:color w:val="202B3C"/>
                <w:sz w:val="14"/>
              </w:rPr>
              <w:t>Test call answered; handoff transfer succeeds or safe fallback runs.</w:t>
            </w:r>
          </w:p>
        </w:tc>
      </w:tr>
      <w:tr>
        <w:tc>
          <w:tcPr>
            <w:tcW w:type="dxa" w:w="1440"/>
            <w:vAlign w:val="center"/>
          </w:tcPr>
          <w:p>
            <w:pPr>
              <w:spacing w:after="0"/>
            </w:pPr>
            <w:r/>
            <w:r>
              <w:rPr>
                <w:rFonts w:ascii="Aptos" w:hAnsi="Aptos"/>
                <w:b w:val="0"/>
                <w:color w:val="202B3C"/>
                <w:sz w:val="14"/>
              </w:rPr>
              <w:t>S8 — 2 weeks</w:t>
            </w:r>
          </w:p>
        </w:tc>
        <w:tc>
          <w:tcPr>
            <w:tcW w:type="dxa" w:w="4464"/>
            <w:vAlign w:val="center"/>
          </w:tcPr>
          <w:p>
            <w:pPr>
              <w:spacing w:after="0"/>
            </w:pPr>
            <w:r/>
            <w:r>
              <w:rPr>
                <w:rFonts w:ascii="Aptos" w:hAnsi="Aptos"/>
                <w:b w:val="0"/>
                <w:color w:val="202B3C"/>
                <w:sz w:val="14"/>
              </w:rPr>
              <w:t>Tenant setup wizard, AI policy versioning, test suite, publish/rollback</w:t>
            </w:r>
          </w:p>
        </w:tc>
        <w:tc>
          <w:tcPr>
            <w:tcW w:type="dxa" w:w="4680"/>
            <w:vAlign w:val="center"/>
          </w:tcPr>
          <w:p>
            <w:pPr>
              <w:spacing w:after="0"/>
            </w:pPr>
            <w:r/>
            <w:r>
              <w:rPr>
                <w:rFonts w:ascii="Aptos" w:hAnsi="Aptos"/>
                <w:b w:val="0"/>
                <w:color w:val="202B3C"/>
                <w:sz w:val="14"/>
              </w:rPr>
              <w:t>Admin changes a policy, tests it, publishes, and rolls back.</w:t>
            </w:r>
          </w:p>
        </w:tc>
      </w:tr>
      <w:tr>
        <w:tc>
          <w:tcPr>
            <w:tcW w:type="dxa" w:w="1440"/>
            <w:vAlign w:val="center"/>
            <w:shd w:fill="F7F9FC"/>
          </w:tcPr>
          <w:p>
            <w:pPr>
              <w:spacing w:after="0"/>
            </w:pPr>
            <w:r/>
            <w:r>
              <w:rPr>
                <w:rFonts w:ascii="Aptos" w:hAnsi="Aptos"/>
                <w:b w:val="0"/>
                <w:color w:val="202B3C"/>
                <w:sz w:val="14"/>
              </w:rPr>
              <w:t>S9 — 2 weeks</w:t>
            </w:r>
          </w:p>
        </w:tc>
        <w:tc>
          <w:tcPr>
            <w:tcW w:type="dxa" w:w="4464"/>
            <w:vAlign w:val="center"/>
            <w:shd w:fill="F7F9FC"/>
          </w:tcPr>
          <w:p>
            <w:pPr>
              <w:spacing w:after="0"/>
            </w:pPr>
            <w:r/>
            <w:r>
              <w:rPr>
                <w:rFonts w:ascii="Aptos" w:hAnsi="Aptos"/>
                <w:b w:val="0"/>
                <w:color w:val="202B3C"/>
                <w:sz w:val="14"/>
              </w:rPr>
              <w:t>Analytics, quotas, security hardening, accessibility, pilot onboarding</w:t>
            </w:r>
          </w:p>
        </w:tc>
        <w:tc>
          <w:tcPr>
            <w:tcW w:type="dxa" w:w="4680"/>
            <w:vAlign w:val="center"/>
            <w:shd w:fill="F7F9FC"/>
          </w:tcPr>
          <w:p>
            <w:pPr>
              <w:spacing w:after="0"/>
            </w:pPr>
            <w:r/>
            <w:r>
              <w:rPr>
                <w:rFonts w:ascii="Aptos" w:hAnsi="Aptos"/>
                <w:b w:val="0"/>
                <w:color w:val="202B3C"/>
                <w:sz w:val="14"/>
              </w:rPr>
              <w:t>Pilot checklist, operational dashboards, runbooks, and acceptance sign-off.</w:t>
            </w:r>
          </w:p>
        </w:tc>
      </w:tr>
    </w:tbl>
    <w:p/>
    <w:p>
      <w:pPr>
        <w:pStyle w:val="Heading1"/>
      </w:pPr>
      <w:r>
        <w:t>4. Team ownership and accountability</w:t>
      </w:r>
    </w:p>
    <w:p>
      <w:r>
        <w:t>Assign one directly responsible individual (DRI) per workstream. The DRI coordinates dependencies and signs off on readiness; they do not need to implement every task personally.</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4233B"/>
          </w:tcPr>
          <w:p>
            <w:pPr>
              <w:spacing w:after="0"/>
            </w:pPr>
            <w:r/>
            <w:r>
              <w:rPr>
                <w:rFonts w:ascii="Aptos" w:hAnsi="Aptos"/>
                <w:b/>
                <w:color w:val="FFFFFF"/>
                <w:sz w:val="16"/>
              </w:rPr>
              <w:t>Workstream</w:t>
            </w:r>
          </w:p>
        </w:tc>
        <w:tc>
          <w:tcPr>
            <w:tcW w:type="dxa" w:w="1872"/>
            <w:vAlign w:val="center"/>
            <w:shd w:fill="14233B"/>
          </w:tcPr>
          <w:p>
            <w:pPr>
              <w:spacing w:after="0"/>
            </w:pPr>
            <w:r/>
            <w:r>
              <w:rPr>
                <w:rFonts w:ascii="Aptos" w:hAnsi="Aptos"/>
                <w:b/>
                <w:color w:val="FFFFFF"/>
                <w:sz w:val="16"/>
              </w:rPr>
              <w:t>Indicative staffing</w:t>
            </w:r>
          </w:p>
        </w:tc>
        <w:tc>
          <w:tcPr>
            <w:tcW w:type="dxa" w:w="6480"/>
            <w:vAlign w:val="center"/>
            <w:shd w:fill="14233B"/>
          </w:tcPr>
          <w:p>
            <w:pPr>
              <w:spacing w:after="0"/>
            </w:pPr>
            <w:r/>
            <w:r>
              <w:rPr>
                <w:rFonts w:ascii="Aptos" w:hAnsi="Aptos"/>
                <w:b/>
                <w:color w:val="FFFFFF"/>
                <w:sz w:val="16"/>
              </w:rPr>
              <w:t>Accountable outputs</w:t>
            </w:r>
          </w:p>
        </w:tc>
      </w:tr>
      <w:tr>
        <w:tc>
          <w:tcPr>
            <w:tcW w:type="dxa" w:w="2232"/>
            <w:vAlign w:val="center"/>
          </w:tcPr>
          <w:p>
            <w:pPr>
              <w:spacing w:after="0"/>
            </w:pPr>
            <w:r/>
            <w:r>
              <w:rPr>
                <w:rFonts w:ascii="Aptos" w:hAnsi="Aptos"/>
                <w:b w:val="0"/>
                <w:color w:val="202B3C"/>
                <w:sz w:val="15"/>
              </w:rPr>
              <w:t>Product &amp; UX</w:t>
            </w:r>
          </w:p>
        </w:tc>
        <w:tc>
          <w:tcPr>
            <w:tcW w:type="dxa" w:w="1872"/>
            <w:vAlign w:val="center"/>
          </w:tcPr>
          <w:p>
            <w:pPr>
              <w:spacing w:after="0"/>
            </w:pPr>
            <w:r/>
            <w:r>
              <w:rPr>
                <w:rFonts w:ascii="Aptos" w:hAnsi="Aptos"/>
                <w:b w:val="0"/>
                <w:color w:val="202B3C"/>
                <w:sz w:val="15"/>
              </w:rPr>
              <w:t>2</w:t>
            </w:r>
          </w:p>
        </w:tc>
        <w:tc>
          <w:tcPr>
            <w:tcW w:type="dxa" w:w="6480"/>
            <w:vAlign w:val="center"/>
          </w:tcPr>
          <w:p>
            <w:pPr>
              <w:spacing w:after="0"/>
            </w:pPr>
            <w:r/>
            <w:r>
              <w:rPr>
                <w:rFonts w:ascii="Aptos" w:hAnsi="Aptos"/>
                <w:b w:val="0"/>
                <w:color w:val="202B3C"/>
                <w:sz w:val="15"/>
              </w:rPr>
              <w:t>Backlog, workflow decisions, prototypes, acceptance criteria, pilot feedback.</w:t>
            </w:r>
          </w:p>
        </w:tc>
      </w:tr>
      <w:tr>
        <w:tc>
          <w:tcPr>
            <w:tcW w:type="dxa" w:w="2232"/>
            <w:vAlign w:val="center"/>
            <w:shd w:fill="F7F9FC"/>
          </w:tcPr>
          <w:p>
            <w:pPr>
              <w:spacing w:after="0"/>
            </w:pPr>
            <w:r/>
            <w:r>
              <w:rPr>
                <w:rFonts w:ascii="Aptos" w:hAnsi="Aptos"/>
                <w:b w:val="0"/>
                <w:color w:val="202B3C"/>
                <w:sz w:val="15"/>
              </w:rPr>
              <w:t>Frontend</w:t>
            </w:r>
          </w:p>
        </w:tc>
        <w:tc>
          <w:tcPr>
            <w:tcW w:type="dxa" w:w="1872"/>
            <w:vAlign w:val="center"/>
            <w:shd w:fill="F7F9FC"/>
          </w:tcPr>
          <w:p>
            <w:pPr>
              <w:spacing w:after="0"/>
            </w:pPr>
            <w:r/>
            <w:r>
              <w:rPr>
                <w:rFonts w:ascii="Aptos" w:hAnsi="Aptos"/>
                <w:b w:val="0"/>
                <w:color w:val="202B3C"/>
                <w:sz w:val="15"/>
              </w:rPr>
              <w:t>3</w:t>
            </w:r>
          </w:p>
        </w:tc>
        <w:tc>
          <w:tcPr>
            <w:tcW w:type="dxa" w:w="6480"/>
            <w:vAlign w:val="center"/>
            <w:shd w:fill="F7F9FC"/>
          </w:tcPr>
          <w:p>
            <w:pPr>
              <w:spacing w:after="0"/>
            </w:pPr>
            <w:r/>
            <w:r>
              <w:rPr>
                <w:rFonts w:ascii="Aptos" w:hAnsi="Aptos"/>
                <w:b w:val="0"/>
                <w:color w:val="202B3C"/>
                <w:sz w:val="15"/>
              </w:rPr>
              <w:t>Admin console, agent workspace, chat widget, component system, accessibility.</w:t>
            </w:r>
          </w:p>
        </w:tc>
      </w:tr>
      <w:tr>
        <w:tc>
          <w:tcPr>
            <w:tcW w:type="dxa" w:w="2232"/>
            <w:vAlign w:val="center"/>
          </w:tcPr>
          <w:p>
            <w:pPr>
              <w:spacing w:after="0"/>
            </w:pPr>
            <w:r/>
            <w:r>
              <w:rPr>
                <w:rFonts w:ascii="Aptos" w:hAnsi="Aptos"/>
                <w:b w:val="0"/>
                <w:color w:val="202B3C"/>
                <w:sz w:val="15"/>
              </w:rPr>
              <w:t>Core backend</w:t>
            </w:r>
          </w:p>
        </w:tc>
        <w:tc>
          <w:tcPr>
            <w:tcW w:type="dxa" w:w="1872"/>
            <w:vAlign w:val="center"/>
          </w:tcPr>
          <w:p>
            <w:pPr>
              <w:spacing w:after="0"/>
            </w:pPr>
            <w:r/>
            <w:r>
              <w:rPr>
                <w:rFonts w:ascii="Aptos" w:hAnsi="Aptos"/>
                <w:b w:val="0"/>
                <w:color w:val="202B3C"/>
                <w:sz w:val="15"/>
              </w:rPr>
              <w:t>4</w:t>
            </w:r>
          </w:p>
        </w:tc>
        <w:tc>
          <w:tcPr>
            <w:tcW w:type="dxa" w:w="6480"/>
            <w:vAlign w:val="center"/>
          </w:tcPr>
          <w:p>
            <w:pPr>
              <w:spacing w:after="0"/>
            </w:pPr>
            <w:r/>
            <w:r>
              <w:rPr>
                <w:rFonts w:ascii="Aptos" w:hAnsi="Aptos"/>
                <w:b w:val="0"/>
                <w:color w:val="202B3C"/>
                <w:sz w:val="15"/>
              </w:rPr>
              <w:t>Tenancy, identity integration, cases/messages, routing, API, audit and configuration.</w:t>
            </w:r>
          </w:p>
        </w:tc>
      </w:tr>
      <w:tr>
        <w:tc>
          <w:tcPr>
            <w:tcW w:type="dxa" w:w="2232"/>
            <w:vAlign w:val="center"/>
            <w:shd w:fill="F7F9FC"/>
          </w:tcPr>
          <w:p>
            <w:pPr>
              <w:spacing w:after="0"/>
            </w:pPr>
            <w:r/>
            <w:r>
              <w:rPr>
                <w:rFonts w:ascii="Aptos" w:hAnsi="Aptos"/>
                <w:b w:val="0"/>
                <w:color w:val="202B3C"/>
                <w:sz w:val="15"/>
              </w:rPr>
              <w:t>AI &amp; knowledge</w:t>
            </w:r>
          </w:p>
        </w:tc>
        <w:tc>
          <w:tcPr>
            <w:tcW w:type="dxa" w:w="1872"/>
            <w:vAlign w:val="center"/>
            <w:shd w:fill="F7F9FC"/>
          </w:tcPr>
          <w:p>
            <w:pPr>
              <w:spacing w:after="0"/>
            </w:pPr>
            <w:r/>
            <w:r>
              <w:rPr>
                <w:rFonts w:ascii="Aptos" w:hAnsi="Aptos"/>
                <w:b w:val="0"/>
                <w:color w:val="202B3C"/>
                <w:sz w:val="15"/>
              </w:rPr>
              <w:t>3</w:t>
            </w:r>
          </w:p>
        </w:tc>
        <w:tc>
          <w:tcPr>
            <w:tcW w:type="dxa" w:w="6480"/>
            <w:vAlign w:val="center"/>
            <w:shd w:fill="F7F9FC"/>
          </w:tcPr>
          <w:p>
            <w:pPr>
              <w:spacing w:after="0"/>
            </w:pPr>
            <w:r/>
            <w:r>
              <w:rPr>
                <w:rFonts w:ascii="Aptos" w:hAnsi="Aptos"/>
                <w:b w:val="0"/>
                <w:color w:val="202B3C"/>
                <w:sz w:val="15"/>
              </w:rPr>
              <w:t>Orchestration, RAG, safety checks, evaluation sets, model/provider adapter.</w:t>
            </w:r>
          </w:p>
        </w:tc>
      </w:tr>
      <w:tr>
        <w:tc>
          <w:tcPr>
            <w:tcW w:type="dxa" w:w="2232"/>
            <w:vAlign w:val="center"/>
          </w:tcPr>
          <w:p>
            <w:pPr>
              <w:spacing w:after="0"/>
            </w:pPr>
            <w:r/>
            <w:r>
              <w:rPr>
                <w:rFonts w:ascii="Aptos" w:hAnsi="Aptos"/>
                <w:b w:val="0"/>
                <w:color w:val="202B3C"/>
                <w:sz w:val="15"/>
              </w:rPr>
              <w:t>Channel integrations</w:t>
            </w:r>
          </w:p>
        </w:tc>
        <w:tc>
          <w:tcPr>
            <w:tcW w:type="dxa" w:w="1872"/>
            <w:vAlign w:val="center"/>
          </w:tcPr>
          <w:p>
            <w:pPr>
              <w:spacing w:after="0"/>
            </w:pPr>
            <w:r/>
            <w:r>
              <w:rPr>
                <w:rFonts w:ascii="Aptos" w:hAnsi="Aptos"/>
                <w:b w:val="0"/>
                <w:color w:val="202B3C"/>
                <w:sz w:val="15"/>
              </w:rPr>
              <w:t>3</w:t>
            </w:r>
          </w:p>
        </w:tc>
        <w:tc>
          <w:tcPr>
            <w:tcW w:type="dxa" w:w="6480"/>
            <w:vAlign w:val="center"/>
          </w:tcPr>
          <w:p>
            <w:pPr>
              <w:spacing w:after="0"/>
            </w:pPr>
            <w:r/>
            <w:r>
              <w:rPr>
                <w:rFonts w:ascii="Aptos" w:hAnsi="Aptos"/>
                <w:b w:val="0"/>
                <w:color w:val="202B3C"/>
                <w:sz w:val="15"/>
              </w:rPr>
              <w:t>Email, chat integration support, telephony/voice runtime and provider tests.</w:t>
            </w:r>
          </w:p>
        </w:tc>
      </w:tr>
      <w:tr>
        <w:tc>
          <w:tcPr>
            <w:tcW w:type="dxa" w:w="2232"/>
            <w:vAlign w:val="center"/>
            <w:shd w:fill="F7F9FC"/>
          </w:tcPr>
          <w:p>
            <w:pPr>
              <w:spacing w:after="0"/>
            </w:pPr>
            <w:r/>
            <w:r>
              <w:rPr>
                <w:rFonts w:ascii="Aptos" w:hAnsi="Aptos"/>
                <w:b w:val="0"/>
                <w:color w:val="202B3C"/>
                <w:sz w:val="15"/>
              </w:rPr>
              <w:t>QA / automation</w:t>
            </w:r>
          </w:p>
        </w:tc>
        <w:tc>
          <w:tcPr>
            <w:tcW w:type="dxa" w:w="1872"/>
            <w:vAlign w:val="center"/>
            <w:shd w:fill="F7F9FC"/>
          </w:tcPr>
          <w:p>
            <w:pPr>
              <w:spacing w:after="0"/>
            </w:pPr>
            <w:r/>
            <w:r>
              <w:rPr>
                <w:rFonts w:ascii="Aptos" w:hAnsi="Aptos"/>
                <w:b w:val="0"/>
                <w:color w:val="202B3C"/>
                <w:sz w:val="15"/>
              </w:rPr>
              <w:t>2</w:t>
            </w:r>
          </w:p>
        </w:tc>
        <w:tc>
          <w:tcPr>
            <w:tcW w:type="dxa" w:w="6480"/>
            <w:vAlign w:val="center"/>
            <w:shd w:fill="F7F9FC"/>
          </w:tcPr>
          <w:p>
            <w:pPr>
              <w:spacing w:after="0"/>
            </w:pPr>
            <w:r/>
            <w:r>
              <w:rPr>
                <w:rFonts w:ascii="Aptos" w:hAnsi="Aptos"/>
                <w:b w:val="0"/>
                <w:color w:val="202B3C"/>
                <w:sz w:val="15"/>
              </w:rPr>
              <w:t>Test plans, contract tests, E2E automation, regression, security and load coordination.</w:t>
            </w:r>
          </w:p>
        </w:tc>
      </w:tr>
      <w:tr>
        <w:tc>
          <w:tcPr>
            <w:tcW w:type="dxa" w:w="2232"/>
            <w:vAlign w:val="center"/>
          </w:tcPr>
          <w:p>
            <w:pPr>
              <w:spacing w:after="0"/>
            </w:pPr>
            <w:r/>
            <w:r>
              <w:rPr>
                <w:rFonts w:ascii="Aptos" w:hAnsi="Aptos"/>
                <w:b w:val="0"/>
                <w:color w:val="202B3C"/>
                <w:sz w:val="15"/>
              </w:rPr>
              <w:t>Platform / security</w:t>
            </w:r>
          </w:p>
        </w:tc>
        <w:tc>
          <w:tcPr>
            <w:tcW w:type="dxa" w:w="1872"/>
            <w:vAlign w:val="center"/>
          </w:tcPr>
          <w:p>
            <w:pPr>
              <w:spacing w:after="0"/>
            </w:pPr>
            <w:r/>
            <w:r>
              <w:rPr>
                <w:rFonts w:ascii="Aptos" w:hAnsi="Aptos"/>
                <w:b w:val="0"/>
                <w:color w:val="202B3C"/>
                <w:sz w:val="15"/>
              </w:rPr>
              <w:t>2</w:t>
            </w:r>
          </w:p>
        </w:tc>
        <w:tc>
          <w:tcPr>
            <w:tcW w:type="dxa" w:w="6480"/>
            <w:vAlign w:val="center"/>
          </w:tcPr>
          <w:p>
            <w:pPr>
              <w:spacing w:after="0"/>
            </w:pPr>
            <w:r/>
            <w:r>
              <w:rPr>
                <w:rFonts w:ascii="Aptos" w:hAnsi="Aptos"/>
                <w:b w:val="0"/>
                <w:color w:val="202B3C"/>
                <w:sz w:val="15"/>
              </w:rPr>
              <w:t>Cloud, CI/CD, secrets, monitoring, backups, incident and security controls.</w:t>
            </w:r>
          </w:p>
        </w:tc>
      </w:tr>
      <w:tr>
        <w:tc>
          <w:tcPr>
            <w:tcW w:type="dxa" w:w="2232"/>
            <w:vAlign w:val="center"/>
            <w:shd w:fill="F7F9FC"/>
          </w:tcPr>
          <w:p>
            <w:pPr>
              <w:spacing w:after="0"/>
            </w:pPr>
            <w:r/>
            <w:r>
              <w:rPr>
                <w:rFonts w:ascii="Aptos" w:hAnsi="Aptos"/>
                <w:b w:val="0"/>
                <w:color w:val="202B3C"/>
                <w:sz w:val="15"/>
              </w:rPr>
              <w:t>Engineering/product lead</w:t>
            </w:r>
          </w:p>
        </w:tc>
        <w:tc>
          <w:tcPr>
            <w:tcW w:type="dxa" w:w="1872"/>
            <w:vAlign w:val="center"/>
            <w:shd w:fill="F7F9FC"/>
          </w:tcPr>
          <w:p>
            <w:pPr>
              <w:spacing w:after="0"/>
            </w:pPr>
            <w:r/>
            <w:r>
              <w:rPr>
                <w:rFonts w:ascii="Aptos" w:hAnsi="Aptos"/>
                <w:b w:val="0"/>
                <w:color w:val="202B3C"/>
                <w:sz w:val="15"/>
              </w:rPr>
              <w:t>1</w:t>
            </w:r>
          </w:p>
        </w:tc>
        <w:tc>
          <w:tcPr>
            <w:tcW w:type="dxa" w:w="6480"/>
            <w:vAlign w:val="center"/>
            <w:shd w:fill="F7F9FC"/>
          </w:tcPr>
          <w:p>
            <w:pPr>
              <w:spacing w:after="0"/>
            </w:pPr>
            <w:r/>
            <w:r>
              <w:rPr>
                <w:rFonts w:ascii="Aptos" w:hAnsi="Aptos"/>
                <w:b w:val="0"/>
                <w:color w:val="202B3C"/>
                <w:sz w:val="15"/>
              </w:rPr>
              <w:t>Architecture decisions, sequencing, scope, delivery risk, cross-team blockers.</w:t>
            </w:r>
          </w:p>
        </w:tc>
      </w:tr>
    </w:tbl>
    <w:p/>
    <w:p>
      <w:pPr>
        <w:pStyle w:val="Heading2"/>
      </w:pPr>
      <w:r>
        <w:t>Ownership rules</w:t>
      </w:r>
    </w:p>
    <w:p>
      <w:pPr>
        <w:pStyle w:val="ListBullet"/>
        <w:spacing w:after="30"/>
      </w:pPr>
      <w:r>
        <w:t>Every feature has a single DRI, a reviewer, QA coverage, telemetry, and documented failure behavior.</w:t>
      </w:r>
    </w:p>
    <w:p>
      <w:pPr>
        <w:pStyle w:val="ListBullet"/>
        <w:spacing w:after="30"/>
      </w:pPr>
      <w:r>
        <w:t>Security and QA can block release for tenant isolation, data exposure, or unsafe automation issues.</w:t>
      </w:r>
    </w:p>
    <w:p>
      <w:pPr>
        <w:pStyle w:val="ListBullet"/>
        <w:spacing w:after="30"/>
      </w:pPr>
      <w:r>
        <w:t>Channel integration owners maintain provider contract tests and a troubleshooting runbook.</w:t>
      </w:r>
    </w:p>
    <w:p>
      <w:pPr>
        <w:pStyle w:val="ListBullet"/>
        <w:spacing w:after="30"/>
      </w:pPr>
      <w:r>
        <w:t>AI owner owns evaluation quality and versioning—not only prompt construction.</w:t>
      </w:r>
    </w:p>
    <w:p>
      <w:pPr>
        <w:pStyle w:val="ListBullet"/>
        <w:spacing w:after="30"/>
      </w:pPr>
      <w:r>
        <w:t>Engineering lead resolves cross-module API and schema disputes quickly and records decisions.</w:t>
      </w:r>
    </w:p>
    <w:p>
      <w:pPr>
        <w:pStyle w:val="Heading1"/>
      </w:pPr>
      <w:r>
        <w:t>5. Work breakdown structure</w:t>
      </w:r>
    </w:p>
    <w:p>
      <w:pPr>
        <w:pStyle w:val="Heading2"/>
      </w:pPr>
      <w:r>
        <w:t>5.1 Platform foundation</w:t>
      </w:r>
    </w:p>
    <w:p>
      <w:pPr>
        <w:pStyle w:val="ListBullet"/>
        <w:spacing w:after="30"/>
      </w:pPr>
      <w:r>
        <w:t>Create repositories, branching strategy, code review rules, lint/type checks, secret scanning, dependency scanning, and CI pipelines.</w:t>
      </w:r>
    </w:p>
    <w:p>
      <w:pPr>
        <w:pStyle w:val="ListBullet"/>
        <w:spacing w:after="30"/>
      </w:pPr>
      <w:r>
        <w:t>Provision development, staging, and production environments using infrastructure as code.</w:t>
      </w:r>
    </w:p>
    <w:p>
      <w:pPr>
        <w:pStyle w:val="ListBullet"/>
        <w:spacing w:after="30"/>
      </w:pPr>
      <w:r>
        <w:t>Implement users, tenants, memberships, role permissions, tenant resolution, session management and audit events.</w:t>
      </w:r>
    </w:p>
    <w:p>
      <w:pPr>
        <w:pStyle w:val="ListBullet"/>
        <w:spacing w:after="30"/>
      </w:pPr>
      <w:r>
        <w:t>Create migrations for customers, cases, conversations, messages, queues, channel connections and configuration versions.</w:t>
      </w:r>
    </w:p>
    <w:p>
      <w:pPr>
        <w:pStyle w:val="ListBullet"/>
        <w:spacing w:after="30"/>
      </w:pPr>
      <w:r>
        <w:t>Implement API error envelope, validation, pagination, rate limiting, correlation IDs and idempotency support.</w:t>
      </w:r>
    </w:p>
    <w:p>
      <w:pPr>
        <w:pStyle w:val="ListBullet"/>
        <w:spacing w:after="30"/>
      </w:pPr>
      <w:r>
        <w:t>Set up managed database, durable queue, private object storage, secrets management, logs, metrics and traces.</w:t>
      </w:r>
    </w:p>
    <w:p>
      <w:pPr>
        <w:pStyle w:val="ListBullet"/>
        <w:spacing w:after="30"/>
      </w:pPr>
      <w:r>
        <w:t>Document deployment, rollback, backup, restore, incident severity and environment access.</w:t>
      </w:r>
    </w:p>
    <w:p>
      <w:pPr>
        <w:pStyle w:val="Heading2"/>
      </w:pPr>
      <w:r>
        <w:t>5.2 Chat and unified case workflow</w:t>
      </w:r>
    </w:p>
    <w:p>
      <w:pPr>
        <w:pStyle w:val="ListBullet"/>
        <w:spacing w:after="30"/>
      </w:pPr>
      <w:r>
        <w:t>Build secure widget session and origin allowlist; add abuse/rate limits and session expiry.</w:t>
      </w:r>
    </w:p>
    <w:p>
      <w:pPr>
        <w:pStyle w:val="ListBullet"/>
        <w:spacing w:after="30"/>
      </w:pPr>
      <w:r>
        <w:t>Normalize inbound messages into canonical message events and persist before processing.</w:t>
      </w:r>
    </w:p>
    <w:p>
      <w:pPr>
        <w:pStyle w:val="ListBullet"/>
        <w:spacing w:after="30"/>
      </w:pPr>
      <w:r>
        <w:t>Implement agent inbox filters, case assignment, reply composer, internal notes, status changes and audit trail.</w:t>
      </w:r>
    </w:p>
    <w:p>
      <w:pPr>
        <w:pStyle w:val="ListBullet"/>
        <w:spacing w:after="30"/>
      </w:pPr>
      <w:r>
        <w:t>Build knowledge source registration, parsing, chunking, embedding, publication state and retrieval tests.</w:t>
      </w:r>
    </w:p>
    <w:p>
      <w:pPr>
        <w:pStyle w:val="ListBullet"/>
        <w:spacing w:after="30"/>
      </w:pPr>
      <w:r>
        <w:t>Implement policy → retrieve → generate → validate → answer/clarify/handoff pipeline.</w:t>
      </w:r>
    </w:p>
    <w:p>
      <w:pPr>
        <w:pStyle w:val="ListBullet"/>
        <w:spacing w:after="30"/>
      </w:pPr>
      <w:r>
        <w:t>Create handoff state machine with reason, summary, destination queue, waiting state, agent acceptance and timeout behavior.</w:t>
      </w:r>
    </w:p>
    <w:p>
      <w:pPr>
        <w:pStyle w:val="ListBullet"/>
        <w:spacing w:after="30"/>
      </w:pPr>
      <w:r>
        <w:t>Add channel failure banners, retry behavior, message delivery status and customer-facing fallback copy.</w:t>
      </w:r>
    </w:p>
    <w:p>
      <w:pPr>
        <w:pStyle w:val="Heading2"/>
      </w:pPr>
      <w:r>
        <w:t>5.3 Email workflow</w:t>
      </w:r>
    </w:p>
    <w:p>
      <w:pPr>
        <w:pStyle w:val="ListBullet"/>
        <w:spacing w:after="30"/>
      </w:pPr>
      <w:r>
        <w:t>Select one supported provider/inbound path; validate authentication and webhook signature.</w:t>
      </w:r>
    </w:p>
    <w:p>
      <w:pPr>
        <w:pStyle w:val="ListBullet"/>
        <w:spacing w:after="30"/>
      </w:pPr>
      <w:r>
        <w:t>Parse message headers, body, attachments, thread identifiers, auto-replies and bounce events.</w:t>
      </w:r>
    </w:p>
    <w:p>
      <w:pPr>
        <w:pStyle w:val="ListBullet"/>
        <w:spacing w:after="30"/>
      </w:pPr>
      <w:r>
        <w:t>Deduplicate provider events; use conservative threading and do not merge cases by subject alone.</w:t>
      </w:r>
    </w:p>
    <w:p>
      <w:pPr>
        <w:pStyle w:val="ListBullet"/>
        <w:spacing w:after="30"/>
      </w:pPr>
      <w:r>
        <w:t>Implement outbound send, reply-to identity, threading headers, status tracking, retry policy and dead-letter operations.</w:t>
      </w:r>
    </w:p>
    <w:p>
      <w:pPr>
        <w:pStyle w:val="ListBullet"/>
        <w:spacing w:after="30"/>
      </w:pPr>
      <w:r>
        <w:t>Add attachment size/type limits, private storage, scanning where practical, and retention/deletion behavior.</w:t>
      </w:r>
    </w:p>
    <w:p>
      <w:pPr>
        <w:pStyle w:val="ListBullet"/>
        <w:spacing w:after="30"/>
      </w:pPr>
      <w:r>
        <w:t>Test send failure, bounced message, delayed webhook, duplicate webhook, out-of-order events and mailbox disconnection.</w:t>
      </w:r>
    </w:p>
    <w:p>
      <w:pPr>
        <w:pStyle w:val="Heading2"/>
      </w:pPr>
      <w:r>
        <w:t>5.4 Voice workflow</w:t>
      </w:r>
    </w:p>
    <w:p>
      <w:pPr>
        <w:pStyle w:val="ListBullet"/>
        <w:spacing w:after="30"/>
      </w:pPr>
      <w:r>
        <w:t>Validate provider number provisioning, inbound call webhooks, audio streaming, transcription, transfer and call completion events.</w:t>
      </w:r>
    </w:p>
    <w:p>
      <w:pPr>
        <w:pStyle w:val="ListBullet"/>
        <w:spacing w:after="30"/>
      </w:pPr>
      <w:r>
        <w:t>Implement call/session state transitions and link calls to the canonical case model.</w:t>
      </w:r>
    </w:p>
    <w:p>
      <w:pPr>
        <w:pStyle w:val="ListBullet"/>
        <w:spacing w:after="30"/>
      </w:pPr>
      <w:r>
        <w:t>Configure greeting, AI disclosure, language, consent, recording/transcription policy and business hours.</w:t>
      </w:r>
    </w:p>
    <w:p>
      <w:pPr>
        <w:pStyle w:val="ListBullet"/>
        <w:spacing w:after="30"/>
      </w:pPr>
      <w:r>
        <w:t>Implement turn-taking, interruption/barge-in behavior if supported, timeouts, latency telemetry and safe no-answer behavior.</w:t>
      </w:r>
    </w:p>
    <w:p>
      <w:pPr>
        <w:pStyle w:val="ListBullet"/>
        <w:spacing w:after="30"/>
      </w:pPr>
      <w:r>
        <w:t>Implement human transfer with queue/summary context; test transfer rejection, queue timeout and provider disconnect.</w:t>
      </w:r>
    </w:p>
    <w:p>
      <w:pPr>
        <w:pStyle w:val="ListBullet"/>
        <w:spacing w:after="30"/>
      </w:pPr>
      <w:r>
        <w:t>Restrict access to recordings/transcripts separately; implement retention and deletion rules.</w:t>
      </w:r>
    </w:p>
    <w:p>
      <w:pPr>
        <w:pStyle w:val="Heading2"/>
      </w:pPr>
      <w:r>
        <w:t>5.5 Tenant setup, administration and analytics</w:t>
      </w:r>
    </w:p>
    <w:p>
      <w:pPr>
        <w:pStyle w:val="ListBullet"/>
        <w:spacing w:after="30"/>
      </w:pPr>
      <w:r>
        <w:t>Build setup wizard with required/optional steps and provider test checks.</w:t>
      </w:r>
    </w:p>
    <w:p>
      <w:pPr>
        <w:pStyle w:val="ListBullet"/>
        <w:spacing w:after="30"/>
      </w:pPr>
      <w:r>
        <w:t>Add tenant-configured AI autonomy modes, allowed topics/actions, escalation triggers, language and channel-specific rules.</w:t>
      </w:r>
    </w:p>
    <w:p>
      <w:pPr>
        <w:pStyle w:val="ListBullet"/>
        <w:spacing w:after="30"/>
      </w:pPr>
      <w:r>
        <w:t>Implement config draft → test → publish → rollback with version IDs and audit events.</w:t>
      </w:r>
    </w:p>
    <w:p>
      <w:pPr>
        <w:pStyle w:val="ListBullet"/>
        <w:spacing w:after="30"/>
      </w:pPr>
      <w:r>
        <w:t>Track channel health, case outcomes, handoff acceptance, SLA, model latency, cost and evaluation outcomes.</w:t>
      </w:r>
    </w:p>
    <w:p>
      <w:pPr>
        <w:pStyle w:val="ListBullet"/>
        <w:spacing w:after="30"/>
      </w:pPr>
      <w:r>
        <w:t>Implement tenant quotas, rate limits, alerts, usage reporting and safe emergency pause controls.</w:t>
      </w:r>
    </w:p>
    <w:p>
      <w:pPr>
        <w:pStyle w:val="Heading1"/>
      </w:pPr>
      <w:r>
        <w:t>6. Backlog structure and example user stories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4233B"/>
          </w:tcPr>
          <w:p>
            <w:pPr>
              <w:spacing w:after="0"/>
            </w:pPr>
            <w:r/>
            <w:r>
              <w:rPr>
                <w:rFonts w:ascii="Aptos" w:hAnsi="Aptos"/>
                <w:b/>
                <w:color w:val="FFFFFF"/>
                <w:sz w:val="16"/>
              </w:rPr>
              <w:t>Epic</w:t>
            </w:r>
          </w:p>
        </w:tc>
        <w:tc>
          <w:tcPr>
            <w:tcW w:type="dxa" w:w="3960"/>
            <w:vAlign w:val="center"/>
            <w:shd w:fill="14233B"/>
          </w:tcPr>
          <w:p>
            <w:pPr>
              <w:spacing w:after="0"/>
            </w:pPr>
            <w:r/>
            <w:r>
              <w:rPr>
                <w:rFonts w:ascii="Aptos" w:hAnsi="Aptos"/>
                <w:b/>
                <w:color w:val="FFFFFF"/>
                <w:sz w:val="16"/>
              </w:rPr>
              <w:t>Example story</w:t>
            </w:r>
          </w:p>
        </w:tc>
        <w:tc>
          <w:tcPr>
            <w:tcW w:type="dxa" w:w="4824"/>
            <w:vAlign w:val="center"/>
            <w:shd w:fill="14233B"/>
          </w:tcPr>
          <w:p>
            <w:pPr>
              <w:spacing w:after="0"/>
            </w:pPr>
            <w:r/>
            <w:r>
              <w:rPr>
                <w:rFonts w:ascii="Aptos" w:hAnsi="Aptos"/>
                <w:b/>
                <w:color w:val="FFFFFF"/>
                <w:sz w:val="16"/>
              </w:rPr>
              <w:t>Acceptance criteria</w:t>
            </w:r>
          </w:p>
        </w:tc>
      </w:tr>
      <w:tr>
        <w:tc>
          <w:tcPr>
            <w:tcW w:type="dxa" w:w="1800"/>
            <w:vAlign w:val="center"/>
          </w:tcPr>
          <w:p>
            <w:pPr>
              <w:spacing w:after="0"/>
            </w:pPr>
            <w:r/>
            <w:r>
              <w:rPr>
                <w:rFonts w:ascii="Aptos" w:hAnsi="Aptos"/>
                <w:b w:val="0"/>
                <w:color w:val="202B3C"/>
                <w:sz w:val="15"/>
              </w:rPr>
              <w:t>Tenant security</w:t>
            </w:r>
          </w:p>
        </w:tc>
        <w:tc>
          <w:tcPr>
            <w:tcW w:type="dxa" w:w="3960"/>
            <w:vAlign w:val="center"/>
          </w:tcPr>
          <w:p>
            <w:pPr>
              <w:spacing w:after="0"/>
            </w:pPr>
            <w:r/>
            <w:r>
              <w:rPr>
                <w:rFonts w:ascii="Aptos" w:hAnsi="Aptos"/>
                <w:b w:val="0"/>
                <w:color w:val="202B3C"/>
                <w:sz w:val="15"/>
              </w:rPr>
              <w:t>As an admin, I can invite a user with a defined role.</w:t>
            </w:r>
          </w:p>
        </w:tc>
        <w:tc>
          <w:tcPr>
            <w:tcW w:type="dxa" w:w="4824"/>
            <w:vAlign w:val="center"/>
          </w:tcPr>
          <w:p>
            <w:pPr>
              <w:spacing w:after="0"/>
            </w:pPr>
            <w:r/>
            <w:r>
              <w:rPr>
                <w:rFonts w:ascii="Aptos" w:hAnsi="Aptos"/>
                <w:b w:val="0"/>
                <w:color w:val="202B3C"/>
                <w:sz w:val="15"/>
              </w:rPr>
              <w:t>Invitation expires safely; role is enforced server-side; action is audited.</w:t>
            </w:r>
          </w:p>
        </w:tc>
      </w:tr>
      <w:tr>
        <w:tc>
          <w:tcPr>
            <w:tcW w:type="dxa" w:w="1800"/>
            <w:vAlign w:val="center"/>
            <w:shd w:fill="F7F9FC"/>
          </w:tcPr>
          <w:p>
            <w:pPr>
              <w:spacing w:after="0"/>
            </w:pPr>
            <w:r/>
            <w:r>
              <w:rPr>
                <w:rFonts w:ascii="Aptos" w:hAnsi="Aptos"/>
                <w:b w:val="0"/>
                <w:color w:val="202B3C"/>
                <w:sz w:val="15"/>
              </w:rPr>
              <w:t>Unified inbox</w:t>
            </w:r>
          </w:p>
        </w:tc>
        <w:tc>
          <w:tcPr>
            <w:tcW w:type="dxa" w:w="3960"/>
            <w:vAlign w:val="center"/>
            <w:shd w:fill="F7F9FC"/>
          </w:tcPr>
          <w:p>
            <w:pPr>
              <w:spacing w:after="0"/>
            </w:pPr>
            <w:r/>
            <w:r>
              <w:rPr>
                <w:rFonts w:ascii="Aptos" w:hAnsi="Aptos"/>
                <w:b w:val="0"/>
                <w:color w:val="202B3C"/>
                <w:sz w:val="15"/>
              </w:rPr>
              <w:t>As an agent, I can see assigned and unassigned cases across channels.</w:t>
            </w:r>
          </w:p>
        </w:tc>
        <w:tc>
          <w:tcPr>
            <w:tcW w:type="dxa" w:w="4824"/>
            <w:vAlign w:val="center"/>
            <w:shd w:fill="F7F9FC"/>
          </w:tcPr>
          <w:p>
            <w:pPr>
              <w:spacing w:after="0"/>
            </w:pPr>
            <w:r/>
            <w:r>
              <w:rPr>
                <w:rFonts w:ascii="Aptos" w:hAnsi="Aptos"/>
                <w:b w:val="0"/>
                <w:color w:val="202B3C"/>
                <w:sz w:val="15"/>
              </w:rPr>
              <w:t>Filters work; channel is clear; permissions and tenant scope are enforced.</w:t>
            </w:r>
          </w:p>
        </w:tc>
      </w:tr>
      <w:tr>
        <w:tc>
          <w:tcPr>
            <w:tcW w:type="dxa" w:w="1800"/>
            <w:vAlign w:val="center"/>
          </w:tcPr>
          <w:p>
            <w:pPr>
              <w:spacing w:after="0"/>
            </w:pPr>
            <w:r/>
            <w:r>
              <w:rPr>
                <w:rFonts w:ascii="Aptos" w:hAnsi="Aptos"/>
                <w:b w:val="0"/>
                <w:color w:val="202B3C"/>
                <w:sz w:val="15"/>
              </w:rPr>
              <w:t>Grounded AI</w:t>
            </w:r>
          </w:p>
        </w:tc>
        <w:tc>
          <w:tcPr>
            <w:tcW w:type="dxa" w:w="3960"/>
            <w:vAlign w:val="center"/>
          </w:tcPr>
          <w:p>
            <w:pPr>
              <w:spacing w:after="0"/>
            </w:pPr>
            <w:r/>
            <w:r>
              <w:rPr>
                <w:rFonts w:ascii="Aptos" w:hAnsi="Aptos"/>
                <w:b w:val="0"/>
                <w:color w:val="202B3C"/>
                <w:sz w:val="15"/>
              </w:rPr>
              <w:t>As a customer, I receive answers based on approved support content.</w:t>
            </w:r>
          </w:p>
        </w:tc>
        <w:tc>
          <w:tcPr>
            <w:tcW w:type="dxa" w:w="4824"/>
            <w:vAlign w:val="center"/>
          </w:tcPr>
          <w:p>
            <w:pPr>
              <w:spacing w:after="0"/>
            </w:pPr>
            <w:r/>
            <w:r>
              <w:rPr>
                <w:rFonts w:ascii="Aptos" w:hAnsi="Aptos"/>
                <w:b w:val="0"/>
                <w:color w:val="202B3C"/>
                <w:sz w:val="15"/>
              </w:rPr>
              <w:t>Answer stores source/version references; absent or conflicting sources trigger fallback.</w:t>
            </w:r>
          </w:p>
        </w:tc>
      </w:tr>
      <w:tr>
        <w:tc>
          <w:tcPr>
            <w:tcW w:type="dxa" w:w="1800"/>
            <w:vAlign w:val="center"/>
            <w:shd w:fill="F7F9FC"/>
          </w:tcPr>
          <w:p>
            <w:pPr>
              <w:spacing w:after="0"/>
            </w:pPr>
            <w:r/>
            <w:r>
              <w:rPr>
                <w:rFonts w:ascii="Aptos" w:hAnsi="Aptos"/>
                <w:b w:val="0"/>
                <w:color w:val="202B3C"/>
                <w:sz w:val="15"/>
              </w:rPr>
              <w:t>Human handoff</w:t>
            </w:r>
          </w:p>
        </w:tc>
        <w:tc>
          <w:tcPr>
            <w:tcW w:type="dxa" w:w="3960"/>
            <w:vAlign w:val="center"/>
            <w:shd w:fill="F7F9FC"/>
          </w:tcPr>
          <w:p>
            <w:pPr>
              <w:spacing w:after="0"/>
            </w:pPr>
            <w:r/>
            <w:r>
              <w:rPr>
                <w:rFonts w:ascii="Aptos" w:hAnsi="Aptos"/>
                <w:b w:val="0"/>
                <w:color w:val="202B3C"/>
                <w:sz w:val="15"/>
              </w:rPr>
              <w:t>As a customer, I can request a human without repeating my issue.</w:t>
            </w:r>
          </w:p>
        </w:tc>
        <w:tc>
          <w:tcPr>
            <w:tcW w:type="dxa" w:w="4824"/>
            <w:vAlign w:val="center"/>
            <w:shd w:fill="F7F9FC"/>
          </w:tcPr>
          <w:p>
            <w:pPr>
              <w:spacing w:after="0"/>
            </w:pPr>
            <w:r/>
            <w:r>
              <w:rPr>
                <w:rFonts w:ascii="Aptos" w:hAnsi="Aptos"/>
                <w:b w:val="0"/>
                <w:color w:val="202B3C"/>
                <w:sz w:val="15"/>
              </w:rPr>
              <w:t>Transcript/thread and summary are preserved; queue and handoff state are visible.</w:t>
            </w:r>
          </w:p>
        </w:tc>
      </w:tr>
      <w:tr>
        <w:tc>
          <w:tcPr>
            <w:tcW w:type="dxa" w:w="1800"/>
            <w:vAlign w:val="center"/>
          </w:tcPr>
          <w:p>
            <w:pPr>
              <w:spacing w:after="0"/>
            </w:pPr>
            <w:r/>
            <w:r>
              <w:rPr>
                <w:rFonts w:ascii="Aptos" w:hAnsi="Aptos"/>
                <w:b w:val="0"/>
                <w:color w:val="202B3C"/>
                <w:sz w:val="15"/>
              </w:rPr>
              <w:t>Email</w:t>
            </w:r>
          </w:p>
        </w:tc>
        <w:tc>
          <w:tcPr>
            <w:tcW w:type="dxa" w:w="3960"/>
            <w:vAlign w:val="center"/>
          </w:tcPr>
          <w:p>
            <w:pPr>
              <w:spacing w:after="0"/>
            </w:pPr>
            <w:r/>
            <w:r>
              <w:rPr>
                <w:rFonts w:ascii="Aptos" w:hAnsi="Aptos"/>
                <w:b w:val="0"/>
                <w:color w:val="202B3C"/>
                <w:sz w:val="15"/>
              </w:rPr>
              <w:t>As an agent, I can reply in an existing email thread.</w:t>
            </w:r>
          </w:p>
        </w:tc>
        <w:tc>
          <w:tcPr>
            <w:tcW w:type="dxa" w:w="4824"/>
            <w:vAlign w:val="center"/>
          </w:tcPr>
          <w:p>
            <w:pPr>
              <w:spacing w:after="0"/>
            </w:pPr>
            <w:r/>
            <w:r>
              <w:rPr>
                <w:rFonts w:ascii="Aptos" w:hAnsi="Aptos"/>
                <w:b w:val="0"/>
                <w:color w:val="202B3C"/>
                <w:sz w:val="15"/>
              </w:rPr>
              <w:t>Threading is preserved; send status is tracked; duplicate webhooks do not duplicate replies.</w:t>
            </w:r>
          </w:p>
        </w:tc>
      </w:tr>
      <w:tr>
        <w:tc>
          <w:tcPr>
            <w:tcW w:type="dxa" w:w="1800"/>
            <w:vAlign w:val="center"/>
            <w:shd w:fill="F7F9FC"/>
          </w:tcPr>
          <w:p>
            <w:pPr>
              <w:spacing w:after="0"/>
            </w:pPr>
            <w:r/>
            <w:r>
              <w:rPr>
                <w:rFonts w:ascii="Aptos" w:hAnsi="Aptos"/>
                <w:b w:val="0"/>
                <w:color w:val="202B3C"/>
                <w:sz w:val="15"/>
              </w:rPr>
              <w:t>Voice</w:t>
            </w:r>
          </w:p>
        </w:tc>
        <w:tc>
          <w:tcPr>
            <w:tcW w:type="dxa" w:w="3960"/>
            <w:vAlign w:val="center"/>
            <w:shd w:fill="F7F9FC"/>
          </w:tcPr>
          <w:p>
            <w:pPr>
              <w:spacing w:after="0"/>
            </w:pPr>
            <w:r/>
            <w:r>
              <w:rPr>
                <w:rFonts w:ascii="Aptos" w:hAnsi="Aptos"/>
                <w:b w:val="0"/>
                <w:color w:val="202B3C"/>
                <w:sz w:val="15"/>
              </w:rPr>
              <w:t>As a caller, I can be transferred to a person when requested.</w:t>
            </w:r>
          </w:p>
        </w:tc>
        <w:tc>
          <w:tcPr>
            <w:tcW w:type="dxa" w:w="4824"/>
            <w:vAlign w:val="center"/>
            <w:shd w:fill="F7F9FC"/>
          </w:tcPr>
          <w:p>
            <w:pPr>
              <w:spacing w:after="0"/>
            </w:pPr>
            <w:r/>
            <w:r>
              <w:rPr>
                <w:rFonts w:ascii="Aptos" w:hAnsi="Aptos"/>
                <w:b w:val="0"/>
                <w:color w:val="202B3C"/>
                <w:sz w:val="15"/>
              </w:rPr>
              <w:t>Transfer is attempted; timeout/rejection leads to a clear fallback and a case record.</w:t>
            </w:r>
          </w:p>
        </w:tc>
      </w:tr>
      <w:tr>
        <w:tc>
          <w:tcPr>
            <w:tcW w:type="dxa" w:w="1800"/>
            <w:vAlign w:val="center"/>
          </w:tcPr>
          <w:p>
            <w:pPr>
              <w:spacing w:after="0"/>
            </w:pPr>
            <w:r/>
            <w:r>
              <w:rPr>
                <w:rFonts w:ascii="Aptos" w:hAnsi="Aptos"/>
                <w:b w:val="0"/>
                <w:color w:val="202B3C"/>
                <w:sz w:val="15"/>
              </w:rPr>
              <w:t>AI configuration</w:t>
            </w:r>
          </w:p>
        </w:tc>
        <w:tc>
          <w:tcPr>
            <w:tcW w:type="dxa" w:w="3960"/>
            <w:vAlign w:val="center"/>
          </w:tcPr>
          <w:p>
            <w:pPr>
              <w:spacing w:after="0"/>
            </w:pPr>
            <w:r/>
            <w:r>
              <w:rPr>
                <w:rFonts w:ascii="Aptos" w:hAnsi="Aptos"/>
                <w:b w:val="0"/>
                <w:color w:val="202B3C"/>
                <w:sz w:val="15"/>
              </w:rPr>
              <w:t>As an admin, I can test and publish a new AI policy.</w:t>
            </w:r>
          </w:p>
        </w:tc>
        <w:tc>
          <w:tcPr>
            <w:tcW w:type="dxa" w:w="4824"/>
            <w:vAlign w:val="center"/>
          </w:tcPr>
          <w:p>
            <w:pPr>
              <w:spacing w:after="0"/>
            </w:pPr>
            <w:r/>
            <w:r>
              <w:rPr>
                <w:rFonts w:ascii="Aptos" w:hAnsi="Aptos"/>
                <w:b w:val="0"/>
                <w:color w:val="202B3C"/>
                <w:sz w:val="15"/>
              </w:rPr>
              <w:t>Publishing requires permission and passing checks; version is auditable and reversible.</w:t>
            </w:r>
          </w:p>
        </w:tc>
      </w:tr>
      <w:tr>
        <w:tc>
          <w:tcPr>
            <w:tcW w:type="dxa" w:w="1800"/>
            <w:vAlign w:val="center"/>
            <w:shd w:fill="F7F9FC"/>
          </w:tcPr>
          <w:p>
            <w:pPr>
              <w:spacing w:after="0"/>
            </w:pPr>
            <w:r/>
            <w:r>
              <w:rPr>
                <w:rFonts w:ascii="Aptos" w:hAnsi="Aptos"/>
                <w:b w:val="0"/>
                <w:color w:val="202B3C"/>
                <w:sz w:val="15"/>
              </w:rPr>
              <w:t>Quality analytics</w:t>
            </w:r>
          </w:p>
        </w:tc>
        <w:tc>
          <w:tcPr>
            <w:tcW w:type="dxa" w:w="3960"/>
            <w:vAlign w:val="center"/>
            <w:shd w:fill="F7F9FC"/>
          </w:tcPr>
          <w:p>
            <w:pPr>
              <w:spacing w:after="0"/>
            </w:pPr>
            <w:r/>
            <w:r>
              <w:rPr>
                <w:rFonts w:ascii="Aptos" w:hAnsi="Aptos"/>
                <w:b w:val="0"/>
                <w:color w:val="202B3C"/>
                <w:sz w:val="15"/>
              </w:rPr>
              <w:t>As an operations lead, I can find recurring AI failures.</w:t>
            </w:r>
          </w:p>
        </w:tc>
        <w:tc>
          <w:tcPr>
            <w:tcW w:type="dxa" w:w="4824"/>
            <w:vAlign w:val="center"/>
            <w:shd w:fill="F7F9FC"/>
          </w:tcPr>
          <w:p>
            <w:pPr>
              <w:spacing w:after="0"/>
            </w:pPr>
            <w:r/>
            <w:r>
              <w:rPr>
                <w:rFonts w:ascii="Aptos" w:hAnsi="Aptos"/>
                <w:b w:val="0"/>
                <w:color w:val="202B3C"/>
                <w:sz w:val="15"/>
              </w:rPr>
              <w:t>Review data has access controls; metric definitions and sample size are visible.</w:t>
            </w:r>
          </w:p>
        </w:tc>
      </w:tr>
    </w:tbl>
    <w:p/>
    <w:p>
      <w:pPr>
        <w:pStyle w:val="Heading1"/>
      </w:pPr>
      <w:r>
        <w:t>7. Definition of Ready and Definition of Done</w:t>
      </w:r>
    </w:p>
    <w:p>
      <w:pPr>
        <w:pStyle w:val="Heading2"/>
      </w:pPr>
      <w:r>
        <w:t>Definition of Ready</w:t>
      </w:r>
    </w:p>
    <w:p>
      <w:pPr>
        <w:pStyle w:val="ListBullet"/>
        <w:spacing w:after="30"/>
      </w:pPr>
      <w:r>
        <w:t>☐ User/problem and intended outcome are clear.</w:t>
      </w:r>
    </w:p>
    <w:p>
      <w:pPr>
        <w:pStyle w:val="ListBullet"/>
        <w:spacing w:after="30"/>
      </w:pPr>
      <w:r>
        <w:t>☐ Acceptance criteria include success, error, permission-denied and relevant edge cases.</w:t>
      </w:r>
    </w:p>
    <w:p>
      <w:pPr>
        <w:pStyle w:val="ListBullet"/>
        <w:spacing w:after="30"/>
      </w:pPr>
      <w:r>
        <w:t>☐ API/data contracts and dependencies are known or explicitly tracked.</w:t>
      </w:r>
    </w:p>
    <w:p>
      <w:pPr>
        <w:pStyle w:val="ListBullet"/>
        <w:spacing w:after="30"/>
      </w:pPr>
      <w:r>
        <w:t>☐ Design and copy are available for user-facing behavior.</w:t>
      </w:r>
    </w:p>
    <w:p>
      <w:pPr>
        <w:pStyle w:val="ListBullet"/>
        <w:spacing w:after="30"/>
      </w:pPr>
      <w:r>
        <w:t>☐ Security, privacy, retention, analytics and accessibility implications have been considered.</w:t>
      </w:r>
    </w:p>
    <w:p>
      <w:pPr>
        <w:pStyle w:val="ListBullet"/>
        <w:spacing w:after="30"/>
      </w:pPr>
      <w:r>
        <w:t>☐ The task is small enough to review and complete within a sprint or is split.</w:t>
      </w:r>
    </w:p>
    <w:p>
      <w:pPr>
        <w:pStyle w:val="Heading2"/>
      </w:pPr>
      <w:r>
        <w:t>Definition of Done</w:t>
      </w:r>
    </w:p>
    <w:p>
      <w:pPr>
        <w:pStyle w:val="ListBullet"/>
        <w:spacing w:after="30"/>
      </w:pPr>
      <w:r>
        <w:t>☐ Code is reviewed, merged, and passes CI, lint, type, unit and relevant integration tests.</w:t>
      </w:r>
    </w:p>
    <w:p>
      <w:pPr>
        <w:pStyle w:val="ListBullet"/>
        <w:spacing w:after="30"/>
      </w:pPr>
      <w:r>
        <w:t>☐ Authorization and tenant-isolation behavior is tested, including negative cases.</w:t>
      </w:r>
    </w:p>
    <w:p>
      <w:pPr>
        <w:pStyle w:val="ListBullet"/>
        <w:spacing w:after="30"/>
      </w:pPr>
      <w:r>
        <w:t>☐ Loading, empty, success, error, retry and provider-degraded states are handled where relevant.</w:t>
      </w:r>
    </w:p>
    <w:p>
      <w:pPr>
        <w:pStyle w:val="ListBullet"/>
        <w:spacing w:after="30"/>
      </w:pPr>
      <w:r>
        <w:t>☐ Telemetry, correlation IDs and actionable alerts are included without leaking sensitive content.</w:t>
      </w:r>
    </w:p>
    <w:p>
      <w:pPr>
        <w:pStyle w:val="ListBullet"/>
        <w:spacing w:after="30"/>
      </w:pPr>
      <w:r>
        <w:t>☐ API contracts, migration notes, configuration and operational documentation are updated.</w:t>
      </w:r>
    </w:p>
    <w:p>
      <w:pPr>
        <w:pStyle w:val="ListBullet"/>
        <w:spacing w:after="30"/>
      </w:pPr>
      <w:r>
        <w:t>☐ QA verifies acceptance criteria in a representative environment.</w:t>
      </w:r>
    </w:p>
    <w:p>
      <w:pPr>
        <w:pStyle w:val="ListBullet"/>
        <w:spacing w:after="30"/>
      </w:pPr>
      <w:r>
        <w:t>☐ Feature flag, rollback/disable path, and support runbook are ready for customer-facing features.</w:t>
      </w:r>
    </w:p>
    <w:p>
      <w:pPr>
        <w:pStyle w:val="Heading1"/>
      </w:pPr>
      <w:r>
        <w:t>8. Testing and release gates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4233B"/>
          </w:tcPr>
          <w:p>
            <w:pPr>
              <w:spacing w:after="0"/>
            </w:pPr>
            <w:r/>
            <w:r>
              <w:rPr>
                <w:rFonts w:ascii="Aptos" w:hAnsi="Aptos"/>
                <w:b/>
                <w:color w:val="FFFFFF"/>
                <w:sz w:val="16"/>
              </w:rPr>
              <w:t>Gate</w:t>
            </w:r>
          </w:p>
        </w:tc>
        <w:tc>
          <w:tcPr>
            <w:tcW w:type="dxa" w:w="4464"/>
            <w:vAlign w:val="center"/>
            <w:shd w:fill="14233B"/>
          </w:tcPr>
          <w:p>
            <w:pPr>
              <w:spacing w:after="0"/>
            </w:pPr>
            <w:r/>
            <w:r>
              <w:rPr>
                <w:rFonts w:ascii="Aptos" w:hAnsi="Aptos"/>
                <w:b/>
                <w:color w:val="FFFFFF"/>
                <w:sz w:val="16"/>
              </w:rPr>
              <w:t>Required evidence</w:t>
            </w:r>
          </w:p>
        </w:tc>
        <w:tc>
          <w:tcPr>
            <w:tcW w:type="dxa" w:w="4176"/>
            <w:vAlign w:val="center"/>
            <w:shd w:fill="14233B"/>
          </w:tcPr>
          <w:p>
            <w:pPr>
              <w:spacing w:after="0"/>
            </w:pPr>
            <w:r/>
            <w:r>
              <w:rPr>
                <w:rFonts w:ascii="Aptos" w:hAnsi="Aptos"/>
                <w:b/>
                <w:color w:val="FFFFFF"/>
                <w:sz w:val="16"/>
              </w:rPr>
              <w:t>Release blocker examples</w:t>
            </w:r>
          </w:p>
        </w:tc>
      </w:tr>
      <w:tr>
        <w:tc>
          <w:tcPr>
            <w:tcW w:type="dxa" w:w="1944"/>
            <w:vAlign w:val="center"/>
          </w:tcPr>
          <w:p>
            <w:pPr>
              <w:spacing w:after="0"/>
            </w:pPr>
            <w:r/>
            <w:r>
              <w:rPr>
                <w:rFonts w:ascii="Aptos" w:hAnsi="Aptos"/>
                <w:b w:val="0"/>
                <w:color w:val="202B3C"/>
                <w:sz w:val="15"/>
              </w:rPr>
              <w:t>Gate A — PR/CI</w:t>
            </w:r>
          </w:p>
        </w:tc>
        <w:tc>
          <w:tcPr>
            <w:tcW w:type="dxa" w:w="4464"/>
            <w:vAlign w:val="center"/>
          </w:tcPr>
          <w:p>
            <w:pPr>
              <w:spacing w:after="0"/>
            </w:pPr>
            <w:r/>
            <w:r>
              <w:rPr>
                <w:rFonts w:ascii="Aptos" w:hAnsi="Aptos"/>
                <w:b w:val="0"/>
                <w:color w:val="202B3C"/>
                <w:sz w:val="15"/>
              </w:rPr>
              <w:t>Unit tests, lint, type checks, secret/dependency scans, migration validation</w:t>
            </w:r>
          </w:p>
        </w:tc>
        <w:tc>
          <w:tcPr>
            <w:tcW w:type="dxa" w:w="4176"/>
            <w:vAlign w:val="center"/>
          </w:tcPr>
          <w:p>
            <w:pPr>
              <w:spacing w:after="0"/>
            </w:pPr>
            <w:r/>
            <w:r>
              <w:rPr>
                <w:rFonts w:ascii="Aptos" w:hAnsi="Aptos"/>
                <w:b w:val="0"/>
                <w:color w:val="202B3C"/>
                <w:sz w:val="15"/>
              </w:rPr>
              <w:t>Broken build, exposed secret, unreviewed schema change.</w:t>
            </w:r>
          </w:p>
        </w:tc>
      </w:tr>
      <w:tr>
        <w:tc>
          <w:tcPr>
            <w:tcW w:type="dxa" w:w="1944"/>
            <w:vAlign w:val="center"/>
            <w:shd w:fill="F7F9FC"/>
          </w:tcPr>
          <w:p>
            <w:pPr>
              <w:spacing w:after="0"/>
            </w:pPr>
            <w:r/>
            <w:r>
              <w:rPr>
                <w:rFonts w:ascii="Aptos" w:hAnsi="Aptos"/>
                <w:b w:val="0"/>
                <w:color w:val="202B3C"/>
                <w:sz w:val="15"/>
              </w:rPr>
              <w:t>Gate B — Integration</w:t>
            </w:r>
          </w:p>
        </w:tc>
        <w:tc>
          <w:tcPr>
            <w:tcW w:type="dxa" w:w="4464"/>
            <w:vAlign w:val="center"/>
            <w:shd w:fill="F7F9FC"/>
          </w:tcPr>
          <w:p>
            <w:pPr>
              <w:spacing w:after="0"/>
            </w:pPr>
            <w:r/>
            <w:r>
              <w:rPr>
                <w:rFonts w:ascii="Aptos" w:hAnsi="Aptos"/>
                <w:b w:val="0"/>
                <w:color w:val="202B3C"/>
                <w:sz w:val="15"/>
              </w:rPr>
              <w:t>DB/queue/outbox, provider adapters, signatures, idempotency, permission tests</w:t>
            </w:r>
          </w:p>
        </w:tc>
        <w:tc>
          <w:tcPr>
            <w:tcW w:type="dxa" w:w="4176"/>
            <w:vAlign w:val="center"/>
            <w:shd w:fill="F7F9FC"/>
          </w:tcPr>
          <w:p>
            <w:pPr>
              <w:spacing w:after="0"/>
            </w:pPr>
            <w:r/>
            <w:r>
              <w:rPr>
                <w:rFonts w:ascii="Aptos" w:hAnsi="Aptos"/>
                <w:b w:val="0"/>
                <w:color w:val="202B3C"/>
                <w:sz w:val="15"/>
              </w:rPr>
              <w:t>Cross-tenant access, duplicate customer send, lost job.</w:t>
            </w:r>
          </w:p>
        </w:tc>
      </w:tr>
      <w:tr>
        <w:tc>
          <w:tcPr>
            <w:tcW w:type="dxa" w:w="1944"/>
            <w:vAlign w:val="center"/>
          </w:tcPr>
          <w:p>
            <w:pPr>
              <w:spacing w:after="0"/>
            </w:pPr>
            <w:r/>
            <w:r>
              <w:rPr>
                <w:rFonts w:ascii="Aptos" w:hAnsi="Aptos"/>
                <w:b w:val="0"/>
                <w:color w:val="202B3C"/>
                <w:sz w:val="15"/>
              </w:rPr>
              <w:t>Gate C — E2E</w:t>
            </w:r>
          </w:p>
        </w:tc>
        <w:tc>
          <w:tcPr>
            <w:tcW w:type="dxa" w:w="4464"/>
            <w:vAlign w:val="center"/>
          </w:tcPr>
          <w:p>
            <w:pPr>
              <w:spacing w:after="0"/>
            </w:pPr>
            <w:r/>
            <w:r>
              <w:rPr>
                <w:rFonts w:ascii="Aptos" w:hAnsi="Aptos"/>
                <w:b w:val="0"/>
                <w:color w:val="202B3C"/>
                <w:sz w:val="15"/>
              </w:rPr>
              <w:t>Chat, email, voice happy path and failure path; agent handoff and resolution</w:t>
            </w:r>
          </w:p>
        </w:tc>
        <w:tc>
          <w:tcPr>
            <w:tcW w:type="dxa" w:w="4176"/>
            <w:vAlign w:val="center"/>
          </w:tcPr>
          <w:p>
            <w:pPr>
              <w:spacing w:after="0"/>
            </w:pPr>
            <w:r/>
            <w:r>
              <w:rPr>
                <w:rFonts w:ascii="Aptos" w:hAnsi="Aptos"/>
                <w:b w:val="0"/>
                <w:color w:val="202B3C"/>
                <w:sz w:val="15"/>
              </w:rPr>
              <w:t>Lost context, unsafe answer, failed fallback.</w:t>
            </w:r>
          </w:p>
        </w:tc>
      </w:tr>
      <w:tr>
        <w:tc>
          <w:tcPr>
            <w:tcW w:type="dxa" w:w="1944"/>
            <w:vAlign w:val="center"/>
            <w:shd w:fill="F7F9FC"/>
          </w:tcPr>
          <w:p>
            <w:pPr>
              <w:spacing w:after="0"/>
            </w:pPr>
            <w:r/>
            <w:r>
              <w:rPr>
                <w:rFonts w:ascii="Aptos" w:hAnsi="Aptos"/>
                <w:b w:val="0"/>
                <w:color w:val="202B3C"/>
                <w:sz w:val="15"/>
              </w:rPr>
              <w:t>Gate D — AI quality</w:t>
            </w:r>
          </w:p>
        </w:tc>
        <w:tc>
          <w:tcPr>
            <w:tcW w:type="dxa" w:w="4464"/>
            <w:vAlign w:val="center"/>
            <w:shd w:fill="F7F9FC"/>
          </w:tcPr>
          <w:p>
            <w:pPr>
              <w:spacing w:after="0"/>
            </w:pPr>
            <w:r/>
            <w:r>
              <w:rPr>
                <w:rFonts w:ascii="Aptos" w:hAnsi="Aptos"/>
                <w:b w:val="0"/>
                <w:color w:val="202B3C"/>
                <w:sz w:val="15"/>
              </w:rPr>
              <w:t>Representative regression set, groundedness checks, prompt-injection and sensitive-request tests</w:t>
            </w:r>
          </w:p>
        </w:tc>
        <w:tc>
          <w:tcPr>
            <w:tcW w:type="dxa" w:w="4176"/>
            <w:vAlign w:val="center"/>
            <w:shd w:fill="F7F9FC"/>
          </w:tcPr>
          <w:p>
            <w:pPr>
              <w:spacing w:after="0"/>
            </w:pPr>
            <w:r/>
            <w:r>
              <w:rPr>
                <w:rFonts w:ascii="Aptos" w:hAnsi="Aptos"/>
                <w:b w:val="0"/>
                <w:color w:val="202B3C"/>
                <w:sz w:val="15"/>
              </w:rPr>
              <w:t>Mandatory handoff ignored; material unsupported claim; regression beyond agreed threshold.</w:t>
            </w:r>
          </w:p>
        </w:tc>
      </w:tr>
      <w:tr>
        <w:tc>
          <w:tcPr>
            <w:tcW w:type="dxa" w:w="1944"/>
            <w:vAlign w:val="center"/>
          </w:tcPr>
          <w:p>
            <w:pPr>
              <w:spacing w:after="0"/>
            </w:pPr>
            <w:r/>
            <w:r>
              <w:rPr>
                <w:rFonts w:ascii="Aptos" w:hAnsi="Aptos"/>
                <w:b w:val="0"/>
                <w:color w:val="202B3C"/>
                <w:sz w:val="15"/>
              </w:rPr>
              <w:t>Gate E — Pilot readiness</w:t>
            </w:r>
          </w:p>
        </w:tc>
        <w:tc>
          <w:tcPr>
            <w:tcW w:type="dxa" w:w="4464"/>
            <w:vAlign w:val="center"/>
          </w:tcPr>
          <w:p>
            <w:pPr>
              <w:spacing w:after="0"/>
            </w:pPr>
            <w:r/>
            <w:r>
              <w:rPr>
                <w:rFonts w:ascii="Aptos" w:hAnsi="Aptos"/>
                <w:b w:val="0"/>
                <w:color w:val="202B3C"/>
                <w:sz w:val="15"/>
              </w:rPr>
              <w:t>Load/latency results, backup restore, alerts, runbooks, privacy/retention review</w:t>
            </w:r>
          </w:p>
        </w:tc>
        <w:tc>
          <w:tcPr>
            <w:tcW w:type="dxa" w:w="4176"/>
            <w:vAlign w:val="center"/>
          </w:tcPr>
          <w:p>
            <w:pPr>
              <w:spacing w:after="0"/>
            </w:pPr>
            <w:r/>
            <w:r>
              <w:rPr>
                <w:rFonts w:ascii="Aptos" w:hAnsi="Aptos"/>
                <w:b w:val="0"/>
                <w:color w:val="202B3C"/>
                <w:sz w:val="15"/>
              </w:rPr>
              <w:t>No kill switch, untested restore, unknown incident owner.</w:t>
            </w:r>
          </w:p>
        </w:tc>
      </w:tr>
    </w:tbl>
    <w:p/>
    <w:p>
      <w:pPr>
        <w:pStyle w:val="Heading2"/>
      </w:pPr>
      <w:r>
        <w:t>Minimum pre-pilot scenarios</w:t>
      </w:r>
    </w:p>
    <w:p>
      <w:pPr>
        <w:pStyle w:val="ListBullet"/>
        <w:spacing w:after="30"/>
      </w:pPr>
      <w:r>
        <w:t>☐ Known chat question → sourced answer → customer confirms resolution.</w:t>
      </w:r>
    </w:p>
    <w:p>
      <w:pPr>
        <w:pStyle w:val="ListBullet"/>
        <w:spacing w:after="30"/>
      </w:pPr>
      <w:r>
        <w:t>☐ Unknown question → safe clarification/fallback → handoff with summary.</w:t>
      </w:r>
    </w:p>
    <w:p>
      <w:pPr>
        <w:pStyle w:val="ListBullet"/>
        <w:spacing w:after="30"/>
      </w:pPr>
      <w:r>
        <w:t>☐ Explicit human request → no AI obstruction → correct queue.</w:t>
      </w:r>
    </w:p>
    <w:p>
      <w:pPr>
        <w:pStyle w:val="ListBullet"/>
        <w:spacing w:after="30"/>
      </w:pPr>
      <w:r>
        <w:t>☐ Email duplicate webhook → one case/message; provider bounce → visible failure and safe retry policy.</w:t>
      </w:r>
    </w:p>
    <w:p>
      <w:pPr>
        <w:pStyle w:val="ListBullet"/>
        <w:spacing w:after="30"/>
      </w:pPr>
      <w:r>
        <w:t>☐ Voice transfer succeeds; transfer fails → configured callback/voicemail/alternate fallback.</w:t>
      </w:r>
    </w:p>
    <w:p>
      <w:pPr>
        <w:pStyle w:val="ListBullet"/>
        <w:spacing w:after="30"/>
      </w:pPr>
      <w:r>
        <w:t>☐ Model timeout/provider outage → AI automation pauses or routes safely; no false success.</w:t>
      </w:r>
    </w:p>
    <w:p>
      <w:pPr>
        <w:pStyle w:val="ListBullet"/>
        <w:spacing w:after="30"/>
      </w:pPr>
      <w:r>
        <w:t>☐ Tenant A cannot access tenant B cases, sources, attachments, embeddings, reports or recordings.</w:t>
      </w:r>
    </w:p>
    <w:p>
      <w:pPr>
        <w:pStyle w:val="ListBullet"/>
        <w:spacing w:after="30"/>
      </w:pPr>
      <w:r>
        <w:t>☐ Published knowledge update changes answers only after approval; rollback restores prior behavior.</w:t>
      </w:r>
    </w:p>
    <w:p>
      <w:pPr>
        <w:pStyle w:val="ListBullet"/>
        <w:spacing w:after="30"/>
      </w:pPr>
      <w:r>
        <w:t>☐ Customer deletion propagates to operational content, files, indexes and applicable downstream systems.</w:t>
      </w:r>
    </w:p>
    <w:p>
      <w:pPr>
        <w:pStyle w:val="ListBullet"/>
        <w:spacing w:after="30"/>
      </w:pPr>
      <w:r>
        <w:t>☐ Rate-limit/abuse spike does not cause unbounded spend or degrade all tenants.</w:t>
      </w:r>
    </w:p>
    <w:p>
      <w:pPr>
        <w:pStyle w:val="Heading1"/>
      </w:pPr>
      <w:r>
        <w:t>9. AI evaluation and autonomy rollout</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4233B"/>
          </w:tcPr>
          <w:p>
            <w:pPr>
              <w:spacing w:after="0"/>
            </w:pPr>
            <w:r/>
            <w:r>
              <w:rPr>
                <w:rFonts w:ascii="Aptos" w:hAnsi="Aptos"/>
                <w:b/>
                <w:color w:val="FFFFFF"/>
                <w:sz w:val="16"/>
              </w:rPr>
              <w:t>Stage</w:t>
            </w:r>
          </w:p>
        </w:tc>
        <w:tc>
          <w:tcPr>
            <w:tcW w:type="dxa" w:w="4320"/>
            <w:vAlign w:val="center"/>
            <w:shd w:fill="14233B"/>
          </w:tcPr>
          <w:p>
            <w:pPr>
              <w:spacing w:after="0"/>
            </w:pPr>
            <w:r/>
            <w:r>
              <w:rPr>
                <w:rFonts w:ascii="Aptos" w:hAnsi="Aptos"/>
                <w:b/>
                <w:color w:val="FFFFFF"/>
                <w:sz w:val="16"/>
              </w:rPr>
              <w:t>Allowed behavior</w:t>
            </w:r>
          </w:p>
        </w:tc>
        <w:tc>
          <w:tcPr>
            <w:tcW w:type="dxa" w:w="4248"/>
            <w:vAlign w:val="center"/>
            <w:shd w:fill="14233B"/>
          </w:tcPr>
          <w:p>
            <w:pPr>
              <w:spacing w:after="0"/>
            </w:pPr>
            <w:r/>
            <w:r>
              <w:rPr>
                <w:rFonts w:ascii="Aptos" w:hAnsi="Aptos"/>
                <w:b/>
                <w:color w:val="FFFFFF"/>
                <w:sz w:val="16"/>
              </w:rPr>
              <w:t>Promotion criteria</w:t>
            </w:r>
          </w:p>
        </w:tc>
      </w:tr>
      <w:tr>
        <w:tc>
          <w:tcPr>
            <w:tcW w:type="dxa" w:w="2016"/>
            <w:vAlign w:val="center"/>
          </w:tcPr>
          <w:p>
            <w:pPr>
              <w:spacing w:after="0"/>
            </w:pPr>
            <w:r/>
            <w:r>
              <w:rPr>
                <w:rFonts w:ascii="Aptos" w:hAnsi="Aptos"/>
                <w:b w:val="0"/>
                <w:color w:val="202B3C"/>
                <w:sz w:val="15"/>
              </w:rPr>
              <w:t>Internal offline</w:t>
            </w:r>
          </w:p>
        </w:tc>
        <w:tc>
          <w:tcPr>
            <w:tcW w:type="dxa" w:w="4320"/>
            <w:vAlign w:val="center"/>
          </w:tcPr>
          <w:p>
            <w:pPr>
              <w:spacing w:after="0"/>
            </w:pPr>
            <w:r/>
            <w:r>
              <w:rPr>
                <w:rFonts w:ascii="Aptos" w:hAnsi="Aptos"/>
                <w:b w:val="0"/>
                <w:color w:val="202B3C"/>
                <w:sz w:val="15"/>
              </w:rPr>
              <w:t>Replay approved test set; no customer-facing sends.</w:t>
            </w:r>
          </w:p>
        </w:tc>
        <w:tc>
          <w:tcPr>
            <w:tcW w:type="dxa" w:w="4248"/>
            <w:vAlign w:val="center"/>
          </w:tcPr>
          <w:p>
            <w:pPr>
              <w:spacing w:after="0"/>
            </w:pPr>
            <w:r/>
            <w:r>
              <w:rPr>
                <w:rFonts w:ascii="Aptos" w:hAnsi="Aptos"/>
                <w:b w:val="0"/>
                <w:color w:val="202B3C"/>
                <w:sz w:val="15"/>
              </w:rPr>
              <w:t>Evaluation harness, source attribution, safety tests and baseline results exist.</w:t>
            </w:r>
          </w:p>
        </w:tc>
      </w:tr>
      <w:tr>
        <w:tc>
          <w:tcPr>
            <w:tcW w:type="dxa" w:w="2016"/>
            <w:vAlign w:val="center"/>
            <w:shd w:fill="F7F9FC"/>
          </w:tcPr>
          <w:p>
            <w:pPr>
              <w:spacing w:after="0"/>
            </w:pPr>
            <w:r/>
            <w:r>
              <w:rPr>
                <w:rFonts w:ascii="Aptos" w:hAnsi="Aptos"/>
                <w:b w:val="0"/>
                <w:color w:val="202B3C"/>
                <w:sz w:val="15"/>
              </w:rPr>
              <w:t>Shadow mode</w:t>
            </w:r>
          </w:p>
        </w:tc>
        <w:tc>
          <w:tcPr>
            <w:tcW w:type="dxa" w:w="4320"/>
            <w:vAlign w:val="center"/>
            <w:shd w:fill="F7F9FC"/>
          </w:tcPr>
          <w:p>
            <w:pPr>
              <w:spacing w:after="0"/>
            </w:pPr>
            <w:r/>
            <w:r>
              <w:rPr>
                <w:rFonts w:ascii="Aptos" w:hAnsi="Aptos"/>
                <w:b w:val="0"/>
                <w:color w:val="202B3C"/>
                <w:sz w:val="15"/>
              </w:rPr>
              <w:t>AI produces candidate answers while humans remain responsible; compare without auto-send.</w:t>
            </w:r>
          </w:p>
        </w:tc>
        <w:tc>
          <w:tcPr>
            <w:tcW w:type="dxa" w:w="4248"/>
            <w:vAlign w:val="center"/>
            <w:shd w:fill="F7F9FC"/>
          </w:tcPr>
          <w:p>
            <w:pPr>
              <w:spacing w:after="0"/>
            </w:pPr>
            <w:r/>
            <w:r>
              <w:rPr>
                <w:rFonts w:ascii="Aptos" w:hAnsi="Aptos"/>
                <w:b w:val="0"/>
                <w:color w:val="202B3C"/>
                <w:sz w:val="15"/>
              </w:rPr>
              <w:t>Sufficient representative samples; failure categories reviewed; no critical safety failures.</w:t>
            </w:r>
          </w:p>
        </w:tc>
      </w:tr>
      <w:tr>
        <w:tc>
          <w:tcPr>
            <w:tcW w:type="dxa" w:w="2016"/>
            <w:vAlign w:val="center"/>
          </w:tcPr>
          <w:p>
            <w:pPr>
              <w:spacing w:after="0"/>
            </w:pPr>
            <w:r/>
            <w:r>
              <w:rPr>
                <w:rFonts w:ascii="Aptos" w:hAnsi="Aptos"/>
                <w:b w:val="0"/>
                <w:color w:val="202B3C"/>
                <w:sz w:val="15"/>
              </w:rPr>
              <w:t>Agent assist</w:t>
            </w:r>
          </w:p>
        </w:tc>
        <w:tc>
          <w:tcPr>
            <w:tcW w:type="dxa" w:w="4320"/>
            <w:vAlign w:val="center"/>
          </w:tcPr>
          <w:p>
            <w:pPr>
              <w:spacing w:after="0"/>
            </w:pPr>
            <w:r/>
            <w:r>
              <w:rPr>
                <w:rFonts w:ascii="Aptos" w:hAnsi="Aptos"/>
                <w:b w:val="0"/>
                <w:color w:val="202B3C"/>
                <w:sz w:val="15"/>
              </w:rPr>
              <w:t>AI suggests summaries and drafts; agent approves send.</w:t>
            </w:r>
          </w:p>
        </w:tc>
        <w:tc>
          <w:tcPr>
            <w:tcW w:type="dxa" w:w="4248"/>
            <w:vAlign w:val="center"/>
          </w:tcPr>
          <w:p>
            <w:pPr>
              <w:spacing w:after="0"/>
            </w:pPr>
            <w:r/>
            <w:r>
              <w:rPr>
                <w:rFonts w:ascii="Aptos" w:hAnsi="Aptos"/>
                <w:b w:val="0"/>
                <w:color w:val="202B3C"/>
                <w:sz w:val="15"/>
              </w:rPr>
              <w:t>Usability feedback, quality improvement, access controls and audit validated.</w:t>
            </w:r>
          </w:p>
        </w:tc>
      </w:tr>
      <w:tr>
        <w:tc>
          <w:tcPr>
            <w:tcW w:type="dxa" w:w="2016"/>
            <w:vAlign w:val="center"/>
            <w:shd w:fill="F7F9FC"/>
          </w:tcPr>
          <w:p>
            <w:pPr>
              <w:spacing w:after="0"/>
            </w:pPr>
            <w:r/>
            <w:r>
              <w:rPr>
                <w:rFonts w:ascii="Aptos" w:hAnsi="Aptos"/>
                <w:b w:val="0"/>
                <w:color w:val="202B3C"/>
                <w:sz w:val="15"/>
              </w:rPr>
              <w:t>Limited auto-send</w:t>
            </w:r>
          </w:p>
        </w:tc>
        <w:tc>
          <w:tcPr>
            <w:tcW w:type="dxa" w:w="4320"/>
            <w:vAlign w:val="center"/>
            <w:shd w:fill="F7F9FC"/>
          </w:tcPr>
          <w:p>
            <w:pPr>
              <w:spacing w:after="0"/>
            </w:pPr>
            <w:r/>
            <w:r>
              <w:rPr>
                <w:rFonts w:ascii="Aptos" w:hAnsi="Aptos"/>
                <w:b w:val="0"/>
                <w:color w:val="202B3C"/>
                <w:sz w:val="15"/>
              </w:rPr>
              <w:t>Only low-risk, explicitly allowed topics/channels; tenant-specific feature flag.</w:t>
            </w:r>
          </w:p>
        </w:tc>
        <w:tc>
          <w:tcPr>
            <w:tcW w:type="dxa" w:w="4248"/>
            <w:vAlign w:val="center"/>
            <w:shd w:fill="F7F9FC"/>
          </w:tcPr>
          <w:p>
            <w:pPr>
              <w:spacing w:after="0"/>
            </w:pPr>
            <w:r/>
            <w:r>
              <w:rPr>
                <w:rFonts w:ascii="Aptos" w:hAnsi="Aptos"/>
                <w:b w:val="0"/>
                <w:color w:val="202B3C"/>
                <w:sz w:val="15"/>
              </w:rPr>
              <w:t>Agreed quality thresholds, safe fallback, handoff success, cost cap, kill switch and monitoring.</w:t>
            </w:r>
          </w:p>
        </w:tc>
      </w:tr>
      <w:tr>
        <w:tc>
          <w:tcPr>
            <w:tcW w:type="dxa" w:w="2016"/>
            <w:vAlign w:val="center"/>
          </w:tcPr>
          <w:p>
            <w:pPr>
              <w:spacing w:after="0"/>
            </w:pPr>
            <w:r/>
            <w:r>
              <w:rPr>
                <w:rFonts w:ascii="Aptos" w:hAnsi="Aptos"/>
                <w:b w:val="0"/>
                <w:color w:val="202B3C"/>
                <w:sz w:val="15"/>
              </w:rPr>
              <w:t>Expanded automation</w:t>
            </w:r>
          </w:p>
        </w:tc>
        <w:tc>
          <w:tcPr>
            <w:tcW w:type="dxa" w:w="4320"/>
            <w:vAlign w:val="center"/>
          </w:tcPr>
          <w:p>
            <w:pPr>
              <w:spacing w:after="0"/>
            </w:pPr>
            <w:r/>
            <w:r>
              <w:rPr>
                <w:rFonts w:ascii="Aptos" w:hAnsi="Aptos"/>
                <w:b w:val="0"/>
                <w:color w:val="202B3C"/>
                <w:sz w:val="15"/>
              </w:rPr>
              <w:t>Broader topic coverage only after evidence and customer approval.</w:t>
            </w:r>
          </w:p>
        </w:tc>
        <w:tc>
          <w:tcPr>
            <w:tcW w:type="dxa" w:w="4248"/>
            <w:vAlign w:val="center"/>
          </w:tcPr>
          <w:p>
            <w:pPr>
              <w:spacing w:after="0"/>
            </w:pPr>
            <w:r/>
            <w:r>
              <w:rPr>
                <w:rFonts w:ascii="Aptos" w:hAnsi="Aptos"/>
                <w:b w:val="0"/>
                <w:color w:val="202B3C"/>
                <w:sz w:val="15"/>
              </w:rPr>
              <w:t>Stable outcomes across recontact, complaints, groundedness, handoff and channel reliability.</w:t>
            </w:r>
          </w:p>
        </w:tc>
      </w:tr>
    </w:tbl>
    <w:p/>
    <w:p>
      <w:pPr>
        <w:pStyle w:val="SmallNote"/>
      </w:pPr>
      <w:r>
        <w:t>Do not define success as 'AI handled X% of messages' alone. Track confirmed resolution, repeat contact, customer feedback, answer quality, inappropriate automation, handoff acceptance, and cost per resolved case.</w:t>
      </w:r>
    </w:p>
    <w:p>
      <w:pPr>
        <w:pStyle w:val="Heading1"/>
      </w:pPr>
      <w:r>
        <w:t>10. Delivery management and ceremonies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4233B"/>
          </w:tcPr>
          <w:p>
            <w:pPr>
              <w:spacing w:after="0"/>
            </w:pPr>
            <w:r/>
            <w:r>
              <w:rPr>
                <w:rFonts w:ascii="Aptos" w:hAnsi="Aptos"/>
                <w:b/>
                <w:color w:val="FFFFFF"/>
                <w:sz w:val="16"/>
              </w:rPr>
              <w:t>Cadence</w:t>
            </w:r>
          </w:p>
        </w:tc>
        <w:tc>
          <w:tcPr>
            <w:tcW w:type="dxa" w:w="3456"/>
            <w:vAlign w:val="center"/>
            <w:shd w:fill="14233B"/>
          </w:tcPr>
          <w:p>
            <w:pPr>
              <w:spacing w:after="0"/>
            </w:pPr>
            <w:r/>
            <w:r>
              <w:rPr>
                <w:rFonts w:ascii="Aptos" w:hAnsi="Aptos"/>
                <w:b/>
                <w:color w:val="FFFFFF"/>
                <w:sz w:val="16"/>
              </w:rPr>
              <w:t>Meeting / artifact</w:t>
            </w:r>
          </w:p>
        </w:tc>
        <w:tc>
          <w:tcPr>
            <w:tcW w:type="dxa" w:w="5112"/>
            <w:vAlign w:val="center"/>
            <w:shd w:fill="14233B"/>
          </w:tcPr>
          <w:p>
            <w:pPr>
              <w:spacing w:after="0"/>
            </w:pPr>
            <w:r/>
            <w:r>
              <w:rPr>
                <w:rFonts w:ascii="Aptos" w:hAnsi="Aptos"/>
                <w:b/>
                <w:color w:val="FFFFFF"/>
                <w:sz w:val="16"/>
              </w:rPr>
              <w:t>Purpose</w:t>
            </w:r>
          </w:p>
        </w:tc>
      </w:tr>
      <w:tr>
        <w:tc>
          <w:tcPr>
            <w:tcW w:type="dxa" w:w="2016"/>
            <w:vAlign w:val="center"/>
          </w:tcPr>
          <w:p>
            <w:pPr>
              <w:spacing w:after="0"/>
            </w:pPr>
            <w:r/>
            <w:r>
              <w:rPr>
                <w:rFonts w:ascii="Aptos" w:hAnsi="Aptos"/>
                <w:b w:val="0"/>
                <w:color w:val="202B3C"/>
                <w:sz w:val="15"/>
              </w:rPr>
              <w:t>Daily</w:t>
            </w:r>
          </w:p>
        </w:tc>
        <w:tc>
          <w:tcPr>
            <w:tcW w:type="dxa" w:w="3456"/>
            <w:vAlign w:val="center"/>
          </w:tcPr>
          <w:p>
            <w:pPr>
              <w:spacing w:after="0"/>
            </w:pPr>
            <w:r/>
            <w:r>
              <w:rPr>
                <w:rFonts w:ascii="Aptos" w:hAnsi="Aptos"/>
                <w:b w:val="0"/>
                <w:color w:val="202B3C"/>
                <w:sz w:val="15"/>
              </w:rPr>
              <w:t>15-minute team sync</w:t>
            </w:r>
          </w:p>
        </w:tc>
        <w:tc>
          <w:tcPr>
            <w:tcW w:type="dxa" w:w="5112"/>
            <w:vAlign w:val="center"/>
          </w:tcPr>
          <w:p>
            <w:pPr>
              <w:spacing w:after="0"/>
            </w:pPr>
            <w:r/>
            <w:r>
              <w:rPr>
                <w:rFonts w:ascii="Aptos" w:hAnsi="Aptos"/>
                <w:b w:val="0"/>
                <w:color w:val="202B3C"/>
                <w:sz w:val="15"/>
              </w:rPr>
              <w:t>Blockers, dependency coordination, incident awareness.</w:t>
            </w:r>
          </w:p>
        </w:tc>
      </w:tr>
      <w:tr>
        <w:tc>
          <w:tcPr>
            <w:tcW w:type="dxa" w:w="2016"/>
            <w:vAlign w:val="center"/>
            <w:shd w:fill="F7F9FC"/>
          </w:tcPr>
          <w:p>
            <w:pPr>
              <w:spacing w:after="0"/>
            </w:pPr>
            <w:r/>
            <w:r>
              <w:rPr>
                <w:rFonts w:ascii="Aptos" w:hAnsi="Aptos"/>
                <w:b w:val="0"/>
                <w:color w:val="202B3C"/>
                <w:sz w:val="15"/>
              </w:rPr>
              <w:t>Weekly</w:t>
            </w:r>
          </w:p>
        </w:tc>
        <w:tc>
          <w:tcPr>
            <w:tcW w:type="dxa" w:w="3456"/>
            <w:vAlign w:val="center"/>
            <w:shd w:fill="F7F9FC"/>
          </w:tcPr>
          <w:p>
            <w:pPr>
              <w:spacing w:after="0"/>
            </w:pPr>
            <w:r/>
            <w:r>
              <w:rPr>
                <w:rFonts w:ascii="Aptos" w:hAnsi="Aptos"/>
                <w:b w:val="0"/>
                <w:color w:val="202B3C"/>
                <w:sz w:val="15"/>
              </w:rPr>
              <w:t>Product/engineering backlog review</w:t>
            </w:r>
          </w:p>
        </w:tc>
        <w:tc>
          <w:tcPr>
            <w:tcW w:type="dxa" w:w="5112"/>
            <w:vAlign w:val="center"/>
            <w:shd w:fill="F7F9FC"/>
          </w:tcPr>
          <w:p>
            <w:pPr>
              <w:spacing w:after="0"/>
            </w:pPr>
            <w:r/>
            <w:r>
              <w:rPr>
                <w:rFonts w:ascii="Aptos" w:hAnsi="Aptos"/>
                <w:b w:val="0"/>
                <w:color w:val="202B3C"/>
                <w:sz w:val="15"/>
              </w:rPr>
              <w:t>Clarify next sprint work, acceptance criteria and risk.</w:t>
            </w:r>
          </w:p>
        </w:tc>
      </w:tr>
      <w:tr>
        <w:tc>
          <w:tcPr>
            <w:tcW w:type="dxa" w:w="2016"/>
            <w:vAlign w:val="center"/>
          </w:tcPr>
          <w:p>
            <w:pPr>
              <w:spacing w:after="0"/>
            </w:pPr>
            <w:r/>
            <w:r>
              <w:rPr>
                <w:rFonts w:ascii="Aptos" w:hAnsi="Aptos"/>
                <w:b w:val="0"/>
                <w:color w:val="202B3C"/>
                <w:sz w:val="15"/>
              </w:rPr>
              <w:t>Every 2 weeks</w:t>
            </w:r>
          </w:p>
        </w:tc>
        <w:tc>
          <w:tcPr>
            <w:tcW w:type="dxa" w:w="3456"/>
            <w:vAlign w:val="center"/>
          </w:tcPr>
          <w:p>
            <w:pPr>
              <w:spacing w:after="0"/>
            </w:pPr>
            <w:r/>
            <w:r>
              <w:rPr>
                <w:rFonts w:ascii="Aptos" w:hAnsi="Aptos"/>
                <w:b w:val="0"/>
                <w:color w:val="202B3C"/>
                <w:sz w:val="15"/>
              </w:rPr>
              <w:t>Sprint planning and review/demo</w:t>
            </w:r>
          </w:p>
        </w:tc>
        <w:tc>
          <w:tcPr>
            <w:tcW w:type="dxa" w:w="5112"/>
            <w:vAlign w:val="center"/>
          </w:tcPr>
          <w:p>
            <w:pPr>
              <w:spacing w:after="0"/>
            </w:pPr>
            <w:r/>
            <w:r>
              <w:rPr>
                <w:rFonts w:ascii="Aptos" w:hAnsi="Aptos"/>
                <w:b w:val="0"/>
                <w:color w:val="202B3C"/>
                <w:sz w:val="15"/>
              </w:rPr>
              <w:t>Commit to a realistic goal; demo working software to stakeholders.</w:t>
            </w:r>
          </w:p>
        </w:tc>
      </w:tr>
      <w:tr>
        <w:tc>
          <w:tcPr>
            <w:tcW w:type="dxa" w:w="2016"/>
            <w:vAlign w:val="center"/>
            <w:shd w:fill="F7F9FC"/>
          </w:tcPr>
          <w:p>
            <w:pPr>
              <w:spacing w:after="0"/>
            </w:pPr>
            <w:r/>
            <w:r>
              <w:rPr>
                <w:rFonts w:ascii="Aptos" w:hAnsi="Aptos"/>
                <w:b w:val="0"/>
                <w:color w:val="202B3C"/>
                <w:sz w:val="15"/>
              </w:rPr>
              <w:t>Every 2 weeks</w:t>
            </w:r>
          </w:p>
        </w:tc>
        <w:tc>
          <w:tcPr>
            <w:tcW w:type="dxa" w:w="3456"/>
            <w:vAlign w:val="center"/>
            <w:shd w:fill="F7F9FC"/>
          </w:tcPr>
          <w:p>
            <w:pPr>
              <w:spacing w:after="0"/>
            </w:pPr>
            <w:r/>
            <w:r>
              <w:rPr>
                <w:rFonts w:ascii="Aptos" w:hAnsi="Aptos"/>
                <w:b w:val="0"/>
                <w:color w:val="202B3C"/>
                <w:sz w:val="15"/>
              </w:rPr>
              <w:t>Retrospective</w:t>
            </w:r>
          </w:p>
        </w:tc>
        <w:tc>
          <w:tcPr>
            <w:tcW w:type="dxa" w:w="5112"/>
            <w:vAlign w:val="center"/>
            <w:shd w:fill="F7F9FC"/>
          </w:tcPr>
          <w:p>
            <w:pPr>
              <w:spacing w:after="0"/>
            </w:pPr>
            <w:r/>
            <w:r>
              <w:rPr>
                <w:rFonts w:ascii="Aptos" w:hAnsi="Aptos"/>
                <w:b w:val="0"/>
                <w:color w:val="202B3C"/>
                <w:sz w:val="15"/>
              </w:rPr>
              <w:t>Choose 1–2 measurable improvements to delivery quality.</w:t>
            </w:r>
          </w:p>
        </w:tc>
      </w:tr>
      <w:tr>
        <w:tc>
          <w:tcPr>
            <w:tcW w:type="dxa" w:w="2016"/>
            <w:vAlign w:val="center"/>
          </w:tcPr>
          <w:p>
            <w:pPr>
              <w:spacing w:after="0"/>
            </w:pPr>
            <w:r/>
            <w:r>
              <w:rPr>
                <w:rFonts w:ascii="Aptos" w:hAnsi="Aptos"/>
                <w:b w:val="0"/>
                <w:color w:val="202B3C"/>
                <w:sz w:val="15"/>
              </w:rPr>
              <w:t>Weekly during integrations</w:t>
            </w:r>
          </w:p>
        </w:tc>
        <w:tc>
          <w:tcPr>
            <w:tcW w:type="dxa" w:w="3456"/>
            <w:vAlign w:val="center"/>
          </w:tcPr>
          <w:p>
            <w:pPr>
              <w:spacing w:after="0"/>
            </w:pPr>
            <w:r/>
            <w:r>
              <w:rPr>
                <w:rFonts w:ascii="Aptos" w:hAnsi="Aptos"/>
                <w:b w:val="0"/>
                <w:color w:val="202B3C"/>
                <w:sz w:val="15"/>
              </w:rPr>
              <w:t>Provider spike / integration review</w:t>
            </w:r>
          </w:p>
        </w:tc>
        <w:tc>
          <w:tcPr>
            <w:tcW w:type="dxa" w:w="5112"/>
            <w:vAlign w:val="center"/>
          </w:tcPr>
          <w:p>
            <w:pPr>
              <w:spacing w:after="0"/>
            </w:pPr>
            <w:r/>
            <w:r>
              <w:rPr>
                <w:rFonts w:ascii="Aptos" w:hAnsi="Aptos"/>
                <w:b w:val="0"/>
                <w:color w:val="202B3C"/>
                <w:sz w:val="15"/>
              </w:rPr>
              <w:t>Surface API changes, sandbox limits, webhook and transfer issues.</w:t>
            </w:r>
          </w:p>
        </w:tc>
      </w:tr>
      <w:tr>
        <w:tc>
          <w:tcPr>
            <w:tcW w:type="dxa" w:w="2016"/>
            <w:vAlign w:val="center"/>
            <w:shd w:fill="F7F9FC"/>
          </w:tcPr>
          <w:p>
            <w:pPr>
              <w:spacing w:after="0"/>
            </w:pPr>
            <w:r/>
            <w:r>
              <w:rPr>
                <w:rFonts w:ascii="Aptos" w:hAnsi="Aptos"/>
                <w:b w:val="0"/>
                <w:color w:val="202B3C"/>
                <w:sz w:val="15"/>
              </w:rPr>
              <w:t>Every release</w:t>
            </w:r>
          </w:p>
        </w:tc>
        <w:tc>
          <w:tcPr>
            <w:tcW w:type="dxa" w:w="3456"/>
            <w:vAlign w:val="center"/>
            <w:shd w:fill="F7F9FC"/>
          </w:tcPr>
          <w:p>
            <w:pPr>
              <w:spacing w:after="0"/>
            </w:pPr>
            <w:r/>
            <w:r>
              <w:rPr>
                <w:rFonts w:ascii="Aptos" w:hAnsi="Aptos"/>
                <w:b w:val="0"/>
                <w:color w:val="202B3C"/>
                <w:sz w:val="15"/>
              </w:rPr>
              <w:t>Go/no-go review</w:t>
            </w:r>
          </w:p>
        </w:tc>
        <w:tc>
          <w:tcPr>
            <w:tcW w:type="dxa" w:w="5112"/>
            <w:vAlign w:val="center"/>
            <w:shd w:fill="F7F9FC"/>
          </w:tcPr>
          <w:p>
            <w:pPr>
              <w:spacing w:after="0"/>
            </w:pPr>
            <w:r/>
            <w:r>
              <w:rPr>
                <w:rFonts w:ascii="Aptos" w:hAnsi="Aptos"/>
                <w:b w:val="0"/>
                <w:color w:val="202B3C"/>
                <w:sz w:val="15"/>
              </w:rPr>
              <w:t>QA, security, AI quality, operational readiness and rollback approval.</w:t>
            </w:r>
          </w:p>
        </w:tc>
      </w:tr>
    </w:tbl>
    <w:p/>
    <w:p>
      <w:pPr>
        <w:pStyle w:val="Heading2"/>
      </w:pPr>
      <w:r>
        <w:t>Recommended work tracking fields</w:t>
      </w:r>
    </w:p>
    <w:p>
      <w:pPr>
        <w:pStyle w:val="ListBullet"/>
        <w:spacing w:after="30"/>
      </w:pPr>
      <w:r>
        <w:t>Epic, story, owner, reviewer, priority, estimate, sprint, dependency, acceptance criteria.</w:t>
      </w:r>
    </w:p>
    <w:p>
      <w:pPr>
        <w:pStyle w:val="ListBullet"/>
        <w:spacing w:after="30"/>
      </w:pPr>
      <w:r>
        <w:t>Tenant/channel scope, security/privacy classification, analytics event, test plan, rollout flag.</w:t>
      </w:r>
    </w:p>
    <w:p>
      <w:pPr>
        <w:pStyle w:val="ListBullet"/>
        <w:spacing w:after="30"/>
      </w:pPr>
      <w:r>
        <w:t>Status, blocked reason, code review, QA result, release note and rollback plan.</w:t>
      </w:r>
    </w:p>
    <w:p>
      <w:pPr>
        <w:pStyle w:val="Heading1"/>
      </w:pPr>
      <w:r>
        <w:t>11. Delivery risks and mitigations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4233B"/>
          </w:tcPr>
          <w:p>
            <w:pPr>
              <w:spacing w:after="0"/>
            </w:pPr>
            <w:r/>
            <w:r>
              <w:rPr>
                <w:rFonts w:ascii="Aptos" w:hAnsi="Aptos"/>
                <w:b/>
                <w:color w:val="FFFFFF"/>
                <w:sz w:val="16"/>
              </w:rPr>
              <w:t>Risk</w:t>
            </w:r>
          </w:p>
        </w:tc>
        <w:tc>
          <w:tcPr>
            <w:tcW w:type="dxa" w:w="7488"/>
            <w:vAlign w:val="center"/>
            <w:shd w:fill="14233B"/>
          </w:tcPr>
          <w:p>
            <w:pPr>
              <w:spacing w:after="0"/>
            </w:pPr>
            <w:r/>
            <w:r>
              <w:rPr>
                <w:rFonts w:ascii="Aptos" w:hAnsi="Aptos"/>
                <w:b/>
                <w:color w:val="FFFFFF"/>
                <w:sz w:val="16"/>
              </w:rPr>
              <w:t>Mitigation</w:t>
            </w:r>
          </w:p>
        </w:tc>
      </w:tr>
      <w:tr>
        <w:tc>
          <w:tcPr>
            <w:tcW w:type="dxa" w:w="2880"/>
            <w:vAlign w:val="center"/>
          </w:tcPr>
          <w:p>
            <w:pPr>
              <w:spacing w:after="0"/>
            </w:pPr>
            <w:r/>
            <w:r>
              <w:rPr>
                <w:rFonts w:ascii="Aptos" w:hAnsi="Aptos"/>
                <w:b w:val="0"/>
                <w:color w:val="202B3C"/>
                <w:sz w:val="15"/>
              </w:rPr>
              <w:t>Voice integration consumes schedule</w:t>
            </w:r>
          </w:p>
        </w:tc>
        <w:tc>
          <w:tcPr>
            <w:tcW w:type="dxa" w:w="7488"/>
            <w:vAlign w:val="center"/>
          </w:tcPr>
          <w:p>
            <w:pPr>
              <w:spacing w:after="0"/>
            </w:pPr>
            <w:r/>
            <w:r>
              <w:rPr>
                <w:rFonts w:ascii="Aptos" w:hAnsi="Aptos"/>
                <w:b w:val="0"/>
                <w:color w:val="202B3C"/>
                <w:sz w:val="15"/>
              </w:rPr>
              <w:t>Run provider spike in Week 1; keep a named voice owner; lock a fallback route before feature expansion.</w:t>
            </w:r>
          </w:p>
        </w:tc>
      </w:tr>
      <w:tr>
        <w:tc>
          <w:tcPr>
            <w:tcW w:type="dxa" w:w="2880"/>
            <w:vAlign w:val="center"/>
            <w:shd w:fill="F7F9FC"/>
          </w:tcPr>
          <w:p>
            <w:pPr>
              <w:spacing w:after="0"/>
            </w:pPr>
            <w:r/>
            <w:r>
              <w:rPr>
                <w:rFonts w:ascii="Aptos" w:hAnsi="Aptos"/>
                <w:b w:val="0"/>
                <w:color w:val="202B3C"/>
                <w:sz w:val="15"/>
              </w:rPr>
              <w:t>Scope grows into a generic automation builder</w:t>
            </w:r>
          </w:p>
        </w:tc>
        <w:tc>
          <w:tcPr>
            <w:tcW w:type="dxa" w:w="7488"/>
            <w:vAlign w:val="center"/>
            <w:shd w:fill="F7F9FC"/>
          </w:tcPr>
          <w:p>
            <w:pPr>
              <w:spacing w:after="0"/>
            </w:pPr>
            <w:r/>
            <w:r>
              <w:rPr>
                <w:rFonts w:ascii="Aptos" w:hAnsi="Aptos"/>
                <w:b w:val="0"/>
                <w:color w:val="202B3C"/>
                <w:sz w:val="15"/>
              </w:rPr>
              <w:t>Protect MVP boundaries; defer advanced workflow canvas and broad integration marketplace.</w:t>
            </w:r>
          </w:p>
        </w:tc>
      </w:tr>
      <w:tr>
        <w:tc>
          <w:tcPr>
            <w:tcW w:type="dxa" w:w="2880"/>
            <w:vAlign w:val="center"/>
          </w:tcPr>
          <w:p>
            <w:pPr>
              <w:spacing w:after="0"/>
            </w:pPr>
            <w:r/>
            <w:r>
              <w:rPr>
                <w:rFonts w:ascii="Aptos" w:hAnsi="Aptos"/>
                <w:b w:val="0"/>
                <w:color w:val="202B3C"/>
                <w:sz w:val="15"/>
              </w:rPr>
              <w:t>AI quality is unreliable</w:t>
            </w:r>
          </w:p>
        </w:tc>
        <w:tc>
          <w:tcPr>
            <w:tcW w:type="dxa" w:w="7488"/>
            <w:vAlign w:val="center"/>
          </w:tcPr>
          <w:p>
            <w:pPr>
              <w:spacing w:after="0"/>
            </w:pPr>
            <w:r/>
            <w:r>
              <w:rPr>
                <w:rFonts w:ascii="Aptos" w:hAnsi="Aptos"/>
                <w:b w:val="0"/>
                <w:color w:val="202B3C"/>
                <w:sz w:val="15"/>
              </w:rPr>
              <w:t>Use approved knowledge, versioned prompts/policies, regression evaluation and limited autonomy rollout.</w:t>
            </w:r>
          </w:p>
        </w:tc>
      </w:tr>
      <w:tr>
        <w:tc>
          <w:tcPr>
            <w:tcW w:type="dxa" w:w="2880"/>
            <w:vAlign w:val="center"/>
            <w:shd w:fill="F7F9FC"/>
          </w:tcPr>
          <w:p>
            <w:pPr>
              <w:spacing w:after="0"/>
            </w:pPr>
            <w:r/>
            <w:r>
              <w:rPr>
                <w:rFonts w:ascii="Aptos" w:hAnsi="Aptos"/>
                <w:b w:val="0"/>
                <w:color w:val="202B3C"/>
                <w:sz w:val="15"/>
              </w:rPr>
              <w:t>Security is postponed</w:t>
            </w:r>
          </w:p>
        </w:tc>
        <w:tc>
          <w:tcPr>
            <w:tcW w:type="dxa" w:w="7488"/>
            <w:vAlign w:val="center"/>
            <w:shd w:fill="F7F9FC"/>
          </w:tcPr>
          <w:p>
            <w:pPr>
              <w:spacing w:after="0"/>
            </w:pPr>
            <w:r/>
            <w:r>
              <w:rPr>
                <w:rFonts w:ascii="Aptos" w:hAnsi="Aptos"/>
                <w:b w:val="0"/>
                <w:color w:val="202B3C"/>
                <w:sz w:val="15"/>
              </w:rPr>
              <w:t>Make tenant isolation and sensitive-data tests CI gates from Phase 1.</w:t>
            </w:r>
          </w:p>
        </w:tc>
      </w:tr>
      <w:tr>
        <w:tc>
          <w:tcPr>
            <w:tcW w:type="dxa" w:w="2880"/>
            <w:vAlign w:val="center"/>
          </w:tcPr>
          <w:p>
            <w:pPr>
              <w:spacing w:after="0"/>
            </w:pPr>
            <w:r/>
            <w:r>
              <w:rPr>
                <w:rFonts w:ascii="Aptos" w:hAnsi="Aptos"/>
                <w:b w:val="0"/>
                <w:color w:val="202B3C"/>
                <w:sz w:val="15"/>
              </w:rPr>
              <w:t>Frontend and backend drift</w:t>
            </w:r>
          </w:p>
        </w:tc>
        <w:tc>
          <w:tcPr>
            <w:tcW w:type="dxa" w:w="7488"/>
            <w:vAlign w:val="center"/>
          </w:tcPr>
          <w:p>
            <w:pPr>
              <w:spacing w:after="0"/>
            </w:pPr>
            <w:r/>
            <w:r>
              <w:rPr>
                <w:rFonts w:ascii="Aptos" w:hAnsi="Aptos"/>
                <w:b w:val="0"/>
                <w:color w:val="202B3C"/>
                <w:sz w:val="15"/>
              </w:rPr>
              <w:t>Define OpenAPI contracts and shared schemas; demo integrated slices every sprint.</w:t>
            </w:r>
          </w:p>
        </w:tc>
      </w:tr>
      <w:tr>
        <w:tc>
          <w:tcPr>
            <w:tcW w:type="dxa" w:w="2880"/>
            <w:vAlign w:val="center"/>
            <w:shd w:fill="F7F9FC"/>
          </w:tcPr>
          <w:p>
            <w:pPr>
              <w:spacing w:after="0"/>
            </w:pPr>
            <w:r/>
            <w:r>
              <w:rPr>
                <w:rFonts w:ascii="Aptos" w:hAnsi="Aptos"/>
                <w:b w:val="0"/>
                <w:color w:val="202B3C"/>
                <w:sz w:val="15"/>
              </w:rPr>
              <w:t>Provider sandbox differs from production</w:t>
            </w:r>
          </w:p>
        </w:tc>
        <w:tc>
          <w:tcPr>
            <w:tcW w:type="dxa" w:w="7488"/>
            <w:vAlign w:val="center"/>
            <w:shd w:fill="F7F9FC"/>
          </w:tcPr>
          <w:p>
            <w:pPr>
              <w:spacing w:after="0"/>
            </w:pPr>
            <w:r/>
            <w:r>
              <w:rPr>
                <w:rFonts w:ascii="Aptos" w:hAnsi="Aptos"/>
                <w:b w:val="0"/>
                <w:color w:val="202B3C"/>
                <w:sz w:val="15"/>
              </w:rPr>
              <w:t>Schedule real end-to-end provider tests and staged number/mailbox activation early.</w:t>
            </w:r>
          </w:p>
        </w:tc>
      </w:tr>
      <w:tr>
        <w:tc>
          <w:tcPr>
            <w:tcW w:type="dxa" w:w="2880"/>
            <w:vAlign w:val="center"/>
          </w:tcPr>
          <w:p>
            <w:pPr>
              <w:spacing w:after="0"/>
            </w:pPr>
            <w:r/>
            <w:r>
              <w:rPr>
                <w:rFonts w:ascii="Aptos" w:hAnsi="Aptos"/>
                <w:b w:val="0"/>
                <w:color w:val="202B3C"/>
                <w:sz w:val="15"/>
              </w:rPr>
              <w:t>Unclear ownership</w:t>
            </w:r>
          </w:p>
        </w:tc>
        <w:tc>
          <w:tcPr>
            <w:tcW w:type="dxa" w:w="7488"/>
            <w:vAlign w:val="center"/>
          </w:tcPr>
          <w:p>
            <w:pPr>
              <w:spacing w:after="0"/>
            </w:pPr>
            <w:r/>
            <w:r>
              <w:rPr>
                <w:rFonts w:ascii="Aptos" w:hAnsi="Aptos"/>
                <w:b w:val="0"/>
                <w:color w:val="202B3C"/>
                <w:sz w:val="15"/>
              </w:rPr>
              <w:t>Every module and feature has a DRI; cross-team dependencies are visible in the sprint plan.</w:t>
            </w:r>
          </w:p>
        </w:tc>
      </w:tr>
      <w:tr>
        <w:tc>
          <w:tcPr>
            <w:tcW w:type="dxa" w:w="2880"/>
            <w:vAlign w:val="center"/>
            <w:shd w:fill="F7F9FC"/>
          </w:tcPr>
          <w:p>
            <w:pPr>
              <w:spacing w:after="0"/>
            </w:pPr>
            <w:r/>
            <w:r>
              <w:rPr>
                <w:rFonts w:ascii="Aptos" w:hAnsi="Aptos"/>
                <w:b w:val="0"/>
                <w:color w:val="202B3C"/>
                <w:sz w:val="15"/>
              </w:rPr>
              <w:t>Production support is an afterthought</w:t>
            </w:r>
          </w:p>
        </w:tc>
        <w:tc>
          <w:tcPr>
            <w:tcW w:type="dxa" w:w="7488"/>
            <w:vAlign w:val="center"/>
            <w:shd w:fill="F7F9FC"/>
          </w:tcPr>
          <w:p>
            <w:pPr>
              <w:spacing w:after="0"/>
            </w:pPr>
            <w:r/>
            <w:r>
              <w:rPr>
                <w:rFonts w:ascii="Aptos" w:hAnsi="Aptos"/>
                <w:b w:val="0"/>
                <w:color w:val="202B3C"/>
                <w:sz w:val="15"/>
              </w:rPr>
              <w:t>Build alerts, runbooks, backup/restore, pause controls and incident ownership before pilot.</w:t>
            </w:r>
          </w:p>
        </w:tc>
      </w:tr>
    </w:tbl>
    <w:p/>
    <w:p>
      <w:pPr>
        <w:pStyle w:val="Heading1"/>
      </w:pPr>
      <w:r>
        <w:t>12. Pilot readiness checklist</w:t>
      </w:r>
    </w:p>
    <w:p>
      <w:pPr>
        <w:pStyle w:val="ListBullet"/>
        <w:spacing w:after="30"/>
      </w:pPr>
      <w:r>
        <w:t>☐ Pilot customer, use cases, channels, business hours and escalation queues are agreed.</w:t>
      </w:r>
    </w:p>
    <w:p>
      <w:pPr>
        <w:pStyle w:val="ListBullet"/>
        <w:spacing w:after="30"/>
      </w:pPr>
      <w:r>
        <w:t>☐ Approved knowledge base has owners, publication dates, test questions and rollback plan.</w:t>
      </w:r>
    </w:p>
    <w:p>
      <w:pPr>
        <w:pStyle w:val="ListBullet"/>
        <w:spacing w:after="30"/>
      </w:pPr>
      <w:r>
        <w:t>☐ Chat, email and voice provider credentials are stored securely and test flows pass.</w:t>
      </w:r>
    </w:p>
    <w:p>
      <w:pPr>
        <w:pStyle w:val="ListBullet"/>
        <w:spacing w:after="30"/>
      </w:pPr>
      <w:r>
        <w:t>☐ AI autonomy is conservative by default; mandatory handoff and emergency pause have been tested.</w:t>
      </w:r>
    </w:p>
    <w:p>
      <w:pPr>
        <w:pStyle w:val="ListBullet"/>
        <w:spacing w:after="30"/>
      </w:pPr>
      <w:r>
        <w:t>☐ Agent training, manager dashboard, case ownership and escalation coverage are ready.</w:t>
      </w:r>
    </w:p>
    <w:p>
      <w:pPr>
        <w:pStyle w:val="ListBullet"/>
        <w:spacing w:after="30"/>
      </w:pPr>
      <w:r>
        <w:t>☐ Privacy notices, recording/transcription settings, retention, data processing terms and subprocessors are reviewed.</w:t>
      </w:r>
    </w:p>
    <w:p>
      <w:pPr>
        <w:pStyle w:val="ListBullet"/>
        <w:spacing w:after="30"/>
      </w:pPr>
      <w:r>
        <w:t>☐ Security tests, access review, backup restore, incident response and support escalation paths are complete.</w:t>
      </w:r>
    </w:p>
    <w:p>
      <w:pPr>
        <w:pStyle w:val="ListBullet"/>
        <w:spacing w:after="30"/>
      </w:pPr>
      <w:r>
        <w:t>☐ Success metrics and stop conditions are documented before the pilot begins.</w:t>
      </w:r>
    </w:p>
    <w:p>
      <w:pPr>
        <w:pStyle w:val="ListBullet"/>
        <w:spacing w:after="30"/>
      </w:pPr>
      <w:r>
        <w:t>☐ Pilot has a named internal owner, daily review cadence at the start, and customer feedback channel.</w:t>
      </w:r>
    </w:p>
    <w:p>
      <w:pPr>
        <w:pStyle w:val="Heading1"/>
      </w:pPr>
      <w:r>
        <w:t>13. Pilot metrics and stop conditions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4233B"/>
          </w:tcPr>
          <w:p>
            <w:pPr>
              <w:spacing w:after="0"/>
            </w:pPr>
            <w:r/>
            <w:r>
              <w:rPr>
                <w:rFonts w:ascii="Aptos" w:hAnsi="Aptos"/>
                <w:b/>
                <w:color w:val="FFFFFF"/>
                <w:sz w:val="16"/>
              </w:rPr>
              <w:t>Metric</w:t>
            </w:r>
          </w:p>
        </w:tc>
        <w:tc>
          <w:tcPr>
            <w:tcW w:type="dxa" w:w="4320"/>
            <w:vAlign w:val="center"/>
            <w:shd w:fill="14233B"/>
          </w:tcPr>
          <w:p>
            <w:pPr>
              <w:spacing w:after="0"/>
            </w:pPr>
            <w:r/>
            <w:r>
              <w:rPr>
                <w:rFonts w:ascii="Aptos" w:hAnsi="Aptos"/>
                <w:b/>
                <w:color w:val="FFFFFF"/>
                <w:sz w:val="16"/>
              </w:rPr>
              <w:t>How to interpret</w:t>
            </w:r>
          </w:p>
        </w:tc>
        <w:tc>
          <w:tcPr>
            <w:tcW w:type="dxa" w:w="3744"/>
            <w:vAlign w:val="center"/>
            <w:shd w:fill="14233B"/>
          </w:tcPr>
          <w:p>
            <w:pPr>
              <w:spacing w:after="0"/>
            </w:pPr>
            <w:r/>
            <w:r>
              <w:rPr>
                <w:rFonts w:ascii="Aptos" w:hAnsi="Aptos"/>
                <w:b/>
                <w:color w:val="FFFFFF"/>
                <w:sz w:val="16"/>
              </w:rPr>
              <w:t>Suggested operating rule</w:t>
            </w:r>
          </w:p>
        </w:tc>
      </w:tr>
      <w:tr>
        <w:tc>
          <w:tcPr>
            <w:tcW w:type="dxa" w:w="2304"/>
            <w:vAlign w:val="center"/>
          </w:tcPr>
          <w:p>
            <w:pPr>
              <w:spacing w:after="0"/>
            </w:pPr>
            <w:r/>
            <w:r>
              <w:rPr>
                <w:rFonts w:ascii="Aptos" w:hAnsi="Aptos"/>
                <w:b w:val="0"/>
                <w:color w:val="202B3C"/>
                <w:sz w:val="14"/>
              </w:rPr>
              <w:t>Confirmed resolution</w:t>
            </w:r>
          </w:p>
        </w:tc>
        <w:tc>
          <w:tcPr>
            <w:tcW w:type="dxa" w:w="4320"/>
            <w:vAlign w:val="center"/>
          </w:tcPr>
          <w:p>
            <w:pPr>
              <w:spacing w:after="0"/>
            </w:pPr>
            <w:r/>
            <w:r>
              <w:rPr>
                <w:rFonts w:ascii="Aptos" w:hAnsi="Aptos"/>
                <w:b w:val="0"/>
                <w:color w:val="202B3C"/>
                <w:sz w:val="14"/>
              </w:rPr>
              <w:t>Customer or workflow evidence indicates issue was solved</w:t>
            </w:r>
          </w:p>
        </w:tc>
        <w:tc>
          <w:tcPr>
            <w:tcW w:type="dxa" w:w="3744"/>
            <w:vAlign w:val="center"/>
          </w:tcPr>
          <w:p>
            <w:pPr>
              <w:spacing w:after="0"/>
            </w:pPr>
            <w:r/>
            <w:r>
              <w:rPr>
                <w:rFonts w:ascii="Aptos" w:hAnsi="Aptos"/>
                <w:b w:val="0"/>
                <w:color w:val="202B3C"/>
                <w:sz w:val="14"/>
              </w:rPr>
              <w:t>Measure separately from AI-handled and AI-answered.</w:t>
            </w:r>
          </w:p>
        </w:tc>
      </w:tr>
      <w:tr>
        <w:tc>
          <w:tcPr>
            <w:tcW w:type="dxa" w:w="2304"/>
            <w:vAlign w:val="center"/>
            <w:shd w:fill="F7F9FC"/>
          </w:tcPr>
          <w:p>
            <w:pPr>
              <w:spacing w:after="0"/>
            </w:pPr>
            <w:r/>
            <w:r>
              <w:rPr>
                <w:rFonts w:ascii="Aptos" w:hAnsi="Aptos"/>
                <w:b w:val="0"/>
                <w:color w:val="202B3C"/>
                <w:sz w:val="14"/>
              </w:rPr>
              <w:t>Repeat contact / reopen</w:t>
            </w:r>
          </w:p>
        </w:tc>
        <w:tc>
          <w:tcPr>
            <w:tcW w:type="dxa" w:w="4320"/>
            <w:vAlign w:val="center"/>
            <w:shd w:fill="F7F9FC"/>
          </w:tcPr>
          <w:p>
            <w:pPr>
              <w:spacing w:after="0"/>
            </w:pPr>
            <w:r/>
            <w:r>
              <w:rPr>
                <w:rFonts w:ascii="Aptos" w:hAnsi="Aptos"/>
                <w:b w:val="0"/>
                <w:color w:val="202B3C"/>
                <w:sz w:val="14"/>
              </w:rPr>
              <w:t>Customer returns about the same issue within a defined window</w:t>
            </w:r>
          </w:p>
        </w:tc>
        <w:tc>
          <w:tcPr>
            <w:tcW w:type="dxa" w:w="3744"/>
            <w:vAlign w:val="center"/>
            <w:shd w:fill="F7F9FC"/>
          </w:tcPr>
          <w:p>
            <w:pPr>
              <w:spacing w:after="0"/>
            </w:pPr>
            <w:r/>
            <w:r>
              <w:rPr>
                <w:rFonts w:ascii="Aptos" w:hAnsi="Aptos"/>
                <w:b w:val="0"/>
                <w:color w:val="202B3C"/>
                <w:sz w:val="14"/>
              </w:rPr>
              <w:t>A rising rate can indicate false resolution or poor answers.</w:t>
            </w:r>
          </w:p>
        </w:tc>
      </w:tr>
      <w:tr>
        <w:tc>
          <w:tcPr>
            <w:tcW w:type="dxa" w:w="2304"/>
            <w:vAlign w:val="center"/>
          </w:tcPr>
          <w:p>
            <w:pPr>
              <w:spacing w:after="0"/>
            </w:pPr>
            <w:r/>
            <w:r>
              <w:rPr>
                <w:rFonts w:ascii="Aptos" w:hAnsi="Aptos"/>
                <w:b w:val="0"/>
                <w:color w:val="202B3C"/>
                <w:sz w:val="14"/>
              </w:rPr>
              <w:t>Handoff success</w:t>
            </w:r>
          </w:p>
        </w:tc>
        <w:tc>
          <w:tcPr>
            <w:tcW w:type="dxa" w:w="4320"/>
            <w:vAlign w:val="center"/>
          </w:tcPr>
          <w:p>
            <w:pPr>
              <w:spacing w:after="0"/>
            </w:pPr>
            <w:r/>
            <w:r>
              <w:rPr>
                <w:rFonts w:ascii="Aptos" w:hAnsi="Aptos"/>
                <w:b w:val="0"/>
                <w:color w:val="202B3C"/>
                <w:sz w:val="14"/>
              </w:rPr>
              <w:t>Eligible handoffs are accepted by a human within the configured target</w:t>
            </w:r>
          </w:p>
        </w:tc>
        <w:tc>
          <w:tcPr>
            <w:tcW w:type="dxa" w:w="3744"/>
            <w:vAlign w:val="center"/>
          </w:tcPr>
          <w:p>
            <w:pPr>
              <w:spacing w:after="0"/>
            </w:pPr>
            <w:r/>
            <w:r>
              <w:rPr>
                <w:rFonts w:ascii="Aptos" w:hAnsi="Aptos"/>
                <w:b w:val="0"/>
                <w:color w:val="202B3C"/>
                <w:sz w:val="14"/>
              </w:rPr>
              <w:t>Alert on queue overflow, transfer failure and long wait.</w:t>
            </w:r>
          </w:p>
        </w:tc>
      </w:tr>
      <w:tr>
        <w:tc>
          <w:tcPr>
            <w:tcW w:type="dxa" w:w="2304"/>
            <w:vAlign w:val="center"/>
            <w:shd w:fill="F7F9FC"/>
          </w:tcPr>
          <w:p>
            <w:pPr>
              <w:spacing w:after="0"/>
            </w:pPr>
            <w:r/>
            <w:r>
              <w:rPr>
                <w:rFonts w:ascii="Aptos" w:hAnsi="Aptos"/>
                <w:b w:val="0"/>
                <w:color w:val="202B3C"/>
                <w:sz w:val="14"/>
              </w:rPr>
              <w:t>Grounded answer quality</w:t>
            </w:r>
          </w:p>
        </w:tc>
        <w:tc>
          <w:tcPr>
            <w:tcW w:type="dxa" w:w="4320"/>
            <w:vAlign w:val="center"/>
            <w:shd w:fill="F7F9FC"/>
          </w:tcPr>
          <w:p>
            <w:pPr>
              <w:spacing w:after="0"/>
            </w:pPr>
            <w:r/>
            <w:r>
              <w:rPr>
                <w:rFonts w:ascii="Aptos" w:hAnsi="Aptos"/>
                <w:b w:val="0"/>
                <w:color w:val="202B3C"/>
                <w:sz w:val="14"/>
              </w:rPr>
              <w:t>Sampled responses are supported by approved sources and policy</w:t>
            </w:r>
          </w:p>
        </w:tc>
        <w:tc>
          <w:tcPr>
            <w:tcW w:type="dxa" w:w="3744"/>
            <w:vAlign w:val="center"/>
            <w:shd w:fill="F7F9FC"/>
          </w:tcPr>
          <w:p>
            <w:pPr>
              <w:spacing w:after="0"/>
            </w:pPr>
            <w:r/>
            <w:r>
              <w:rPr>
                <w:rFonts w:ascii="Aptos" w:hAnsi="Aptos"/>
                <w:b w:val="0"/>
                <w:color w:val="202B3C"/>
                <w:sz w:val="14"/>
              </w:rPr>
              <w:t>Critical unsupported or unsafe answer triggers review and possible pause.</w:t>
            </w:r>
          </w:p>
        </w:tc>
      </w:tr>
      <w:tr>
        <w:tc>
          <w:tcPr>
            <w:tcW w:type="dxa" w:w="2304"/>
            <w:vAlign w:val="center"/>
          </w:tcPr>
          <w:p>
            <w:pPr>
              <w:spacing w:after="0"/>
            </w:pPr>
            <w:r/>
            <w:r>
              <w:rPr>
                <w:rFonts w:ascii="Aptos" w:hAnsi="Aptos"/>
                <w:b w:val="0"/>
                <w:color w:val="202B3C"/>
                <w:sz w:val="14"/>
              </w:rPr>
              <w:t>Channel reliability</w:t>
            </w:r>
          </w:p>
        </w:tc>
        <w:tc>
          <w:tcPr>
            <w:tcW w:type="dxa" w:w="4320"/>
            <w:vAlign w:val="center"/>
          </w:tcPr>
          <w:p>
            <w:pPr>
              <w:spacing w:after="0"/>
            </w:pPr>
            <w:r/>
            <w:r>
              <w:rPr>
                <w:rFonts w:ascii="Aptos" w:hAnsi="Aptos"/>
                <w:b w:val="0"/>
                <w:color w:val="202B3C"/>
                <w:sz w:val="14"/>
              </w:rPr>
              <w:t>Inbound events processed and outbound messages/calls delivered correctly</w:t>
            </w:r>
          </w:p>
        </w:tc>
        <w:tc>
          <w:tcPr>
            <w:tcW w:type="dxa" w:w="3744"/>
            <w:vAlign w:val="center"/>
          </w:tcPr>
          <w:p>
            <w:pPr>
              <w:spacing w:after="0"/>
            </w:pPr>
            <w:r/>
            <w:r>
              <w:rPr>
                <w:rFonts w:ascii="Aptos" w:hAnsi="Aptos"/>
                <w:b w:val="0"/>
                <w:color w:val="202B3C"/>
                <w:sz w:val="14"/>
              </w:rPr>
              <w:t>Provider failure must activate documented fallback.</w:t>
            </w:r>
          </w:p>
        </w:tc>
      </w:tr>
      <w:tr>
        <w:tc>
          <w:tcPr>
            <w:tcW w:type="dxa" w:w="2304"/>
            <w:vAlign w:val="center"/>
            <w:shd w:fill="F7F9FC"/>
          </w:tcPr>
          <w:p>
            <w:pPr>
              <w:spacing w:after="0"/>
            </w:pPr>
            <w:r/>
            <w:r>
              <w:rPr>
                <w:rFonts w:ascii="Aptos" w:hAnsi="Aptos"/>
                <w:b w:val="0"/>
                <w:color w:val="202B3C"/>
                <w:sz w:val="14"/>
              </w:rPr>
              <w:t>Latency</w:t>
            </w:r>
          </w:p>
        </w:tc>
        <w:tc>
          <w:tcPr>
            <w:tcW w:type="dxa" w:w="4320"/>
            <w:vAlign w:val="center"/>
            <w:shd w:fill="F7F9FC"/>
          </w:tcPr>
          <w:p>
            <w:pPr>
              <w:spacing w:after="0"/>
            </w:pPr>
            <w:r/>
            <w:r>
              <w:rPr>
                <w:rFonts w:ascii="Aptos" w:hAnsi="Aptos"/>
                <w:b w:val="0"/>
                <w:color w:val="202B3C"/>
                <w:sz w:val="14"/>
              </w:rPr>
              <w:t>End-to-end p50/p95 by channel, plus stage-level timing</w:t>
            </w:r>
          </w:p>
        </w:tc>
        <w:tc>
          <w:tcPr>
            <w:tcW w:type="dxa" w:w="3744"/>
            <w:vAlign w:val="center"/>
            <w:shd w:fill="F7F9FC"/>
          </w:tcPr>
          <w:p>
            <w:pPr>
              <w:spacing w:after="0"/>
            </w:pPr>
            <w:r/>
            <w:r>
              <w:rPr>
                <w:rFonts w:ascii="Aptos" w:hAnsi="Aptos"/>
                <w:b w:val="0"/>
                <w:color w:val="202B3C"/>
                <w:sz w:val="14"/>
              </w:rPr>
              <w:t>Agree channel-specific targets after real baseline tests.</w:t>
            </w:r>
          </w:p>
        </w:tc>
      </w:tr>
      <w:tr>
        <w:tc>
          <w:tcPr>
            <w:tcW w:type="dxa" w:w="2304"/>
            <w:vAlign w:val="center"/>
          </w:tcPr>
          <w:p>
            <w:pPr>
              <w:spacing w:after="0"/>
            </w:pPr>
            <w:r/>
            <w:r>
              <w:rPr>
                <w:rFonts w:ascii="Aptos" w:hAnsi="Aptos"/>
                <w:b w:val="0"/>
                <w:color w:val="202B3C"/>
                <w:sz w:val="14"/>
              </w:rPr>
              <w:t>Cost per confirmed resolution</w:t>
            </w:r>
          </w:p>
        </w:tc>
        <w:tc>
          <w:tcPr>
            <w:tcW w:type="dxa" w:w="4320"/>
            <w:vAlign w:val="center"/>
          </w:tcPr>
          <w:p>
            <w:pPr>
              <w:spacing w:after="0"/>
            </w:pPr>
            <w:r/>
            <w:r>
              <w:rPr>
                <w:rFonts w:ascii="Aptos" w:hAnsi="Aptos"/>
                <w:b w:val="0"/>
                <w:color w:val="202B3C"/>
                <w:sz w:val="14"/>
              </w:rPr>
              <w:t>Model, telephony, email, infrastructure and support costs / confirmed resolutions</w:t>
            </w:r>
          </w:p>
        </w:tc>
        <w:tc>
          <w:tcPr>
            <w:tcW w:type="dxa" w:w="3744"/>
            <w:vAlign w:val="center"/>
          </w:tcPr>
          <w:p>
            <w:pPr>
              <w:spacing w:after="0"/>
            </w:pPr>
            <w:r/>
            <w:r>
              <w:rPr>
                <w:rFonts w:ascii="Aptos" w:hAnsi="Aptos"/>
                <w:b w:val="0"/>
                <w:color w:val="202B3C"/>
                <w:sz w:val="14"/>
              </w:rPr>
              <w:t>Set tenant budget alerts and investigate abnormal usage.</w:t>
            </w:r>
          </w:p>
        </w:tc>
      </w:tr>
    </w:tbl>
    <w:p/>
    <w:p>
      <w:pPr>
        <w:pStyle w:val="SmallNote"/>
      </w:pPr>
      <w:r>
        <w:t>Before the pilot, set numerical thresholds from your baseline and customer agreement. Pause auto-send for a tenant/channel if critical safety issues occur, handoff breaks, provider failures are uncontained, or cost/latency exceeds agreed limits.</w:t>
      </w:r>
    </w:p>
    <w:p>
      <w:pPr>
        <w:pStyle w:val="Heading1"/>
      </w:pPr>
      <w:r>
        <w:t>14. First 10 working days — immediate action plan</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14233B"/>
          </w:tcPr>
          <w:p>
            <w:pPr>
              <w:spacing w:after="0"/>
            </w:pPr>
            <w:r/>
            <w:r>
              <w:rPr>
                <w:rFonts w:ascii="Aptos" w:hAnsi="Aptos"/>
                <w:b/>
                <w:color w:val="FFFFFF"/>
                <w:sz w:val="16"/>
              </w:rPr>
              <w:t>Day</w:t>
            </w:r>
          </w:p>
        </w:tc>
        <w:tc>
          <w:tcPr>
            <w:tcW w:type="dxa" w:w="5328"/>
            <w:vAlign w:val="center"/>
            <w:shd w:fill="14233B"/>
          </w:tcPr>
          <w:p>
            <w:pPr>
              <w:spacing w:after="0"/>
            </w:pPr>
            <w:r/>
            <w:r>
              <w:rPr>
                <w:rFonts w:ascii="Aptos" w:hAnsi="Aptos"/>
                <w:b/>
                <w:color w:val="FFFFFF"/>
                <w:sz w:val="16"/>
              </w:rPr>
              <w:t>Actions</w:t>
            </w:r>
          </w:p>
        </w:tc>
        <w:tc>
          <w:tcPr>
            <w:tcW w:type="dxa" w:w="4104"/>
            <w:vAlign w:val="center"/>
            <w:shd w:fill="14233B"/>
          </w:tcPr>
          <w:p>
            <w:pPr>
              <w:spacing w:after="0"/>
            </w:pPr>
            <w:r/>
            <w:r>
              <w:rPr>
                <w:rFonts w:ascii="Aptos" w:hAnsi="Aptos"/>
                <w:b/>
                <w:color w:val="FFFFFF"/>
                <w:sz w:val="16"/>
              </w:rPr>
              <w:t>Output</w:t>
            </w:r>
          </w:p>
        </w:tc>
      </w:tr>
      <w:tr>
        <w:tc>
          <w:tcPr>
            <w:tcW w:type="dxa" w:w="936"/>
            <w:vAlign w:val="center"/>
          </w:tcPr>
          <w:p>
            <w:pPr>
              <w:spacing w:after="0"/>
            </w:pPr>
            <w:r/>
            <w:r>
              <w:rPr>
                <w:rFonts w:ascii="Aptos" w:hAnsi="Aptos"/>
                <w:b w:val="0"/>
                <w:color w:val="202B3C"/>
                <w:sz w:val="15"/>
              </w:rPr>
              <w:t>1</w:t>
            </w:r>
          </w:p>
        </w:tc>
        <w:tc>
          <w:tcPr>
            <w:tcW w:type="dxa" w:w="5328"/>
            <w:vAlign w:val="center"/>
          </w:tcPr>
          <w:p>
            <w:pPr>
              <w:spacing w:after="0"/>
            </w:pPr>
            <w:r/>
            <w:r>
              <w:rPr>
                <w:rFonts w:ascii="Aptos" w:hAnsi="Aptos"/>
                <w:b w:val="0"/>
                <w:color w:val="202B3C"/>
                <w:sz w:val="15"/>
              </w:rPr>
              <w:t>Appoint owners; confirm target pilot segment and MVP boundary.</w:t>
            </w:r>
          </w:p>
        </w:tc>
        <w:tc>
          <w:tcPr>
            <w:tcW w:type="dxa" w:w="4104"/>
            <w:vAlign w:val="center"/>
          </w:tcPr>
          <w:p>
            <w:pPr>
              <w:spacing w:after="0"/>
            </w:pPr>
            <w:r/>
            <w:r>
              <w:rPr>
                <w:rFonts w:ascii="Aptos" w:hAnsi="Aptos"/>
                <w:b w:val="0"/>
                <w:color w:val="202B3C"/>
                <w:sz w:val="15"/>
              </w:rPr>
              <w:t>Named DRIs; scope and risk register.</w:t>
            </w:r>
          </w:p>
        </w:tc>
      </w:tr>
      <w:tr>
        <w:tc>
          <w:tcPr>
            <w:tcW w:type="dxa" w:w="936"/>
            <w:vAlign w:val="center"/>
            <w:shd w:fill="F7F9FC"/>
          </w:tcPr>
          <w:p>
            <w:pPr>
              <w:spacing w:after="0"/>
            </w:pPr>
            <w:r/>
            <w:r>
              <w:rPr>
                <w:rFonts w:ascii="Aptos" w:hAnsi="Aptos"/>
                <w:b w:val="0"/>
                <w:color w:val="202B3C"/>
                <w:sz w:val="15"/>
              </w:rPr>
              <w:t>2</w:t>
            </w:r>
          </w:p>
        </w:tc>
        <w:tc>
          <w:tcPr>
            <w:tcW w:type="dxa" w:w="5328"/>
            <w:vAlign w:val="center"/>
            <w:shd w:fill="F7F9FC"/>
          </w:tcPr>
          <w:p>
            <w:pPr>
              <w:spacing w:after="0"/>
            </w:pPr>
            <w:r/>
            <w:r>
              <w:rPr>
                <w:rFonts w:ascii="Aptos" w:hAnsi="Aptos"/>
                <w:b w:val="0"/>
                <w:color w:val="202B3C"/>
                <w:sz w:val="15"/>
              </w:rPr>
              <w:t>Choose backend shortlist and database/queue approach; start ADRs.</w:t>
            </w:r>
          </w:p>
        </w:tc>
        <w:tc>
          <w:tcPr>
            <w:tcW w:type="dxa" w:w="4104"/>
            <w:vAlign w:val="center"/>
            <w:shd w:fill="F7F9FC"/>
          </w:tcPr>
          <w:p>
            <w:pPr>
              <w:spacing w:after="0"/>
            </w:pPr>
            <w:r/>
            <w:r>
              <w:rPr>
                <w:rFonts w:ascii="Aptos" w:hAnsi="Aptos"/>
                <w:b w:val="0"/>
                <w:color w:val="202B3C"/>
                <w:sz w:val="15"/>
              </w:rPr>
              <w:t>Architecture decisions in review.</w:t>
            </w:r>
          </w:p>
        </w:tc>
      </w:tr>
      <w:tr>
        <w:tc>
          <w:tcPr>
            <w:tcW w:type="dxa" w:w="936"/>
            <w:vAlign w:val="center"/>
          </w:tcPr>
          <w:p>
            <w:pPr>
              <w:spacing w:after="0"/>
            </w:pPr>
            <w:r/>
            <w:r>
              <w:rPr>
                <w:rFonts w:ascii="Aptos" w:hAnsi="Aptos"/>
                <w:b w:val="0"/>
                <w:color w:val="202B3C"/>
                <w:sz w:val="15"/>
              </w:rPr>
              <w:t>3</w:t>
            </w:r>
          </w:p>
        </w:tc>
        <w:tc>
          <w:tcPr>
            <w:tcW w:type="dxa" w:w="5328"/>
            <w:vAlign w:val="center"/>
          </w:tcPr>
          <w:p>
            <w:pPr>
              <w:spacing w:after="0"/>
            </w:pPr>
            <w:r/>
            <w:r>
              <w:rPr>
                <w:rFonts w:ascii="Aptos" w:hAnsi="Aptos"/>
                <w:b w:val="0"/>
                <w:color w:val="202B3C"/>
                <w:sz w:val="15"/>
              </w:rPr>
              <w:t>Run email provider spike: inbound event, threading, outbound test.</w:t>
            </w:r>
          </w:p>
        </w:tc>
        <w:tc>
          <w:tcPr>
            <w:tcW w:type="dxa" w:w="4104"/>
            <w:vAlign w:val="center"/>
          </w:tcPr>
          <w:p>
            <w:pPr>
              <w:spacing w:after="0"/>
            </w:pPr>
            <w:r/>
            <w:r>
              <w:rPr>
                <w:rFonts w:ascii="Aptos" w:hAnsi="Aptos"/>
                <w:b w:val="0"/>
                <w:color w:val="202B3C"/>
                <w:sz w:val="15"/>
              </w:rPr>
              <w:t>Provider capability notes and sample contracts.</w:t>
            </w:r>
          </w:p>
        </w:tc>
      </w:tr>
      <w:tr>
        <w:tc>
          <w:tcPr>
            <w:tcW w:type="dxa" w:w="936"/>
            <w:vAlign w:val="center"/>
            <w:shd w:fill="F7F9FC"/>
          </w:tcPr>
          <w:p>
            <w:pPr>
              <w:spacing w:after="0"/>
            </w:pPr>
            <w:r/>
            <w:r>
              <w:rPr>
                <w:rFonts w:ascii="Aptos" w:hAnsi="Aptos"/>
                <w:b w:val="0"/>
                <w:color w:val="202B3C"/>
                <w:sz w:val="15"/>
              </w:rPr>
              <w:t>4</w:t>
            </w:r>
          </w:p>
        </w:tc>
        <w:tc>
          <w:tcPr>
            <w:tcW w:type="dxa" w:w="5328"/>
            <w:vAlign w:val="center"/>
            <w:shd w:fill="F7F9FC"/>
          </w:tcPr>
          <w:p>
            <w:pPr>
              <w:spacing w:after="0"/>
            </w:pPr>
            <w:r/>
            <w:r>
              <w:rPr>
                <w:rFonts w:ascii="Aptos" w:hAnsi="Aptos"/>
                <w:b w:val="0"/>
                <w:color w:val="202B3C"/>
                <w:sz w:val="15"/>
              </w:rPr>
              <w:t>Run voice spike: inbound call, streaming/transcription, transfer, event callbacks.</w:t>
            </w:r>
          </w:p>
        </w:tc>
        <w:tc>
          <w:tcPr>
            <w:tcW w:type="dxa" w:w="4104"/>
            <w:vAlign w:val="center"/>
            <w:shd w:fill="F7F9FC"/>
          </w:tcPr>
          <w:p>
            <w:pPr>
              <w:spacing w:after="0"/>
            </w:pPr>
            <w:r/>
            <w:r>
              <w:rPr>
                <w:rFonts w:ascii="Aptos" w:hAnsi="Aptos"/>
                <w:b w:val="0"/>
                <w:color w:val="202B3C"/>
                <w:sz w:val="15"/>
              </w:rPr>
              <w:t>Latency and transfer report; fallback plan.</w:t>
            </w:r>
          </w:p>
        </w:tc>
      </w:tr>
      <w:tr>
        <w:tc>
          <w:tcPr>
            <w:tcW w:type="dxa" w:w="936"/>
            <w:vAlign w:val="center"/>
          </w:tcPr>
          <w:p>
            <w:pPr>
              <w:spacing w:after="0"/>
            </w:pPr>
            <w:r/>
            <w:r>
              <w:rPr>
                <w:rFonts w:ascii="Aptos" w:hAnsi="Aptos"/>
                <w:b w:val="0"/>
                <w:color w:val="202B3C"/>
                <w:sz w:val="15"/>
              </w:rPr>
              <w:t>5</w:t>
            </w:r>
          </w:p>
        </w:tc>
        <w:tc>
          <w:tcPr>
            <w:tcW w:type="dxa" w:w="5328"/>
            <w:vAlign w:val="center"/>
          </w:tcPr>
          <w:p>
            <w:pPr>
              <w:spacing w:after="0"/>
            </w:pPr>
            <w:r/>
            <w:r>
              <w:rPr>
                <w:rFonts w:ascii="Aptos" w:hAnsi="Aptos"/>
                <w:b w:val="0"/>
                <w:color w:val="202B3C"/>
                <w:sz w:val="15"/>
              </w:rPr>
              <w:t>Run RAG/model spike with approved FAQ and failure cases.</w:t>
            </w:r>
          </w:p>
        </w:tc>
        <w:tc>
          <w:tcPr>
            <w:tcW w:type="dxa" w:w="4104"/>
            <w:vAlign w:val="center"/>
          </w:tcPr>
          <w:p>
            <w:pPr>
              <w:spacing w:after="0"/>
            </w:pPr>
            <w:r/>
            <w:r>
              <w:rPr>
                <w:rFonts w:ascii="Aptos" w:hAnsi="Aptos"/>
                <w:b w:val="0"/>
                <w:color w:val="202B3C"/>
                <w:sz w:val="15"/>
              </w:rPr>
              <w:t>Baseline quality/cost/latency and evaluation set.</w:t>
            </w:r>
          </w:p>
        </w:tc>
      </w:tr>
      <w:tr>
        <w:tc>
          <w:tcPr>
            <w:tcW w:type="dxa" w:w="936"/>
            <w:vAlign w:val="center"/>
            <w:shd w:fill="F7F9FC"/>
          </w:tcPr>
          <w:p>
            <w:pPr>
              <w:spacing w:after="0"/>
            </w:pPr>
            <w:r/>
            <w:r>
              <w:rPr>
                <w:rFonts w:ascii="Aptos" w:hAnsi="Aptos"/>
                <w:b w:val="0"/>
                <w:color w:val="202B3C"/>
                <w:sz w:val="15"/>
              </w:rPr>
              <w:t>6</w:t>
            </w:r>
          </w:p>
        </w:tc>
        <w:tc>
          <w:tcPr>
            <w:tcW w:type="dxa" w:w="5328"/>
            <w:vAlign w:val="center"/>
            <w:shd w:fill="F7F9FC"/>
          </w:tcPr>
          <w:p>
            <w:pPr>
              <w:spacing w:after="0"/>
            </w:pPr>
            <w:r/>
            <w:r>
              <w:rPr>
                <w:rFonts w:ascii="Aptos" w:hAnsi="Aptos"/>
                <w:b w:val="0"/>
                <w:color w:val="202B3C"/>
                <w:sz w:val="15"/>
              </w:rPr>
              <w:t>Finalize tenant isolation strategy and threat scenarios.</w:t>
            </w:r>
          </w:p>
        </w:tc>
        <w:tc>
          <w:tcPr>
            <w:tcW w:type="dxa" w:w="4104"/>
            <w:vAlign w:val="center"/>
            <w:shd w:fill="F7F9FC"/>
          </w:tcPr>
          <w:p>
            <w:pPr>
              <w:spacing w:after="0"/>
            </w:pPr>
            <w:r/>
            <w:r>
              <w:rPr>
                <w:rFonts w:ascii="Aptos" w:hAnsi="Aptos"/>
                <w:b w:val="0"/>
                <w:color w:val="202B3C"/>
                <w:sz w:val="15"/>
              </w:rPr>
              <w:t>Data-flow diagram; negative security test plan.</w:t>
            </w:r>
          </w:p>
        </w:tc>
      </w:tr>
      <w:tr>
        <w:tc>
          <w:tcPr>
            <w:tcW w:type="dxa" w:w="936"/>
            <w:vAlign w:val="center"/>
          </w:tcPr>
          <w:p>
            <w:pPr>
              <w:spacing w:after="0"/>
            </w:pPr>
            <w:r/>
            <w:r>
              <w:rPr>
                <w:rFonts w:ascii="Aptos" w:hAnsi="Aptos"/>
                <w:b w:val="0"/>
                <w:color w:val="202B3C"/>
                <w:sz w:val="15"/>
              </w:rPr>
              <w:t>7</w:t>
            </w:r>
          </w:p>
        </w:tc>
        <w:tc>
          <w:tcPr>
            <w:tcW w:type="dxa" w:w="5328"/>
            <w:vAlign w:val="center"/>
          </w:tcPr>
          <w:p>
            <w:pPr>
              <w:spacing w:after="0"/>
            </w:pPr>
            <w:r/>
            <w:r>
              <w:rPr>
                <w:rFonts w:ascii="Aptos" w:hAnsi="Aptos"/>
                <w:b w:val="0"/>
                <w:color w:val="202B3C"/>
                <w:sz w:val="15"/>
              </w:rPr>
              <w:t>Create repos, CI checks, development environment and secrets workflow.</w:t>
            </w:r>
          </w:p>
        </w:tc>
        <w:tc>
          <w:tcPr>
            <w:tcW w:type="dxa" w:w="4104"/>
            <w:vAlign w:val="center"/>
          </w:tcPr>
          <w:p>
            <w:pPr>
              <w:spacing w:after="0"/>
            </w:pPr>
            <w:r/>
            <w:r>
              <w:rPr>
                <w:rFonts w:ascii="Aptos" w:hAnsi="Aptos"/>
                <w:b w:val="0"/>
                <w:color w:val="202B3C"/>
                <w:sz w:val="15"/>
              </w:rPr>
              <w:t>First deployable skeleton.</w:t>
            </w:r>
          </w:p>
        </w:tc>
      </w:tr>
      <w:tr>
        <w:tc>
          <w:tcPr>
            <w:tcW w:type="dxa" w:w="936"/>
            <w:vAlign w:val="center"/>
            <w:shd w:fill="F7F9FC"/>
          </w:tcPr>
          <w:p>
            <w:pPr>
              <w:spacing w:after="0"/>
            </w:pPr>
            <w:r/>
            <w:r>
              <w:rPr>
                <w:rFonts w:ascii="Aptos" w:hAnsi="Aptos"/>
                <w:b w:val="0"/>
                <w:color w:val="202B3C"/>
                <w:sz w:val="15"/>
              </w:rPr>
              <w:t>8</w:t>
            </w:r>
          </w:p>
        </w:tc>
        <w:tc>
          <w:tcPr>
            <w:tcW w:type="dxa" w:w="5328"/>
            <w:vAlign w:val="center"/>
            <w:shd w:fill="F7F9FC"/>
          </w:tcPr>
          <w:p>
            <w:pPr>
              <w:spacing w:after="0"/>
            </w:pPr>
            <w:r/>
            <w:r>
              <w:rPr>
                <w:rFonts w:ascii="Aptos" w:hAnsi="Aptos"/>
                <w:b w:val="0"/>
                <w:color w:val="202B3C"/>
                <w:sz w:val="15"/>
              </w:rPr>
              <w:t>Implement tenant-aware identity/membership and basic authorization.</w:t>
            </w:r>
          </w:p>
        </w:tc>
        <w:tc>
          <w:tcPr>
            <w:tcW w:type="dxa" w:w="4104"/>
            <w:vAlign w:val="center"/>
            <w:shd w:fill="F7F9FC"/>
          </w:tcPr>
          <w:p>
            <w:pPr>
              <w:spacing w:after="0"/>
            </w:pPr>
            <w:r/>
            <w:r>
              <w:rPr>
                <w:rFonts w:ascii="Aptos" w:hAnsi="Aptos"/>
                <w:b w:val="0"/>
                <w:color w:val="202B3C"/>
                <w:sz w:val="15"/>
              </w:rPr>
              <w:t>Sign-in and permission tests.</w:t>
            </w:r>
          </w:p>
        </w:tc>
      </w:tr>
      <w:tr>
        <w:tc>
          <w:tcPr>
            <w:tcW w:type="dxa" w:w="936"/>
            <w:vAlign w:val="center"/>
          </w:tcPr>
          <w:p>
            <w:pPr>
              <w:spacing w:after="0"/>
            </w:pPr>
            <w:r/>
            <w:r>
              <w:rPr>
                <w:rFonts w:ascii="Aptos" w:hAnsi="Aptos"/>
                <w:b w:val="0"/>
                <w:color w:val="202B3C"/>
                <w:sz w:val="15"/>
              </w:rPr>
              <w:t>9</w:t>
            </w:r>
          </w:p>
        </w:tc>
        <w:tc>
          <w:tcPr>
            <w:tcW w:type="dxa" w:w="5328"/>
            <w:vAlign w:val="center"/>
          </w:tcPr>
          <w:p>
            <w:pPr>
              <w:spacing w:after="0"/>
            </w:pPr>
            <w:r/>
            <w:r>
              <w:rPr>
                <w:rFonts w:ascii="Aptos" w:hAnsi="Aptos"/>
                <w:b w:val="0"/>
                <w:color w:val="202B3C"/>
                <w:sz w:val="15"/>
              </w:rPr>
              <w:t>Implement initial case/message schema, migrations and API contracts.</w:t>
            </w:r>
          </w:p>
        </w:tc>
        <w:tc>
          <w:tcPr>
            <w:tcW w:type="dxa" w:w="4104"/>
            <w:vAlign w:val="center"/>
          </w:tcPr>
          <w:p>
            <w:pPr>
              <w:spacing w:after="0"/>
            </w:pPr>
            <w:r/>
            <w:r>
              <w:rPr>
                <w:rFonts w:ascii="Aptos" w:hAnsi="Aptos"/>
                <w:b w:val="0"/>
                <w:color w:val="202B3C"/>
                <w:sz w:val="15"/>
              </w:rPr>
              <w:t>Create/list case API with tests.</w:t>
            </w:r>
          </w:p>
        </w:tc>
      </w:tr>
      <w:tr>
        <w:tc>
          <w:tcPr>
            <w:tcW w:type="dxa" w:w="936"/>
            <w:vAlign w:val="center"/>
            <w:shd w:fill="F7F9FC"/>
          </w:tcPr>
          <w:p>
            <w:pPr>
              <w:spacing w:after="0"/>
            </w:pPr>
            <w:r/>
            <w:r>
              <w:rPr>
                <w:rFonts w:ascii="Aptos" w:hAnsi="Aptos"/>
                <w:b w:val="0"/>
                <w:color w:val="202B3C"/>
                <w:sz w:val="15"/>
              </w:rPr>
              <w:t>10</w:t>
            </w:r>
          </w:p>
        </w:tc>
        <w:tc>
          <w:tcPr>
            <w:tcW w:type="dxa" w:w="5328"/>
            <w:vAlign w:val="center"/>
            <w:shd w:fill="F7F9FC"/>
          </w:tcPr>
          <w:p>
            <w:pPr>
              <w:spacing w:after="0"/>
            </w:pPr>
            <w:r/>
            <w:r>
              <w:rPr>
                <w:rFonts w:ascii="Aptos" w:hAnsi="Aptos"/>
                <w:b w:val="0"/>
                <w:color w:val="202B3C"/>
                <w:sz w:val="15"/>
              </w:rPr>
              <w:t>Demonstrate an integrated vertical slice skeleton and review risks.</w:t>
            </w:r>
          </w:p>
        </w:tc>
        <w:tc>
          <w:tcPr>
            <w:tcW w:type="dxa" w:w="4104"/>
            <w:vAlign w:val="center"/>
            <w:shd w:fill="F7F9FC"/>
          </w:tcPr>
          <w:p>
            <w:pPr>
              <w:spacing w:after="0"/>
            </w:pPr>
            <w:r/>
            <w:r>
              <w:rPr>
                <w:rFonts w:ascii="Aptos" w:hAnsi="Aptos"/>
                <w:b w:val="0"/>
                <w:color w:val="202B3C"/>
                <w:sz w:val="15"/>
              </w:rPr>
              <w:t>Sprint 1 backlog ready; blockers assigned.</w:t>
            </w:r>
          </w:p>
        </w:tc>
      </w:tr>
    </w:tbl>
    <w:p/>
    <w:p>
      <w:pPr>
        <w:pStyle w:val="Heading1"/>
      </w:pPr>
      <w:r>
        <w:t>15. Definition of success for Task 5</w:t>
      </w:r>
    </w:p>
    <w:p>
      <w:pPr>
        <w:pStyle w:val="ListBullet"/>
        <w:spacing w:after="30"/>
      </w:pPr>
      <w:r>
        <w:t>☐ The team has named owners, a prioritized backlog and a realistic sprint plan.</w:t>
      </w:r>
    </w:p>
    <w:p>
      <w:pPr>
        <w:pStyle w:val="ListBullet"/>
        <w:spacing w:after="30"/>
      </w:pPr>
      <w:r>
        <w:t>☐ The platform can be deployed repeatedly and safely into controlled environments.</w:t>
      </w:r>
    </w:p>
    <w:p>
      <w:pPr>
        <w:pStyle w:val="ListBullet"/>
        <w:spacing w:after="30"/>
      </w:pPr>
      <w:r>
        <w:t>☐ A secure, tenant-aware case/message foundation exists.</w:t>
      </w:r>
    </w:p>
    <w:p>
      <w:pPr>
        <w:pStyle w:val="ListBullet"/>
        <w:spacing w:after="30"/>
      </w:pPr>
      <w:r>
        <w:t>☐ Chat demonstrates the end-to-end AI → source-grounded response or handoff → agent resolution workflow.</w:t>
      </w:r>
    </w:p>
    <w:p>
      <w:pPr>
        <w:pStyle w:val="ListBullet"/>
        <w:spacing w:after="30"/>
      </w:pPr>
      <w:r>
        <w:t>☐ Email and voice are implemented against the same case model with provider-specific reliability tests.</w:t>
      </w:r>
    </w:p>
    <w:p>
      <w:pPr>
        <w:pStyle w:val="ListBullet"/>
        <w:spacing w:after="30"/>
      </w:pPr>
      <w:r>
        <w:t>☐ AI autonomy is versioned, evaluated, tenant-configurable and reversible.</w:t>
      </w:r>
    </w:p>
    <w:p>
      <w:pPr>
        <w:pStyle w:val="ListBullet"/>
        <w:spacing w:after="30"/>
      </w:pPr>
      <w:r>
        <w:t>☐ A pilot can be operated with metrics, alerting, runbooks, backup/restore and clear stop conditions.</w:t>
      </w:r>
    </w:p>
    <w:p>
      <w:pPr>
        <w:pStyle w:val="Heading1"/>
      </w:pPr>
      <w:r>
        <w:t>Final recommendation</w:t>
      </w:r>
    </w:p>
    <w:p>
      <w:r>
        <w:rPr>
          <w:b/>
        </w:rPr>
        <w:t xml:space="preserve">The first engineering milestone should be a thin vertical slice, not a large batch of disconnected features. </w:t>
      </w:r>
      <w:r>
        <w:t>Prove the complete chat journey with secure tenancy, approved knowledge, safe escalation, agent resolution, observability and regression tests. Then reuse the same case model and operating patterns for email and voice. Keep voice-provider validation early because telephony constraints can materially affect the architecture and timeline.</w:t>
      </w:r>
    </w:p>
    <w:p>
      <w:pPr>
        <w:pStyle w:val="SmallNote"/>
      </w:pPr>
      <w:r>
        <w:t>This plan is a working baseline. Re-estimate after technical spikes and the first two sprints. Any production use must be reviewed for applicable privacy, recording/consent, security, retention, data residency and customer-contract requirements.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AI Customer Support Platform | Development &amp; Implementation Plan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B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6BF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1A6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4233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E6B7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