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b/>
          <w:color w:val="176B75"/>
          <w:sz w:val="22"/>
        </w:rPr>
        <w:t>PRODUCT REQUIREMENTS DOCUMENT</w:t>
      </w:r>
    </w:p>
    <w:p>
      <w:pPr>
        <w:pStyle w:val="Title"/>
      </w:pPr>
      <w:r>
        <w:t>AI Customer Support Platform</w:t>
      </w:r>
    </w:p>
    <w:p>
      <w:r>
        <w:rPr>
          <w:color w:val="505F6E"/>
          <w:sz w:val="28"/>
        </w:rPr>
        <w:t>Version 1.0  |  Initial scope: chat + email + inbound voice</w:t>
      </w:r>
    </w:p>
    <w:p>
      <w:r>
        <w:t>A build-oriented specification for product, design, engineering, QA, and customer-success teams. The product is AI-first: it attempts to resolve eligible customer requests and hands off cases when required by uncertainty, policy, permissions, or customer preference.</w:t>
      </w:r>
    </w:p>
    <w:tbl>
      <w:tblPr>
        <w:tblStyle w:val="LightShading-Accent1"/>
        <w:tblW w:type="auto" w:w="0"/>
        <w:jc w:val="center"/>
        <w:tblLook w:firstColumn="1" w:firstRow="1" w:lastColumn="0" w:lastRow="0" w:noHBand="0" w:noVBand="1" w:val="04A0"/>
      </w:tblPr>
      <w:tblGrid>
        <w:gridCol w:w="5040"/>
        <w:gridCol w:w="5040"/>
      </w:tblGrid>
      <w:tr>
        <w:tc>
          <w:tcPr>
            <w:tcW w:type="dxa" w:w="2880"/>
          </w:tcPr>
          <w:p>
            <w:r>
              <w:rPr>
                <w:b/>
              </w:rPr>
              <w:t>Document field</w:t>
            </w:r>
          </w:p>
        </w:tc>
        <w:tc>
          <w:tcPr>
            <w:tcW w:type="dxa" w:w="6912"/>
          </w:tcPr>
          <w:p>
            <w:r>
              <w:rPr>
                <w:b/>
              </w:rPr>
              <w:t>Value</w:t>
            </w:r>
          </w:p>
        </w:tc>
      </w:tr>
      <w:tr>
        <w:tc>
          <w:tcPr>
            <w:tcW w:type="dxa" w:w="2880"/>
            <w:vAlign w:val="top"/>
          </w:tcPr>
          <w:p>
            <w:r>
              <w:t>Status</w:t>
            </w:r>
          </w:p>
        </w:tc>
        <w:tc>
          <w:tcPr>
            <w:tcW w:type="dxa" w:w="6912"/>
            <w:vAlign w:val="top"/>
          </w:tcPr>
          <w:p>
            <w:r>
              <w:t>Draft for discovery and implementation planning</w:t>
            </w:r>
          </w:p>
        </w:tc>
      </w:tr>
      <w:tr>
        <w:tc>
          <w:tcPr>
            <w:tcW w:type="dxa" w:w="2880"/>
            <w:vAlign w:val="top"/>
          </w:tcPr>
          <w:p>
            <w:r>
              <w:t>Product owner</w:t>
            </w:r>
          </w:p>
        </w:tc>
        <w:tc>
          <w:tcPr>
            <w:tcW w:type="dxa" w:w="6912"/>
            <w:vAlign w:val="top"/>
          </w:tcPr>
          <w:p>
            <w:r>
              <w:t>Founder / designated product lead</w:t>
            </w:r>
          </w:p>
        </w:tc>
      </w:tr>
      <w:tr>
        <w:tc>
          <w:tcPr>
            <w:tcW w:type="dxa" w:w="2880"/>
            <w:vAlign w:val="top"/>
          </w:tcPr>
          <w:p>
            <w:r>
              <w:t>Intended team</w:t>
            </w:r>
          </w:p>
        </w:tc>
        <w:tc>
          <w:tcPr>
            <w:tcW w:type="dxa" w:w="6912"/>
            <w:vAlign w:val="top"/>
          </w:tcPr>
          <w:p>
            <w:r>
              <w:t>20-person company; team allocation to be confirmed</w:t>
            </w:r>
          </w:p>
        </w:tc>
      </w:tr>
      <w:tr>
        <w:tc>
          <w:tcPr>
            <w:tcW w:type="dxa" w:w="2880"/>
            <w:vAlign w:val="top"/>
          </w:tcPr>
          <w:p>
            <w:r>
              <w:t>Primary release goal</w:t>
            </w:r>
          </w:p>
        </w:tc>
        <w:tc>
          <w:tcPr>
            <w:tcW w:type="dxa" w:w="6912"/>
            <w:vAlign w:val="top"/>
          </w:tcPr>
          <w:p>
            <w:r>
              <w:t>A usable multi-channel MVP with measurable, safe automation</w:t>
            </w:r>
          </w:p>
        </w:tc>
      </w:tr>
      <w:tr>
        <w:tc>
          <w:tcPr>
            <w:tcW w:type="dxa" w:w="2880"/>
            <w:vAlign w:val="top"/>
          </w:tcPr>
          <w:p>
            <w:r>
              <w:t>Channels in initial scope</w:t>
            </w:r>
          </w:p>
        </w:tc>
        <w:tc>
          <w:tcPr>
            <w:tcW w:type="dxa" w:w="6912"/>
            <w:vAlign w:val="top"/>
          </w:tcPr>
          <w:p>
            <w:r>
              <w:t>Website/in-app chat, email, inbound voice</w:t>
            </w:r>
          </w:p>
        </w:tc>
      </w:tr>
      <w:tr>
        <w:tc>
          <w:tcPr>
            <w:tcW w:type="dxa" w:w="2880"/>
            <w:vAlign w:val="top"/>
          </w:tcPr>
          <w:p>
            <w:r>
              <w:t>Important limitation</w:t>
            </w:r>
          </w:p>
        </w:tc>
        <w:tc>
          <w:tcPr>
            <w:tcW w:type="dxa" w:w="6912"/>
            <w:vAlign w:val="top"/>
          </w:tcPr>
          <w:p>
            <w:r>
              <w:t>Requirements and thresholds must be validated with pilot customers and legal/security review</w:t>
            </w:r>
          </w:p>
        </w:tc>
      </w:tr>
    </w:tbl>
    <w:p/>
    <w:p>
      <w:r>
        <w:br w:type="page"/>
      </w:r>
    </w:p>
    <w:p>
      <w:pPr>
        <w:pStyle w:val="Heading1"/>
      </w:pPr>
      <w:r>
        <w:t>1. Purpose and Product Summary</w:t>
      </w:r>
    </w:p>
    <w:p>
      <w:r>
        <w:t>This PRD defines what the first release of the AI Customer Support Platform must do, how users interact with it, and how the team will verify that it works. It is intended to reduce ambiguity before detailed UX design, architecture, implementation, and test planning.</w:t>
      </w:r>
    </w:p>
    <w:p>
      <w:pPr>
        <w:pStyle w:val="Heading2"/>
      </w:pPr>
      <w:r>
        <w:t>1.1 Product vision</w:t>
      </w:r>
    </w:p>
    <w:p>
      <w:r>
        <w:t>Provide businesses with a configurable AI-first support platform that can understand and resolve routine customer questions across chat, email, and inbound phone calls, using approved business knowledge and authorized integrations. When a request cannot be safely resolved, the platform routes it to the right human agent with context preserved.</w:t>
      </w:r>
    </w:p>
    <w:p>
      <w:pPr>
        <w:pStyle w:val="Heading2"/>
      </w:pPr>
      <w:r>
        <w:t>1.2 Problem to solve</w:t>
      </w:r>
    </w:p>
    <w:p>
      <w:r>
        <w:t>Support teams handle repetitive questions across disconnected channels, search multiple systems for answers, and manually transfer cases. This creates slow responses, duplicated effort, uneven service quality, and difficulty scaling support.</w:t>
      </w:r>
    </w:p>
    <w:p>
      <w:pPr>
        <w:pStyle w:val="Heading2"/>
      </w:pPr>
      <w:r>
        <w:t>1.3 Product principles</w:t>
      </w:r>
    </w:p>
    <w:p>
      <w:pPr>
        <w:pStyle w:val="ListBullet"/>
      </w:pPr>
      <w:r>
        <w:t>Resolution quality matters more than maximizing automation or minimizing escalation.</w:t>
      </w:r>
    </w:p>
    <w:p>
      <w:pPr>
        <w:pStyle w:val="ListBullet"/>
      </w:pPr>
      <w:r>
        <w:t>The AI must not invent policy, order status, account facts, or completed actions.</w:t>
      </w:r>
    </w:p>
    <w:p>
      <w:pPr>
        <w:pStyle w:val="ListBullet"/>
      </w:pPr>
      <w:r>
        <w:t>A customer-requested human handoff must be honored when available under the business's service policy.</w:t>
      </w:r>
    </w:p>
    <w:p>
      <w:pPr>
        <w:pStyle w:val="ListBullet"/>
      </w:pPr>
      <w:r>
        <w:t>Every customer tenant can configure its approved knowledge, channels, brand voice, integrations, permissions, and escalation rules.</w:t>
      </w:r>
    </w:p>
    <w:p>
      <w:pPr>
        <w:pStyle w:val="ListBullet"/>
      </w:pPr>
      <w:r>
        <w:t>Chat, email, and voice share a common conversation/case model while retaining channel-specific behavior.</w:t>
      </w:r>
    </w:p>
    <w:p>
      <w:pPr>
        <w:pStyle w:val="ListBullet"/>
      </w:pPr>
      <w:r>
        <w:t>The system must be observable: decisions, tool actions, errors, and handoffs should be measurable and auditable.</w:t>
      </w:r>
    </w:p>
    <w:p>
      <w:pPr>
        <w:pStyle w:val="Heading1"/>
      </w:pPr>
      <w:r>
        <w:t>2. Goals, Non-Goals, and Success Measures</w:t>
      </w:r>
    </w:p>
    <w:p>
      <w:pPr>
        <w:pStyle w:val="Heading2"/>
      </w:pPr>
      <w:r>
        <w:t>2.1 Goals</w:t>
      </w:r>
    </w:p>
    <w:p>
      <w:pPr>
        <w:pStyle w:val="ListBullet"/>
      </w:pPr>
      <w:r>
        <w:t>Support inbound customer interactions over website/in-app chat, email, and inbound voice.</w:t>
      </w:r>
    </w:p>
    <w:p>
      <w:pPr>
        <w:pStyle w:val="ListBullet"/>
      </w:pPr>
      <w:r>
        <w:t>Answer common questions using approved knowledge sources.</w:t>
      </w:r>
    </w:p>
    <w:p>
      <w:pPr>
        <w:pStyle w:val="ListBullet"/>
      </w:pPr>
      <w:r>
        <w:t>Complete a limited set of low-risk tasks through explicitly authorized integrations.</w:t>
      </w:r>
    </w:p>
    <w:p>
      <w:pPr>
        <w:pStyle w:val="ListBullet"/>
      </w:pPr>
      <w:r>
        <w:t>Escalate unresolved, sensitive, high-risk, or approval-required cases to a human queue.</w:t>
      </w:r>
    </w:p>
    <w:p>
      <w:pPr>
        <w:pStyle w:val="ListBullet"/>
      </w:pPr>
      <w:r>
        <w:t>Provide tenant-level configuration, agent workflows, analytics, and basic administration.</w:t>
      </w:r>
    </w:p>
    <w:p>
      <w:pPr>
        <w:pStyle w:val="ListBullet"/>
      </w:pPr>
      <w:r>
        <w:t>Give administrators evidence to improve knowledge quality and automation performance.</w:t>
      </w:r>
    </w:p>
    <w:p>
      <w:pPr>
        <w:pStyle w:val="Heading2"/>
      </w:pPr>
      <w:r>
        <w:t>2.2 Non-goals for the initial MVP</w:t>
      </w:r>
    </w:p>
    <w:p>
      <w:pPr>
        <w:pStyle w:val="ListBullet"/>
      </w:pPr>
      <w:r>
        <w:t>A full workforce management suite, payroll, agent scheduling, or advanced contact-center telephony.</w:t>
      </w:r>
    </w:p>
    <w:p>
      <w:pPr>
        <w:pStyle w:val="ListBullet"/>
      </w:pPr>
      <w:r>
        <w:t>Outbound sales dialling, marketing campaigns, or bulk email marketing.</w:t>
      </w:r>
    </w:p>
    <w:p>
      <w:pPr>
        <w:pStyle w:val="ListBullet"/>
      </w:pPr>
      <w:r>
        <w:t>Autonomous refunds, financial transactions, legal decisions, medical advice, or other high-impact actions.</w:t>
      </w:r>
    </w:p>
    <w:p>
      <w:pPr>
        <w:pStyle w:val="ListBullet"/>
      </w:pPr>
      <w:r>
        <w:t>Unlimited custom integrations or a complete marketplace at launch.</w:t>
      </w:r>
    </w:p>
    <w:p>
      <w:pPr>
        <w:pStyle w:val="ListBullet"/>
      </w:pPr>
      <w:r>
        <w:t>Guaranteed zero human escalations or a promise that AI resolves every issue.</w:t>
      </w:r>
    </w:p>
    <w:p>
      <w:pPr>
        <w:pStyle w:val="ListBullet"/>
      </w:pPr>
      <w:r>
        <w:t>Training a proprietary foundation model from scratch.</w:t>
      </w:r>
    </w:p>
    <w:p>
      <w:pPr>
        <w:pStyle w:val="Heading2"/>
      </w:pPr>
      <w:r>
        <w:t>2.3 Proposed pilot success measures</w:t>
      </w:r>
    </w:p>
    <w:p>
      <w:r>
        <w:t>Baselines and targets must be agreed with pilot customers before the pilot begins. The following are proposed measurement definitions, not performance guarantees.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944"/>
          </w:tcPr>
          <w:p>
            <w:r>
              <w:rPr>
                <w:b/>
              </w:rPr>
              <w:t>Metric</w:t>
            </w:r>
          </w:p>
        </w:tc>
        <w:tc>
          <w:tcPr>
            <w:tcW w:type="dxa" w:w="5040"/>
          </w:tcPr>
          <w:p>
            <w:r>
              <w:rPr>
                <w:b/>
              </w:rPr>
              <w:t>Definition / measurement approach</w:t>
            </w:r>
          </w:p>
        </w:tc>
        <w:tc>
          <w:tcPr>
            <w:tcW w:type="dxa" w:w="2880"/>
          </w:tcPr>
          <w:p>
            <w:r>
              <w:rPr>
                <w:b/>
              </w:rPr>
              <w:t>Initial acceptance direction</w:t>
            </w:r>
          </w:p>
        </w:tc>
      </w:tr>
      <w:tr>
        <w:tc>
          <w:tcPr>
            <w:tcW w:type="dxa" w:w="1944"/>
            <w:vAlign w:val="top"/>
          </w:tcPr>
          <w:p>
            <w:r>
              <w:t>Grounded answer quality</w:t>
            </w:r>
          </w:p>
        </w:tc>
        <w:tc>
          <w:tcPr>
            <w:tcW w:type="dxa" w:w="5040"/>
            <w:vAlign w:val="top"/>
          </w:tcPr>
          <w:p>
            <w:r>
              <w:t>Human-reviewed sample of AI answers judged correct, relevant, and policy-compliant.</w:t>
            </w:r>
          </w:p>
        </w:tc>
        <w:tc>
          <w:tcPr>
            <w:tcW w:type="dxa" w:w="2880"/>
            <w:vAlign w:val="top"/>
          </w:tcPr>
          <w:p>
            <w:r>
              <w:t>Set a customer-approved threshold before pilot; no critical policy errors in acceptance test set.</w:t>
            </w:r>
          </w:p>
        </w:tc>
      </w:tr>
      <w:tr>
        <w:tc>
          <w:tcPr>
            <w:tcW w:type="dxa" w:w="1944"/>
            <w:vAlign w:val="top"/>
          </w:tcPr>
          <w:p>
            <w:r>
              <w:t>Resolution rate</w:t>
            </w:r>
          </w:p>
        </w:tc>
        <w:tc>
          <w:tcPr>
            <w:tcW w:type="dxa" w:w="5040"/>
            <w:vAlign w:val="top"/>
          </w:tcPr>
          <w:p>
            <w:r>
              <w:t>Eligible cases resolved without human intervention, with quality checks to avoid false resolution.</w:t>
            </w:r>
          </w:p>
        </w:tc>
        <w:tc>
          <w:tcPr>
            <w:tcW w:type="dxa" w:w="2880"/>
            <w:vAlign w:val="top"/>
          </w:tcPr>
          <w:p>
            <w:r>
              <w:t>Improve versus baseline without reducing customer satisfaction.</w:t>
            </w:r>
          </w:p>
        </w:tc>
      </w:tr>
      <w:tr>
        <w:tc>
          <w:tcPr>
            <w:tcW w:type="dxa" w:w="1944"/>
            <w:vAlign w:val="top"/>
          </w:tcPr>
          <w:p>
            <w:r>
              <w:t>Escalation quality</w:t>
            </w:r>
          </w:p>
        </w:tc>
        <w:tc>
          <w:tcPr>
            <w:tcW w:type="dxa" w:w="5040"/>
            <w:vAlign w:val="top"/>
          </w:tcPr>
          <w:p>
            <w:r>
              <w:t>Handoff reaches correct queue with reason, summary, and relevant transcript.</w:t>
            </w:r>
          </w:p>
        </w:tc>
        <w:tc>
          <w:tcPr>
            <w:tcW w:type="dxa" w:w="2880"/>
            <w:vAlign w:val="top"/>
          </w:tcPr>
          <w:p>
            <w:r>
              <w:t>All mandatory escalation scenarios route correctly in test suite.</w:t>
            </w:r>
          </w:p>
        </w:tc>
      </w:tr>
      <w:tr>
        <w:tc>
          <w:tcPr>
            <w:tcW w:type="dxa" w:w="1944"/>
            <w:vAlign w:val="top"/>
          </w:tcPr>
          <w:p>
            <w:r>
              <w:t>Channel coverage</w:t>
            </w:r>
          </w:p>
        </w:tc>
        <w:tc>
          <w:tcPr>
            <w:tcW w:type="dxa" w:w="5040"/>
            <w:vAlign w:val="top"/>
          </w:tcPr>
          <w:p>
            <w:r>
              <w:t>Successful receipt and response for chat, email, and inbound voice.</w:t>
            </w:r>
          </w:p>
        </w:tc>
        <w:tc>
          <w:tcPr>
            <w:tcW w:type="dxa" w:w="2880"/>
            <w:vAlign w:val="top"/>
          </w:tcPr>
          <w:p>
            <w:r>
              <w:t>End-to-end tests pass for all three channels.</w:t>
            </w:r>
          </w:p>
        </w:tc>
      </w:tr>
      <w:tr>
        <w:tc>
          <w:tcPr>
            <w:tcW w:type="dxa" w:w="1944"/>
            <w:vAlign w:val="top"/>
          </w:tcPr>
          <w:p>
            <w:r>
              <w:t>Reliability</w:t>
            </w:r>
          </w:p>
        </w:tc>
        <w:tc>
          <w:tcPr>
            <w:tcW w:type="dxa" w:w="5040"/>
            <w:vAlign w:val="top"/>
          </w:tcPr>
          <w:p>
            <w:r>
              <w:t>Availability, webhook failures, message delivery, and recovery behavior.</w:t>
            </w:r>
          </w:p>
        </w:tc>
        <w:tc>
          <w:tcPr>
            <w:tcW w:type="dxa" w:w="2880"/>
            <w:vAlign w:val="top"/>
          </w:tcPr>
          <w:p>
            <w:r>
              <w:t>Agree service objectives for pilot; monitor and report failures.</w:t>
            </w:r>
          </w:p>
        </w:tc>
      </w:tr>
      <w:tr>
        <w:tc>
          <w:tcPr>
            <w:tcW w:type="dxa" w:w="1944"/>
            <w:vAlign w:val="top"/>
          </w:tcPr>
          <w:p>
            <w:r>
              <w:t>Customer experience</w:t>
            </w:r>
          </w:p>
        </w:tc>
        <w:tc>
          <w:tcPr>
            <w:tcW w:type="dxa" w:w="5040"/>
            <w:vAlign w:val="top"/>
          </w:tcPr>
          <w:p>
            <w:r>
              <w:t>CSAT or equivalent feedback plus complaint/reopen rate.</w:t>
            </w:r>
          </w:p>
        </w:tc>
        <w:tc>
          <w:tcPr>
            <w:tcW w:type="dxa" w:w="2880"/>
            <w:vAlign w:val="top"/>
          </w:tcPr>
          <w:p>
            <w:r>
              <w:t>No material deterioration versus the customer's baseline.</w:t>
            </w:r>
          </w:p>
        </w:tc>
      </w:tr>
      <w:tr>
        <w:tc>
          <w:tcPr>
            <w:tcW w:type="dxa" w:w="1944"/>
            <w:vAlign w:val="top"/>
          </w:tcPr>
          <w:p>
            <w:r>
              <w:t>Unit economics</w:t>
            </w:r>
          </w:p>
        </w:tc>
        <w:tc>
          <w:tcPr>
            <w:tcW w:type="dxa" w:w="5040"/>
            <w:vAlign w:val="top"/>
          </w:tcPr>
          <w:p>
            <w:r>
              <w:t>AI/model, telephony, email, infrastructure, and support cost per resolved case.</w:t>
            </w:r>
          </w:p>
        </w:tc>
        <w:tc>
          <w:tcPr>
            <w:tcW w:type="dxa" w:w="2880"/>
            <w:vAlign w:val="top"/>
          </w:tcPr>
          <w:p>
            <w:r>
              <w:t>Instrumented and reviewed; viable pricing hypothesis established.</w:t>
            </w:r>
          </w:p>
        </w:tc>
      </w:tr>
    </w:tbl>
    <w:p/>
    <w:p>
      <w:pPr>
        <w:pStyle w:val="Heading1"/>
      </w:pPr>
      <w:r>
        <w:t>3. Users, Roles, and Permissions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088"/>
          </w:tcPr>
          <w:p>
            <w:r>
              <w:rPr>
                <w:b/>
              </w:rPr>
              <w:t>Role</w:t>
            </w:r>
          </w:p>
        </w:tc>
        <w:tc>
          <w:tcPr>
            <w:tcW w:type="dxa" w:w="3816"/>
          </w:tcPr>
          <w:p>
            <w:r>
              <w:rPr>
                <w:b/>
              </w:rPr>
              <w:t>Primary responsibilities</w:t>
            </w:r>
          </w:p>
        </w:tc>
        <w:tc>
          <w:tcPr>
            <w:tcW w:type="dxa" w:w="3960"/>
          </w:tcPr>
          <w:p>
            <w:r>
              <w:rPr>
                <w:b/>
              </w:rPr>
              <w:t>Typical permissions</w:t>
            </w:r>
          </w:p>
        </w:tc>
      </w:tr>
      <w:tr>
        <w:tc>
          <w:tcPr>
            <w:tcW w:type="dxa" w:w="2088"/>
            <w:vAlign w:val="top"/>
          </w:tcPr>
          <w:p>
            <w:r>
              <w:t>Tenant owner</w:t>
            </w:r>
          </w:p>
        </w:tc>
        <w:tc>
          <w:tcPr>
            <w:tcW w:type="dxa" w:w="3816"/>
            <w:vAlign w:val="top"/>
          </w:tcPr>
          <w:p>
            <w:r>
              <w:t>Owns account, plan, security, and business settings.</w:t>
            </w:r>
          </w:p>
        </w:tc>
        <w:tc>
          <w:tcPr>
            <w:tcW w:type="dxa" w:w="3960"/>
            <w:vAlign w:val="top"/>
          </w:tcPr>
          <w:p>
            <w:r>
              <w:t>Manage tenant, billing configuration, roles, integrations, data retention.</w:t>
            </w:r>
          </w:p>
        </w:tc>
      </w:tr>
      <w:tr>
        <w:tc>
          <w:tcPr>
            <w:tcW w:type="dxa" w:w="2088"/>
            <w:vAlign w:val="top"/>
          </w:tcPr>
          <w:p>
            <w:r>
              <w:t>Support administrator</w:t>
            </w:r>
          </w:p>
        </w:tc>
        <w:tc>
          <w:tcPr>
            <w:tcW w:type="dxa" w:w="3816"/>
            <w:vAlign w:val="top"/>
          </w:tcPr>
          <w:p>
            <w:r>
              <w:t>Configures channels, queues, knowledge, policies, and workflows.</w:t>
            </w:r>
          </w:p>
        </w:tc>
        <w:tc>
          <w:tcPr>
            <w:tcW w:type="dxa" w:w="3960"/>
            <w:vAlign w:val="top"/>
          </w:tcPr>
          <w:p>
            <w:r>
              <w:t>Manage support configuration and reporting; no platform-wide access.</w:t>
            </w:r>
          </w:p>
        </w:tc>
      </w:tr>
      <w:tr>
        <w:tc>
          <w:tcPr>
            <w:tcW w:type="dxa" w:w="2088"/>
            <w:vAlign w:val="top"/>
          </w:tcPr>
          <w:p>
            <w:r>
              <w:t>Support agent</w:t>
            </w:r>
          </w:p>
        </w:tc>
        <w:tc>
          <w:tcPr>
            <w:tcW w:type="dxa" w:w="3816"/>
            <w:vAlign w:val="top"/>
          </w:tcPr>
          <w:p>
            <w:r>
              <w:t>Handles escalated conversations and replies to customers.</w:t>
            </w:r>
          </w:p>
        </w:tc>
        <w:tc>
          <w:tcPr>
            <w:tcW w:type="dxa" w:w="3960"/>
            <w:vAlign w:val="top"/>
          </w:tcPr>
          <w:p>
            <w:r>
              <w:t>View assigned/authorized queues, respond, assign, resolve, add internal notes.</w:t>
            </w:r>
          </w:p>
        </w:tc>
      </w:tr>
      <w:tr>
        <w:tc>
          <w:tcPr>
            <w:tcW w:type="dxa" w:w="2088"/>
            <w:vAlign w:val="top"/>
          </w:tcPr>
          <w:p>
            <w:r>
              <w:t>Team lead / supervisor</w:t>
            </w:r>
          </w:p>
        </w:tc>
        <w:tc>
          <w:tcPr>
            <w:tcW w:type="dxa" w:w="3816"/>
            <w:vAlign w:val="top"/>
          </w:tcPr>
          <w:p>
            <w:r>
              <w:t>Monitors queues, quality, and agent workload.</w:t>
            </w:r>
          </w:p>
        </w:tc>
        <w:tc>
          <w:tcPr>
            <w:tcW w:type="dxa" w:w="3960"/>
            <w:vAlign w:val="top"/>
          </w:tcPr>
          <w:p>
            <w:r>
              <w:t>View team conversations, reassign cases, review analytics, provide QA feedback.</w:t>
            </w:r>
          </w:p>
        </w:tc>
      </w:tr>
      <w:tr>
        <w:tc>
          <w:tcPr>
            <w:tcW w:type="dxa" w:w="2088"/>
            <w:vAlign w:val="top"/>
          </w:tcPr>
          <w:p>
            <w:r>
              <w:t>Knowledge manager</w:t>
            </w:r>
          </w:p>
        </w:tc>
        <w:tc>
          <w:tcPr>
            <w:tcW w:type="dxa" w:w="3816"/>
            <w:vAlign w:val="top"/>
          </w:tcPr>
          <w:p>
            <w:r>
              <w:t>Maintains approved articles and source content.</w:t>
            </w:r>
          </w:p>
        </w:tc>
        <w:tc>
          <w:tcPr>
            <w:tcW w:type="dxa" w:w="3960"/>
            <w:vAlign w:val="top"/>
          </w:tcPr>
          <w:p>
            <w:r>
              <w:t>Create, review, publish, archive knowledge content.</w:t>
            </w:r>
          </w:p>
        </w:tc>
      </w:tr>
      <w:tr>
        <w:tc>
          <w:tcPr>
            <w:tcW w:type="dxa" w:w="2088"/>
            <w:vAlign w:val="top"/>
          </w:tcPr>
          <w:p>
            <w:r>
              <w:t>Platform operator (internal)</w:t>
            </w:r>
          </w:p>
        </w:tc>
        <w:tc>
          <w:tcPr>
            <w:tcW w:type="dxa" w:w="3816"/>
            <w:vAlign w:val="top"/>
          </w:tcPr>
          <w:p>
            <w:r>
              <w:t>Operates the SaaS service and supports tenants.</w:t>
            </w:r>
          </w:p>
        </w:tc>
        <w:tc>
          <w:tcPr>
            <w:tcW w:type="dxa" w:w="3960"/>
            <w:vAlign w:val="top"/>
          </w:tcPr>
          <w:p>
            <w:r>
              <w:t>Restricted operational access, audited and time-bound where feasible.</w:t>
            </w:r>
          </w:p>
        </w:tc>
      </w:tr>
    </w:tbl>
    <w:p/>
    <w:p>
      <w:r>
        <w:t>Authorization must be enforced server-side, not only by hiding UI controls. Tenant users must not access another tenant's conversations, knowledge, credentials, or analytics.</w:t>
      </w:r>
    </w:p>
    <w:p>
      <w:pPr>
        <w:pStyle w:val="Heading1"/>
      </w:pPr>
      <w:r>
        <w:t>4. Primary User Journeys</w:t>
      </w:r>
    </w:p>
    <w:p>
      <w:pPr>
        <w:pStyle w:val="Heading2"/>
      </w:pPr>
      <w:r>
        <w:t>4.1 Administrator onboarding</w:t>
      </w:r>
    </w:p>
    <w:p>
      <w:pPr>
        <w:pStyle w:val="ListNumber"/>
      </w:pPr>
      <w:r>
        <w:t>Create a tenant and invite users.</w:t>
      </w:r>
    </w:p>
    <w:p>
      <w:pPr>
        <w:pStyle w:val="ListNumber"/>
      </w:pPr>
      <w:r>
        <w:t>Configure business profile, time zone, support hours, languages, brand tone, and escalation destinations.</w:t>
      </w:r>
    </w:p>
    <w:p>
      <w:pPr>
        <w:pStyle w:val="ListNumber"/>
      </w:pPr>
      <w:r>
        <w:t>Connect at least one approved knowledge source and review extracted content before it is used in production.</w:t>
      </w:r>
    </w:p>
    <w:p>
      <w:pPr>
        <w:pStyle w:val="ListNumber"/>
      </w:pPr>
      <w:r>
        <w:t>Configure chat, email, and voice entry points, including email addresses and telephony routing supplied by supported providers.</w:t>
      </w:r>
    </w:p>
    <w:p>
      <w:pPr>
        <w:pStyle w:val="ListNumber"/>
      </w:pPr>
      <w:r>
        <w:t>Set permitted integrations and actions; use test/sandbox credentials where available.</w:t>
      </w:r>
    </w:p>
    <w:p>
      <w:pPr>
        <w:pStyle w:val="ListNumber"/>
      </w:pPr>
      <w:r>
        <w:t>Run a guided test set, review results, and explicitly enable production automation.</w:t>
      </w:r>
    </w:p>
    <w:p>
      <w:pPr>
        <w:pStyle w:val="Heading2"/>
      </w:pPr>
      <w:r>
        <w:t>4.2 Customer conversation</w:t>
      </w:r>
    </w:p>
    <w:p>
      <w:pPr>
        <w:pStyle w:val="ListNumber"/>
      </w:pPr>
      <w:r>
        <w:t>Receive a chat message, email, or inbound call.</w:t>
      </w:r>
    </w:p>
    <w:p>
      <w:pPr>
        <w:pStyle w:val="ListNumber"/>
      </w:pPr>
      <w:r>
        <w:t>Create or match a customer/conversation record using channel-appropriate identifiers and tenant rules.</w:t>
      </w:r>
    </w:p>
    <w:p>
      <w:pPr>
        <w:pStyle w:val="ListNumber"/>
      </w:pPr>
      <w:r>
        <w:t>Detect intent and retrieve relevant approved knowledge and permitted customer context.</w:t>
      </w:r>
    </w:p>
    <w:p>
      <w:pPr>
        <w:pStyle w:val="ListNumber"/>
      </w:pPr>
      <w:r>
        <w:t>Respond with a grounded answer or ask a focused clarification question.</w:t>
      </w:r>
    </w:p>
    <w:p>
      <w:pPr>
        <w:pStyle w:val="ListNumber"/>
      </w:pPr>
      <w:r>
        <w:t>For an authorized action, call the integration, validate the result, and explain the outcome.</w:t>
      </w:r>
    </w:p>
    <w:p>
      <w:pPr>
        <w:pStyle w:val="ListNumber"/>
      </w:pPr>
      <w:r>
        <w:t>If unresolved or escalation conditions apply, create/route a handoff with context.</w:t>
      </w:r>
    </w:p>
    <w:p>
      <w:pPr>
        <w:pStyle w:val="ListNumber"/>
      </w:pPr>
      <w:r>
        <w:t>Record outcome, feedback, and events for analytics and quality review.</w:t>
      </w:r>
    </w:p>
    <w:p>
      <w:pPr>
        <w:pStyle w:val="Heading2"/>
      </w:pPr>
      <w:r>
        <w:t>4.3 Human agent handoff</w:t>
      </w:r>
    </w:p>
    <w:p>
      <w:pPr>
        <w:pStyle w:val="ListNumber"/>
      </w:pPr>
      <w:r>
        <w:t>Create or update a case and choose a queue using configured routing rules.</w:t>
      </w:r>
    </w:p>
    <w:p>
      <w:pPr>
        <w:pStyle w:val="ListNumber"/>
      </w:pPr>
      <w:r>
        <w:t>Include channel, customer identity confidence, conversation transcript, summary, intent, attempted actions, relevant source citations, and escalation reason.</w:t>
      </w:r>
    </w:p>
    <w:p>
      <w:pPr>
        <w:pStyle w:val="ListNumber"/>
      </w:pPr>
      <w:r>
        <w:t>Notify the agent according to configured queue behavior.</w:t>
      </w:r>
    </w:p>
    <w:p>
      <w:pPr>
        <w:pStyle w:val="ListNumber"/>
      </w:pPr>
      <w:r>
        <w:t>Allow the agent to take ownership, reply, add internal notes, transfer, and resolve.</w:t>
      </w:r>
    </w:p>
    <w:p>
      <w:pPr>
        <w:pStyle w:val="ListNumber"/>
      </w:pPr>
      <w:r>
        <w:t>When the human replies, ensure the AI does not concurrently send conflicting responses.</w:t>
      </w:r>
    </w:p>
    <w:p>
      <w:pPr>
        <w:pStyle w:val="Heading1"/>
      </w:pPr>
      <w:r>
        <w:t>5. Functional Requirements</w:t>
      </w:r>
    </w:p>
    <w:p>
      <w:r>
        <w:t>Priority legend: P0 = required for initial production pilot; P1 = valuable next increment; P2 = later enhancement.</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792"/>
          </w:tcPr>
          <w:p>
            <w:r>
              <w:rPr>
                <w:b/>
              </w:rPr>
              <w:t>ID</w:t>
            </w:r>
          </w:p>
        </w:tc>
        <w:tc>
          <w:tcPr>
            <w:tcW w:type="dxa" w:w="1656"/>
          </w:tcPr>
          <w:p>
            <w:r>
              <w:rPr>
                <w:b/>
              </w:rPr>
              <w:t>Area</w:t>
            </w:r>
          </w:p>
        </w:tc>
        <w:tc>
          <w:tcPr>
            <w:tcW w:type="dxa" w:w="792"/>
          </w:tcPr>
          <w:p>
            <w:r>
              <w:rPr>
                <w:b/>
              </w:rPr>
              <w:t>Priority</w:t>
            </w:r>
          </w:p>
        </w:tc>
        <w:tc>
          <w:tcPr>
            <w:tcW w:type="dxa" w:w="3888"/>
          </w:tcPr>
          <w:p>
            <w:r>
              <w:rPr>
                <w:b/>
              </w:rPr>
              <w:t>Requirement</w:t>
            </w:r>
          </w:p>
        </w:tc>
        <w:tc>
          <w:tcPr>
            <w:tcW w:type="dxa" w:w="3096"/>
          </w:tcPr>
          <w:p>
            <w:r>
              <w:rPr>
                <w:b/>
              </w:rPr>
              <w:t>Acceptance criteria (summary)</w:t>
            </w:r>
          </w:p>
        </w:tc>
      </w:tr>
      <w:tr>
        <w:tc>
          <w:tcPr>
            <w:tcW w:type="dxa" w:w="792"/>
            <w:vAlign w:val="top"/>
          </w:tcPr>
          <w:p>
            <w:r>
              <w:t>FR-001</w:t>
            </w:r>
          </w:p>
        </w:tc>
        <w:tc>
          <w:tcPr>
            <w:tcW w:type="dxa" w:w="1656"/>
            <w:vAlign w:val="top"/>
          </w:tcPr>
          <w:p>
            <w:r>
              <w:t>Tenant management</w:t>
            </w:r>
          </w:p>
        </w:tc>
        <w:tc>
          <w:tcPr>
            <w:tcW w:type="dxa" w:w="792"/>
            <w:vAlign w:val="top"/>
          </w:tcPr>
          <w:p>
            <w:r>
              <w:t>P0</w:t>
            </w:r>
          </w:p>
        </w:tc>
        <w:tc>
          <w:tcPr>
            <w:tcW w:type="dxa" w:w="3888"/>
            <w:vAlign w:val="top"/>
          </w:tcPr>
          <w:p>
            <w:r>
              <w:t>Users can create/manage an isolated business workspace and configure business name, locale, time zone, support hours, and brand settings.</w:t>
            </w:r>
          </w:p>
        </w:tc>
        <w:tc>
          <w:tcPr>
            <w:tcW w:type="dxa" w:w="3096"/>
            <w:vAlign w:val="top"/>
          </w:tcPr>
          <w:p>
            <w:r>
              <w:t>Tenant A cannot read or mutate Tenant B data in API and UI tests.</w:t>
            </w:r>
          </w:p>
        </w:tc>
      </w:tr>
      <w:tr>
        <w:tc>
          <w:tcPr>
            <w:tcW w:type="dxa" w:w="792"/>
            <w:vAlign w:val="top"/>
          </w:tcPr>
          <w:p>
            <w:r>
              <w:t>FR-002</w:t>
            </w:r>
          </w:p>
        </w:tc>
        <w:tc>
          <w:tcPr>
            <w:tcW w:type="dxa" w:w="1656"/>
            <w:vAlign w:val="top"/>
          </w:tcPr>
          <w:p>
            <w:r>
              <w:t>Authentication and roles</w:t>
            </w:r>
          </w:p>
        </w:tc>
        <w:tc>
          <w:tcPr>
            <w:tcW w:type="dxa" w:w="792"/>
            <w:vAlign w:val="top"/>
          </w:tcPr>
          <w:p>
            <w:r>
              <w:t>P0</w:t>
            </w:r>
          </w:p>
        </w:tc>
        <w:tc>
          <w:tcPr>
            <w:tcW w:type="dxa" w:w="3888"/>
            <w:vAlign w:val="top"/>
          </w:tcPr>
          <w:p>
            <w:r>
              <w:t>Support secure sign-in, invitations, role-based access, session controls, and revocation.</w:t>
            </w:r>
          </w:p>
        </w:tc>
        <w:tc>
          <w:tcPr>
            <w:tcW w:type="dxa" w:w="3096"/>
            <w:vAlign w:val="top"/>
          </w:tcPr>
          <w:p>
            <w:r>
              <w:t>Unauthorized role/action tests are denied server-side and logged.</w:t>
            </w:r>
          </w:p>
        </w:tc>
      </w:tr>
      <w:tr>
        <w:tc>
          <w:tcPr>
            <w:tcW w:type="dxa" w:w="792"/>
            <w:vAlign w:val="top"/>
          </w:tcPr>
          <w:p>
            <w:r>
              <w:t>FR-003</w:t>
            </w:r>
          </w:p>
        </w:tc>
        <w:tc>
          <w:tcPr>
            <w:tcW w:type="dxa" w:w="1656"/>
            <w:vAlign w:val="top"/>
          </w:tcPr>
          <w:p>
            <w:r>
              <w:t>Knowledge ingestion</w:t>
            </w:r>
          </w:p>
        </w:tc>
        <w:tc>
          <w:tcPr>
            <w:tcW w:type="dxa" w:w="792"/>
            <w:vAlign w:val="top"/>
          </w:tcPr>
          <w:p>
            <w:r>
              <w:t>P0</w:t>
            </w:r>
          </w:p>
        </w:tc>
        <w:tc>
          <w:tcPr>
            <w:tcW w:type="dxa" w:w="3888"/>
            <w:vAlign w:val="top"/>
          </w:tcPr>
          <w:p>
            <w:r>
              <w:t>Admin can add and update supported knowledge sources (initially uploaded documents and web/FAQ content, subject to implementation choice).</w:t>
            </w:r>
          </w:p>
        </w:tc>
        <w:tc>
          <w:tcPr>
            <w:tcW w:type="dxa" w:w="3096"/>
            <w:vAlign w:val="top"/>
          </w:tcPr>
          <w:p>
            <w:r>
              <w:t>Ingestion status is visible; failures are actionable; content is reviewable before publication.</w:t>
            </w:r>
          </w:p>
        </w:tc>
      </w:tr>
      <w:tr>
        <w:tc>
          <w:tcPr>
            <w:tcW w:type="dxa" w:w="792"/>
            <w:vAlign w:val="top"/>
          </w:tcPr>
          <w:p>
            <w:r>
              <w:t>FR-004</w:t>
            </w:r>
          </w:p>
        </w:tc>
        <w:tc>
          <w:tcPr>
            <w:tcW w:type="dxa" w:w="1656"/>
            <w:vAlign w:val="top"/>
          </w:tcPr>
          <w:p>
            <w:r>
              <w:t>Knowledge lifecycle</w:t>
            </w:r>
          </w:p>
        </w:tc>
        <w:tc>
          <w:tcPr>
            <w:tcW w:type="dxa" w:w="792"/>
            <w:vAlign w:val="top"/>
          </w:tcPr>
          <w:p>
            <w:r>
              <w:t>P0</w:t>
            </w:r>
          </w:p>
        </w:tc>
        <w:tc>
          <w:tcPr>
            <w:tcW w:type="dxa" w:w="3888"/>
            <w:vAlign w:val="top"/>
          </w:tcPr>
          <w:p>
            <w:r>
              <w:t>Knowledge items can be draft, approved/published, stale, or archived; show source and last-updated time.</w:t>
            </w:r>
          </w:p>
        </w:tc>
        <w:tc>
          <w:tcPr>
            <w:tcW w:type="dxa" w:w="3096"/>
            <w:vAlign w:val="top"/>
          </w:tcPr>
          <w:p>
            <w:r>
              <w:t>Only approved, active content is eligible for production answers.</w:t>
            </w:r>
          </w:p>
        </w:tc>
      </w:tr>
      <w:tr>
        <w:tc>
          <w:tcPr>
            <w:tcW w:type="dxa" w:w="792"/>
            <w:vAlign w:val="top"/>
          </w:tcPr>
          <w:p>
            <w:r>
              <w:t>FR-005</w:t>
            </w:r>
          </w:p>
        </w:tc>
        <w:tc>
          <w:tcPr>
            <w:tcW w:type="dxa" w:w="1656"/>
            <w:vAlign w:val="top"/>
          </w:tcPr>
          <w:p>
            <w:r>
              <w:t>Grounded responses</w:t>
            </w:r>
          </w:p>
        </w:tc>
        <w:tc>
          <w:tcPr>
            <w:tcW w:type="dxa" w:w="792"/>
            <w:vAlign w:val="top"/>
          </w:tcPr>
          <w:p>
            <w:r>
              <w:t>P0</w:t>
            </w:r>
          </w:p>
        </w:tc>
        <w:tc>
          <w:tcPr>
            <w:tcW w:type="dxa" w:w="3888"/>
            <w:vAlign w:val="top"/>
          </w:tcPr>
          <w:p>
            <w:r>
              <w:t>AI answers from retrieved approved content; it can ask for clarification or abstain when evidence is inadequate.</w:t>
            </w:r>
          </w:p>
        </w:tc>
        <w:tc>
          <w:tcPr>
            <w:tcW w:type="dxa" w:w="3096"/>
            <w:vAlign w:val="top"/>
          </w:tcPr>
          <w:p>
            <w:r>
              <w:t>Acceptance tests cover supported, unsupported, contradictory, and stale-knowledge cases.</w:t>
            </w:r>
          </w:p>
        </w:tc>
      </w:tr>
      <w:tr>
        <w:tc>
          <w:tcPr>
            <w:tcW w:type="dxa" w:w="792"/>
            <w:vAlign w:val="top"/>
          </w:tcPr>
          <w:p>
            <w:r>
              <w:t>FR-006</w:t>
            </w:r>
          </w:p>
        </w:tc>
        <w:tc>
          <w:tcPr>
            <w:tcW w:type="dxa" w:w="1656"/>
            <w:vAlign w:val="top"/>
          </w:tcPr>
          <w:p>
            <w:r>
              <w:t>Website/in-app chat</w:t>
            </w:r>
          </w:p>
        </w:tc>
        <w:tc>
          <w:tcPr>
            <w:tcW w:type="dxa" w:w="792"/>
            <w:vAlign w:val="top"/>
          </w:tcPr>
          <w:p>
            <w:r>
              <w:t>P0</w:t>
            </w:r>
          </w:p>
        </w:tc>
        <w:tc>
          <w:tcPr>
            <w:tcW w:type="dxa" w:w="3888"/>
            <w:vAlign w:val="top"/>
          </w:tcPr>
          <w:p>
            <w:r>
              <w:t>Receive and send messages, show conversation state, and preserve history.</w:t>
            </w:r>
          </w:p>
        </w:tc>
        <w:tc>
          <w:tcPr>
            <w:tcW w:type="dxa" w:w="3096"/>
            <w:vAlign w:val="top"/>
          </w:tcPr>
          <w:p>
            <w:r>
              <w:t>Messages are ordered, associated with the right tenant, and retry safely after transient errors.</w:t>
            </w:r>
          </w:p>
        </w:tc>
      </w:tr>
      <w:tr>
        <w:tc>
          <w:tcPr>
            <w:tcW w:type="dxa" w:w="792"/>
            <w:vAlign w:val="top"/>
          </w:tcPr>
          <w:p>
            <w:r>
              <w:t>FR-007</w:t>
            </w:r>
          </w:p>
        </w:tc>
        <w:tc>
          <w:tcPr>
            <w:tcW w:type="dxa" w:w="1656"/>
            <w:vAlign w:val="top"/>
          </w:tcPr>
          <w:p>
            <w:r>
              <w:t>Email support</w:t>
            </w:r>
          </w:p>
        </w:tc>
        <w:tc>
          <w:tcPr>
            <w:tcW w:type="dxa" w:w="792"/>
            <w:vAlign w:val="top"/>
          </w:tcPr>
          <w:p>
            <w:r>
              <w:t>P0</w:t>
            </w:r>
          </w:p>
        </w:tc>
        <w:tc>
          <w:tcPr>
            <w:tcW w:type="dxa" w:w="3888"/>
            <w:vAlign w:val="top"/>
          </w:tcPr>
          <w:p>
            <w:r>
              <w:t>Receive inbound email, thread replies correctly, draft/send replies, and preserve attachments metadata where supported and safe.</w:t>
            </w:r>
          </w:p>
        </w:tc>
        <w:tc>
          <w:tcPr>
            <w:tcW w:type="dxa" w:w="3096"/>
            <w:vAlign w:val="top"/>
          </w:tcPr>
          <w:p>
            <w:r>
              <w:t>Threading, duplicate delivery, reply routing, and attachment limits are tested.</w:t>
            </w:r>
          </w:p>
        </w:tc>
      </w:tr>
      <w:tr>
        <w:tc>
          <w:tcPr>
            <w:tcW w:type="dxa" w:w="792"/>
            <w:vAlign w:val="top"/>
          </w:tcPr>
          <w:p>
            <w:r>
              <w:t>FR-008</w:t>
            </w:r>
          </w:p>
        </w:tc>
        <w:tc>
          <w:tcPr>
            <w:tcW w:type="dxa" w:w="1656"/>
            <w:vAlign w:val="top"/>
          </w:tcPr>
          <w:p>
            <w:r>
              <w:t>Inbound voice</w:t>
            </w:r>
          </w:p>
        </w:tc>
        <w:tc>
          <w:tcPr>
            <w:tcW w:type="dxa" w:w="792"/>
            <w:vAlign w:val="top"/>
          </w:tcPr>
          <w:p>
            <w:r>
              <w:t>P0</w:t>
            </w:r>
          </w:p>
        </w:tc>
        <w:tc>
          <w:tcPr>
            <w:tcW w:type="dxa" w:w="3888"/>
            <w:vAlign w:val="top"/>
          </w:tcPr>
          <w:p>
            <w:r>
              <w:t>Receive calls through a supported telephony provider, greet callers, transcribe/understand speech, respond by voice, and hand off or end the call according to rules.</w:t>
            </w:r>
          </w:p>
        </w:tc>
        <w:tc>
          <w:tcPr>
            <w:tcW w:type="dxa" w:w="3096"/>
            <w:vAlign w:val="top"/>
          </w:tcPr>
          <w:p>
            <w:r>
              <w:t>Call lifecycle, interruptions, no-input, provider outage, transfer, and fallback scenarios are tested.</w:t>
            </w:r>
          </w:p>
        </w:tc>
      </w:tr>
      <w:tr>
        <w:tc>
          <w:tcPr>
            <w:tcW w:type="dxa" w:w="792"/>
            <w:vAlign w:val="top"/>
          </w:tcPr>
          <w:p>
            <w:r>
              <w:t>FR-009</w:t>
            </w:r>
          </w:p>
        </w:tc>
        <w:tc>
          <w:tcPr>
            <w:tcW w:type="dxa" w:w="1656"/>
            <w:vAlign w:val="top"/>
          </w:tcPr>
          <w:p>
            <w:r>
              <w:t>Conversation/case model</w:t>
            </w:r>
          </w:p>
        </w:tc>
        <w:tc>
          <w:tcPr>
            <w:tcW w:type="dxa" w:w="792"/>
            <w:vAlign w:val="top"/>
          </w:tcPr>
          <w:p>
            <w:r>
              <w:t>P0</w:t>
            </w:r>
          </w:p>
        </w:tc>
        <w:tc>
          <w:tcPr>
            <w:tcW w:type="dxa" w:w="3888"/>
            <w:vAlign w:val="top"/>
          </w:tcPr>
          <w:p>
            <w:r>
              <w:t>Store messages/events from each channel under a consistent conversation/case abstraction with channel-specific metadata.</w:t>
            </w:r>
          </w:p>
        </w:tc>
        <w:tc>
          <w:tcPr>
            <w:tcW w:type="dxa" w:w="3096"/>
            <w:vAlign w:val="top"/>
          </w:tcPr>
          <w:p>
            <w:r>
              <w:t>Agents can see channel, timestamps, status, customer context, and prior interactions permitted by policy.</w:t>
            </w:r>
          </w:p>
        </w:tc>
      </w:tr>
      <w:tr>
        <w:tc>
          <w:tcPr>
            <w:tcW w:type="dxa" w:w="792"/>
            <w:vAlign w:val="top"/>
          </w:tcPr>
          <w:p>
            <w:r>
              <w:t>FR-010</w:t>
            </w:r>
          </w:p>
        </w:tc>
        <w:tc>
          <w:tcPr>
            <w:tcW w:type="dxa" w:w="1656"/>
            <w:vAlign w:val="top"/>
          </w:tcPr>
          <w:p>
            <w:r>
              <w:t>Human escalation</w:t>
            </w:r>
          </w:p>
        </w:tc>
        <w:tc>
          <w:tcPr>
            <w:tcW w:type="dxa" w:w="792"/>
            <w:vAlign w:val="top"/>
          </w:tcPr>
          <w:p>
            <w:r>
              <w:t>P0</w:t>
            </w:r>
          </w:p>
        </w:tc>
        <w:tc>
          <w:tcPr>
            <w:tcW w:type="dxa" w:w="3888"/>
            <w:vAlign w:val="top"/>
          </w:tcPr>
          <w:p>
            <w:r>
              <w:t>Escalate on explicit request, low evidence/confidence, sensitive topic, repeated failure, policy requirement, or unavailable authorized action.</w:t>
            </w:r>
          </w:p>
        </w:tc>
        <w:tc>
          <w:tcPr>
            <w:tcW w:type="dxa" w:w="3096"/>
            <w:vAlign w:val="top"/>
          </w:tcPr>
          <w:p>
            <w:r>
              <w:t>Every configured mandatory escalation case routes correctly in automated tests.</w:t>
            </w:r>
          </w:p>
        </w:tc>
      </w:tr>
      <w:tr>
        <w:tc>
          <w:tcPr>
            <w:tcW w:type="dxa" w:w="792"/>
            <w:vAlign w:val="top"/>
          </w:tcPr>
          <w:p>
            <w:r>
              <w:t>FR-011</w:t>
            </w:r>
          </w:p>
        </w:tc>
        <w:tc>
          <w:tcPr>
            <w:tcW w:type="dxa" w:w="1656"/>
            <w:vAlign w:val="top"/>
          </w:tcPr>
          <w:p>
            <w:r>
              <w:t>Queue and assignment</w:t>
            </w:r>
          </w:p>
        </w:tc>
        <w:tc>
          <w:tcPr>
            <w:tcW w:type="dxa" w:w="792"/>
            <w:vAlign w:val="top"/>
          </w:tcPr>
          <w:p>
            <w:r>
              <w:t>P0</w:t>
            </w:r>
          </w:p>
        </w:tc>
        <w:tc>
          <w:tcPr>
            <w:tcW w:type="dxa" w:w="3888"/>
            <w:vAlign w:val="top"/>
          </w:tcPr>
          <w:p>
            <w:r>
              <w:t>Configure queues and basic routing by channel, topic, business hours, and availability/assignment rules.</w:t>
            </w:r>
          </w:p>
        </w:tc>
        <w:tc>
          <w:tcPr>
            <w:tcW w:type="dxa" w:w="3096"/>
            <w:vAlign w:val="top"/>
          </w:tcPr>
          <w:p>
            <w:r>
              <w:t>Cases route to the configured destination; unassigned cases remain visible and trigger configured alerts.</w:t>
            </w:r>
          </w:p>
        </w:tc>
      </w:tr>
      <w:tr>
        <w:tc>
          <w:tcPr>
            <w:tcW w:type="dxa" w:w="792"/>
            <w:vAlign w:val="top"/>
          </w:tcPr>
          <w:p>
            <w:r>
              <w:t>FR-012</w:t>
            </w:r>
          </w:p>
        </w:tc>
        <w:tc>
          <w:tcPr>
            <w:tcW w:type="dxa" w:w="1656"/>
            <w:vAlign w:val="top"/>
          </w:tcPr>
          <w:p>
            <w:r>
              <w:t>Agent workspace</w:t>
            </w:r>
          </w:p>
        </w:tc>
        <w:tc>
          <w:tcPr>
            <w:tcW w:type="dxa" w:w="792"/>
            <w:vAlign w:val="top"/>
          </w:tcPr>
          <w:p>
            <w:r>
              <w:t>P0</w:t>
            </w:r>
          </w:p>
        </w:tc>
        <w:tc>
          <w:tcPr>
            <w:tcW w:type="dxa" w:w="3888"/>
            <w:vAlign w:val="top"/>
          </w:tcPr>
          <w:p>
            <w:r>
              <w:t>Agents can view inbox, conversation transcript, AI summary, escalation reason, reply, add internal note, assign, transfer, and resolve.</w:t>
            </w:r>
          </w:p>
        </w:tc>
        <w:tc>
          <w:tcPr>
            <w:tcW w:type="dxa" w:w="3096"/>
            <w:vAlign w:val="top"/>
          </w:tcPr>
          <w:p>
            <w:r>
              <w:t>Agent actions are permission-checked and reflected consistently across views.</w:t>
            </w:r>
          </w:p>
        </w:tc>
      </w:tr>
      <w:tr>
        <w:tc>
          <w:tcPr>
            <w:tcW w:type="dxa" w:w="792"/>
            <w:vAlign w:val="top"/>
          </w:tcPr>
          <w:p>
            <w:r>
              <w:t>FR-013</w:t>
            </w:r>
          </w:p>
        </w:tc>
        <w:tc>
          <w:tcPr>
            <w:tcW w:type="dxa" w:w="1656"/>
            <w:vAlign w:val="top"/>
          </w:tcPr>
          <w:p>
            <w:r>
              <w:t>Integration/action framework</w:t>
            </w:r>
          </w:p>
        </w:tc>
        <w:tc>
          <w:tcPr>
            <w:tcW w:type="dxa" w:w="792"/>
            <w:vAlign w:val="top"/>
          </w:tcPr>
          <w:p>
            <w:r>
              <w:t>P0</w:t>
            </w:r>
          </w:p>
        </w:tc>
        <w:tc>
          <w:tcPr>
            <w:tcW w:type="dxa" w:w="3888"/>
            <w:vAlign w:val="top"/>
          </w:tcPr>
          <w:p>
            <w:r>
              <w:t>Support a small, defined set of API actions (for example, create ticket or retrieve order status) with allowlists, authentication, validation, and audit events.</w:t>
            </w:r>
          </w:p>
        </w:tc>
        <w:tc>
          <w:tcPr>
            <w:tcW w:type="dxa" w:w="3096"/>
            <w:vAlign w:val="top"/>
          </w:tcPr>
          <w:p>
            <w:r>
              <w:t>AI cannot invoke undeclared actions; failed/ambiguous outcomes are not reported as successful.</w:t>
            </w:r>
          </w:p>
        </w:tc>
      </w:tr>
      <w:tr>
        <w:tc>
          <w:tcPr>
            <w:tcW w:type="dxa" w:w="792"/>
            <w:vAlign w:val="top"/>
          </w:tcPr>
          <w:p>
            <w:r>
              <w:t>FR-014</w:t>
            </w:r>
          </w:p>
        </w:tc>
        <w:tc>
          <w:tcPr>
            <w:tcW w:type="dxa" w:w="1656"/>
            <w:vAlign w:val="top"/>
          </w:tcPr>
          <w:p>
            <w:r>
              <w:t>Customer identity</w:t>
            </w:r>
          </w:p>
        </w:tc>
        <w:tc>
          <w:tcPr>
            <w:tcW w:type="dxa" w:w="792"/>
            <w:vAlign w:val="top"/>
          </w:tcPr>
          <w:p>
            <w:r>
              <w:t>P0</w:t>
            </w:r>
          </w:p>
        </w:tc>
        <w:tc>
          <w:tcPr>
            <w:tcW w:type="dxa" w:w="3888"/>
            <w:vAlign w:val="top"/>
          </w:tcPr>
          <w:p>
            <w:r>
              <w:t>Support channel-appropriate identity matching and explicit verification before exposing protected account information or taking account actions.</w:t>
            </w:r>
          </w:p>
        </w:tc>
        <w:tc>
          <w:tcPr>
            <w:tcW w:type="dxa" w:w="3096"/>
            <w:vAlign w:val="top"/>
          </w:tcPr>
          <w:p>
            <w:r>
              <w:t>Unverified callers/email senders cannot access protected data merely by asserting an identity.</w:t>
            </w:r>
          </w:p>
        </w:tc>
      </w:tr>
      <w:tr>
        <w:tc>
          <w:tcPr>
            <w:tcW w:type="dxa" w:w="792"/>
            <w:vAlign w:val="top"/>
          </w:tcPr>
          <w:p>
            <w:r>
              <w:t>FR-015</w:t>
            </w:r>
          </w:p>
        </w:tc>
        <w:tc>
          <w:tcPr>
            <w:tcW w:type="dxa" w:w="1656"/>
            <w:vAlign w:val="top"/>
          </w:tcPr>
          <w:p>
            <w:r>
              <w:t>Admin configuration</w:t>
            </w:r>
          </w:p>
        </w:tc>
        <w:tc>
          <w:tcPr>
            <w:tcW w:type="dxa" w:w="792"/>
            <w:vAlign w:val="top"/>
          </w:tcPr>
          <w:p>
            <w:r>
              <w:t>P0</w:t>
            </w:r>
          </w:p>
        </w:tc>
        <w:tc>
          <w:tcPr>
            <w:tcW w:type="dxa" w:w="3888"/>
            <w:vAlign w:val="top"/>
          </w:tcPr>
          <w:p>
            <w:r>
              <w:t>Configure response tone, supported languages, hours, escalation rules, queue destinations, and enabled actions.</w:t>
            </w:r>
          </w:p>
        </w:tc>
        <w:tc>
          <w:tcPr>
            <w:tcW w:type="dxa" w:w="3096"/>
            <w:vAlign w:val="top"/>
          </w:tcPr>
          <w:p>
            <w:r>
              <w:t>Changes are versioned/audited and take effect predictably.</w:t>
            </w:r>
          </w:p>
        </w:tc>
      </w:tr>
      <w:tr>
        <w:tc>
          <w:tcPr>
            <w:tcW w:type="dxa" w:w="792"/>
            <w:vAlign w:val="top"/>
          </w:tcPr>
          <w:p>
            <w:r>
              <w:t>FR-016</w:t>
            </w:r>
          </w:p>
        </w:tc>
        <w:tc>
          <w:tcPr>
            <w:tcW w:type="dxa" w:w="1656"/>
            <w:vAlign w:val="top"/>
          </w:tcPr>
          <w:p>
            <w:r>
              <w:t>Analytics dashboard</w:t>
            </w:r>
          </w:p>
        </w:tc>
        <w:tc>
          <w:tcPr>
            <w:tcW w:type="dxa" w:w="792"/>
            <w:vAlign w:val="top"/>
          </w:tcPr>
          <w:p>
            <w:r>
              <w:t>P0</w:t>
            </w:r>
          </w:p>
        </w:tc>
        <w:tc>
          <w:tcPr>
            <w:tcW w:type="dxa" w:w="3888"/>
            <w:vAlign w:val="top"/>
          </w:tcPr>
          <w:p>
            <w:r>
              <w:t>Show conversation volume by channel, resolution and escalation outcomes, response times, failure categories, and customer feedback where available.</w:t>
            </w:r>
          </w:p>
        </w:tc>
        <w:tc>
          <w:tcPr>
            <w:tcW w:type="dxa" w:w="3096"/>
            <w:vAlign w:val="top"/>
          </w:tcPr>
          <w:p>
            <w:r>
              <w:t>Metric definitions are documented and totals reconcile to underlying event records.</w:t>
            </w:r>
          </w:p>
        </w:tc>
      </w:tr>
      <w:tr>
        <w:tc>
          <w:tcPr>
            <w:tcW w:type="dxa" w:w="792"/>
            <w:vAlign w:val="top"/>
          </w:tcPr>
          <w:p>
            <w:r>
              <w:t>FR-017</w:t>
            </w:r>
          </w:p>
        </w:tc>
        <w:tc>
          <w:tcPr>
            <w:tcW w:type="dxa" w:w="1656"/>
            <w:vAlign w:val="top"/>
          </w:tcPr>
          <w:p>
            <w:r>
              <w:t>Feedback and review</w:t>
            </w:r>
          </w:p>
        </w:tc>
        <w:tc>
          <w:tcPr>
            <w:tcW w:type="dxa" w:w="792"/>
            <w:vAlign w:val="top"/>
          </w:tcPr>
          <w:p>
            <w:r>
              <w:t>P0</w:t>
            </w:r>
          </w:p>
        </w:tc>
        <w:tc>
          <w:tcPr>
            <w:tcW w:type="dxa" w:w="3888"/>
            <w:vAlign w:val="top"/>
          </w:tcPr>
          <w:p>
            <w:r>
              <w:t>Allow customer feedback and agent/admin labels for incorrect, incomplete, or unsafe answers.</w:t>
            </w:r>
          </w:p>
        </w:tc>
        <w:tc>
          <w:tcPr>
            <w:tcW w:type="dxa" w:w="3096"/>
            <w:vAlign w:val="top"/>
          </w:tcPr>
          <w:p>
            <w:r>
              <w:t>Feedback is searchable and linked to relevant conversation/response.</w:t>
            </w:r>
          </w:p>
        </w:tc>
      </w:tr>
      <w:tr>
        <w:tc>
          <w:tcPr>
            <w:tcW w:type="dxa" w:w="792"/>
            <w:vAlign w:val="top"/>
          </w:tcPr>
          <w:p>
            <w:r>
              <w:t>FR-018</w:t>
            </w:r>
          </w:p>
        </w:tc>
        <w:tc>
          <w:tcPr>
            <w:tcW w:type="dxa" w:w="1656"/>
            <w:vAlign w:val="top"/>
          </w:tcPr>
          <w:p>
            <w:r>
              <w:t>Audit log</w:t>
            </w:r>
          </w:p>
        </w:tc>
        <w:tc>
          <w:tcPr>
            <w:tcW w:type="dxa" w:w="792"/>
            <w:vAlign w:val="top"/>
          </w:tcPr>
          <w:p>
            <w:r>
              <w:t>P0</w:t>
            </w:r>
          </w:p>
        </w:tc>
        <w:tc>
          <w:tcPr>
            <w:tcW w:type="dxa" w:w="3888"/>
            <w:vAlign w:val="top"/>
          </w:tcPr>
          <w:p>
            <w:r>
              <w:t>Record key admin changes, access-sensitive events, integration calls, AI action attempts, and escalation events.</w:t>
            </w:r>
          </w:p>
        </w:tc>
        <w:tc>
          <w:tcPr>
            <w:tcW w:type="dxa" w:w="3096"/>
            <w:vAlign w:val="top"/>
          </w:tcPr>
          <w:p>
            <w:r>
              <w:t>Audit entries include tenant, actor/system, timestamp, action, and outcome where appropriate.</w:t>
            </w:r>
          </w:p>
        </w:tc>
      </w:tr>
      <w:tr>
        <w:tc>
          <w:tcPr>
            <w:tcW w:type="dxa" w:w="792"/>
            <w:vAlign w:val="top"/>
          </w:tcPr>
          <w:p>
            <w:r>
              <w:t>FR-019</w:t>
            </w:r>
          </w:p>
        </w:tc>
        <w:tc>
          <w:tcPr>
            <w:tcW w:type="dxa" w:w="1656"/>
            <w:vAlign w:val="top"/>
          </w:tcPr>
          <w:p>
            <w:r>
              <w:t>Failure handling</w:t>
            </w:r>
          </w:p>
        </w:tc>
        <w:tc>
          <w:tcPr>
            <w:tcW w:type="dxa" w:w="792"/>
            <w:vAlign w:val="top"/>
          </w:tcPr>
          <w:p>
            <w:r>
              <w:t>P0</w:t>
            </w:r>
          </w:p>
        </w:tc>
        <w:tc>
          <w:tcPr>
            <w:tcW w:type="dxa" w:w="3888"/>
            <w:vAlign w:val="top"/>
          </w:tcPr>
          <w:p>
            <w:r>
              <w:t>Show safe fallback messages, retry transient failures with limits, and route to human or alternative channel when possible.</w:t>
            </w:r>
          </w:p>
        </w:tc>
        <w:tc>
          <w:tcPr>
            <w:tcW w:type="dxa" w:w="3096"/>
            <w:vAlign w:val="top"/>
          </w:tcPr>
          <w:p>
            <w:r>
              <w:t>No silent message loss; duplicate actions are prevented or detected where feasible.</w:t>
            </w:r>
          </w:p>
        </w:tc>
      </w:tr>
      <w:tr>
        <w:tc>
          <w:tcPr>
            <w:tcW w:type="dxa" w:w="792"/>
            <w:vAlign w:val="top"/>
          </w:tcPr>
          <w:p>
            <w:r>
              <w:t>FR-020</w:t>
            </w:r>
          </w:p>
        </w:tc>
        <w:tc>
          <w:tcPr>
            <w:tcW w:type="dxa" w:w="1656"/>
            <w:vAlign w:val="top"/>
          </w:tcPr>
          <w:p>
            <w:r>
              <w:t>Data retention and deletion</w:t>
            </w:r>
          </w:p>
        </w:tc>
        <w:tc>
          <w:tcPr>
            <w:tcW w:type="dxa" w:w="792"/>
            <w:vAlign w:val="top"/>
          </w:tcPr>
          <w:p>
            <w:r>
              <w:t>P0</w:t>
            </w:r>
          </w:p>
        </w:tc>
        <w:tc>
          <w:tcPr>
            <w:tcW w:type="dxa" w:w="3888"/>
            <w:vAlign w:val="top"/>
          </w:tcPr>
          <w:p>
            <w:r>
              <w:t>Provide tenant-configurable retention defaults and a documented process for deletion/export requests, subject to legal obligations.</w:t>
            </w:r>
          </w:p>
        </w:tc>
        <w:tc>
          <w:tcPr>
            <w:tcW w:type="dxa" w:w="3096"/>
            <w:vAlign w:val="top"/>
          </w:tcPr>
          <w:p>
            <w:r>
              <w:t>Retention/deletion behavior is testable and does not leave unintended copies in ordinary application stores.</w:t>
            </w:r>
          </w:p>
        </w:tc>
      </w:tr>
      <w:tr>
        <w:tc>
          <w:tcPr>
            <w:tcW w:type="dxa" w:w="792"/>
            <w:vAlign w:val="top"/>
          </w:tcPr>
          <w:p>
            <w:r>
              <w:t>FR-021</w:t>
            </w:r>
          </w:p>
        </w:tc>
        <w:tc>
          <w:tcPr>
            <w:tcW w:type="dxa" w:w="1656"/>
            <w:vAlign w:val="top"/>
          </w:tcPr>
          <w:p>
            <w:r>
              <w:t>Multi-language support</w:t>
            </w:r>
          </w:p>
        </w:tc>
        <w:tc>
          <w:tcPr>
            <w:tcW w:type="dxa" w:w="792"/>
            <w:vAlign w:val="top"/>
          </w:tcPr>
          <w:p>
            <w:r>
              <w:t>P1</w:t>
            </w:r>
          </w:p>
        </w:tc>
        <w:tc>
          <w:tcPr>
            <w:tcW w:type="dxa" w:w="3888"/>
            <w:vAlign w:val="top"/>
          </w:tcPr>
          <w:p>
            <w:r>
              <w:t>Allow tenants to enable approved languages and configure fallback behavior.</w:t>
            </w:r>
          </w:p>
        </w:tc>
        <w:tc>
          <w:tcPr>
            <w:tcW w:type="dxa" w:w="3096"/>
            <w:vAlign w:val="top"/>
          </w:tcPr>
          <w:p>
            <w:r>
              <w:t>Unsupported languages are identified and routed/fallback safely.</w:t>
            </w:r>
          </w:p>
        </w:tc>
      </w:tr>
      <w:tr>
        <w:tc>
          <w:tcPr>
            <w:tcW w:type="dxa" w:w="792"/>
            <w:vAlign w:val="top"/>
          </w:tcPr>
          <w:p>
            <w:r>
              <w:t>FR-022</w:t>
            </w:r>
          </w:p>
        </w:tc>
        <w:tc>
          <w:tcPr>
            <w:tcW w:type="dxa" w:w="1656"/>
            <w:vAlign w:val="top"/>
          </w:tcPr>
          <w:p>
            <w:r>
              <w:t>Advanced routing and SLA alerts</w:t>
            </w:r>
          </w:p>
        </w:tc>
        <w:tc>
          <w:tcPr>
            <w:tcW w:type="dxa" w:w="792"/>
            <w:vAlign w:val="top"/>
          </w:tcPr>
          <w:p>
            <w:r>
              <w:t>P1</w:t>
            </w:r>
          </w:p>
        </w:tc>
        <w:tc>
          <w:tcPr>
            <w:tcW w:type="dxa" w:w="3888"/>
            <w:vAlign w:val="top"/>
          </w:tcPr>
          <w:p>
            <w:r>
              <w:t>Support skills-based routing, priority, queue aging, and configurable alerts.</w:t>
            </w:r>
          </w:p>
        </w:tc>
        <w:tc>
          <w:tcPr>
            <w:tcW w:type="dxa" w:w="3096"/>
            <w:vAlign w:val="top"/>
          </w:tcPr>
          <w:p>
            <w:r>
              <w:t>Routing rules are deterministic and observable.</w:t>
            </w:r>
          </w:p>
        </w:tc>
      </w:tr>
      <w:tr>
        <w:tc>
          <w:tcPr>
            <w:tcW w:type="dxa" w:w="792"/>
            <w:vAlign w:val="top"/>
          </w:tcPr>
          <w:p>
            <w:r>
              <w:t>FR-023</w:t>
            </w:r>
          </w:p>
        </w:tc>
        <w:tc>
          <w:tcPr>
            <w:tcW w:type="dxa" w:w="1656"/>
            <w:vAlign w:val="top"/>
          </w:tcPr>
          <w:p>
            <w:r>
              <w:t>Agent-assist suggestions</w:t>
            </w:r>
          </w:p>
        </w:tc>
        <w:tc>
          <w:tcPr>
            <w:tcW w:type="dxa" w:w="792"/>
            <w:vAlign w:val="top"/>
          </w:tcPr>
          <w:p>
            <w:r>
              <w:t>P1</w:t>
            </w:r>
          </w:p>
        </w:tc>
        <w:tc>
          <w:tcPr>
            <w:tcW w:type="dxa" w:w="3888"/>
            <w:vAlign w:val="top"/>
          </w:tcPr>
          <w:p>
            <w:r>
              <w:t>Suggest responses and knowledge to agents without sending automatically unless policy permits.</w:t>
            </w:r>
          </w:p>
        </w:tc>
        <w:tc>
          <w:tcPr>
            <w:tcW w:type="dxa" w:w="3096"/>
            <w:vAlign w:val="top"/>
          </w:tcPr>
          <w:p>
            <w:r>
              <w:t>Agent can edit/reject; suggestions are marked as AI-generated.</w:t>
            </w:r>
          </w:p>
        </w:tc>
      </w:tr>
      <w:tr>
        <w:tc>
          <w:tcPr>
            <w:tcW w:type="dxa" w:w="792"/>
            <w:vAlign w:val="top"/>
          </w:tcPr>
          <w:p>
            <w:r>
              <w:t>FR-024</w:t>
            </w:r>
          </w:p>
        </w:tc>
        <w:tc>
          <w:tcPr>
            <w:tcW w:type="dxa" w:w="1656"/>
            <w:vAlign w:val="top"/>
          </w:tcPr>
          <w:p>
            <w:r>
              <w:t>Quality evaluation tools</w:t>
            </w:r>
          </w:p>
        </w:tc>
        <w:tc>
          <w:tcPr>
            <w:tcW w:type="dxa" w:w="792"/>
            <w:vAlign w:val="top"/>
          </w:tcPr>
          <w:p>
            <w:r>
              <w:t>P1</w:t>
            </w:r>
          </w:p>
        </w:tc>
        <w:tc>
          <w:tcPr>
            <w:tcW w:type="dxa" w:w="3888"/>
            <w:vAlign w:val="top"/>
          </w:tcPr>
          <w:p>
            <w:r>
              <w:t>Run test questions against a knowledge/prompt version and compare quality before release.</w:t>
            </w:r>
          </w:p>
        </w:tc>
        <w:tc>
          <w:tcPr>
            <w:tcW w:type="dxa" w:w="3096"/>
            <w:vAlign w:val="top"/>
          </w:tcPr>
          <w:p>
            <w:r>
              <w:t>Results are versioned and can block promotion based on configured criteria.</w:t>
            </w:r>
          </w:p>
        </w:tc>
      </w:tr>
      <w:tr>
        <w:tc>
          <w:tcPr>
            <w:tcW w:type="dxa" w:w="792"/>
            <w:vAlign w:val="top"/>
          </w:tcPr>
          <w:p>
            <w:r>
              <w:t>FR-025</w:t>
            </w:r>
          </w:p>
        </w:tc>
        <w:tc>
          <w:tcPr>
            <w:tcW w:type="dxa" w:w="1656"/>
            <w:vAlign w:val="top"/>
          </w:tcPr>
          <w:p>
            <w:r>
              <w:t>Customer-facing status page</w:t>
            </w:r>
          </w:p>
        </w:tc>
        <w:tc>
          <w:tcPr>
            <w:tcW w:type="dxa" w:w="792"/>
            <w:vAlign w:val="top"/>
          </w:tcPr>
          <w:p>
            <w:r>
              <w:t>P2</w:t>
            </w:r>
          </w:p>
        </w:tc>
        <w:tc>
          <w:tcPr>
            <w:tcW w:type="dxa" w:w="3888"/>
            <w:vAlign w:val="top"/>
          </w:tcPr>
          <w:p>
            <w:r>
              <w:t>Expose status and service notices for supported components.</w:t>
            </w:r>
          </w:p>
        </w:tc>
        <w:tc>
          <w:tcPr>
            <w:tcW w:type="dxa" w:w="3096"/>
            <w:vAlign w:val="top"/>
          </w:tcPr>
          <w:p>
            <w:r>
              <w:t>Status is based on monitored system state and updated operationally.</w:t>
            </w:r>
          </w:p>
        </w:tc>
      </w:tr>
    </w:tbl>
    <w:p/>
    <w:p>
      <w:pPr>
        <w:pStyle w:val="Heading1"/>
      </w:pPr>
      <w:r>
        <w:t>6. Channel-Specific Requirements</w:t>
      </w:r>
    </w:p>
    <w:p>
      <w:pPr>
        <w:pStyle w:val="Heading2"/>
      </w:pPr>
      <w:r>
        <w:t>6.1 Chat</w:t>
      </w:r>
    </w:p>
    <w:p>
      <w:pPr>
        <w:pStyle w:val="ListBullet"/>
      </w:pPr>
      <w:r>
        <w:t>Embed through a secure, configurable website/in-app widget with tenant-specific branding.</w:t>
      </w:r>
    </w:p>
    <w:p>
      <w:pPr>
        <w:pStyle w:val="ListBullet"/>
      </w:pPr>
      <w:r>
        <w:t>Show clear bot identity and a visible way to request a human, subject to configured availability.</w:t>
      </w:r>
    </w:p>
    <w:p>
      <w:pPr>
        <w:pStyle w:val="ListBullet"/>
      </w:pPr>
      <w:r>
        <w:t>Support typing/processing indicators, message timestamps, retry states, and graceful reconnect.</w:t>
      </w:r>
    </w:p>
    <w:p>
      <w:pPr>
        <w:pStyle w:val="ListBullet"/>
      </w:pPr>
      <w:r>
        <w:t>Do not expose internal prompts, tool credentials, other customers' data, or internal agent notes.</w:t>
      </w:r>
    </w:p>
    <w:p>
      <w:pPr>
        <w:pStyle w:val="ListBullet"/>
      </w:pPr>
      <w:r>
        <w:t>Support rate limiting, abuse protection, and safe handling of malicious instructions submitted by users.</w:t>
      </w:r>
    </w:p>
    <w:p>
      <w:pPr>
        <w:pStyle w:val="Heading2"/>
      </w:pPr>
      <w:r>
        <w:t>6.2 Email</w:t>
      </w:r>
    </w:p>
    <w:p>
      <w:pPr>
        <w:pStyle w:val="ListBullet"/>
      </w:pPr>
      <w:r>
        <w:t>Accept mail through a supported mailbox/provider integration and associate replies using provider/thread headers where available.</w:t>
      </w:r>
    </w:p>
    <w:p>
      <w:pPr>
        <w:pStyle w:val="ListBullet"/>
      </w:pPr>
      <w:r>
        <w:t>Handle duplicates and out-of-order events idempotently.</w:t>
      </w:r>
    </w:p>
    <w:p>
      <w:pPr>
        <w:pStyle w:val="ListBullet"/>
      </w:pPr>
      <w:r>
        <w:t>Keep internal notes and AI analysis out of customer-visible messages.</w:t>
      </w:r>
    </w:p>
    <w:p>
      <w:pPr>
        <w:pStyle w:val="ListBullet"/>
      </w:pPr>
      <w:r>
        <w:t>Support draft/review mode during rollout and configurable auto-send rules by intent/risk.</w:t>
      </w:r>
    </w:p>
    <w:p>
      <w:pPr>
        <w:pStyle w:val="ListBullet"/>
      </w:pPr>
      <w:r>
        <w:t>Respect attachment size/type limits and scan or safely isolate files before processing.</w:t>
      </w:r>
    </w:p>
    <w:p>
      <w:pPr>
        <w:pStyle w:val="Heading2"/>
      </w:pPr>
      <w:r>
        <w:t>6.3 Inbound voice</w:t>
      </w:r>
    </w:p>
    <w:p>
      <w:pPr>
        <w:pStyle w:val="ListBullet"/>
      </w:pPr>
      <w:r>
        <w:t>Integrate with a supported telephony provider; exact provider and regions are architecture decisions.</w:t>
      </w:r>
    </w:p>
    <w:p>
      <w:pPr>
        <w:pStyle w:val="ListBullet"/>
      </w:pPr>
      <w:r>
        <w:t>Support greeting, turn-taking, interruption/barge-in where provider capabilities allow, silence/no-input handling, and call termination.</w:t>
      </w:r>
    </w:p>
    <w:p>
      <w:pPr>
        <w:pStyle w:val="ListBullet"/>
      </w:pPr>
      <w:r>
        <w:t>Use speech recognition and speech generation with observable latency and failure states.</w:t>
      </w:r>
    </w:p>
    <w:p>
      <w:pPr>
        <w:pStyle w:val="ListBullet"/>
      </w:pPr>
      <w:r>
        <w:t>Provide transfer to a human queue/number where supported; if transfer fails, offer an approved fallback such as callback request or ticket creation.</w:t>
      </w:r>
    </w:p>
    <w:p>
      <w:pPr>
        <w:pStyle w:val="ListBullet"/>
      </w:pPr>
      <w:r>
        <w:t>Follow applicable consent, recording, disclosure, and retention requirements for each deployment jurisdiction.</w:t>
      </w:r>
    </w:p>
    <w:p>
      <w:pPr>
        <w:pStyle w:val="ListBullet"/>
      </w:pPr>
      <w:r>
        <w:t>Never claim an action completed until the integration confirms the outcome.</w:t>
      </w:r>
    </w:p>
    <w:p>
      <w:pPr>
        <w:pStyle w:val="Heading1"/>
      </w:pPr>
      <w:r>
        <w:t>7. AI Behavior and Conversation Policy</w:t>
      </w:r>
    </w:p>
    <w:p>
      <w:pPr>
        <w:pStyle w:val="Heading2"/>
      </w:pPr>
      <w:r>
        <w:t>7.1 Response decision flow</w:t>
      </w:r>
    </w:p>
    <w:p>
      <w:pPr>
        <w:pStyle w:val="ListNumber"/>
      </w:pPr>
      <w:r>
        <w:t>Classify the request and detect language, urgency, and potentially sensitive categories.</w:t>
      </w:r>
    </w:p>
    <w:p>
      <w:pPr>
        <w:pStyle w:val="ListNumber"/>
      </w:pPr>
      <w:r>
        <w:t>Check whether the request is within the tenant's enabled use cases and policies.</w:t>
      </w:r>
    </w:p>
    <w:p>
      <w:pPr>
        <w:pStyle w:val="ListNumber"/>
      </w:pPr>
      <w:r>
        <w:t>Retrieve relevant approved knowledge and only the minimum authorized customer context.</w:t>
      </w:r>
    </w:p>
    <w:p>
      <w:pPr>
        <w:pStyle w:val="ListNumber"/>
      </w:pPr>
      <w:r>
        <w:t>Determine whether evidence is sufficient and current; if not, ask a concise clarification or abstain.</w:t>
      </w:r>
    </w:p>
    <w:p>
      <w:pPr>
        <w:pStyle w:val="ListNumber"/>
      </w:pPr>
      <w:r>
        <w:t>For actions, validate identity, permissions, required confirmations, and action allowlist before execution.</w:t>
      </w:r>
    </w:p>
    <w:p>
      <w:pPr>
        <w:pStyle w:val="ListNumber"/>
      </w:pPr>
      <w:r>
        <w:t>Verify tool outcome, then communicate only what the system can substantiate.</w:t>
      </w:r>
    </w:p>
    <w:p>
      <w:pPr>
        <w:pStyle w:val="ListNumber"/>
      </w:pPr>
      <w:r>
        <w:t>Escalate when configured conditions are met; include a reason and useful context.</w:t>
      </w:r>
    </w:p>
    <w:p>
      <w:pPr>
        <w:pStyle w:val="Heading2"/>
      </w:pPr>
      <w:r>
        <w:t>7.2 Mandatory escalation triggers</w:t>
      </w:r>
    </w:p>
    <w:p>
      <w:pPr>
        <w:pStyle w:val="ListBullet"/>
      </w:pPr>
      <w:r>
        <w:t>Customer explicitly asks for a human.</w:t>
      </w:r>
    </w:p>
    <w:p>
      <w:pPr>
        <w:pStyle w:val="ListBullet"/>
      </w:pPr>
      <w:r>
        <w:t>The answer is not supported by approved knowledge or sources conflict materially.</w:t>
      </w:r>
    </w:p>
    <w:p>
      <w:pPr>
        <w:pStyle w:val="ListBullet"/>
      </w:pPr>
      <w:r>
        <w:t>Repeated clarification attempts fail to resolve ambiguity.</w:t>
      </w:r>
    </w:p>
    <w:p>
      <w:pPr>
        <w:pStyle w:val="ListBullet"/>
      </w:pPr>
      <w:r>
        <w:t>Identity or authorization is insufficient for protected information or action.</w:t>
      </w:r>
    </w:p>
    <w:p>
      <w:pPr>
        <w:pStyle w:val="ListBullet"/>
      </w:pPr>
      <w:r>
        <w:t>A request involves a sensitive/high-impact decision, policy exception, complaint, suspected fraud, safety issue, or other tenant-defined category.</w:t>
      </w:r>
    </w:p>
    <w:p>
      <w:pPr>
        <w:pStyle w:val="ListBullet"/>
      </w:pPr>
      <w:r>
        <w:t>A required integration is unavailable, returns an ambiguous result, or fails verification.</w:t>
      </w:r>
    </w:p>
    <w:p>
      <w:pPr>
        <w:pStyle w:val="ListBullet"/>
      </w:pPr>
      <w:r>
        <w:t>Configured confidence/quality threshold is not met.</w:t>
      </w:r>
    </w:p>
    <w:p>
      <w:pPr>
        <w:pStyle w:val="Heading2"/>
      </w:pPr>
      <w:r>
        <w:t>7.3 AI evaluation requirements</w:t>
      </w:r>
    </w:p>
    <w:p>
      <w:pPr>
        <w:pStyle w:val="ListBullet"/>
      </w:pPr>
      <w:r>
        <w:t>Maintain a versioned evaluation set of representative customer questions, correct answers, expected actions, and mandatory escalations.</w:t>
      </w:r>
    </w:p>
    <w:p>
      <w:pPr>
        <w:pStyle w:val="ListBullet"/>
      </w:pPr>
      <w:r>
        <w:t>Include adversarial prompts, prompt-injection attempts, unsupported questions, stale/conflicting sources, and multilingual cases where supported.</w:t>
      </w:r>
    </w:p>
    <w:p>
      <w:pPr>
        <w:pStyle w:val="ListBullet"/>
      </w:pPr>
      <w:r>
        <w:t>Measure answer correctness, source support, policy compliance, tool-call correctness, escalation precision/recall, latency, and cost.</w:t>
      </w:r>
    </w:p>
    <w:p>
      <w:pPr>
        <w:pStyle w:val="ListBullet"/>
      </w:pPr>
      <w:r>
        <w:t>Require human review before materially changing prompts, models, retrieval settings, or action permissions in production.</w:t>
      </w:r>
    </w:p>
    <w:p>
      <w:pPr>
        <w:pStyle w:val="ListBullet"/>
      </w:pPr>
      <w:r>
        <w:t>Provide a rollback path for model/configuration changes.</w:t>
      </w:r>
    </w:p>
    <w:p>
      <w:pPr>
        <w:pStyle w:val="Heading1"/>
      </w:pPr>
      <w:r>
        <w:t>8. UX and Design Requirements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1944"/>
          </w:tcPr>
          <w:p>
            <w:r>
              <w:rPr>
                <w:b/>
              </w:rPr>
              <w:t>Screen / surface</w:t>
            </w:r>
          </w:p>
        </w:tc>
        <w:tc>
          <w:tcPr>
            <w:tcW w:type="dxa" w:w="4464"/>
          </w:tcPr>
          <w:p>
            <w:r>
              <w:rPr>
                <w:b/>
              </w:rPr>
              <w:t>Required elements</w:t>
            </w:r>
          </w:p>
        </w:tc>
        <w:tc>
          <w:tcPr>
            <w:tcW w:type="dxa" w:w="3528"/>
          </w:tcPr>
          <w:p>
            <w:r>
              <w:rPr>
                <w:b/>
              </w:rPr>
              <w:t>Design considerations</w:t>
            </w:r>
          </w:p>
        </w:tc>
      </w:tr>
      <w:tr>
        <w:tc>
          <w:tcPr>
            <w:tcW w:type="dxa" w:w="1944"/>
            <w:vAlign w:val="top"/>
          </w:tcPr>
          <w:p>
            <w:r>
              <w:t>Admin onboarding</w:t>
            </w:r>
          </w:p>
        </w:tc>
        <w:tc>
          <w:tcPr>
            <w:tcW w:type="dxa" w:w="4464"/>
            <w:vAlign w:val="top"/>
          </w:tcPr>
          <w:p>
            <w:r>
              <w:t>Tenant profile, channel setup, knowledge setup, integrations, test mode, go-live checklist.</w:t>
            </w:r>
          </w:p>
        </w:tc>
        <w:tc>
          <w:tcPr>
            <w:tcW w:type="dxa" w:w="3528"/>
            <w:vAlign w:val="top"/>
          </w:tcPr>
          <w:p>
            <w:r>
              <w:t>Show progress, validation, permissions, and clear blockers.</w:t>
            </w:r>
          </w:p>
        </w:tc>
      </w:tr>
      <w:tr>
        <w:tc>
          <w:tcPr>
            <w:tcW w:type="dxa" w:w="1944"/>
            <w:vAlign w:val="top"/>
          </w:tcPr>
          <w:p>
            <w:r>
              <w:t>Knowledge manager</w:t>
            </w:r>
          </w:p>
        </w:tc>
        <w:tc>
          <w:tcPr>
            <w:tcW w:type="dxa" w:w="4464"/>
            <w:vAlign w:val="top"/>
          </w:tcPr>
          <w:p>
            <w:r>
              <w:t>Sources, status, content preview, publish/archive, update time, ingestion errors.</w:t>
            </w:r>
          </w:p>
        </w:tc>
        <w:tc>
          <w:tcPr>
            <w:tcW w:type="dxa" w:w="3528"/>
            <w:vAlign w:val="top"/>
          </w:tcPr>
          <w:p>
            <w:r>
              <w:t>Make it obvious what the AI is allowed to use.</w:t>
            </w:r>
          </w:p>
        </w:tc>
      </w:tr>
      <w:tr>
        <w:tc>
          <w:tcPr>
            <w:tcW w:type="dxa" w:w="1944"/>
            <w:vAlign w:val="top"/>
          </w:tcPr>
          <w:p>
            <w:r>
              <w:t>Agent inbox</w:t>
            </w:r>
          </w:p>
        </w:tc>
        <w:tc>
          <w:tcPr>
            <w:tcW w:type="dxa" w:w="4464"/>
            <w:vAlign w:val="top"/>
          </w:tcPr>
          <w:p>
            <w:r>
              <w:t>Queues, filters, unread/priority, assignment, channel and status.</w:t>
            </w:r>
          </w:p>
        </w:tc>
        <w:tc>
          <w:tcPr>
            <w:tcW w:type="dxa" w:w="3528"/>
            <w:vAlign w:val="top"/>
          </w:tcPr>
          <w:p>
            <w:r>
              <w:t>Support keyboard-friendly triage and clear ownership.</w:t>
            </w:r>
          </w:p>
        </w:tc>
      </w:tr>
      <w:tr>
        <w:tc>
          <w:tcPr>
            <w:tcW w:type="dxa" w:w="1944"/>
            <w:vAlign w:val="top"/>
          </w:tcPr>
          <w:p>
            <w:r>
              <w:t>Conversation view</w:t>
            </w:r>
          </w:p>
        </w:tc>
        <w:tc>
          <w:tcPr>
            <w:tcW w:type="dxa" w:w="4464"/>
            <w:vAlign w:val="top"/>
          </w:tcPr>
          <w:p>
            <w:r>
              <w:t>Transcript, customer context, AI summary, source references, attempted actions, escalation reason, reply box.</w:t>
            </w:r>
          </w:p>
        </w:tc>
        <w:tc>
          <w:tcPr>
            <w:tcW w:type="dxa" w:w="3528"/>
            <w:vAlign w:val="top"/>
          </w:tcPr>
          <w:p>
            <w:r>
              <w:t>Visually distinguish customer messages, AI messages, internal notes, and tool events.</w:t>
            </w:r>
          </w:p>
        </w:tc>
      </w:tr>
      <w:tr>
        <w:tc>
          <w:tcPr>
            <w:tcW w:type="dxa" w:w="1944"/>
            <w:vAlign w:val="top"/>
          </w:tcPr>
          <w:p>
            <w:r>
              <w:t>Voice call workspace</w:t>
            </w:r>
          </w:p>
        </w:tc>
        <w:tc>
          <w:tcPr>
            <w:tcW w:type="dxa" w:w="4464"/>
            <w:vAlign w:val="top"/>
          </w:tcPr>
          <w:p>
            <w:r>
              <w:t>Call state, transcript where available, summary, transfer controls, fallback options.</w:t>
            </w:r>
          </w:p>
        </w:tc>
        <w:tc>
          <w:tcPr>
            <w:tcW w:type="dxa" w:w="3528"/>
            <w:vAlign w:val="top"/>
          </w:tcPr>
          <w:p>
            <w:r>
              <w:t>Make call state and transfer success/failure unambiguous.</w:t>
            </w:r>
          </w:p>
        </w:tc>
      </w:tr>
      <w:tr>
        <w:tc>
          <w:tcPr>
            <w:tcW w:type="dxa" w:w="1944"/>
            <w:vAlign w:val="top"/>
          </w:tcPr>
          <w:p>
            <w:r>
              <w:t>Analytics</w:t>
            </w:r>
          </w:p>
        </w:tc>
        <w:tc>
          <w:tcPr>
            <w:tcW w:type="dxa" w:w="4464"/>
            <w:vAlign w:val="top"/>
          </w:tcPr>
          <w:p>
            <w:r>
              <w:t>Volume, resolution, escalations, quality flags, response time, cost where available.</w:t>
            </w:r>
          </w:p>
        </w:tc>
        <w:tc>
          <w:tcPr>
            <w:tcW w:type="dxa" w:w="3528"/>
            <w:vAlign w:val="top"/>
          </w:tcPr>
          <w:p>
            <w:r>
              <w:t>Show definitions, date range, channel filters, and data freshness.</w:t>
            </w:r>
          </w:p>
        </w:tc>
      </w:tr>
      <w:tr>
        <w:tc>
          <w:tcPr>
            <w:tcW w:type="dxa" w:w="1944"/>
            <w:vAlign w:val="top"/>
          </w:tcPr>
          <w:p>
            <w:r>
              <w:t>Settings and audit</w:t>
            </w:r>
          </w:p>
        </w:tc>
        <w:tc>
          <w:tcPr>
            <w:tcW w:type="dxa" w:w="4464"/>
            <w:vAlign w:val="top"/>
          </w:tcPr>
          <w:p>
            <w:r>
              <w:t>Roles, policies, action permissions, retention, integration status, audit trail.</w:t>
            </w:r>
          </w:p>
        </w:tc>
        <w:tc>
          <w:tcPr>
            <w:tcW w:type="dxa" w:w="3528"/>
            <w:vAlign w:val="top"/>
          </w:tcPr>
          <w:p>
            <w:r>
              <w:t>High-impact settings require confirmation and record who changed them.</w:t>
            </w:r>
          </w:p>
        </w:tc>
      </w:tr>
    </w:tbl>
    <w:p/>
    <w:p>
      <w:r>
        <w:t>Accessibility: target WCAG 2.2 AA for primary web experiences where feasible; support keyboard navigation, visible focus, readable contrast, labels, and assistive-technology semantics.</w:t>
      </w:r>
    </w:p>
    <w:p>
      <w:pPr>
        <w:pStyle w:val="Heading1"/>
      </w:pPr>
      <w:r>
        <w:t>9. Data Model and Event Requirements</w:t>
      </w:r>
    </w:p>
    <w:p>
      <w:r>
        <w:t>The logical data model should at minimum represent:</w:t>
      </w:r>
    </w:p>
    <w:p>
      <w:pPr>
        <w:pStyle w:val="ListBullet"/>
      </w:pPr>
      <w:r>
        <w:t>Tenant, user, role, permission, and team/queue.</w:t>
      </w:r>
    </w:p>
    <w:p>
      <w:pPr>
        <w:pStyle w:val="ListBullet"/>
      </w:pPr>
      <w:r>
        <w:t>Customer/contact identity with source and verification state.</w:t>
      </w:r>
    </w:p>
    <w:p>
      <w:pPr>
        <w:pStyle w:val="ListBullet"/>
      </w:pPr>
      <w:r>
        <w:t>Conversation/case with channel, status, priority, timestamps, assigned queue/agent, and resolution reason.</w:t>
      </w:r>
    </w:p>
    <w:p>
      <w:pPr>
        <w:pStyle w:val="ListBullet"/>
      </w:pPr>
      <w:r>
        <w:t>Message/event with direction, sender type, delivery state, timestamps, attachments metadata, and provider IDs.</w:t>
      </w:r>
    </w:p>
    <w:p>
      <w:pPr>
        <w:pStyle w:val="ListBullet"/>
      </w:pPr>
      <w:r>
        <w:t>Knowledge source/item with version, approval state, provenance, last updated time, and retrieval metadata.</w:t>
      </w:r>
    </w:p>
    <w:p>
      <w:pPr>
        <w:pStyle w:val="ListBullet"/>
      </w:pPr>
      <w:r>
        <w:t>Integration connection/action with scoped permissions, execution status, idempotency key where applicable, and audit reference.</w:t>
      </w:r>
    </w:p>
    <w:p>
      <w:pPr>
        <w:pStyle w:val="ListBullet"/>
      </w:pPr>
      <w:r>
        <w:t>AI run/decision with model/config version, retrieved source references, action attempts, latency, cost estimate, and escalation decision, subject to privacy and retention rules.</w:t>
      </w:r>
    </w:p>
    <w:p>
      <w:pPr>
        <w:pStyle w:val="ListBullet"/>
      </w:pPr>
      <w:r>
        <w:t>Feedback, quality review, and evaluation result.</w:t>
      </w:r>
    </w:p>
    <w:p>
      <w:r>
        <w:t>Engineering must define exact schemas, indexes, retention, encryption, and event contracts in the technical design. Avoid storing secrets in ordinary records or logging sensitive payloads unnecessarily.</w:t>
      </w:r>
    </w:p>
    <w:p>
      <w:pPr>
        <w:pStyle w:val="Heading1"/>
      </w:pPr>
      <w:r>
        <w:t>10. Non-Functional Requirements</w:t>
      </w:r>
    </w:p>
    <w:tbl>
      <w:tblPr>
        <w:tblStyle w:val="LightShading-Accent1"/>
        <w:tblW w:type="auto" w:w="0"/>
        <w:jc w:val="center"/>
        <w:tblLook w:firstColumn="1" w:firstRow="1" w:lastColumn="0" w:lastRow="0" w:noHBand="0" w:noVBand="1" w:val="04A0"/>
      </w:tblPr>
      <w:tblGrid>
        <w:gridCol w:w="5040"/>
        <w:gridCol w:w="5040"/>
      </w:tblGrid>
      <w:tr>
        <w:tc>
          <w:tcPr>
            <w:tcW w:type="dxa" w:w="1728"/>
          </w:tcPr>
          <w:p>
            <w:r>
              <w:rPr>
                <w:b/>
              </w:rPr>
              <w:t>Category</w:t>
            </w:r>
          </w:p>
        </w:tc>
        <w:tc>
          <w:tcPr>
            <w:tcW w:type="dxa" w:w="8208"/>
          </w:tcPr>
          <w:p>
            <w:r>
              <w:rPr>
                <w:b/>
              </w:rPr>
              <w:t>Requirement</w:t>
            </w:r>
          </w:p>
        </w:tc>
      </w:tr>
      <w:tr>
        <w:tc>
          <w:tcPr>
            <w:tcW w:type="dxa" w:w="1728"/>
            <w:vAlign w:val="top"/>
          </w:tcPr>
          <w:p>
            <w:r>
              <w:t>Security</w:t>
            </w:r>
          </w:p>
        </w:tc>
        <w:tc>
          <w:tcPr>
            <w:tcW w:type="dxa" w:w="8208"/>
            <w:vAlign w:val="top"/>
          </w:tcPr>
          <w:p>
            <w:r>
              <w:t>TLS in transit, encryption at rest where supported, secret manager for credentials, least privilege, tenant isolation, secure coding, dependency scanning, and periodic access review.</w:t>
            </w:r>
          </w:p>
        </w:tc>
      </w:tr>
      <w:tr>
        <w:tc>
          <w:tcPr>
            <w:tcW w:type="dxa" w:w="1728"/>
            <w:vAlign w:val="top"/>
          </w:tcPr>
          <w:p>
            <w:r>
              <w:t>Privacy</w:t>
            </w:r>
          </w:p>
        </w:tc>
        <w:tc>
          <w:tcPr>
            <w:tcW w:type="dxa" w:w="8208"/>
            <w:vAlign w:val="top"/>
          </w:tcPr>
          <w:p>
            <w:r>
              <w:t>Data minimization, clear retention/deletion policy, restricted access, and documented use of data by AI/model providers.</w:t>
            </w:r>
          </w:p>
        </w:tc>
      </w:tr>
      <w:tr>
        <w:tc>
          <w:tcPr>
            <w:tcW w:type="dxa" w:w="1728"/>
            <w:vAlign w:val="top"/>
          </w:tcPr>
          <w:p>
            <w:r>
              <w:t>Reliability</w:t>
            </w:r>
          </w:p>
        </w:tc>
        <w:tc>
          <w:tcPr>
            <w:tcW w:type="dxa" w:w="8208"/>
            <w:vAlign w:val="top"/>
          </w:tcPr>
          <w:p>
            <w:r>
              <w:t>Retries with backoff and limits, idempotent webhook handling, dead-letter/error visibility, backups, and documented recovery procedures.</w:t>
            </w:r>
          </w:p>
        </w:tc>
      </w:tr>
      <w:tr>
        <w:tc>
          <w:tcPr>
            <w:tcW w:type="dxa" w:w="1728"/>
            <w:vAlign w:val="top"/>
          </w:tcPr>
          <w:p>
            <w:r>
              <w:t>Performance</w:t>
            </w:r>
          </w:p>
        </w:tc>
        <w:tc>
          <w:tcPr>
            <w:tcW w:type="dxa" w:w="8208"/>
            <w:vAlign w:val="top"/>
          </w:tcPr>
          <w:p>
            <w:r>
              <w:t>Set measurable latency targets for chat, email, and voice during architecture planning; voice requires particular attention to end-to-end turn latency.</w:t>
            </w:r>
          </w:p>
        </w:tc>
      </w:tr>
      <w:tr>
        <w:tc>
          <w:tcPr>
            <w:tcW w:type="dxa" w:w="1728"/>
            <w:vAlign w:val="top"/>
          </w:tcPr>
          <w:p>
            <w:r>
              <w:t>Scalability</w:t>
            </w:r>
          </w:p>
        </w:tc>
        <w:tc>
          <w:tcPr>
            <w:tcW w:type="dxa" w:w="8208"/>
            <w:vAlign w:val="top"/>
          </w:tcPr>
          <w:p>
            <w:r>
              <w:t>Queue-based asynchronous processing for channel events and background jobs; load-test expected pilot and growth volumes.</w:t>
            </w:r>
          </w:p>
        </w:tc>
      </w:tr>
      <w:tr>
        <w:tc>
          <w:tcPr>
            <w:tcW w:type="dxa" w:w="1728"/>
            <w:vAlign w:val="top"/>
          </w:tcPr>
          <w:p>
            <w:r>
              <w:t>Observability</w:t>
            </w:r>
          </w:p>
        </w:tc>
        <w:tc>
          <w:tcPr>
            <w:tcW w:type="dxa" w:w="8208"/>
            <w:vAlign w:val="top"/>
          </w:tcPr>
          <w:p>
            <w:r>
              <w:t>Centralized metrics, structured logs, tracing across channel-provider, AI, and integration calls; redact secrets and sensitive data.</w:t>
            </w:r>
          </w:p>
        </w:tc>
      </w:tr>
      <w:tr>
        <w:tc>
          <w:tcPr>
            <w:tcW w:type="dxa" w:w="1728"/>
            <w:vAlign w:val="top"/>
          </w:tcPr>
          <w:p>
            <w:r>
              <w:t>Maintainability</w:t>
            </w:r>
          </w:p>
        </w:tc>
        <w:tc>
          <w:tcPr>
            <w:tcW w:type="dxa" w:w="8208"/>
            <w:vAlign w:val="top"/>
          </w:tcPr>
          <w:p>
            <w:r>
              <w:t>Automated tests, code review, CI/CD, environment separation, migrations, feature flags, and rollback procedures.</w:t>
            </w:r>
          </w:p>
        </w:tc>
      </w:tr>
      <w:tr>
        <w:tc>
          <w:tcPr>
            <w:tcW w:type="dxa" w:w="1728"/>
            <w:vAlign w:val="top"/>
          </w:tcPr>
          <w:p>
            <w:r>
              <w:t>Accessibility</w:t>
            </w:r>
          </w:p>
        </w:tc>
        <w:tc>
          <w:tcPr>
            <w:tcW w:type="dxa" w:w="8208"/>
            <w:vAlign w:val="top"/>
          </w:tcPr>
          <w:p>
            <w:r>
              <w:t>Accessible primary workflows and clear interaction states.</w:t>
            </w:r>
          </w:p>
        </w:tc>
      </w:tr>
      <w:tr>
        <w:tc>
          <w:tcPr>
            <w:tcW w:type="dxa" w:w="1728"/>
            <w:vAlign w:val="top"/>
          </w:tcPr>
          <w:p>
            <w:r>
              <w:t>Portability</w:t>
            </w:r>
          </w:p>
        </w:tc>
        <w:tc>
          <w:tcPr>
            <w:tcW w:type="dxa" w:w="8208"/>
            <w:vAlign w:val="top"/>
          </w:tcPr>
          <w:p>
            <w:r>
              <w:t>Avoid unnecessary hard coupling to one model or provider; use adapters where the complexity is justified.</w:t>
            </w:r>
          </w:p>
        </w:tc>
      </w:tr>
    </w:tbl>
    <w:p/>
    <w:p>
      <w:pPr>
        <w:pStyle w:val="Heading1"/>
      </w:pPr>
      <w:r>
        <w:t>11. Security, Privacy, and Abuse Cases</w:t>
      </w:r>
    </w:p>
    <w:p>
      <w:pPr>
        <w:pStyle w:val="ListBullet"/>
      </w:pPr>
      <w:r>
        <w:t>Prompt injection in customer messages or retrieved documents must not override system policy, tenant boundaries, or tool permissions.</w:t>
      </w:r>
    </w:p>
    <w:p>
      <w:pPr>
        <w:pStyle w:val="ListBullet"/>
      </w:pPr>
      <w:r>
        <w:t>Retrieved documents and email attachments are untrusted input; parsing must be sandboxed and safe.</w:t>
      </w:r>
    </w:p>
    <w:p>
      <w:pPr>
        <w:pStyle w:val="ListBullet"/>
      </w:pPr>
      <w:r>
        <w:t>The AI must never reveal secrets, hidden instructions, another customer's data, or internal-only notes.</w:t>
      </w:r>
    </w:p>
    <w:p>
      <w:pPr>
        <w:pStyle w:val="ListBullet"/>
      </w:pPr>
      <w:r>
        <w:t>Tool calls must be allowlisted, schema-validated, scoped, authenticated, rate-limited, and audited.</w:t>
      </w:r>
    </w:p>
    <w:p>
      <w:pPr>
        <w:pStyle w:val="ListBullet"/>
      </w:pPr>
      <w:r>
        <w:t>Sensitive actions require explicit confirmation and/or human approval as defined by tenant policy.</w:t>
      </w:r>
    </w:p>
    <w:p>
      <w:pPr>
        <w:pStyle w:val="ListBullet"/>
      </w:pPr>
      <w:r>
        <w:t>Authentication and verification requirements differ by action; possession of an email address or caller ID alone must not be treated as sufficient identity proof for sensitive operations.</w:t>
      </w:r>
    </w:p>
    <w:p>
      <w:pPr>
        <w:pStyle w:val="ListBullet"/>
      </w:pPr>
      <w:r>
        <w:t>Logs, transcripts, recordings, and evaluation datasets must follow the documented data policy.</w:t>
      </w:r>
    </w:p>
    <w:p>
      <w:pPr>
        <w:pStyle w:val="ListBullet"/>
      </w:pPr>
      <w:r>
        <w:t>Conduct threat modeling and security review before production use; obtain legal review for relevant privacy, recording, and communication obligations.</w:t>
      </w:r>
    </w:p>
    <w:p>
      <w:pPr>
        <w:pStyle w:val="Heading1"/>
      </w:pPr>
      <w:r>
        <w:t>12. Integrations and External Dependencies</w:t>
      </w:r>
    </w:p>
    <w:p>
      <w:r>
        <w:t>The initial implementation must choose and document specific providers; the PRD intentionally does not lock the team into a vendor.</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088"/>
          </w:tcPr>
          <w:p>
            <w:r>
              <w:rPr>
                <w:b/>
              </w:rPr>
              <w:t>Integration category</w:t>
            </w:r>
          </w:p>
        </w:tc>
        <w:tc>
          <w:tcPr>
            <w:tcW w:type="dxa" w:w="3600"/>
          </w:tcPr>
          <w:p>
            <w:r>
              <w:rPr>
                <w:b/>
              </w:rPr>
              <w:t>MVP expectation</w:t>
            </w:r>
          </w:p>
        </w:tc>
        <w:tc>
          <w:tcPr>
            <w:tcW w:type="dxa" w:w="4248"/>
          </w:tcPr>
          <w:p>
            <w:r>
              <w:rPr>
                <w:b/>
              </w:rPr>
              <w:t>Key decision / dependency</w:t>
            </w:r>
          </w:p>
        </w:tc>
      </w:tr>
      <w:tr>
        <w:tc>
          <w:tcPr>
            <w:tcW w:type="dxa" w:w="2088"/>
            <w:vAlign w:val="top"/>
          </w:tcPr>
          <w:p>
            <w:r>
              <w:t>Chat delivery</w:t>
            </w:r>
          </w:p>
        </w:tc>
        <w:tc>
          <w:tcPr>
            <w:tcW w:type="dxa" w:w="3600"/>
            <w:vAlign w:val="top"/>
          </w:tcPr>
          <w:p>
            <w:r>
              <w:t>Web widget and backend messaging API.</w:t>
            </w:r>
          </w:p>
        </w:tc>
        <w:tc>
          <w:tcPr>
            <w:tcW w:type="dxa" w:w="4248"/>
            <w:vAlign w:val="top"/>
          </w:tcPr>
          <w:p>
            <w:r>
              <w:t>Hosting, authentication, rate limits, event delivery, widget customization.</w:t>
            </w:r>
          </w:p>
        </w:tc>
      </w:tr>
      <w:tr>
        <w:tc>
          <w:tcPr>
            <w:tcW w:type="dxa" w:w="2088"/>
            <w:vAlign w:val="top"/>
          </w:tcPr>
          <w:p>
            <w:r>
              <w:t>Email</w:t>
            </w:r>
          </w:p>
        </w:tc>
        <w:tc>
          <w:tcPr>
            <w:tcW w:type="dxa" w:w="3600"/>
            <w:vAlign w:val="top"/>
          </w:tcPr>
          <w:p>
            <w:r>
              <w:t>Inbound/outbound mail provider integration.</w:t>
            </w:r>
          </w:p>
        </w:tc>
        <w:tc>
          <w:tcPr>
            <w:tcW w:type="dxa" w:w="4248"/>
            <w:vAlign w:val="top"/>
          </w:tcPr>
          <w:p>
            <w:r>
              <w:t>Mailbox provisioning, thread handling, sender reputation, attachment policy.</w:t>
            </w:r>
          </w:p>
        </w:tc>
      </w:tr>
      <w:tr>
        <w:tc>
          <w:tcPr>
            <w:tcW w:type="dxa" w:w="2088"/>
            <w:vAlign w:val="top"/>
          </w:tcPr>
          <w:p>
            <w:r>
              <w:t>Telephony</w:t>
            </w:r>
          </w:p>
        </w:tc>
        <w:tc>
          <w:tcPr>
            <w:tcW w:type="dxa" w:w="3600"/>
            <w:vAlign w:val="top"/>
          </w:tcPr>
          <w:p>
            <w:r>
              <w:t>Inbound number/call handling, audio stream or provider media interface, transfer support.</w:t>
            </w:r>
          </w:p>
        </w:tc>
        <w:tc>
          <w:tcPr>
            <w:tcW w:type="dxa" w:w="4248"/>
            <w:vAlign w:val="top"/>
          </w:tcPr>
          <w:p>
            <w:r>
              <w:t>Regional availability, telephony costs, latency, recording/consent support.</w:t>
            </w:r>
          </w:p>
        </w:tc>
      </w:tr>
      <w:tr>
        <w:tc>
          <w:tcPr>
            <w:tcW w:type="dxa" w:w="2088"/>
            <w:vAlign w:val="top"/>
          </w:tcPr>
          <w:p>
            <w:r>
              <w:t>AI model</w:t>
            </w:r>
          </w:p>
        </w:tc>
        <w:tc>
          <w:tcPr>
            <w:tcW w:type="dxa" w:w="3600"/>
            <w:vAlign w:val="top"/>
          </w:tcPr>
          <w:p>
            <w:r>
              <w:t>Text understanding/generation; speech-to-text and text-to-speech for voice.</w:t>
            </w:r>
          </w:p>
        </w:tc>
        <w:tc>
          <w:tcPr>
            <w:tcW w:type="dxa" w:w="4248"/>
            <w:vAlign w:val="top"/>
          </w:tcPr>
          <w:p>
            <w:r>
              <w:t>Quality, languages, latency, data handling, price, limits, fallback.</w:t>
            </w:r>
          </w:p>
        </w:tc>
      </w:tr>
      <w:tr>
        <w:tc>
          <w:tcPr>
            <w:tcW w:type="dxa" w:w="2088"/>
            <w:vAlign w:val="top"/>
          </w:tcPr>
          <w:p>
            <w:r>
              <w:t>Knowledge storage/retrieval</w:t>
            </w:r>
          </w:p>
        </w:tc>
        <w:tc>
          <w:tcPr>
            <w:tcW w:type="dxa" w:w="3600"/>
            <w:vAlign w:val="top"/>
          </w:tcPr>
          <w:p>
            <w:r>
              <w:t>Document ingestion, search, retrieval, source references.</w:t>
            </w:r>
          </w:p>
        </w:tc>
        <w:tc>
          <w:tcPr>
            <w:tcW w:type="dxa" w:w="4248"/>
            <w:vAlign w:val="top"/>
          </w:tcPr>
          <w:p>
            <w:r>
              <w:t>Supported file types, indexing, versioning, freshness, access controls.</w:t>
            </w:r>
          </w:p>
        </w:tc>
      </w:tr>
      <w:tr>
        <w:tc>
          <w:tcPr>
            <w:tcW w:type="dxa" w:w="2088"/>
            <w:vAlign w:val="top"/>
          </w:tcPr>
          <w:p>
            <w:r>
              <w:t>CRM/ticketing/order system</w:t>
            </w:r>
          </w:p>
        </w:tc>
        <w:tc>
          <w:tcPr>
            <w:tcW w:type="dxa" w:w="3600"/>
            <w:vAlign w:val="top"/>
          </w:tcPr>
          <w:p>
            <w:r>
              <w:t>Start with a small number of pilot-driven actions.</w:t>
            </w:r>
          </w:p>
        </w:tc>
        <w:tc>
          <w:tcPr>
            <w:tcW w:type="dxa" w:w="4248"/>
            <w:vAlign w:val="top"/>
          </w:tcPr>
          <w:p>
            <w:r>
              <w:t>Customer demand, API maturity, auth model, sandbox access, idempotency.</w:t>
            </w:r>
          </w:p>
        </w:tc>
      </w:tr>
    </w:tbl>
    <w:p/>
    <w:p>
      <w:pPr>
        <w:pStyle w:val="Heading1"/>
      </w:pPr>
      <w:r>
        <w:t>13. QA and Acceptance Test Strategy</w:t>
      </w:r>
    </w:p>
    <w:p>
      <w:pPr>
        <w:pStyle w:val="Heading2"/>
      </w:pPr>
      <w:r>
        <w:t>13.1 Test layers</w:t>
      </w:r>
    </w:p>
    <w:p>
      <w:pPr>
        <w:pStyle w:val="ListBullet"/>
      </w:pPr>
      <w:r>
        <w:t>Unit tests for routing rules, permissions, parsing, state transitions, retries, and idempotency.</w:t>
      </w:r>
    </w:p>
    <w:p>
      <w:pPr>
        <w:pStyle w:val="ListBullet"/>
      </w:pPr>
      <w:r>
        <w:t>Integration tests with provider sandboxes or mocks for chat, email, telephony, model APIs, and business systems.</w:t>
      </w:r>
    </w:p>
    <w:p>
      <w:pPr>
        <w:pStyle w:val="ListBullet"/>
      </w:pPr>
      <w:r>
        <w:t>End-to-end tests across customer, AI, tool, and human-agent workflows.</w:t>
      </w:r>
    </w:p>
    <w:p>
      <w:pPr>
        <w:pStyle w:val="ListBullet"/>
      </w:pPr>
      <w:r>
        <w:t>AI evaluation tests using fixed and versioned test sets; do not rely on deterministic text matching alone.</w:t>
      </w:r>
    </w:p>
    <w:p>
      <w:pPr>
        <w:pStyle w:val="ListBullet"/>
      </w:pPr>
      <w:r>
        <w:t>Security tests for tenant isolation, access control, prompt injection, data leakage, malicious attachments, and action authorization.</w:t>
      </w:r>
    </w:p>
    <w:p>
      <w:pPr>
        <w:pStyle w:val="ListBullet"/>
      </w:pPr>
      <w:r>
        <w:t>Load and resilience tests for bursts, provider timeouts, duplicate events, outages, and queue backlogs.</w:t>
      </w:r>
    </w:p>
    <w:p>
      <w:pPr>
        <w:pStyle w:val="ListBullet"/>
      </w:pPr>
      <w:r>
        <w:t>Usability and accessibility testing with administrators and support agents.</w:t>
      </w:r>
    </w:p>
    <w:p>
      <w:pPr>
        <w:pStyle w:val="Heading2"/>
      </w:pPr>
      <w:r>
        <w:t>13.2 Minimum acceptance scenarios</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936"/>
          </w:tcPr>
          <w:p>
            <w:r>
              <w:rPr>
                <w:b/>
              </w:rPr>
              <w:t>ID</w:t>
            </w:r>
          </w:p>
        </w:tc>
        <w:tc>
          <w:tcPr>
            <w:tcW w:type="dxa" w:w="1800"/>
          </w:tcPr>
          <w:p>
            <w:r>
              <w:rPr>
                <w:b/>
              </w:rPr>
              <w:t>Scenario</w:t>
            </w:r>
          </w:p>
        </w:tc>
        <w:tc>
          <w:tcPr>
            <w:tcW w:type="dxa" w:w="3240"/>
          </w:tcPr>
          <w:p>
            <w:r>
              <w:rPr>
                <w:b/>
              </w:rPr>
              <w:t>Setup</w:t>
            </w:r>
          </w:p>
        </w:tc>
        <w:tc>
          <w:tcPr>
            <w:tcW w:type="dxa" w:w="3960"/>
          </w:tcPr>
          <w:p>
            <w:r>
              <w:rPr>
                <w:b/>
              </w:rPr>
              <w:t>Expected result</w:t>
            </w:r>
          </w:p>
        </w:tc>
      </w:tr>
      <w:tr>
        <w:tc>
          <w:tcPr>
            <w:tcW w:type="dxa" w:w="936"/>
            <w:vAlign w:val="top"/>
          </w:tcPr>
          <w:p>
            <w:r>
              <w:t>QA-001</w:t>
            </w:r>
          </w:p>
        </w:tc>
        <w:tc>
          <w:tcPr>
            <w:tcW w:type="dxa" w:w="1800"/>
            <w:vAlign w:val="top"/>
          </w:tcPr>
          <w:p>
            <w:r>
              <w:t>Grounded FAQ answer</w:t>
            </w:r>
          </w:p>
        </w:tc>
        <w:tc>
          <w:tcPr>
            <w:tcW w:type="dxa" w:w="3240"/>
            <w:vAlign w:val="top"/>
          </w:tcPr>
          <w:p>
            <w:r>
              <w:t>Question answerable from current approved source.</w:t>
            </w:r>
          </w:p>
        </w:tc>
        <w:tc>
          <w:tcPr>
            <w:tcW w:type="dxa" w:w="3960"/>
            <w:vAlign w:val="top"/>
          </w:tcPr>
          <w:p>
            <w:r>
              <w:t>Answer is accurate and traceable to approved source.</w:t>
            </w:r>
          </w:p>
        </w:tc>
      </w:tr>
      <w:tr>
        <w:tc>
          <w:tcPr>
            <w:tcW w:type="dxa" w:w="936"/>
            <w:vAlign w:val="top"/>
          </w:tcPr>
          <w:p>
            <w:r>
              <w:t>QA-002</w:t>
            </w:r>
          </w:p>
        </w:tc>
        <w:tc>
          <w:tcPr>
            <w:tcW w:type="dxa" w:w="1800"/>
            <w:vAlign w:val="top"/>
          </w:tcPr>
          <w:p>
            <w:r>
              <w:t>Unknown question</w:t>
            </w:r>
          </w:p>
        </w:tc>
        <w:tc>
          <w:tcPr>
            <w:tcW w:type="dxa" w:w="3240"/>
            <w:vAlign w:val="top"/>
          </w:tcPr>
          <w:p>
            <w:r>
              <w:t>No relevant approved source exists.</w:t>
            </w:r>
          </w:p>
        </w:tc>
        <w:tc>
          <w:tcPr>
            <w:tcW w:type="dxa" w:w="3960"/>
            <w:vAlign w:val="top"/>
          </w:tcPr>
          <w:p>
            <w:r>
              <w:t>System abstains or asks for clarification; does not invent policy.</w:t>
            </w:r>
          </w:p>
        </w:tc>
      </w:tr>
      <w:tr>
        <w:tc>
          <w:tcPr>
            <w:tcW w:type="dxa" w:w="936"/>
            <w:vAlign w:val="top"/>
          </w:tcPr>
          <w:p>
            <w:r>
              <w:t>QA-003</w:t>
            </w:r>
          </w:p>
        </w:tc>
        <w:tc>
          <w:tcPr>
            <w:tcW w:type="dxa" w:w="1800"/>
            <w:vAlign w:val="top"/>
          </w:tcPr>
          <w:p>
            <w:r>
              <w:t>Conflicting sources</w:t>
            </w:r>
          </w:p>
        </w:tc>
        <w:tc>
          <w:tcPr>
            <w:tcW w:type="dxa" w:w="3240"/>
            <w:vAlign w:val="top"/>
          </w:tcPr>
          <w:p>
            <w:r>
              <w:t>Two approved sources conflict materially.</w:t>
            </w:r>
          </w:p>
        </w:tc>
        <w:tc>
          <w:tcPr>
            <w:tcW w:type="dxa" w:w="3960"/>
            <w:vAlign w:val="top"/>
          </w:tcPr>
          <w:p>
            <w:r>
              <w:t>System does not silently choose a risky answer; flags/escalates according to policy.</w:t>
            </w:r>
          </w:p>
        </w:tc>
      </w:tr>
      <w:tr>
        <w:tc>
          <w:tcPr>
            <w:tcW w:type="dxa" w:w="936"/>
            <w:vAlign w:val="top"/>
          </w:tcPr>
          <w:p>
            <w:r>
              <w:t>QA-004</w:t>
            </w:r>
          </w:p>
        </w:tc>
        <w:tc>
          <w:tcPr>
            <w:tcW w:type="dxa" w:w="1800"/>
            <w:vAlign w:val="top"/>
          </w:tcPr>
          <w:p>
            <w:r>
              <w:t>Human request</w:t>
            </w:r>
          </w:p>
        </w:tc>
        <w:tc>
          <w:tcPr>
            <w:tcW w:type="dxa" w:w="3240"/>
            <w:vAlign w:val="top"/>
          </w:tcPr>
          <w:p>
            <w:r>
              <w:t>Customer asks for a person.</w:t>
            </w:r>
          </w:p>
        </w:tc>
        <w:tc>
          <w:tcPr>
            <w:tcW w:type="dxa" w:w="3960"/>
            <w:vAlign w:val="top"/>
          </w:tcPr>
          <w:p>
            <w:r>
              <w:t>Handoff starts and customer receives clear status/fallback.</w:t>
            </w:r>
          </w:p>
        </w:tc>
      </w:tr>
      <w:tr>
        <w:tc>
          <w:tcPr>
            <w:tcW w:type="dxa" w:w="936"/>
            <w:vAlign w:val="top"/>
          </w:tcPr>
          <w:p>
            <w:r>
              <w:t>QA-005</w:t>
            </w:r>
          </w:p>
        </w:tc>
        <w:tc>
          <w:tcPr>
            <w:tcW w:type="dxa" w:w="1800"/>
            <w:vAlign w:val="top"/>
          </w:tcPr>
          <w:p>
            <w:r>
              <w:t>Chat tenant isolation</w:t>
            </w:r>
          </w:p>
        </w:tc>
        <w:tc>
          <w:tcPr>
            <w:tcW w:type="dxa" w:w="3240"/>
            <w:vAlign w:val="top"/>
          </w:tcPr>
          <w:p>
            <w:r>
              <w:t>Tenant A attempts to access Tenant B conversation.</w:t>
            </w:r>
          </w:p>
        </w:tc>
        <w:tc>
          <w:tcPr>
            <w:tcW w:type="dxa" w:w="3960"/>
            <w:vAlign w:val="top"/>
          </w:tcPr>
          <w:p>
            <w:r>
              <w:t>Access is denied and event is logged.</w:t>
            </w:r>
          </w:p>
        </w:tc>
      </w:tr>
      <w:tr>
        <w:tc>
          <w:tcPr>
            <w:tcW w:type="dxa" w:w="936"/>
            <w:vAlign w:val="top"/>
          </w:tcPr>
          <w:p>
            <w:r>
              <w:t>QA-006</w:t>
            </w:r>
          </w:p>
        </w:tc>
        <w:tc>
          <w:tcPr>
            <w:tcW w:type="dxa" w:w="1800"/>
            <w:vAlign w:val="top"/>
          </w:tcPr>
          <w:p>
            <w:r>
              <w:t>Email duplicate event</w:t>
            </w:r>
          </w:p>
        </w:tc>
        <w:tc>
          <w:tcPr>
            <w:tcW w:type="dxa" w:w="3240"/>
            <w:vAlign w:val="top"/>
          </w:tcPr>
          <w:p>
            <w:r>
              <w:t>Provider delivers the same event twice.</w:t>
            </w:r>
          </w:p>
        </w:tc>
        <w:tc>
          <w:tcPr>
            <w:tcW w:type="dxa" w:w="3960"/>
            <w:vAlign w:val="top"/>
          </w:tcPr>
          <w:p>
            <w:r>
              <w:t>No duplicate customer reply or duplicate side effect.</w:t>
            </w:r>
          </w:p>
        </w:tc>
      </w:tr>
      <w:tr>
        <w:tc>
          <w:tcPr>
            <w:tcW w:type="dxa" w:w="936"/>
            <w:vAlign w:val="top"/>
          </w:tcPr>
          <w:p>
            <w:r>
              <w:t>QA-007</w:t>
            </w:r>
          </w:p>
        </w:tc>
        <w:tc>
          <w:tcPr>
            <w:tcW w:type="dxa" w:w="1800"/>
            <w:vAlign w:val="top"/>
          </w:tcPr>
          <w:p>
            <w:r>
              <w:t>Email thread reply</w:t>
            </w:r>
          </w:p>
        </w:tc>
        <w:tc>
          <w:tcPr>
            <w:tcW w:type="dxa" w:w="3240"/>
            <w:vAlign w:val="top"/>
          </w:tcPr>
          <w:p>
            <w:r>
              <w:t>Customer replies to an existing email thread.</w:t>
            </w:r>
          </w:p>
        </w:tc>
        <w:tc>
          <w:tcPr>
            <w:tcW w:type="dxa" w:w="3960"/>
            <w:vAlign w:val="top"/>
          </w:tcPr>
          <w:p>
            <w:r>
              <w:t>Reply associates with the correct case or safely creates a new case.</w:t>
            </w:r>
          </w:p>
        </w:tc>
      </w:tr>
      <w:tr>
        <w:tc>
          <w:tcPr>
            <w:tcW w:type="dxa" w:w="936"/>
            <w:vAlign w:val="top"/>
          </w:tcPr>
          <w:p>
            <w:r>
              <w:t>QA-008</w:t>
            </w:r>
          </w:p>
        </w:tc>
        <w:tc>
          <w:tcPr>
            <w:tcW w:type="dxa" w:w="1800"/>
            <w:vAlign w:val="top"/>
          </w:tcPr>
          <w:p>
            <w:r>
              <w:t>Voice silence/no input</w:t>
            </w:r>
          </w:p>
        </w:tc>
        <w:tc>
          <w:tcPr>
            <w:tcW w:type="dxa" w:w="3240"/>
            <w:vAlign w:val="top"/>
          </w:tcPr>
          <w:p>
            <w:r>
              <w:t>Caller provides no usable input.</w:t>
            </w:r>
          </w:p>
        </w:tc>
        <w:tc>
          <w:tcPr>
            <w:tcW w:type="dxa" w:w="3960"/>
            <w:vAlign w:val="top"/>
          </w:tcPr>
          <w:p>
            <w:r>
              <w:t>System prompts within limits, then uses configured fallback.</w:t>
            </w:r>
          </w:p>
        </w:tc>
      </w:tr>
      <w:tr>
        <w:tc>
          <w:tcPr>
            <w:tcW w:type="dxa" w:w="936"/>
            <w:vAlign w:val="top"/>
          </w:tcPr>
          <w:p>
            <w:r>
              <w:t>QA-009</w:t>
            </w:r>
          </w:p>
        </w:tc>
        <w:tc>
          <w:tcPr>
            <w:tcW w:type="dxa" w:w="1800"/>
            <w:vAlign w:val="top"/>
          </w:tcPr>
          <w:p>
            <w:r>
              <w:t>Voice transfer failure</w:t>
            </w:r>
          </w:p>
        </w:tc>
        <w:tc>
          <w:tcPr>
            <w:tcW w:type="dxa" w:w="3240"/>
            <w:vAlign w:val="top"/>
          </w:tcPr>
          <w:p>
            <w:r>
              <w:t>Human transfer fails at provider.</w:t>
            </w:r>
          </w:p>
        </w:tc>
        <w:tc>
          <w:tcPr>
            <w:tcW w:type="dxa" w:w="3960"/>
            <w:vAlign w:val="top"/>
          </w:tcPr>
          <w:p>
            <w:r>
              <w:t>Customer receives fallback option; case context is preserved.</w:t>
            </w:r>
          </w:p>
        </w:tc>
      </w:tr>
      <w:tr>
        <w:tc>
          <w:tcPr>
            <w:tcW w:type="dxa" w:w="936"/>
            <w:vAlign w:val="top"/>
          </w:tcPr>
          <w:p>
            <w:r>
              <w:t>QA-010</w:t>
            </w:r>
          </w:p>
        </w:tc>
        <w:tc>
          <w:tcPr>
            <w:tcW w:type="dxa" w:w="1800"/>
            <w:vAlign w:val="top"/>
          </w:tcPr>
          <w:p>
            <w:r>
              <w:t>Unauthorized tool action</w:t>
            </w:r>
          </w:p>
        </w:tc>
        <w:tc>
          <w:tcPr>
            <w:tcW w:type="dxa" w:w="3240"/>
            <w:vAlign w:val="top"/>
          </w:tcPr>
          <w:p>
            <w:r>
              <w:t>AI attempts an action not enabled for tenant.</w:t>
            </w:r>
          </w:p>
        </w:tc>
        <w:tc>
          <w:tcPr>
            <w:tcW w:type="dxa" w:w="3960"/>
            <w:vAlign w:val="top"/>
          </w:tcPr>
          <w:p>
            <w:r>
              <w:t>Action is blocked, logged, and never reported as completed.</w:t>
            </w:r>
          </w:p>
        </w:tc>
      </w:tr>
      <w:tr>
        <w:tc>
          <w:tcPr>
            <w:tcW w:type="dxa" w:w="936"/>
            <w:vAlign w:val="top"/>
          </w:tcPr>
          <w:p>
            <w:r>
              <w:t>QA-011</w:t>
            </w:r>
          </w:p>
        </w:tc>
        <w:tc>
          <w:tcPr>
            <w:tcW w:type="dxa" w:w="1800"/>
            <w:vAlign w:val="top"/>
          </w:tcPr>
          <w:p>
            <w:r>
              <w:t>Action timeout</w:t>
            </w:r>
          </w:p>
        </w:tc>
        <w:tc>
          <w:tcPr>
            <w:tcW w:type="dxa" w:w="3240"/>
            <w:vAlign w:val="top"/>
          </w:tcPr>
          <w:p>
            <w:r>
              <w:t>Order/ticket API times out after request.</w:t>
            </w:r>
          </w:p>
        </w:tc>
        <w:tc>
          <w:tcPr>
            <w:tcW w:type="dxa" w:w="3960"/>
            <w:vAlign w:val="top"/>
          </w:tcPr>
          <w:p>
            <w:r>
              <w:t>System checks outcome/idempotency before retrying; avoids duplicate side effects.</w:t>
            </w:r>
          </w:p>
        </w:tc>
      </w:tr>
      <w:tr>
        <w:tc>
          <w:tcPr>
            <w:tcW w:type="dxa" w:w="936"/>
            <w:vAlign w:val="top"/>
          </w:tcPr>
          <w:p>
            <w:r>
              <w:t>QA-012</w:t>
            </w:r>
          </w:p>
        </w:tc>
        <w:tc>
          <w:tcPr>
            <w:tcW w:type="dxa" w:w="1800"/>
            <w:vAlign w:val="top"/>
          </w:tcPr>
          <w:p>
            <w:r>
              <w:t>Sensitive request</w:t>
            </w:r>
          </w:p>
        </w:tc>
        <w:tc>
          <w:tcPr>
            <w:tcW w:type="dxa" w:w="3240"/>
            <w:vAlign w:val="top"/>
          </w:tcPr>
          <w:p>
            <w:r>
              <w:t>Customer requests a policy exception or protected data without verification.</w:t>
            </w:r>
          </w:p>
        </w:tc>
        <w:tc>
          <w:tcPr>
            <w:tcW w:type="dxa" w:w="3960"/>
            <w:vAlign w:val="top"/>
          </w:tcPr>
          <w:p>
            <w:r>
              <w:t>System escalates or verifies; does not disclose or act prematurely.</w:t>
            </w:r>
          </w:p>
        </w:tc>
      </w:tr>
      <w:tr>
        <w:tc>
          <w:tcPr>
            <w:tcW w:type="dxa" w:w="936"/>
            <w:vAlign w:val="top"/>
          </w:tcPr>
          <w:p>
            <w:r>
              <w:t>QA-013</w:t>
            </w:r>
          </w:p>
        </w:tc>
        <w:tc>
          <w:tcPr>
            <w:tcW w:type="dxa" w:w="1800"/>
            <w:vAlign w:val="top"/>
          </w:tcPr>
          <w:p>
            <w:r>
              <w:t>Prompt injection</w:t>
            </w:r>
          </w:p>
        </w:tc>
        <w:tc>
          <w:tcPr>
            <w:tcW w:type="dxa" w:w="3240"/>
            <w:vAlign w:val="top"/>
          </w:tcPr>
          <w:p>
            <w:r>
              <w:t>Customer asks AI to ignore rules and reveal hidden data.</w:t>
            </w:r>
          </w:p>
        </w:tc>
        <w:tc>
          <w:tcPr>
            <w:tcW w:type="dxa" w:w="3960"/>
            <w:vAlign w:val="top"/>
          </w:tcPr>
          <w:p>
            <w:r>
              <w:t>Policy and tenant boundaries remain intact.</w:t>
            </w:r>
          </w:p>
        </w:tc>
      </w:tr>
      <w:tr>
        <w:tc>
          <w:tcPr>
            <w:tcW w:type="dxa" w:w="936"/>
            <w:vAlign w:val="top"/>
          </w:tcPr>
          <w:p>
            <w:r>
              <w:t>QA-014</w:t>
            </w:r>
          </w:p>
        </w:tc>
        <w:tc>
          <w:tcPr>
            <w:tcW w:type="dxa" w:w="1800"/>
            <w:vAlign w:val="top"/>
          </w:tcPr>
          <w:p>
            <w:r>
              <w:t>Integration unavailable</w:t>
            </w:r>
          </w:p>
        </w:tc>
        <w:tc>
          <w:tcPr>
            <w:tcW w:type="dxa" w:w="3240"/>
            <w:vAlign w:val="top"/>
          </w:tcPr>
          <w:p>
            <w:r>
              <w:t>Required system is down.</w:t>
            </w:r>
          </w:p>
        </w:tc>
        <w:tc>
          <w:tcPr>
            <w:tcW w:type="dxa" w:w="3960"/>
            <w:vAlign w:val="top"/>
          </w:tcPr>
          <w:p>
            <w:r>
              <w:t>System communicates limitation and routes/falls back; no false success claim.</w:t>
            </w:r>
          </w:p>
        </w:tc>
      </w:tr>
      <w:tr>
        <w:tc>
          <w:tcPr>
            <w:tcW w:type="dxa" w:w="936"/>
            <w:vAlign w:val="top"/>
          </w:tcPr>
          <w:p>
            <w:r>
              <w:t>QA-015</w:t>
            </w:r>
          </w:p>
        </w:tc>
        <w:tc>
          <w:tcPr>
            <w:tcW w:type="dxa" w:w="1800"/>
            <w:vAlign w:val="top"/>
          </w:tcPr>
          <w:p>
            <w:r>
              <w:t>Audit trail</w:t>
            </w:r>
          </w:p>
        </w:tc>
        <w:tc>
          <w:tcPr>
            <w:tcW w:type="dxa" w:w="3240"/>
            <w:vAlign w:val="top"/>
          </w:tcPr>
          <w:p>
            <w:r>
              <w:t>Admin changes escalation policy.</w:t>
            </w:r>
          </w:p>
        </w:tc>
        <w:tc>
          <w:tcPr>
            <w:tcW w:type="dxa" w:w="3960"/>
            <w:vAlign w:val="top"/>
          </w:tcPr>
          <w:p>
            <w:r>
              <w:t>Actor, time, and change are recorded.</w:t>
            </w:r>
          </w:p>
        </w:tc>
      </w:tr>
      <w:tr>
        <w:tc>
          <w:tcPr>
            <w:tcW w:type="dxa" w:w="936"/>
            <w:vAlign w:val="top"/>
          </w:tcPr>
          <w:p>
            <w:r>
              <w:t>QA-016</w:t>
            </w:r>
          </w:p>
        </w:tc>
        <w:tc>
          <w:tcPr>
            <w:tcW w:type="dxa" w:w="1800"/>
            <w:vAlign w:val="top"/>
          </w:tcPr>
          <w:p>
            <w:r>
              <w:t>Retention deletion</w:t>
            </w:r>
          </w:p>
        </w:tc>
        <w:tc>
          <w:tcPr>
            <w:tcW w:type="dxa" w:w="3240"/>
            <w:vAlign w:val="top"/>
          </w:tcPr>
          <w:p>
            <w:r>
              <w:t>A test tenant requests deletion per policy.</w:t>
            </w:r>
          </w:p>
        </w:tc>
        <w:tc>
          <w:tcPr>
            <w:tcW w:type="dxa" w:w="3960"/>
            <w:vAlign w:val="top"/>
          </w:tcPr>
          <w:p>
            <w:r>
              <w:t>Eligible records are deleted or queued for documented compliant deletion.</w:t>
            </w:r>
          </w:p>
        </w:tc>
      </w:tr>
    </w:tbl>
    <w:p/>
    <w:p>
      <w:pPr>
        <w:pStyle w:val="Heading1"/>
      </w:pPr>
      <w:r>
        <w:t>14. Release Plan and Feature Flags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088"/>
          </w:tcPr>
          <w:p>
            <w:r>
              <w:rPr>
                <w:b/>
              </w:rPr>
              <w:t>Stage</w:t>
            </w:r>
          </w:p>
        </w:tc>
        <w:tc>
          <w:tcPr>
            <w:tcW w:type="dxa" w:w="4320"/>
          </w:tcPr>
          <w:p>
            <w:r>
              <w:rPr>
                <w:b/>
              </w:rPr>
              <w:t>Scope</w:t>
            </w:r>
          </w:p>
        </w:tc>
        <w:tc>
          <w:tcPr>
            <w:tcW w:type="dxa" w:w="3528"/>
          </w:tcPr>
          <w:p>
            <w:r>
              <w:rPr>
                <w:b/>
              </w:rPr>
              <w:t>Exit criteria</w:t>
            </w:r>
          </w:p>
        </w:tc>
      </w:tr>
      <w:tr>
        <w:tc>
          <w:tcPr>
            <w:tcW w:type="dxa" w:w="2088"/>
            <w:vAlign w:val="top"/>
          </w:tcPr>
          <w:p>
            <w:r>
              <w:t>Stage 0: Internal prototype</w:t>
            </w:r>
          </w:p>
        </w:tc>
        <w:tc>
          <w:tcPr>
            <w:tcW w:type="dxa" w:w="4320"/>
            <w:vAlign w:val="top"/>
          </w:tcPr>
          <w:p>
            <w:r>
              <w:t>Test knowledge retrieval, chat/email/voice provider feasibility, and human handoff with synthetic or approved test data.</w:t>
            </w:r>
          </w:p>
        </w:tc>
        <w:tc>
          <w:tcPr>
            <w:tcW w:type="dxa" w:w="3528"/>
            <w:vAlign w:val="top"/>
          </w:tcPr>
          <w:p>
            <w:r>
              <w:t>Critical architecture risks understood; representative flows work in a controlled environment.</w:t>
            </w:r>
          </w:p>
        </w:tc>
      </w:tr>
      <w:tr>
        <w:tc>
          <w:tcPr>
            <w:tcW w:type="dxa" w:w="2088"/>
            <w:vAlign w:val="top"/>
          </w:tcPr>
          <w:p>
            <w:r>
              <w:t>Stage 1: Design-partner pilot</w:t>
            </w:r>
          </w:p>
        </w:tc>
        <w:tc>
          <w:tcPr>
            <w:tcW w:type="dxa" w:w="4320"/>
            <w:vAlign w:val="top"/>
          </w:tcPr>
          <w:p>
            <w:r>
              <w:t>All three channels for a narrow set of low-risk use cases; admin review mode; limited integrations.</w:t>
            </w:r>
          </w:p>
        </w:tc>
        <w:tc>
          <w:tcPr>
            <w:tcW w:type="dxa" w:w="3528"/>
            <w:vAlign w:val="top"/>
          </w:tcPr>
          <w:p>
            <w:r>
              <w:t>Acceptance suite passes; human fallback works; customer approves policies and metrics.</w:t>
            </w:r>
          </w:p>
        </w:tc>
      </w:tr>
      <w:tr>
        <w:tc>
          <w:tcPr>
            <w:tcW w:type="dxa" w:w="2088"/>
            <w:vAlign w:val="top"/>
          </w:tcPr>
          <w:p>
            <w:r>
              <w:t>Stage 2: Controlled production</w:t>
            </w:r>
          </w:p>
        </w:tc>
        <w:tc>
          <w:tcPr>
            <w:tcW w:type="dxa" w:w="4320"/>
            <w:vAlign w:val="top"/>
          </w:tcPr>
          <w:p>
            <w:r>
              <w:t>Enable auto-response for approved intents and channels; monitor closely with rollback controls.</w:t>
            </w:r>
          </w:p>
        </w:tc>
        <w:tc>
          <w:tcPr>
            <w:tcW w:type="dxa" w:w="3528"/>
            <w:vAlign w:val="top"/>
          </w:tcPr>
          <w:p>
            <w:r>
              <w:t>Quality and cost meet agreed pilot thresholds; no unresolved critical security issues.</w:t>
            </w:r>
          </w:p>
        </w:tc>
      </w:tr>
      <w:tr>
        <w:tc>
          <w:tcPr>
            <w:tcW w:type="dxa" w:w="2088"/>
            <w:vAlign w:val="top"/>
          </w:tcPr>
          <w:p>
            <w:r>
              <w:t>Stage 3: Expansion</w:t>
            </w:r>
          </w:p>
        </w:tc>
        <w:tc>
          <w:tcPr>
            <w:tcW w:type="dxa" w:w="4320"/>
            <w:vAlign w:val="top"/>
          </w:tcPr>
          <w:p>
            <w:r>
              <w:t>Add use cases, integrations, languages, and advanced analytics based on evidence.</w:t>
            </w:r>
          </w:p>
        </w:tc>
        <w:tc>
          <w:tcPr>
            <w:tcW w:type="dxa" w:w="3528"/>
            <w:vAlign w:val="top"/>
          </w:tcPr>
          <w:p>
            <w:r>
              <w:t>Each expansion has customer demand, tests, monitoring, and an operational owner.</w:t>
            </w:r>
          </w:p>
        </w:tc>
      </w:tr>
    </w:tbl>
    <w:p/>
    <w:p>
      <w:r>
        <w:t>Production automation must be independently switchable by tenant, channel, intent, and action where practical. Preserve a safe fallback mode.</w:t>
      </w:r>
    </w:p>
    <w:p>
      <w:pPr>
        <w:pStyle w:val="Heading1"/>
      </w:pPr>
      <w:r>
        <w:t>15. Delivery Plan for a 20-Person Company</w:t>
      </w:r>
    </w:p>
    <w:p>
      <w:r>
        <w:t>The team should assign named owners based on actual skills. The allocation below is illustrative and may overlap with existing responsibilities; it is not a hiring requirement.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376"/>
          </w:tcPr>
          <w:p>
            <w:r>
              <w:rPr>
                <w:b/>
              </w:rPr>
              <w:t>Workstream</w:t>
            </w:r>
          </w:p>
        </w:tc>
        <w:tc>
          <w:tcPr>
            <w:tcW w:type="dxa" w:w="1944"/>
          </w:tcPr>
          <w:p>
            <w:r>
              <w:rPr>
                <w:b/>
              </w:rPr>
              <w:t>Suggested allocation</w:t>
            </w:r>
          </w:p>
        </w:tc>
        <w:tc>
          <w:tcPr>
            <w:tcW w:type="dxa" w:w="5616"/>
          </w:tcPr>
          <w:p>
            <w:r>
              <w:rPr>
                <w:b/>
              </w:rPr>
              <w:t>Accountability</w:t>
            </w:r>
          </w:p>
        </w:tc>
      </w:tr>
      <w:tr>
        <w:tc>
          <w:tcPr>
            <w:tcW w:type="dxa" w:w="2376"/>
            <w:vAlign w:val="top"/>
          </w:tcPr>
          <w:p>
            <w:r>
              <w:t>Product and design</w:t>
            </w:r>
          </w:p>
        </w:tc>
        <w:tc>
          <w:tcPr>
            <w:tcW w:type="dxa" w:w="1944"/>
            <w:vAlign w:val="top"/>
          </w:tcPr>
          <w:p>
            <w:r>
              <w:t>2 people</w:t>
            </w:r>
          </w:p>
        </w:tc>
        <w:tc>
          <w:tcPr>
            <w:tcW w:type="dxa" w:w="5616"/>
            <w:vAlign w:val="top"/>
          </w:tcPr>
          <w:p>
            <w:r>
              <w:t>PRD ownership, discovery, workflows, UX, acceptance criteria.</w:t>
            </w:r>
          </w:p>
        </w:tc>
      </w:tr>
      <w:tr>
        <w:tc>
          <w:tcPr>
            <w:tcW w:type="dxa" w:w="2376"/>
            <w:vAlign w:val="top"/>
          </w:tcPr>
          <w:p>
            <w:r>
              <w:t>Core engineering</w:t>
            </w:r>
          </w:p>
        </w:tc>
        <w:tc>
          <w:tcPr>
            <w:tcW w:type="dxa" w:w="1944"/>
            <w:vAlign w:val="top"/>
          </w:tcPr>
          <w:p>
            <w:r>
              <w:t>6–8 people</w:t>
            </w:r>
          </w:p>
        </w:tc>
        <w:tc>
          <w:tcPr>
            <w:tcW w:type="dxa" w:w="5616"/>
            <w:vAlign w:val="top"/>
          </w:tcPr>
          <w:p>
            <w:r>
              <w:t>Conversation/case model, APIs, tenant/auth, admin, agent inbox, integrations.</w:t>
            </w:r>
          </w:p>
        </w:tc>
      </w:tr>
      <w:tr>
        <w:tc>
          <w:tcPr>
            <w:tcW w:type="dxa" w:w="2376"/>
            <w:vAlign w:val="top"/>
          </w:tcPr>
          <w:p>
            <w:r>
              <w:t>AI and knowledge</w:t>
            </w:r>
          </w:p>
        </w:tc>
        <w:tc>
          <w:tcPr>
            <w:tcW w:type="dxa" w:w="1944"/>
            <w:vAlign w:val="top"/>
          </w:tcPr>
          <w:p>
            <w:r>
              <w:t>3–4 people</w:t>
            </w:r>
          </w:p>
        </w:tc>
        <w:tc>
          <w:tcPr>
            <w:tcW w:type="dxa" w:w="5616"/>
            <w:vAlign w:val="top"/>
          </w:tcPr>
          <w:p>
            <w:r>
              <w:t>Retrieval, prompts/policies, evaluation harness, tool orchestration, AI observability.</w:t>
            </w:r>
          </w:p>
        </w:tc>
      </w:tr>
      <w:tr>
        <w:tc>
          <w:tcPr>
            <w:tcW w:type="dxa" w:w="2376"/>
            <w:vAlign w:val="top"/>
          </w:tcPr>
          <w:p>
            <w:r>
              <w:t>Channels and voice</w:t>
            </w:r>
          </w:p>
        </w:tc>
        <w:tc>
          <w:tcPr>
            <w:tcW w:type="dxa" w:w="1944"/>
            <w:vAlign w:val="top"/>
          </w:tcPr>
          <w:p>
            <w:r>
              <w:t>2–3 people</w:t>
            </w:r>
          </w:p>
        </w:tc>
        <w:tc>
          <w:tcPr>
            <w:tcW w:type="dxa" w:w="5616"/>
            <w:vAlign w:val="top"/>
          </w:tcPr>
          <w:p>
            <w:r>
              <w:t>Chat widget, email provider, telephony/media flow, channel-specific reliability.</w:t>
            </w:r>
          </w:p>
        </w:tc>
      </w:tr>
      <w:tr>
        <w:tc>
          <w:tcPr>
            <w:tcW w:type="dxa" w:w="2376"/>
            <w:vAlign w:val="top"/>
          </w:tcPr>
          <w:p>
            <w:r>
              <w:t>QA and security</w:t>
            </w:r>
          </w:p>
        </w:tc>
        <w:tc>
          <w:tcPr>
            <w:tcW w:type="dxa" w:w="1944"/>
            <w:vAlign w:val="top"/>
          </w:tcPr>
          <w:p>
            <w:r>
              <w:t>2–3 people</w:t>
            </w:r>
          </w:p>
        </w:tc>
        <w:tc>
          <w:tcPr>
            <w:tcW w:type="dxa" w:w="5616"/>
            <w:vAlign w:val="top"/>
          </w:tcPr>
          <w:p>
            <w:r>
              <w:t>Test automation, channel E2E, AI evaluation, security and performance testing.</w:t>
            </w:r>
          </w:p>
        </w:tc>
      </w:tr>
      <w:tr>
        <w:tc>
          <w:tcPr>
            <w:tcW w:type="dxa" w:w="2376"/>
            <w:vAlign w:val="top"/>
          </w:tcPr>
          <w:p>
            <w:r>
              <w:t>Sales/customer success/operations</w:t>
            </w:r>
          </w:p>
        </w:tc>
        <w:tc>
          <w:tcPr>
            <w:tcW w:type="dxa" w:w="1944"/>
            <w:vAlign w:val="top"/>
          </w:tcPr>
          <w:p>
            <w:r>
              <w:t>2–4 people</w:t>
            </w:r>
          </w:p>
        </w:tc>
        <w:tc>
          <w:tcPr>
            <w:tcW w:type="dxa" w:w="5616"/>
            <w:vAlign w:val="top"/>
          </w:tcPr>
          <w:p>
            <w:r>
              <w:t>Design partners, onboarding, pilot feedback, deployment and support.</w:t>
            </w:r>
          </w:p>
        </w:tc>
      </w:tr>
    </w:tbl>
    <w:p/>
    <w:p>
      <w:r>
        <w:t>Because these ranges overlap and sum to more than 20 at their upper bounds, the founder should assign people to a single primary workstream and use shared specialists across workstreams. Do not assume a team of 20 can deliver every listed capability simultaneously; channel and voice complexity should be validated early.</w:t>
      </w:r>
    </w:p>
    <w:p>
      <w:pPr>
        <w:pStyle w:val="Heading1"/>
      </w:pPr>
      <w:r>
        <w:t>16. Open Decisions and Assumptions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2376"/>
          </w:tcPr>
          <w:p>
            <w:r>
              <w:rPr>
                <w:b/>
              </w:rPr>
              <w:t>Decision</w:t>
            </w:r>
          </w:p>
        </w:tc>
        <w:tc>
          <w:tcPr>
            <w:tcW w:type="dxa" w:w="3816"/>
          </w:tcPr>
          <w:p>
            <w:r>
              <w:rPr>
                <w:b/>
              </w:rPr>
              <w:t>Why it matters</w:t>
            </w:r>
          </w:p>
        </w:tc>
        <w:tc>
          <w:tcPr>
            <w:tcW w:type="dxa" w:w="3744"/>
          </w:tcPr>
          <w:p>
            <w:r>
              <w:rPr>
                <w:b/>
              </w:rPr>
              <w:t>Owner / next action</w:t>
            </w:r>
          </w:p>
        </w:tc>
      </w:tr>
      <w:tr>
        <w:tc>
          <w:tcPr>
            <w:tcW w:type="dxa" w:w="2376"/>
            <w:vAlign w:val="top"/>
          </w:tcPr>
          <w:p>
            <w:r>
              <w:t>Initial customer segment</w:t>
            </w:r>
          </w:p>
        </w:tc>
        <w:tc>
          <w:tcPr>
            <w:tcW w:type="dxa" w:w="3816"/>
            <w:vAlign w:val="top"/>
          </w:tcPr>
          <w:p>
            <w:r>
              <w:t>Determines workflows, vocabulary, integrations, pricing, and pilot recruitment.</w:t>
            </w:r>
          </w:p>
        </w:tc>
        <w:tc>
          <w:tcPr>
            <w:tcW w:type="dxa" w:w="3744"/>
            <w:vAlign w:val="top"/>
          </w:tcPr>
          <w:p>
            <w:r>
              <w:t>Founder/product: choose one segment after interviews.</w:t>
            </w:r>
          </w:p>
        </w:tc>
      </w:tr>
      <w:tr>
        <w:tc>
          <w:tcPr>
            <w:tcW w:type="dxa" w:w="2376"/>
            <w:vAlign w:val="top"/>
          </w:tcPr>
          <w:p>
            <w:r>
              <w:t>Target countries and languages</w:t>
            </w:r>
          </w:p>
        </w:tc>
        <w:tc>
          <w:tcPr>
            <w:tcW w:type="dxa" w:w="3816"/>
            <w:vAlign w:val="top"/>
          </w:tcPr>
          <w:p>
            <w:r>
              <w:t>Affects telephony availability, compliance, speech quality, and localization.</w:t>
            </w:r>
          </w:p>
        </w:tc>
        <w:tc>
          <w:tcPr>
            <w:tcW w:type="dxa" w:w="3744"/>
            <w:vAlign w:val="top"/>
          </w:tcPr>
          <w:p>
            <w:r>
              <w:t>Founder/legal: define launch geography.</w:t>
            </w:r>
          </w:p>
        </w:tc>
      </w:tr>
      <w:tr>
        <w:tc>
          <w:tcPr>
            <w:tcW w:type="dxa" w:w="2376"/>
            <w:vAlign w:val="top"/>
          </w:tcPr>
          <w:p>
            <w:r>
              <w:t>Chat, email, and voice providers</w:t>
            </w:r>
          </w:p>
        </w:tc>
        <w:tc>
          <w:tcPr>
            <w:tcW w:type="dxa" w:w="3816"/>
            <w:vAlign w:val="top"/>
          </w:tcPr>
          <w:p>
            <w:r>
              <w:t>Determines API capabilities, cost, latency, and operations.</w:t>
            </w:r>
          </w:p>
        </w:tc>
        <w:tc>
          <w:tcPr>
            <w:tcW w:type="dxa" w:w="3744"/>
            <w:vAlign w:val="top"/>
          </w:tcPr>
          <w:p>
            <w:r>
              <w:t>Engineering: compare candidates with a short proof of concept.</w:t>
            </w:r>
          </w:p>
        </w:tc>
      </w:tr>
      <w:tr>
        <w:tc>
          <w:tcPr>
            <w:tcW w:type="dxa" w:w="2376"/>
            <w:vAlign w:val="top"/>
          </w:tcPr>
          <w:p>
            <w:r>
              <w:t>Initial business integrations</w:t>
            </w:r>
          </w:p>
        </w:tc>
        <w:tc>
          <w:tcPr>
            <w:tcW w:type="dxa" w:w="3816"/>
            <w:vAlign w:val="top"/>
          </w:tcPr>
          <w:p>
            <w:r>
              <w:t>Prevents scope creep and enables real task completion.</w:t>
            </w:r>
          </w:p>
        </w:tc>
        <w:tc>
          <w:tcPr>
            <w:tcW w:type="dxa" w:w="3744"/>
            <w:vAlign w:val="top"/>
          </w:tcPr>
          <w:p>
            <w:r>
              <w:t>Product/sales: select from pilot-customer needs.</w:t>
            </w:r>
          </w:p>
        </w:tc>
      </w:tr>
      <w:tr>
        <w:tc>
          <w:tcPr>
            <w:tcW w:type="dxa" w:w="2376"/>
            <w:vAlign w:val="top"/>
          </w:tcPr>
          <w:p>
            <w:r>
              <w:t>AI model/provider strategy</w:t>
            </w:r>
          </w:p>
        </w:tc>
        <w:tc>
          <w:tcPr>
            <w:tcW w:type="dxa" w:w="3816"/>
            <w:vAlign w:val="top"/>
          </w:tcPr>
          <w:p>
            <w:r>
              <w:t>Affects quality, data handling, latency, cost, and fallback.</w:t>
            </w:r>
          </w:p>
        </w:tc>
        <w:tc>
          <w:tcPr>
            <w:tcW w:type="dxa" w:w="3744"/>
            <w:vAlign w:val="top"/>
          </w:tcPr>
          <w:p>
            <w:r>
              <w:t>AI/engineering: benchmark against a representative test set.</w:t>
            </w:r>
          </w:p>
        </w:tc>
      </w:tr>
      <w:tr>
        <w:tc>
          <w:tcPr>
            <w:tcW w:type="dxa" w:w="2376"/>
            <w:vAlign w:val="top"/>
          </w:tcPr>
          <w:p>
            <w:r>
              <w:t>Hosting and deployment model</w:t>
            </w:r>
          </w:p>
        </w:tc>
        <w:tc>
          <w:tcPr>
            <w:tcW w:type="dxa" w:w="3816"/>
            <w:vAlign w:val="top"/>
          </w:tcPr>
          <w:p>
            <w:r>
              <w:t>Affects tenant isolation, operations, cost, and enterprise requirements.</w:t>
            </w:r>
          </w:p>
        </w:tc>
        <w:tc>
          <w:tcPr>
            <w:tcW w:type="dxa" w:w="3744"/>
            <w:vAlign w:val="top"/>
          </w:tcPr>
          <w:p>
            <w:r>
              <w:t>Engineering/security: propose architecture.</w:t>
            </w:r>
          </w:p>
        </w:tc>
      </w:tr>
      <w:tr>
        <w:tc>
          <w:tcPr>
            <w:tcW w:type="dxa" w:w="2376"/>
            <w:vAlign w:val="top"/>
          </w:tcPr>
          <w:p>
            <w:r>
              <w:t>Retention and recording policy</w:t>
            </w:r>
          </w:p>
        </w:tc>
        <w:tc>
          <w:tcPr>
            <w:tcW w:type="dxa" w:w="3816"/>
            <w:vAlign w:val="top"/>
          </w:tcPr>
          <w:p>
            <w:r>
              <w:t>Affects privacy, legal obligations, support workflows, and storage costs.</w:t>
            </w:r>
          </w:p>
        </w:tc>
        <w:tc>
          <w:tcPr>
            <w:tcW w:type="dxa" w:w="3744"/>
            <w:vAlign w:val="top"/>
          </w:tcPr>
          <w:p>
            <w:r>
              <w:t>Founder/legal/security: define policy for launch markets.</w:t>
            </w:r>
          </w:p>
        </w:tc>
      </w:tr>
      <w:tr>
        <w:tc>
          <w:tcPr>
            <w:tcW w:type="dxa" w:w="2376"/>
            <w:vAlign w:val="top"/>
          </w:tcPr>
          <w:p>
            <w:r>
              <w:t>Pilot success thresholds</w:t>
            </w:r>
          </w:p>
        </w:tc>
        <w:tc>
          <w:tcPr>
            <w:tcW w:type="dxa" w:w="3816"/>
            <w:vAlign w:val="top"/>
          </w:tcPr>
          <w:p>
            <w:r>
              <w:t>Prevents vague claims of success and premature expansion.</w:t>
            </w:r>
          </w:p>
        </w:tc>
        <w:tc>
          <w:tcPr>
            <w:tcW w:type="dxa" w:w="3744"/>
            <w:vAlign w:val="top"/>
          </w:tcPr>
          <w:p>
            <w:r>
              <w:t>Product/customer success: agree before pilot.</w:t>
            </w:r>
          </w:p>
        </w:tc>
      </w:tr>
    </w:tbl>
    <w:p/>
    <w:p>
      <w:pPr>
        <w:pStyle w:val="Heading1"/>
      </w:pPr>
      <w:r>
        <w:t>17. Definition of Ready and Definition of Done</w:t>
      </w:r>
    </w:p>
    <w:p>
      <w:pPr>
        <w:pStyle w:val="Heading2"/>
      </w:pPr>
      <w:r>
        <w:t>17.1 A feature is ready for development when</w:t>
      </w:r>
    </w:p>
    <w:p>
      <w:pPr>
        <w:pStyle w:val="ListBullet"/>
      </w:pPr>
      <w:r>
        <w:t>User problem and expected outcome are documented.</w:t>
      </w:r>
    </w:p>
    <w:p>
      <w:pPr>
        <w:pStyle w:val="ListBullet"/>
      </w:pPr>
      <w:r>
        <w:t>Normal, error, permission, and escalation paths are defined.</w:t>
      </w:r>
    </w:p>
    <w:p>
      <w:pPr>
        <w:pStyle w:val="ListBullet"/>
      </w:pPr>
      <w:r>
        <w:t>UX states and copy are reviewed where applicable.</w:t>
      </w:r>
    </w:p>
    <w:p>
      <w:pPr>
        <w:pStyle w:val="ListBullet"/>
      </w:pPr>
      <w:r>
        <w:t>Acceptance criteria and test data are available.</w:t>
      </w:r>
    </w:p>
    <w:p>
      <w:pPr>
        <w:pStyle w:val="ListBullet"/>
      </w:pPr>
      <w:r>
        <w:t>Dependencies, privacy implications, and telemetry are identified.</w:t>
      </w:r>
    </w:p>
    <w:p>
      <w:pPr>
        <w:pStyle w:val="Heading2"/>
      </w:pPr>
      <w:r>
        <w:t>17.2 A feature is done when</w:t>
      </w:r>
    </w:p>
    <w:p>
      <w:pPr>
        <w:pStyle w:val="ListBullet"/>
      </w:pPr>
      <w:r>
        <w:t>Acceptance criteria pass in the agreed environment.</w:t>
      </w:r>
    </w:p>
    <w:p>
      <w:pPr>
        <w:pStyle w:val="ListBullet"/>
      </w:pPr>
      <w:r>
        <w:t>Unit/integration/E2E tests are added at appropriate levels.</w:t>
      </w:r>
    </w:p>
    <w:p>
      <w:pPr>
        <w:pStyle w:val="ListBullet"/>
      </w:pPr>
      <w:r>
        <w:t>Security and permission checks are verified.</w:t>
      </w:r>
    </w:p>
    <w:p>
      <w:pPr>
        <w:pStyle w:val="ListBullet"/>
      </w:pPr>
      <w:r>
        <w:t>Metrics, logs, alerts, and failure handling are implemented.</w:t>
      </w:r>
    </w:p>
    <w:p>
      <w:pPr>
        <w:pStyle w:val="ListBullet"/>
      </w:pPr>
      <w:r>
        <w:t>Documentation and support guidance are updated.</w:t>
      </w:r>
    </w:p>
    <w:p>
      <w:pPr>
        <w:pStyle w:val="ListBullet"/>
      </w:pPr>
      <w:r>
        <w:t>Feature flag, rollback, and release owner are defined where appropriate.</w:t>
      </w:r>
    </w:p>
    <w:p>
      <w:pPr>
        <w:pStyle w:val="Heading1"/>
      </w:pPr>
      <w:r>
        <w:t>18. Final Recommendation</w:t>
      </w:r>
    </w:p>
    <w:p>
      <w:r>
        <w:t>Build an AI-first support platform across chat, email, and inbound voice as requested, but keep the first release deliberately narrow in customer segment, supported intents, and integrations. The shared conversation model and consistent escalation experience are foundational; voice should receive an early technical proof of concept because it introduces additional latency, telephony, interruption, and transfer-failure risks.</w:t>
      </w:r>
    </w:p>
    <w:p>
      <w:r>
        <w:t>Before implementation, validate this PRD with a small set of prospective customers and use their real, anonymized support examples to define the evaluation suite. The next deliverable after PRD review should be a UX flow and screen inventory followed by a technical architecture decision record.</w:t>
      </w:r>
    </w:p>
    <w:p>
      <w:pPr>
        <w:pStyle w:val="Heading1"/>
      </w:pPr>
      <w:r>
        <w:t>Appendix A — Suggested MVP User Stories</w:t>
      </w:r>
    </w:p>
    <w:tbl>
      <w:tblPr>
        <w:tblStyle w:val="LightShading-Accent1"/>
        <w:tblW w:type="auto" w:w="0"/>
        <w:jc w:val="center"/>
        <w:tblLook w:firstColumn="1" w:firstRow="1" w:lastColumn="0" w:lastRow="0" w:noHBand="0" w:noVBand="1" w:val="04A0"/>
      </w:tblPr>
      <w:tblGrid>
        <w:gridCol w:w="5040"/>
        <w:gridCol w:w="5040"/>
      </w:tblGrid>
      <w:tr>
        <w:tc>
          <w:tcPr>
            <w:tcW w:type="dxa" w:w="1152"/>
          </w:tcPr>
          <w:p>
            <w:r>
              <w:rPr>
                <w:b/>
              </w:rPr>
              <w:t>ID</w:t>
            </w:r>
          </w:p>
        </w:tc>
        <w:tc>
          <w:tcPr>
            <w:tcW w:type="dxa" w:w="8784"/>
          </w:tcPr>
          <w:p>
            <w:r>
              <w:rPr>
                <w:b/>
              </w:rPr>
              <w:t>User story</w:t>
            </w:r>
          </w:p>
        </w:tc>
      </w:tr>
      <w:tr>
        <w:tc>
          <w:tcPr>
            <w:tcW w:type="dxa" w:w="1152"/>
            <w:vAlign w:val="top"/>
          </w:tcPr>
          <w:p>
            <w:r>
              <w:t>US-01</w:t>
            </w:r>
          </w:p>
        </w:tc>
        <w:tc>
          <w:tcPr>
            <w:tcW w:type="dxa" w:w="8784"/>
            <w:vAlign w:val="top"/>
          </w:tcPr>
          <w:p>
            <w:r>
              <w:t>As a tenant admin, I want to add approved knowledge so the AI can answer from business-specific information.</w:t>
            </w:r>
          </w:p>
        </w:tc>
      </w:tr>
      <w:tr>
        <w:tc>
          <w:tcPr>
            <w:tcW w:type="dxa" w:w="1152"/>
            <w:vAlign w:val="top"/>
          </w:tcPr>
          <w:p>
            <w:r>
              <w:t>US-02</w:t>
            </w:r>
          </w:p>
        </w:tc>
        <w:tc>
          <w:tcPr>
            <w:tcW w:type="dxa" w:w="8784"/>
            <w:vAlign w:val="top"/>
          </w:tcPr>
          <w:p>
            <w:r>
              <w:t>As a customer, I want to ask a question in chat and receive a useful answer or a clear route to a person.</w:t>
            </w:r>
          </w:p>
        </w:tc>
      </w:tr>
      <w:tr>
        <w:tc>
          <w:tcPr>
            <w:tcW w:type="dxa" w:w="1152"/>
            <w:vAlign w:val="top"/>
          </w:tcPr>
          <w:p>
            <w:r>
              <w:t>US-03</w:t>
            </w:r>
          </w:p>
        </w:tc>
        <w:tc>
          <w:tcPr>
            <w:tcW w:type="dxa" w:w="8784"/>
            <w:vAlign w:val="top"/>
          </w:tcPr>
          <w:p>
            <w:r>
              <w:t>As a customer, I want to email support and receive a reply in the same thread.</w:t>
            </w:r>
          </w:p>
        </w:tc>
      </w:tr>
      <w:tr>
        <w:tc>
          <w:tcPr>
            <w:tcW w:type="dxa" w:w="1152"/>
            <w:vAlign w:val="top"/>
          </w:tcPr>
          <w:p>
            <w:r>
              <w:t>US-04</w:t>
            </w:r>
          </w:p>
        </w:tc>
        <w:tc>
          <w:tcPr>
            <w:tcW w:type="dxa" w:w="8784"/>
            <w:vAlign w:val="top"/>
          </w:tcPr>
          <w:p>
            <w:r>
              <w:t>As a caller, I want to explain my issue by phone and be helped or transferred without repeating everything.</w:t>
            </w:r>
          </w:p>
        </w:tc>
      </w:tr>
      <w:tr>
        <w:tc>
          <w:tcPr>
            <w:tcW w:type="dxa" w:w="1152"/>
            <w:vAlign w:val="top"/>
          </w:tcPr>
          <w:p>
            <w:r>
              <w:t>US-05</w:t>
            </w:r>
          </w:p>
        </w:tc>
        <w:tc>
          <w:tcPr>
            <w:tcW w:type="dxa" w:w="8784"/>
            <w:vAlign w:val="top"/>
          </w:tcPr>
          <w:p>
            <w:r>
              <w:t>As an agent, I want an escalated case with transcript and summary so I can resolve it quickly.</w:t>
            </w:r>
          </w:p>
        </w:tc>
      </w:tr>
      <w:tr>
        <w:tc>
          <w:tcPr>
            <w:tcW w:type="dxa" w:w="1152"/>
            <w:vAlign w:val="top"/>
          </w:tcPr>
          <w:p>
            <w:r>
              <w:t>US-06</w:t>
            </w:r>
          </w:p>
        </w:tc>
        <w:tc>
          <w:tcPr>
            <w:tcW w:type="dxa" w:w="8784"/>
            <w:vAlign w:val="top"/>
          </w:tcPr>
          <w:p>
            <w:r>
              <w:t>As an admin, I want to configure which actions the AI may perform so it cannot make unauthorized changes.</w:t>
            </w:r>
          </w:p>
        </w:tc>
      </w:tr>
      <w:tr>
        <w:tc>
          <w:tcPr>
            <w:tcW w:type="dxa" w:w="1152"/>
            <w:vAlign w:val="top"/>
          </w:tcPr>
          <w:p>
            <w:r>
              <w:t>US-07</w:t>
            </w:r>
          </w:p>
        </w:tc>
        <w:tc>
          <w:tcPr>
            <w:tcW w:type="dxa" w:w="8784"/>
            <w:vAlign w:val="top"/>
          </w:tcPr>
          <w:p>
            <w:r>
              <w:t>As a supervisor, I want to see resolution, escalation, quality, and response-time trends.</w:t>
            </w:r>
          </w:p>
        </w:tc>
      </w:tr>
      <w:tr>
        <w:tc>
          <w:tcPr>
            <w:tcW w:type="dxa" w:w="1152"/>
            <w:vAlign w:val="top"/>
          </w:tcPr>
          <w:p>
            <w:r>
              <w:t>US-08</w:t>
            </w:r>
          </w:p>
        </w:tc>
        <w:tc>
          <w:tcPr>
            <w:tcW w:type="dxa" w:w="8784"/>
            <w:vAlign w:val="top"/>
          </w:tcPr>
          <w:p>
            <w:r>
              <w:t>As a security-conscious tenant, I want roles, audit logs, and retention controls to protect customer data.</w:t>
            </w:r>
          </w:p>
        </w:tc>
      </w:tr>
    </w:tbl>
    <w:p/>
    <w:p>
      <w:pPr>
        <w:pStyle w:val="Heading1"/>
      </w:pPr>
      <w:r>
        <w:t>Appendix B — Glossary</w:t>
      </w:r>
    </w:p>
    <w:tbl>
      <w:tblPr>
        <w:tblStyle w:val="LightShading-Accent1"/>
        <w:tblW w:type="auto" w:w="0"/>
        <w:jc w:val="center"/>
        <w:tblLook w:firstColumn="1" w:firstRow="1" w:lastColumn="0" w:lastRow="0" w:noHBand="0" w:noVBand="1" w:val="04A0"/>
      </w:tblPr>
      <w:tblGrid>
        <w:gridCol w:w="5040"/>
        <w:gridCol w:w="5040"/>
      </w:tblGrid>
      <w:tr>
        <w:tc>
          <w:tcPr>
            <w:tcW w:type="dxa" w:w="2304"/>
          </w:tcPr>
          <w:p>
            <w:r>
              <w:rPr>
                <w:b/>
              </w:rPr>
              <w:t>Term</w:t>
            </w:r>
          </w:p>
        </w:tc>
        <w:tc>
          <w:tcPr>
            <w:tcW w:type="dxa" w:w="7632"/>
          </w:tcPr>
          <w:p>
            <w:r>
              <w:rPr>
                <w:b/>
              </w:rPr>
              <w:t>Meaning</w:t>
            </w:r>
          </w:p>
        </w:tc>
      </w:tr>
      <w:tr>
        <w:tc>
          <w:tcPr>
            <w:tcW w:type="dxa" w:w="2304"/>
            <w:vAlign w:val="top"/>
          </w:tcPr>
          <w:p>
            <w:r>
              <w:t>AI containment</w:t>
            </w:r>
          </w:p>
        </w:tc>
        <w:tc>
          <w:tcPr>
            <w:tcW w:type="dxa" w:w="7632"/>
            <w:vAlign w:val="top"/>
          </w:tcPr>
          <w:p>
            <w:r>
              <w:t>An interaction handled without human intervention; it is not necessarily a successful resolution.</w:t>
            </w:r>
          </w:p>
        </w:tc>
      </w:tr>
      <w:tr>
        <w:tc>
          <w:tcPr>
            <w:tcW w:type="dxa" w:w="2304"/>
            <w:vAlign w:val="top"/>
          </w:tcPr>
          <w:p>
            <w:r>
              <w:t>Verified resolution</w:t>
            </w:r>
          </w:p>
        </w:tc>
        <w:tc>
          <w:tcPr>
            <w:tcW w:type="dxa" w:w="7632"/>
            <w:vAlign w:val="top"/>
          </w:tcPr>
          <w:p>
            <w:r>
              <w:t>A case considered resolved under defined outcome rules, with quality checks where appropriate.</w:t>
            </w:r>
          </w:p>
        </w:tc>
      </w:tr>
      <w:tr>
        <w:tc>
          <w:tcPr>
            <w:tcW w:type="dxa" w:w="2304"/>
            <w:vAlign w:val="top"/>
          </w:tcPr>
          <w:p>
            <w:r>
              <w:t>Escalation / handoff</w:t>
            </w:r>
          </w:p>
        </w:tc>
        <w:tc>
          <w:tcPr>
            <w:tcW w:type="dxa" w:w="7632"/>
            <w:vAlign w:val="top"/>
          </w:tcPr>
          <w:p>
            <w:r>
              <w:t>Transfer of responsibility from automation to a human agent or designated queue.</w:t>
            </w:r>
          </w:p>
        </w:tc>
      </w:tr>
      <w:tr>
        <w:tc>
          <w:tcPr>
            <w:tcW w:type="dxa" w:w="2304"/>
            <w:vAlign w:val="top"/>
          </w:tcPr>
          <w:p>
            <w:r>
              <w:t>Grounded answer</w:t>
            </w:r>
          </w:p>
        </w:tc>
        <w:tc>
          <w:tcPr>
            <w:tcW w:type="dxa" w:w="7632"/>
            <w:vAlign w:val="top"/>
          </w:tcPr>
          <w:p>
            <w:r>
              <w:t>An answer supported by approved knowledge or verified system results.</w:t>
            </w:r>
          </w:p>
        </w:tc>
      </w:tr>
      <w:tr>
        <w:tc>
          <w:tcPr>
            <w:tcW w:type="dxa" w:w="2304"/>
            <w:vAlign w:val="top"/>
          </w:tcPr>
          <w:p>
            <w:r>
              <w:t>Tenant</w:t>
            </w:r>
          </w:p>
        </w:tc>
        <w:tc>
          <w:tcPr>
            <w:tcW w:type="dxa" w:w="7632"/>
            <w:vAlign w:val="top"/>
          </w:tcPr>
          <w:p>
            <w:r>
              <w:t>A separate customer business/workspace within the multi-tenant SaaS platform.</w:t>
            </w:r>
          </w:p>
        </w:tc>
      </w:tr>
      <w:tr>
        <w:tc>
          <w:tcPr>
            <w:tcW w:type="dxa" w:w="2304"/>
            <w:vAlign w:val="top"/>
          </w:tcPr>
          <w:p>
            <w:r>
              <w:t>MVP</w:t>
            </w:r>
          </w:p>
        </w:tc>
        <w:tc>
          <w:tcPr>
            <w:tcW w:type="dxa" w:w="7632"/>
            <w:vAlign w:val="top"/>
          </w:tcPr>
          <w:p>
            <w:r>
              <w:t>Minimum Viable Product: the smallest useful release that tests the product hypothesis.</w:t>
            </w:r>
          </w:p>
        </w:tc>
      </w:tr>
      <w:tr>
        <w:tc>
          <w:tcPr>
            <w:tcW w:type="dxa" w:w="2304"/>
            <w:vAlign w:val="top"/>
          </w:tcPr>
          <w:p>
            <w:r>
              <w:t>PRD</w:t>
            </w:r>
          </w:p>
        </w:tc>
        <w:tc>
          <w:tcPr>
            <w:tcW w:type="dxa" w:w="7632"/>
            <w:vAlign w:val="top"/>
          </w:tcPr>
          <w:p>
            <w:r>
              <w:t>Product Requirements Document: the agreed specification of product behavior and acceptance criteria.</w:t>
            </w:r>
          </w:p>
        </w:tc>
      </w:tr>
    </w:tbl>
    <w:p/>
    <w:p>
      <w:pPr>
        <w:spacing w:before="160"/>
      </w:pPr>
      <w:r>
        <w:rPr>
          <w:b/>
        </w:rPr>
        <w:t xml:space="preserve">Document status note: </w:t>
      </w:r>
      <w:r>
        <w:t>This PRD is an actionable starting specification, not a substitute for customer validation, detailed architecture, provider selection, security threat modeling, or jurisdiction-specific legal review. Update the version and decision log as assumptions are resolved.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Working PRD • Version 1.0 • For planning and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PRODUCT REQUIREMENTS DOCUMENT  |  AI CUSTOMER SUPPORT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7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7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