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b/>
          <w:color w:val="11A6A0"/>
          <w:sz w:val="20"/>
        </w:rPr>
        <w:t>ENGINEERING BLUEPRINT</w:t>
      </w:r>
    </w:p>
    <w:p>
      <w:pPr>
        <w:pStyle w:val="Title"/>
      </w:pPr>
      <w:r>
        <w:t>AI Customer Support Platform</w:t>
      </w:r>
    </w:p>
    <w:p>
      <w:r>
        <w:rPr>
          <w:color w:val="246BFD"/>
          <w:sz w:val="32"/>
        </w:rPr>
        <w:t>Task 4 — Software Architecture v1.0</w:t>
      </w:r>
    </w:p>
    <w:p>
      <w:r>
        <w:t>A build-oriented architecture for a multi-tenant SaaS product that automates customer support across chat, email, and inbound voice, with controlled AI resolution and reliable human escalation.</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4233B"/>
          </w:tcPr>
          <w:p>
            <w:pPr>
              <w:spacing w:after="0"/>
            </w:pPr>
            <w:r/>
            <w:r>
              <w:rPr>
                <w:rFonts w:ascii="Aptos" w:hAnsi="Aptos"/>
                <w:b/>
                <w:color w:val="FFFFFF"/>
                <w:sz w:val="16"/>
              </w:rPr>
              <w:t>Document property</w:t>
            </w:r>
          </w:p>
        </w:tc>
        <w:tc>
          <w:tcPr>
            <w:tcW w:type="dxa" w:w="8136"/>
            <w:vAlign w:val="center"/>
            <w:shd w:fill="14233B"/>
          </w:tcPr>
          <w:p>
            <w:pPr>
              <w:spacing w:after="0"/>
            </w:pPr>
            <w:r/>
            <w:r>
              <w:rPr>
                <w:rFonts w:ascii="Aptos" w:hAnsi="Aptos"/>
                <w:b/>
                <w:color w:val="FFFFFF"/>
                <w:sz w:val="16"/>
              </w:rPr>
              <w:t>Definition</w:t>
            </w:r>
          </w:p>
        </w:tc>
      </w:tr>
      <w:tr>
        <w:tc>
          <w:tcPr>
            <w:tcW w:type="dxa" w:w="2232"/>
            <w:vAlign w:val="center"/>
          </w:tcPr>
          <w:p>
            <w:pPr>
              <w:spacing w:after="0"/>
            </w:pPr>
            <w:r/>
            <w:r>
              <w:rPr>
                <w:rFonts w:ascii="Aptos" w:hAnsi="Aptos"/>
                <w:b w:val="0"/>
                <w:color w:val="202B3C"/>
                <w:sz w:val="16"/>
              </w:rPr>
              <w:t>Audience</w:t>
            </w:r>
          </w:p>
        </w:tc>
        <w:tc>
          <w:tcPr>
            <w:tcW w:type="dxa" w:w="8136"/>
            <w:vAlign w:val="center"/>
          </w:tcPr>
          <w:p>
            <w:pPr>
              <w:spacing w:after="0"/>
            </w:pPr>
            <w:r/>
            <w:r>
              <w:rPr>
                <w:rFonts w:ascii="Aptos" w:hAnsi="Aptos"/>
                <w:b w:val="0"/>
                <w:color w:val="202B3C"/>
                <w:sz w:val="16"/>
              </w:rPr>
              <w:t>Engineering lead, backend/frontend engineers, AI/ML engineers, DevOps, QA, security, product owner</w:t>
            </w:r>
          </w:p>
        </w:tc>
      </w:tr>
      <w:tr>
        <w:tc>
          <w:tcPr>
            <w:tcW w:type="dxa" w:w="2232"/>
            <w:vAlign w:val="center"/>
            <w:shd w:fill="F7F9FC"/>
          </w:tcPr>
          <w:p>
            <w:pPr>
              <w:spacing w:after="0"/>
            </w:pPr>
            <w:r/>
            <w:r>
              <w:rPr>
                <w:rFonts w:ascii="Aptos" w:hAnsi="Aptos"/>
                <w:b w:val="0"/>
                <w:color w:val="202B3C"/>
                <w:sz w:val="16"/>
              </w:rPr>
              <w:t>Architecture approach</w:t>
            </w:r>
          </w:p>
        </w:tc>
        <w:tc>
          <w:tcPr>
            <w:tcW w:type="dxa" w:w="8136"/>
            <w:vAlign w:val="center"/>
            <w:shd w:fill="F7F9FC"/>
          </w:tcPr>
          <w:p>
            <w:pPr>
              <w:spacing w:after="0"/>
            </w:pPr>
            <w:r/>
            <w:r>
              <w:rPr>
                <w:rFonts w:ascii="Aptos" w:hAnsi="Aptos"/>
                <w:b w:val="0"/>
                <w:color w:val="202B3C"/>
                <w:sz w:val="16"/>
              </w:rPr>
              <w:t>Modular monolith plus asynchronous workers; extract services only when scale or ownership justifies it</w:t>
            </w:r>
          </w:p>
        </w:tc>
      </w:tr>
      <w:tr>
        <w:tc>
          <w:tcPr>
            <w:tcW w:type="dxa" w:w="2232"/>
            <w:vAlign w:val="center"/>
          </w:tcPr>
          <w:p>
            <w:pPr>
              <w:spacing w:after="0"/>
            </w:pPr>
            <w:r/>
            <w:r>
              <w:rPr>
                <w:rFonts w:ascii="Aptos" w:hAnsi="Aptos"/>
                <w:b w:val="0"/>
                <w:color w:val="202B3C"/>
                <w:sz w:val="16"/>
              </w:rPr>
              <w:t>Initial channels</w:t>
            </w:r>
          </w:p>
        </w:tc>
        <w:tc>
          <w:tcPr>
            <w:tcW w:type="dxa" w:w="8136"/>
            <w:vAlign w:val="center"/>
          </w:tcPr>
          <w:p>
            <w:pPr>
              <w:spacing w:after="0"/>
            </w:pPr>
            <w:r/>
            <w:r>
              <w:rPr>
                <w:rFonts w:ascii="Aptos" w:hAnsi="Aptos"/>
                <w:b w:val="0"/>
                <w:color w:val="202B3C"/>
                <w:sz w:val="16"/>
              </w:rPr>
              <w:t>Chat, email, inbound voice</w:t>
            </w:r>
          </w:p>
        </w:tc>
      </w:tr>
      <w:tr>
        <w:tc>
          <w:tcPr>
            <w:tcW w:type="dxa" w:w="2232"/>
            <w:vAlign w:val="center"/>
            <w:shd w:fill="F7F9FC"/>
          </w:tcPr>
          <w:p>
            <w:pPr>
              <w:spacing w:after="0"/>
            </w:pPr>
            <w:r/>
            <w:r>
              <w:rPr>
                <w:rFonts w:ascii="Aptos" w:hAnsi="Aptos"/>
                <w:b w:val="0"/>
                <w:color w:val="202B3C"/>
                <w:sz w:val="16"/>
              </w:rPr>
              <w:t>Core design</w:t>
            </w:r>
          </w:p>
        </w:tc>
        <w:tc>
          <w:tcPr>
            <w:tcW w:type="dxa" w:w="8136"/>
            <w:vAlign w:val="center"/>
            <w:shd w:fill="F7F9FC"/>
          </w:tcPr>
          <w:p>
            <w:pPr>
              <w:spacing w:after="0"/>
            </w:pPr>
            <w:r/>
            <w:r>
              <w:rPr>
                <w:rFonts w:ascii="Aptos" w:hAnsi="Aptos"/>
                <w:b w:val="0"/>
                <w:color w:val="202B3C"/>
                <w:sz w:val="16"/>
              </w:rPr>
              <w:t>Shared case model; channel adapters; AI orchestration; grounded knowledge retrieval; explicit handoff state machine</w:t>
            </w:r>
          </w:p>
        </w:tc>
      </w:tr>
      <w:tr>
        <w:tc>
          <w:tcPr>
            <w:tcW w:type="dxa" w:w="2232"/>
            <w:vAlign w:val="center"/>
          </w:tcPr>
          <w:p>
            <w:pPr>
              <w:spacing w:after="0"/>
            </w:pPr>
            <w:r/>
            <w:r>
              <w:rPr>
                <w:rFonts w:ascii="Aptos" w:hAnsi="Aptos"/>
                <w:b w:val="0"/>
                <w:color w:val="202B3C"/>
                <w:sz w:val="16"/>
              </w:rPr>
              <w:t>Status</w:t>
            </w:r>
          </w:p>
        </w:tc>
        <w:tc>
          <w:tcPr>
            <w:tcW w:type="dxa" w:w="8136"/>
            <w:vAlign w:val="center"/>
          </w:tcPr>
          <w:p>
            <w:pPr>
              <w:spacing w:after="0"/>
            </w:pPr>
            <w:r/>
            <w:r>
              <w:rPr>
                <w:rFonts w:ascii="Aptos" w:hAnsi="Aptos"/>
                <w:b w:val="0"/>
                <w:color w:val="202B3C"/>
                <w:sz w:val="16"/>
              </w:rPr>
              <w:t>Reference architecture; validate provider choices, traffic estimates, jurisdiction and budget before implementation</w:t>
            </w:r>
          </w:p>
        </w:tc>
      </w:tr>
    </w:tbl>
    <w:p/>
    <w:p>
      <w:pPr>
        <w:pStyle w:val="Heading1"/>
      </w:pPr>
      <w:r>
        <w:t>Executive recommendation</w:t>
      </w:r>
    </w:p>
    <w:p>
      <w:r>
        <w:rPr>
          <w:b/>
        </w:rPr>
        <w:t xml:space="preserve">Start with a modular monolith, not a microservices fleet. </w:t>
      </w:r>
      <w:r>
        <w:t>Keep clear internal module boundaries, run background workers separately, and use a durable queue for asynchronous work. This gives the team one coherent product to build and operate while preserving a practical path to service extraction later.</w:t>
      </w:r>
    </w:p>
    <w:p>
      <w:r>
        <w:br w:type="page"/>
      </w:r>
    </w:p>
    <w:p>
      <w:pPr>
        <w:pStyle w:val="Heading1"/>
      </w:pPr>
      <w:r>
        <w:t>1. Architecture goals and non-goals</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4233B"/>
          </w:tcPr>
          <w:p>
            <w:pPr>
              <w:spacing w:after="0"/>
            </w:pPr>
            <w:r/>
            <w:r>
              <w:rPr>
                <w:rFonts w:ascii="Aptos" w:hAnsi="Aptos"/>
                <w:b/>
                <w:color w:val="FFFFFF"/>
                <w:sz w:val="16"/>
              </w:rPr>
              <w:t>Goal</w:t>
            </w:r>
          </w:p>
        </w:tc>
        <w:tc>
          <w:tcPr>
            <w:tcW w:type="dxa" w:w="7776"/>
            <w:vAlign w:val="center"/>
            <w:shd w:fill="14233B"/>
          </w:tcPr>
          <w:p>
            <w:pPr>
              <w:spacing w:after="0"/>
            </w:pPr>
            <w:r/>
            <w:r>
              <w:rPr>
                <w:rFonts w:ascii="Aptos" w:hAnsi="Aptos"/>
                <w:b/>
                <w:color w:val="FFFFFF"/>
                <w:sz w:val="16"/>
              </w:rPr>
              <w:t>Architecture implication</w:t>
            </w:r>
          </w:p>
        </w:tc>
      </w:tr>
      <w:tr>
        <w:tc>
          <w:tcPr>
            <w:tcW w:type="dxa" w:w="2592"/>
            <w:vAlign w:val="center"/>
          </w:tcPr>
          <w:p>
            <w:pPr>
              <w:spacing w:after="0"/>
            </w:pPr>
            <w:r/>
            <w:r>
              <w:rPr>
                <w:rFonts w:ascii="Aptos" w:hAnsi="Aptos"/>
                <w:b w:val="0"/>
                <w:color w:val="202B3C"/>
                <w:sz w:val="16"/>
              </w:rPr>
              <w:t>Launch all three channels</w:t>
            </w:r>
          </w:p>
        </w:tc>
        <w:tc>
          <w:tcPr>
            <w:tcW w:type="dxa" w:w="7776"/>
            <w:vAlign w:val="center"/>
          </w:tcPr>
          <w:p>
            <w:pPr>
              <w:spacing w:after="0"/>
            </w:pPr>
            <w:r/>
            <w:r>
              <w:rPr>
                <w:rFonts w:ascii="Aptos" w:hAnsi="Aptos"/>
                <w:b w:val="0"/>
                <w:color w:val="202B3C"/>
                <w:sz w:val="16"/>
              </w:rPr>
              <w:t>Use separate channel adapters feeding a common conversation/case domain.</w:t>
            </w:r>
          </w:p>
        </w:tc>
      </w:tr>
      <w:tr>
        <w:tc>
          <w:tcPr>
            <w:tcW w:type="dxa" w:w="2592"/>
            <w:vAlign w:val="center"/>
            <w:shd w:fill="F7F9FC"/>
          </w:tcPr>
          <w:p>
            <w:pPr>
              <w:spacing w:after="0"/>
            </w:pPr>
            <w:r/>
            <w:r>
              <w:rPr>
                <w:rFonts w:ascii="Aptos" w:hAnsi="Aptos"/>
                <w:b w:val="0"/>
                <w:color w:val="202B3C"/>
                <w:sz w:val="16"/>
              </w:rPr>
              <w:t>AI-first with safe escalation</w:t>
            </w:r>
          </w:p>
        </w:tc>
        <w:tc>
          <w:tcPr>
            <w:tcW w:type="dxa" w:w="7776"/>
            <w:vAlign w:val="center"/>
            <w:shd w:fill="F7F9FC"/>
          </w:tcPr>
          <w:p>
            <w:pPr>
              <w:spacing w:after="0"/>
            </w:pPr>
            <w:r/>
            <w:r>
              <w:rPr>
                <w:rFonts w:ascii="Aptos" w:hAnsi="Aptos"/>
                <w:b w:val="0"/>
                <w:color w:val="202B3C"/>
                <w:sz w:val="16"/>
              </w:rPr>
              <w:t>Central orchestration policy; approved knowledge retrieval; explicit handoff conditions; auditable decisions.</w:t>
            </w:r>
          </w:p>
        </w:tc>
      </w:tr>
      <w:tr>
        <w:tc>
          <w:tcPr>
            <w:tcW w:type="dxa" w:w="2592"/>
            <w:vAlign w:val="center"/>
          </w:tcPr>
          <w:p>
            <w:pPr>
              <w:spacing w:after="0"/>
            </w:pPr>
            <w:r/>
            <w:r>
              <w:rPr>
                <w:rFonts w:ascii="Aptos" w:hAnsi="Aptos"/>
                <w:b w:val="0"/>
                <w:color w:val="202B3C"/>
                <w:sz w:val="16"/>
              </w:rPr>
              <w:t>Multi-tenant SaaS</w:t>
            </w:r>
          </w:p>
        </w:tc>
        <w:tc>
          <w:tcPr>
            <w:tcW w:type="dxa" w:w="7776"/>
            <w:vAlign w:val="center"/>
          </w:tcPr>
          <w:p>
            <w:pPr>
              <w:spacing w:after="0"/>
            </w:pPr>
            <w:r/>
            <w:r>
              <w:rPr>
                <w:rFonts w:ascii="Aptos" w:hAnsi="Aptos"/>
                <w:b w:val="0"/>
                <w:color w:val="202B3C"/>
                <w:sz w:val="16"/>
              </w:rPr>
              <w:t>Tenant context enforced in authorization, database access, object storage, cache keys, jobs and logs.</w:t>
            </w:r>
          </w:p>
        </w:tc>
      </w:tr>
      <w:tr>
        <w:tc>
          <w:tcPr>
            <w:tcW w:type="dxa" w:w="2592"/>
            <w:vAlign w:val="center"/>
            <w:shd w:fill="F7F9FC"/>
          </w:tcPr>
          <w:p>
            <w:pPr>
              <w:spacing w:after="0"/>
            </w:pPr>
            <w:r/>
            <w:r>
              <w:rPr>
                <w:rFonts w:ascii="Aptos" w:hAnsi="Aptos"/>
                <w:b w:val="0"/>
                <w:color w:val="202B3C"/>
                <w:sz w:val="16"/>
              </w:rPr>
              <w:t>Reliable delivery</w:t>
            </w:r>
          </w:p>
        </w:tc>
        <w:tc>
          <w:tcPr>
            <w:tcW w:type="dxa" w:w="7776"/>
            <w:vAlign w:val="center"/>
            <w:shd w:fill="F7F9FC"/>
          </w:tcPr>
          <w:p>
            <w:pPr>
              <w:spacing w:after="0"/>
            </w:pPr>
            <w:r/>
            <w:r>
              <w:rPr>
                <w:rFonts w:ascii="Aptos" w:hAnsi="Aptos"/>
                <w:b w:val="0"/>
                <w:color w:val="202B3C"/>
                <w:sz w:val="16"/>
              </w:rPr>
              <w:t>Webhook verification, idempotency, retries with limits, dead-letter handling and reconciliation jobs.</w:t>
            </w:r>
          </w:p>
        </w:tc>
      </w:tr>
      <w:tr>
        <w:tc>
          <w:tcPr>
            <w:tcW w:type="dxa" w:w="2592"/>
            <w:vAlign w:val="center"/>
          </w:tcPr>
          <w:p>
            <w:pPr>
              <w:spacing w:after="0"/>
            </w:pPr>
            <w:r/>
            <w:r>
              <w:rPr>
                <w:rFonts w:ascii="Aptos" w:hAnsi="Aptos"/>
                <w:b w:val="0"/>
                <w:color w:val="202B3C"/>
                <w:sz w:val="16"/>
              </w:rPr>
              <w:t>Customer-configurable behavior</w:t>
            </w:r>
          </w:p>
        </w:tc>
        <w:tc>
          <w:tcPr>
            <w:tcW w:type="dxa" w:w="7776"/>
            <w:vAlign w:val="center"/>
          </w:tcPr>
          <w:p>
            <w:pPr>
              <w:spacing w:after="0"/>
            </w:pPr>
            <w:r/>
            <w:r>
              <w:rPr>
                <w:rFonts w:ascii="Aptos" w:hAnsi="Aptos"/>
                <w:b w:val="0"/>
                <w:color w:val="202B3C"/>
                <w:sz w:val="16"/>
              </w:rPr>
              <w:t>Versioned tenant configuration, staged testing, controlled publishing and rollback.</w:t>
            </w:r>
          </w:p>
        </w:tc>
      </w:tr>
      <w:tr>
        <w:tc>
          <w:tcPr>
            <w:tcW w:type="dxa" w:w="2592"/>
            <w:vAlign w:val="center"/>
            <w:shd w:fill="F7F9FC"/>
          </w:tcPr>
          <w:p>
            <w:pPr>
              <w:spacing w:after="0"/>
            </w:pPr>
            <w:r/>
            <w:r>
              <w:rPr>
                <w:rFonts w:ascii="Aptos" w:hAnsi="Aptos"/>
                <w:b w:val="0"/>
                <w:color w:val="202B3C"/>
                <w:sz w:val="16"/>
              </w:rPr>
              <w:t>Operational visibility</w:t>
            </w:r>
          </w:p>
        </w:tc>
        <w:tc>
          <w:tcPr>
            <w:tcW w:type="dxa" w:w="7776"/>
            <w:vAlign w:val="center"/>
            <w:shd w:fill="F7F9FC"/>
          </w:tcPr>
          <w:p>
            <w:pPr>
              <w:spacing w:after="0"/>
            </w:pPr>
            <w:r/>
            <w:r>
              <w:rPr>
                <w:rFonts w:ascii="Aptos" w:hAnsi="Aptos"/>
                <w:b w:val="0"/>
                <w:color w:val="202B3C"/>
                <w:sz w:val="16"/>
              </w:rPr>
              <w:t>Structured logs, metrics, traces, provider health, AI quality and cost tracking.</w:t>
            </w:r>
          </w:p>
        </w:tc>
      </w:tr>
      <w:tr>
        <w:tc>
          <w:tcPr>
            <w:tcW w:type="dxa" w:w="2592"/>
            <w:vAlign w:val="center"/>
          </w:tcPr>
          <w:p>
            <w:pPr>
              <w:spacing w:after="0"/>
            </w:pPr>
            <w:r/>
            <w:r>
              <w:rPr>
                <w:rFonts w:ascii="Aptos" w:hAnsi="Aptos"/>
                <w:b w:val="0"/>
                <w:color w:val="202B3C"/>
                <w:sz w:val="16"/>
              </w:rPr>
              <w:t>Practical for a 20-person team</w:t>
            </w:r>
          </w:p>
        </w:tc>
        <w:tc>
          <w:tcPr>
            <w:tcW w:type="dxa" w:w="7776"/>
            <w:vAlign w:val="center"/>
          </w:tcPr>
          <w:p>
            <w:pPr>
              <w:spacing w:after="0"/>
            </w:pPr>
            <w:r/>
            <w:r>
              <w:rPr>
                <w:rFonts w:ascii="Aptos" w:hAnsi="Aptos"/>
                <w:b w:val="0"/>
                <w:color w:val="202B3C"/>
                <w:sz w:val="16"/>
              </w:rPr>
              <w:t>Small number of deployable units, managed infrastructure, shared coding standards, automated CI/CD.</w:t>
            </w:r>
          </w:p>
        </w:tc>
      </w:tr>
    </w:tbl>
    <w:p/>
    <w:p>
      <w:pPr>
        <w:pStyle w:val="Heading2"/>
      </w:pPr>
      <w:r>
        <w:t>Non-goals for the first release</w:t>
      </w:r>
    </w:p>
    <w:p>
      <w:pPr>
        <w:pStyle w:val="ListBullet"/>
        <w:spacing w:after="30"/>
      </w:pPr>
      <w:r>
        <w:t>Building a proprietary foundation model; use a provider abstraction over vetted model APIs initially.</w:t>
      </w:r>
    </w:p>
    <w:p>
      <w:pPr>
        <w:pStyle w:val="ListBullet"/>
        <w:spacing w:after="30"/>
      </w:pPr>
      <w:r>
        <w:t>Supporting every telephony, CRM, email, and helpdesk provider on day one; start with a deliberately small integration set.</w:t>
      </w:r>
    </w:p>
    <w:p>
      <w:pPr>
        <w:pStyle w:val="ListBullet"/>
        <w:spacing w:after="30"/>
      </w:pPr>
      <w:r>
        <w:t>Unlimited autonomous actions. Begin with answer-only or narrowly allowlisted actions and explicit authorization.</w:t>
      </w:r>
    </w:p>
    <w:p>
      <w:pPr>
        <w:pStyle w:val="ListBullet"/>
        <w:spacing w:after="30"/>
      </w:pPr>
      <w:r>
        <w:t>Full microservices, Kubernetes, custom workflow language, or a generalized plugin marketplace before product-market evidence.</w:t>
      </w:r>
    </w:p>
    <w:p>
      <w:pPr>
        <w:pStyle w:val="Heading1"/>
      </w:pPr>
      <w:r>
        <w:t>2. High-level system architecture</w:t>
      </w:r>
    </w:p>
    <w:p>
      <w:r>
        <w:t>The diagram below is a logical view. It intentionally separates external channel ingress, the application domain, AI orchestration, asynchronous processing, and persistence.</w:t>
      </w:r>
    </w:p>
    <w:p>
      <w:pPr>
        <w:spacing w:before="60" w:after="120"/>
        <w:ind w:left="216" w:right="144"/>
        <w:shd w:fill="F2F5F9"/>
      </w:pPr>
      <w:r>
        <w:rPr>
          <w:rFonts w:ascii="Consolas" w:hAnsi="Consolas"/>
          <w:color w:val="14233B"/>
          <w:sz w:val="15"/>
        </w:rPr>
        <w:t>CUSTOMER CHANNELS</w:t>
        <w:br/>
        <w:t xml:space="preserve">  Web Chat Widget       Email Provider / Mailbox       Telephony / SIP Provider</w:t>
        <w:br/>
        <w:t xml:space="preserve">         |                       |                              |</w:t>
        <w:br/>
        <w:t xml:space="preserve">         +-----------------------+------------------------------+</w:t>
        <w:br/>
        <w:t xml:space="preserve">                                 |</w:t>
        <w:br/>
        <w:t xml:space="preserve">                       CHANNEL ADAPTERS / WEBHOOKS</w:t>
        <w:br/>
        <w:t xml:space="preserve">              Verify signature • normalize event • deduplicate</w:t>
        <w:br/>
        <w:t xml:space="preserve">                                 |</w:t>
        <w:br/>
        <w:t xml:space="preserve">                       API / APPLICATION LAYER</w:t>
        <w:br/>
        <w:t xml:space="preserve">   Auth &amp; Tenant Context | Conversation/Case | Customer | Assignment/SLA</w:t>
        <w:br/>
        <w:t xml:space="preserve">   Knowledge Admin       | Channel Settings   | Audit    | Analytics API</w:t>
        <w:br/>
        <w:t xml:space="preserve">                                 |</w:t>
        <w:br/>
        <w:t xml:space="preserve">                     AI ORCHESTRATION MODULE</w:t>
        <w:br/>
        <w:t xml:space="preserve">  Intent &amp; policy → retrieve approved knowledge → generate → validate</w:t>
        <w:br/>
        <w:t xml:space="preserve">         |                    |                         |</w:t>
        <w:br/>
        <w:t xml:space="preserve">         |               Knowledge/RAG             Tool gateway</w:t>
        <w:br/>
        <w:t xml:space="preserve">         |          (metadata + vector search)   (allowlisted actions)</w:t>
        <w:br/>
        <w:t xml:space="preserve">         |</w:t>
        <w:br/>
        <w:t xml:space="preserve">  Decision: answer safely / ask clarification / human handoff / fallback</w:t>
        <w:br/>
        <w:t xml:space="preserve">                                 |</w:t>
        <w:br/>
        <w:t xml:space="preserve">                     DURABLE ASYNC JOB QUEUE</w:t>
        <w:br/>
        <w:t xml:space="preserve">        Email sending • indexing • analytics • retries • notifications</w:t>
        <w:br/>
        <w:t xml:space="preserve">                                 |</w:t>
        <w:br/>
        <w:t xml:space="preserve">       +-------------------------+----------------------------+</w:t>
        <w:br/>
        <w:t xml:space="preserve">       |                         |                            |</w:t>
        <w:br/>
        <w:t xml:space="preserve">  PostgreSQL                Object Storage              Redis (optional)</w:t>
        <w:br/>
        <w:t xml:space="preserve">  source of truth           files/recordings*           cache/rate limits</w:t>
        <w:br/>
        <w:t xml:space="preserve">  pgvector initially        exports/attachments         short-lived state</w:t>
        <w:br/>
        <w:t xml:space="preserve">       |</w:t>
        <w:br/>
        <w:t xml:space="preserve">  Observability: logs, metrics, traces, alerts, provider health, AI evaluation</w:t>
        <w:br/>
        <w:br/>
        <w:t>*Recording and transcript storage must be governed by tenant policy, consent and retention controls.</w:t>
      </w:r>
    </w:p>
    <w:p>
      <w:pPr>
        <w:pStyle w:val="Heading2"/>
      </w:pPr>
      <w:r>
        <w:t>Main design rule</w:t>
      </w:r>
    </w:p>
    <w:p>
      <w:r>
        <w:t>All channels create or update the same canonical conversation and case entities. Channel-specific differences live in adapters and channel metadata—not in separate business logic for chat, email, and voice.</w:t>
      </w:r>
    </w:p>
    <w:p>
      <w:pPr>
        <w:pStyle w:val="Heading2"/>
      </w:pPr>
      <w:r>
        <w:t>Suggested deployable units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4233B"/>
          </w:tcPr>
          <w:p>
            <w:pPr>
              <w:spacing w:after="0"/>
            </w:pPr>
            <w:r/>
            <w:r>
              <w:rPr>
                <w:rFonts w:ascii="Aptos" w:hAnsi="Aptos"/>
                <w:b/>
                <w:color w:val="FFFFFF"/>
                <w:sz w:val="16"/>
              </w:rPr>
              <w:t>Unit</w:t>
            </w:r>
          </w:p>
        </w:tc>
        <w:tc>
          <w:tcPr>
            <w:tcW w:type="dxa" w:w="2880"/>
            <w:vAlign w:val="center"/>
            <w:shd w:fill="14233B"/>
          </w:tcPr>
          <w:p>
            <w:pPr>
              <w:spacing w:after="0"/>
            </w:pPr>
            <w:r/>
            <w:r>
              <w:rPr>
                <w:rFonts w:ascii="Aptos" w:hAnsi="Aptos"/>
                <w:b/>
                <w:color w:val="FFFFFF"/>
                <w:sz w:val="16"/>
              </w:rPr>
              <w:t>Initial deployment</w:t>
            </w:r>
          </w:p>
        </w:tc>
        <w:tc>
          <w:tcPr>
            <w:tcW w:type="dxa" w:w="5472"/>
            <w:vAlign w:val="center"/>
            <w:shd w:fill="14233B"/>
          </w:tcPr>
          <w:p>
            <w:pPr>
              <w:spacing w:after="0"/>
            </w:pPr>
            <w:r/>
            <w:r>
              <w:rPr>
                <w:rFonts w:ascii="Aptos" w:hAnsi="Aptos"/>
                <w:b/>
                <w:color w:val="FFFFFF"/>
                <w:sz w:val="16"/>
              </w:rPr>
              <w:t>Responsibilities</w:t>
            </w:r>
          </w:p>
        </w:tc>
      </w:tr>
      <w:tr>
        <w:tc>
          <w:tcPr>
            <w:tcW w:type="dxa" w:w="2016"/>
            <w:vAlign w:val="center"/>
          </w:tcPr>
          <w:p>
            <w:pPr>
              <w:spacing w:after="0"/>
            </w:pPr>
            <w:r/>
            <w:r>
              <w:rPr>
                <w:rFonts w:ascii="Aptos" w:hAnsi="Aptos"/>
                <w:b w:val="0"/>
                <w:color w:val="202B3C"/>
                <w:sz w:val="16"/>
              </w:rPr>
              <w:t>Web application/API</w:t>
            </w:r>
          </w:p>
        </w:tc>
        <w:tc>
          <w:tcPr>
            <w:tcW w:type="dxa" w:w="2880"/>
            <w:vAlign w:val="center"/>
          </w:tcPr>
          <w:p>
            <w:pPr>
              <w:spacing w:after="0"/>
            </w:pPr>
            <w:r/>
            <w:r>
              <w:rPr>
                <w:rFonts w:ascii="Aptos" w:hAnsi="Aptos"/>
                <w:b w:val="0"/>
                <w:color w:val="202B3C"/>
                <w:sz w:val="16"/>
              </w:rPr>
              <w:t>One main application deployment</w:t>
            </w:r>
          </w:p>
        </w:tc>
        <w:tc>
          <w:tcPr>
            <w:tcW w:type="dxa" w:w="5472"/>
            <w:vAlign w:val="center"/>
          </w:tcPr>
          <w:p>
            <w:pPr>
              <w:spacing w:after="0"/>
            </w:pPr>
            <w:r/>
            <w:r>
              <w:rPr>
                <w:rFonts w:ascii="Aptos" w:hAnsi="Aptos"/>
                <w:b w:val="0"/>
                <w:color w:val="202B3C"/>
                <w:sz w:val="16"/>
              </w:rPr>
              <w:t>Authentication, tenant context, REST API, admin/agent UI APIs, domain operations.</w:t>
            </w:r>
          </w:p>
        </w:tc>
      </w:tr>
      <w:tr>
        <w:tc>
          <w:tcPr>
            <w:tcW w:type="dxa" w:w="2016"/>
            <w:vAlign w:val="center"/>
            <w:shd w:fill="F7F9FC"/>
          </w:tcPr>
          <w:p>
            <w:pPr>
              <w:spacing w:after="0"/>
            </w:pPr>
            <w:r/>
            <w:r>
              <w:rPr>
                <w:rFonts w:ascii="Aptos" w:hAnsi="Aptos"/>
                <w:b w:val="0"/>
                <w:color w:val="202B3C"/>
                <w:sz w:val="16"/>
              </w:rPr>
              <w:t>Background worker</w:t>
            </w:r>
          </w:p>
        </w:tc>
        <w:tc>
          <w:tcPr>
            <w:tcW w:type="dxa" w:w="2880"/>
            <w:vAlign w:val="center"/>
            <w:shd w:fill="F7F9FC"/>
          </w:tcPr>
          <w:p>
            <w:pPr>
              <w:spacing w:after="0"/>
            </w:pPr>
            <w:r/>
            <w:r>
              <w:rPr>
                <w:rFonts w:ascii="Aptos" w:hAnsi="Aptos"/>
                <w:b w:val="0"/>
                <w:color w:val="202B3C"/>
                <w:sz w:val="16"/>
              </w:rPr>
              <w:t>Separate worker process from same codebase</w:t>
            </w:r>
          </w:p>
        </w:tc>
        <w:tc>
          <w:tcPr>
            <w:tcW w:type="dxa" w:w="5472"/>
            <w:vAlign w:val="center"/>
            <w:shd w:fill="F7F9FC"/>
          </w:tcPr>
          <w:p>
            <w:pPr>
              <w:spacing w:after="0"/>
            </w:pPr>
            <w:r/>
            <w:r>
              <w:rPr>
                <w:rFonts w:ascii="Aptos" w:hAnsi="Aptos"/>
                <w:b w:val="0"/>
                <w:color w:val="202B3C"/>
                <w:sz w:val="16"/>
              </w:rPr>
              <w:t>Queue jobs, email send, knowledge indexing, analytics aggregation, scheduled tasks.</w:t>
            </w:r>
          </w:p>
        </w:tc>
      </w:tr>
      <w:tr>
        <w:tc>
          <w:tcPr>
            <w:tcW w:type="dxa" w:w="2016"/>
            <w:vAlign w:val="center"/>
          </w:tcPr>
          <w:p>
            <w:pPr>
              <w:spacing w:after="0"/>
            </w:pPr>
            <w:r/>
            <w:r>
              <w:rPr>
                <w:rFonts w:ascii="Aptos" w:hAnsi="Aptos"/>
                <w:b w:val="0"/>
                <w:color w:val="202B3C"/>
                <w:sz w:val="16"/>
              </w:rPr>
              <w:t>Voice runtime/adapter</w:t>
            </w:r>
          </w:p>
        </w:tc>
        <w:tc>
          <w:tcPr>
            <w:tcW w:type="dxa" w:w="2880"/>
            <w:vAlign w:val="center"/>
          </w:tcPr>
          <w:p>
            <w:pPr>
              <w:spacing w:after="0"/>
            </w:pPr>
            <w:r/>
            <w:r>
              <w:rPr>
                <w:rFonts w:ascii="Aptos" w:hAnsi="Aptos"/>
                <w:b w:val="0"/>
                <w:color w:val="202B3C"/>
                <w:sz w:val="16"/>
              </w:rPr>
              <w:t>Separate process or isolated module if provider needs low latency</w:t>
            </w:r>
          </w:p>
        </w:tc>
        <w:tc>
          <w:tcPr>
            <w:tcW w:type="dxa" w:w="5472"/>
            <w:vAlign w:val="center"/>
          </w:tcPr>
          <w:p>
            <w:pPr>
              <w:spacing w:after="0"/>
            </w:pPr>
            <w:r/>
            <w:r>
              <w:rPr>
                <w:rFonts w:ascii="Aptos" w:hAnsi="Aptos"/>
                <w:b w:val="0"/>
                <w:color w:val="202B3C"/>
                <w:sz w:val="16"/>
              </w:rPr>
              <w:t>Call events, streaming transcription/audio, transfer, call state and provider callbacks.</w:t>
            </w:r>
          </w:p>
        </w:tc>
      </w:tr>
      <w:tr>
        <w:tc>
          <w:tcPr>
            <w:tcW w:type="dxa" w:w="2016"/>
            <w:vAlign w:val="center"/>
            <w:shd w:fill="F7F9FC"/>
          </w:tcPr>
          <w:p>
            <w:pPr>
              <w:spacing w:after="0"/>
            </w:pPr>
            <w:r/>
            <w:r>
              <w:rPr>
                <w:rFonts w:ascii="Aptos" w:hAnsi="Aptos"/>
                <w:b w:val="0"/>
                <w:color w:val="202B3C"/>
                <w:sz w:val="16"/>
              </w:rPr>
              <w:t>Web chat widget</w:t>
            </w:r>
          </w:p>
        </w:tc>
        <w:tc>
          <w:tcPr>
            <w:tcW w:type="dxa" w:w="2880"/>
            <w:vAlign w:val="center"/>
            <w:shd w:fill="F7F9FC"/>
          </w:tcPr>
          <w:p>
            <w:pPr>
              <w:spacing w:after="0"/>
            </w:pPr>
            <w:r/>
            <w:r>
              <w:rPr>
                <w:rFonts w:ascii="Aptos" w:hAnsi="Aptos"/>
                <w:b w:val="0"/>
                <w:color w:val="202B3C"/>
                <w:sz w:val="16"/>
              </w:rPr>
              <w:t>Static frontend hosted via CDN</w:t>
            </w:r>
          </w:p>
        </w:tc>
        <w:tc>
          <w:tcPr>
            <w:tcW w:type="dxa" w:w="5472"/>
            <w:vAlign w:val="center"/>
            <w:shd w:fill="F7F9FC"/>
          </w:tcPr>
          <w:p>
            <w:pPr>
              <w:spacing w:after="0"/>
            </w:pPr>
            <w:r/>
            <w:r>
              <w:rPr>
                <w:rFonts w:ascii="Aptos" w:hAnsi="Aptos"/>
                <w:b w:val="0"/>
                <w:color w:val="202B3C"/>
                <w:sz w:val="16"/>
              </w:rPr>
              <w:t>Customer-facing chat UI; session management; secure API calls.</w:t>
            </w:r>
          </w:p>
        </w:tc>
      </w:tr>
      <w:tr>
        <w:tc>
          <w:tcPr>
            <w:tcW w:type="dxa" w:w="2016"/>
            <w:vAlign w:val="center"/>
          </w:tcPr>
          <w:p>
            <w:pPr>
              <w:spacing w:after="0"/>
            </w:pPr>
            <w:r/>
            <w:r>
              <w:rPr>
                <w:rFonts w:ascii="Aptos" w:hAnsi="Aptos"/>
                <w:b w:val="0"/>
                <w:color w:val="202B3C"/>
                <w:sz w:val="16"/>
              </w:rPr>
              <w:t>Managed dependencies</w:t>
            </w:r>
          </w:p>
        </w:tc>
        <w:tc>
          <w:tcPr>
            <w:tcW w:type="dxa" w:w="2880"/>
            <w:vAlign w:val="center"/>
          </w:tcPr>
          <w:p>
            <w:pPr>
              <w:spacing w:after="0"/>
            </w:pPr>
            <w:r/>
            <w:r>
              <w:rPr>
                <w:rFonts w:ascii="Aptos" w:hAnsi="Aptos"/>
                <w:b w:val="0"/>
                <w:color w:val="202B3C"/>
                <w:sz w:val="16"/>
              </w:rPr>
              <w:t>Managed PostgreSQL, object storage, queue, secrets, model and telephony providers</w:t>
            </w:r>
          </w:p>
        </w:tc>
        <w:tc>
          <w:tcPr>
            <w:tcW w:type="dxa" w:w="5472"/>
            <w:vAlign w:val="center"/>
          </w:tcPr>
          <w:p>
            <w:pPr>
              <w:spacing w:after="0"/>
            </w:pPr>
            <w:r/>
            <w:r>
              <w:rPr>
                <w:rFonts w:ascii="Aptos" w:hAnsi="Aptos"/>
                <w:b w:val="0"/>
                <w:color w:val="202B3C"/>
                <w:sz w:val="16"/>
              </w:rPr>
              <w:t>Reduce operations burden; avoid self-hosting complex infrastructure early.</w:t>
            </w:r>
          </w:p>
        </w:tc>
      </w:tr>
    </w:tbl>
    <w:p/>
    <w:p>
      <w:pPr>
        <w:pStyle w:val="Heading1"/>
      </w:pPr>
      <w:r>
        <w:t>3. Recommended technology baseline</w:t>
      </w:r>
    </w:p>
    <w:p>
      <w:r>
        <w:t>These are starting recommendations, not mandatory vendor commitments. Choose tools the team can operate confidently and verify provider support, regional availability, cost and contractual data terms.</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4233B"/>
          </w:tcPr>
          <w:p>
            <w:pPr>
              <w:spacing w:after="0"/>
            </w:pPr>
            <w:r/>
            <w:r>
              <w:rPr>
                <w:rFonts w:ascii="Aptos" w:hAnsi="Aptos"/>
                <w:b/>
                <w:color w:val="FFFFFF"/>
                <w:sz w:val="16"/>
              </w:rPr>
              <w:t>Layer</w:t>
            </w:r>
          </w:p>
        </w:tc>
        <w:tc>
          <w:tcPr>
            <w:tcW w:type="dxa" w:w="3816"/>
            <w:vAlign w:val="center"/>
            <w:shd w:fill="14233B"/>
          </w:tcPr>
          <w:p>
            <w:pPr>
              <w:spacing w:after="0"/>
            </w:pPr>
            <w:r/>
            <w:r>
              <w:rPr>
                <w:rFonts w:ascii="Aptos" w:hAnsi="Aptos"/>
                <w:b/>
                <w:color w:val="FFFFFF"/>
                <w:sz w:val="16"/>
              </w:rPr>
              <w:t>Recommended baseline</w:t>
            </w:r>
          </w:p>
        </w:tc>
        <w:tc>
          <w:tcPr>
            <w:tcW w:type="dxa" w:w="4608"/>
            <w:vAlign w:val="center"/>
            <w:shd w:fill="14233B"/>
          </w:tcPr>
          <w:p>
            <w:pPr>
              <w:spacing w:after="0"/>
            </w:pPr>
            <w:r/>
            <w:r>
              <w:rPr>
                <w:rFonts w:ascii="Aptos" w:hAnsi="Aptos"/>
                <w:b/>
                <w:color w:val="FFFFFF"/>
                <w:sz w:val="16"/>
              </w:rPr>
              <w:t>Reason / guardrail</w:t>
            </w:r>
          </w:p>
        </w:tc>
      </w:tr>
      <w:tr>
        <w:tc>
          <w:tcPr>
            <w:tcW w:type="dxa" w:w="1944"/>
            <w:vAlign w:val="center"/>
          </w:tcPr>
          <w:p>
            <w:pPr>
              <w:spacing w:after="0"/>
            </w:pPr>
            <w:r/>
            <w:r>
              <w:rPr>
                <w:rFonts w:ascii="Aptos" w:hAnsi="Aptos"/>
                <w:b w:val="0"/>
                <w:color w:val="202B3C"/>
                <w:sz w:val="15"/>
              </w:rPr>
              <w:t>Frontend</w:t>
            </w:r>
          </w:p>
        </w:tc>
        <w:tc>
          <w:tcPr>
            <w:tcW w:type="dxa" w:w="3816"/>
            <w:vAlign w:val="center"/>
          </w:tcPr>
          <w:p>
            <w:pPr>
              <w:spacing w:after="0"/>
            </w:pPr>
            <w:r/>
            <w:r>
              <w:rPr>
                <w:rFonts w:ascii="Aptos" w:hAnsi="Aptos"/>
                <w:b w:val="0"/>
                <w:color w:val="202B3C"/>
                <w:sz w:val="15"/>
              </w:rPr>
              <w:t>React + TypeScript; a standard component system; accessible design tokens</w:t>
            </w:r>
          </w:p>
        </w:tc>
        <w:tc>
          <w:tcPr>
            <w:tcW w:type="dxa" w:w="4608"/>
            <w:vAlign w:val="center"/>
          </w:tcPr>
          <w:p>
            <w:pPr>
              <w:spacing w:after="0"/>
            </w:pPr>
            <w:r/>
            <w:r>
              <w:rPr>
                <w:rFonts w:ascii="Aptos" w:hAnsi="Aptos"/>
                <w:b w:val="0"/>
                <w:color w:val="202B3C"/>
                <w:sz w:val="15"/>
              </w:rPr>
              <w:t>Strong ecosystem; share typed API contracts; avoid business rules only in the browser.</w:t>
            </w:r>
          </w:p>
        </w:tc>
      </w:tr>
      <w:tr>
        <w:tc>
          <w:tcPr>
            <w:tcW w:type="dxa" w:w="1944"/>
            <w:vAlign w:val="center"/>
            <w:shd w:fill="F7F9FC"/>
          </w:tcPr>
          <w:p>
            <w:pPr>
              <w:spacing w:after="0"/>
            </w:pPr>
            <w:r/>
            <w:r>
              <w:rPr>
                <w:rFonts w:ascii="Aptos" w:hAnsi="Aptos"/>
                <w:b w:val="0"/>
                <w:color w:val="202B3C"/>
                <w:sz w:val="15"/>
              </w:rPr>
              <w:t>Backend</w:t>
            </w:r>
          </w:p>
        </w:tc>
        <w:tc>
          <w:tcPr>
            <w:tcW w:type="dxa" w:w="3816"/>
            <w:vAlign w:val="center"/>
            <w:shd w:fill="F7F9FC"/>
          </w:tcPr>
          <w:p>
            <w:pPr>
              <w:spacing w:after="0"/>
            </w:pPr>
            <w:r/>
            <w:r>
              <w:rPr>
                <w:rFonts w:ascii="Aptos" w:hAnsi="Aptos"/>
                <w:b w:val="0"/>
                <w:color w:val="202B3C"/>
                <w:sz w:val="15"/>
              </w:rPr>
              <w:t>TypeScript with NestJS/Fastify, or Python with FastAPI—choose one primary backend stack</w:t>
            </w:r>
          </w:p>
        </w:tc>
        <w:tc>
          <w:tcPr>
            <w:tcW w:type="dxa" w:w="4608"/>
            <w:vAlign w:val="center"/>
            <w:shd w:fill="F7F9FC"/>
          </w:tcPr>
          <w:p>
            <w:pPr>
              <w:spacing w:after="0"/>
            </w:pPr>
            <w:r/>
            <w:r>
              <w:rPr>
                <w:rFonts w:ascii="Aptos" w:hAnsi="Aptos"/>
                <w:b w:val="0"/>
                <w:color w:val="202B3C"/>
                <w:sz w:val="15"/>
              </w:rPr>
              <w:t>TypeScript can unify teams; Python is convenient for AI pipelines. Avoid duplicating domain logic across stacks.</w:t>
            </w:r>
          </w:p>
        </w:tc>
      </w:tr>
      <w:tr>
        <w:tc>
          <w:tcPr>
            <w:tcW w:type="dxa" w:w="1944"/>
            <w:vAlign w:val="center"/>
          </w:tcPr>
          <w:p>
            <w:pPr>
              <w:spacing w:after="0"/>
            </w:pPr>
            <w:r/>
            <w:r>
              <w:rPr>
                <w:rFonts w:ascii="Aptos" w:hAnsi="Aptos"/>
                <w:b w:val="0"/>
                <w:color w:val="202B3C"/>
                <w:sz w:val="15"/>
              </w:rPr>
              <w:t>Primary database</w:t>
            </w:r>
          </w:p>
        </w:tc>
        <w:tc>
          <w:tcPr>
            <w:tcW w:type="dxa" w:w="3816"/>
            <w:vAlign w:val="center"/>
          </w:tcPr>
          <w:p>
            <w:pPr>
              <w:spacing w:after="0"/>
            </w:pPr>
            <w:r/>
            <w:r>
              <w:rPr>
                <w:rFonts w:ascii="Aptos" w:hAnsi="Aptos"/>
                <w:b w:val="0"/>
                <w:color w:val="202B3C"/>
                <w:sz w:val="15"/>
              </w:rPr>
              <w:t>Managed PostgreSQL</w:t>
            </w:r>
          </w:p>
        </w:tc>
        <w:tc>
          <w:tcPr>
            <w:tcW w:type="dxa" w:w="4608"/>
            <w:vAlign w:val="center"/>
          </w:tcPr>
          <w:p>
            <w:pPr>
              <w:spacing w:after="0"/>
            </w:pPr>
            <w:r/>
            <w:r>
              <w:rPr>
                <w:rFonts w:ascii="Aptos" w:hAnsi="Aptos"/>
                <w:b w:val="0"/>
                <w:color w:val="202B3C"/>
                <w:sz w:val="15"/>
              </w:rPr>
              <w:t>Transactions, relational case data, JSON fields and mature operations.</w:t>
            </w:r>
          </w:p>
        </w:tc>
      </w:tr>
      <w:tr>
        <w:tc>
          <w:tcPr>
            <w:tcW w:type="dxa" w:w="1944"/>
            <w:vAlign w:val="center"/>
            <w:shd w:fill="F7F9FC"/>
          </w:tcPr>
          <w:p>
            <w:pPr>
              <w:spacing w:after="0"/>
            </w:pPr>
            <w:r/>
            <w:r>
              <w:rPr>
                <w:rFonts w:ascii="Aptos" w:hAnsi="Aptos"/>
                <w:b w:val="0"/>
                <w:color w:val="202B3C"/>
                <w:sz w:val="15"/>
              </w:rPr>
              <w:t>Vector retrieval</w:t>
            </w:r>
          </w:p>
        </w:tc>
        <w:tc>
          <w:tcPr>
            <w:tcW w:type="dxa" w:w="3816"/>
            <w:vAlign w:val="center"/>
            <w:shd w:fill="F7F9FC"/>
          </w:tcPr>
          <w:p>
            <w:pPr>
              <w:spacing w:after="0"/>
            </w:pPr>
            <w:r/>
            <w:r>
              <w:rPr>
                <w:rFonts w:ascii="Aptos" w:hAnsi="Aptos"/>
                <w:b w:val="0"/>
                <w:color w:val="202B3C"/>
                <w:sz w:val="15"/>
              </w:rPr>
              <w:t>pgvector initially; benchmark before adopting a dedicated vector database</w:t>
            </w:r>
          </w:p>
        </w:tc>
        <w:tc>
          <w:tcPr>
            <w:tcW w:type="dxa" w:w="4608"/>
            <w:vAlign w:val="center"/>
            <w:shd w:fill="F7F9FC"/>
          </w:tcPr>
          <w:p>
            <w:pPr>
              <w:spacing w:after="0"/>
            </w:pPr>
            <w:r/>
            <w:r>
              <w:rPr>
                <w:rFonts w:ascii="Aptos" w:hAnsi="Aptos"/>
                <w:b w:val="0"/>
                <w:color w:val="202B3C"/>
                <w:sz w:val="15"/>
              </w:rPr>
              <w:t>Keeps early architecture simpler; isolate retrieval behind an interface.</w:t>
            </w:r>
          </w:p>
        </w:tc>
      </w:tr>
      <w:tr>
        <w:tc>
          <w:tcPr>
            <w:tcW w:type="dxa" w:w="1944"/>
            <w:vAlign w:val="center"/>
          </w:tcPr>
          <w:p>
            <w:pPr>
              <w:spacing w:after="0"/>
            </w:pPr>
            <w:r/>
            <w:r>
              <w:rPr>
                <w:rFonts w:ascii="Aptos" w:hAnsi="Aptos"/>
                <w:b w:val="0"/>
                <w:color w:val="202B3C"/>
                <w:sz w:val="15"/>
              </w:rPr>
              <w:t>Queue</w:t>
            </w:r>
          </w:p>
        </w:tc>
        <w:tc>
          <w:tcPr>
            <w:tcW w:type="dxa" w:w="3816"/>
            <w:vAlign w:val="center"/>
          </w:tcPr>
          <w:p>
            <w:pPr>
              <w:spacing w:after="0"/>
            </w:pPr>
            <w:r/>
            <w:r>
              <w:rPr>
                <w:rFonts w:ascii="Aptos" w:hAnsi="Aptos"/>
                <w:b w:val="0"/>
                <w:color w:val="202B3C"/>
                <w:sz w:val="15"/>
              </w:rPr>
              <w:t>Managed durable queue or Redis-backed queue with persistence and DLQ capability</w:t>
            </w:r>
          </w:p>
        </w:tc>
        <w:tc>
          <w:tcPr>
            <w:tcW w:type="dxa" w:w="4608"/>
            <w:vAlign w:val="center"/>
          </w:tcPr>
          <w:p>
            <w:pPr>
              <w:spacing w:after="0"/>
            </w:pPr>
            <w:r/>
            <w:r>
              <w:rPr>
                <w:rFonts w:ascii="Aptos" w:hAnsi="Aptos"/>
                <w:b w:val="0"/>
                <w:color w:val="202B3C"/>
                <w:sz w:val="15"/>
              </w:rPr>
              <w:t>Long-running work must survive restarts; queue choice must support retries and observability.</w:t>
            </w:r>
          </w:p>
        </w:tc>
      </w:tr>
      <w:tr>
        <w:tc>
          <w:tcPr>
            <w:tcW w:type="dxa" w:w="1944"/>
            <w:vAlign w:val="center"/>
            <w:shd w:fill="F7F9FC"/>
          </w:tcPr>
          <w:p>
            <w:pPr>
              <w:spacing w:after="0"/>
            </w:pPr>
            <w:r/>
            <w:r>
              <w:rPr>
                <w:rFonts w:ascii="Aptos" w:hAnsi="Aptos"/>
                <w:b w:val="0"/>
                <w:color w:val="202B3C"/>
                <w:sz w:val="15"/>
              </w:rPr>
              <w:t>Cache/rate limiting</w:t>
            </w:r>
          </w:p>
        </w:tc>
        <w:tc>
          <w:tcPr>
            <w:tcW w:type="dxa" w:w="3816"/>
            <w:vAlign w:val="center"/>
            <w:shd w:fill="F7F9FC"/>
          </w:tcPr>
          <w:p>
            <w:pPr>
              <w:spacing w:after="0"/>
            </w:pPr>
            <w:r/>
            <w:r>
              <w:rPr>
                <w:rFonts w:ascii="Aptos" w:hAnsi="Aptos"/>
                <w:b w:val="0"/>
                <w:color w:val="202B3C"/>
                <w:sz w:val="15"/>
              </w:rPr>
              <w:t>Redis or managed equivalent, introduced where needed</w:t>
            </w:r>
          </w:p>
        </w:tc>
        <w:tc>
          <w:tcPr>
            <w:tcW w:type="dxa" w:w="4608"/>
            <w:vAlign w:val="center"/>
            <w:shd w:fill="F7F9FC"/>
          </w:tcPr>
          <w:p>
            <w:pPr>
              <w:spacing w:after="0"/>
            </w:pPr>
            <w:r/>
            <w:r>
              <w:rPr>
                <w:rFonts w:ascii="Aptos" w:hAnsi="Aptos"/>
                <w:b w:val="0"/>
                <w:color w:val="202B3C"/>
                <w:sz w:val="15"/>
              </w:rPr>
              <w:t>Do not use cache as the source of truth for case state.</w:t>
            </w:r>
          </w:p>
        </w:tc>
      </w:tr>
      <w:tr>
        <w:tc>
          <w:tcPr>
            <w:tcW w:type="dxa" w:w="1944"/>
            <w:vAlign w:val="center"/>
          </w:tcPr>
          <w:p>
            <w:pPr>
              <w:spacing w:after="0"/>
            </w:pPr>
            <w:r/>
            <w:r>
              <w:rPr>
                <w:rFonts w:ascii="Aptos" w:hAnsi="Aptos"/>
                <w:b w:val="0"/>
                <w:color w:val="202B3C"/>
                <w:sz w:val="15"/>
              </w:rPr>
              <w:t>Object storage</w:t>
            </w:r>
          </w:p>
        </w:tc>
        <w:tc>
          <w:tcPr>
            <w:tcW w:type="dxa" w:w="3816"/>
            <w:vAlign w:val="center"/>
          </w:tcPr>
          <w:p>
            <w:pPr>
              <w:spacing w:after="0"/>
            </w:pPr>
            <w:r/>
            <w:r>
              <w:rPr>
                <w:rFonts w:ascii="Aptos" w:hAnsi="Aptos"/>
                <w:b w:val="0"/>
                <w:color w:val="202B3C"/>
                <w:sz w:val="15"/>
              </w:rPr>
              <w:t>S3-compatible managed object storage</w:t>
            </w:r>
          </w:p>
        </w:tc>
        <w:tc>
          <w:tcPr>
            <w:tcW w:type="dxa" w:w="4608"/>
            <w:vAlign w:val="center"/>
          </w:tcPr>
          <w:p>
            <w:pPr>
              <w:spacing w:after="0"/>
            </w:pPr>
            <w:r/>
            <w:r>
              <w:rPr>
                <w:rFonts w:ascii="Aptos" w:hAnsi="Aptos"/>
                <w:b w:val="0"/>
                <w:color w:val="202B3C"/>
                <w:sz w:val="15"/>
              </w:rPr>
              <w:t>Attachments, knowledge files, exports and optional recordings; private buckets and short-lived signed URLs.</w:t>
            </w:r>
          </w:p>
        </w:tc>
      </w:tr>
      <w:tr>
        <w:tc>
          <w:tcPr>
            <w:tcW w:type="dxa" w:w="1944"/>
            <w:vAlign w:val="center"/>
            <w:shd w:fill="F7F9FC"/>
          </w:tcPr>
          <w:p>
            <w:pPr>
              <w:spacing w:after="0"/>
            </w:pPr>
            <w:r/>
            <w:r>
              <w:rPr>
                <w:rFonts w:ascii="Aptos" w:hAnsi="Aptos"/>
                <w:b w:val="0"/>
                <w:color w:val="202B3C"/>
                <w:sz w:val="15"/>
              </w:rPr>
              <w:t>AI providers</w:t>
            </w:r>
          </w:p>
        </w:tc>
        <w:tc>
          <w:tcPr>
            <w:tcW w:type="dxa" w:w="3816"/>
            <w:vAlign w:val="center"/>
            <w:shd w:fill="F7F9FC"/>
          </w:tcPr>
          <w:p>
            <w:pPr>
              <w:spacing w:after="0"/>
            </w:pPr>
            <w:r/>
            <w:r>
              <w:rPr>
                <w:rFonts w:ascii="Aptos" w:hAnsi="Aptos"/>
                <w:b w:val="0"/>
                <w:color w:val="202B3C"/>
                <w:sz w:val="15"/>
              </w:rPr>
              <w:t>Provider adapter layer around one initial LLM and embedding provider</w:t>
            </w:r>
          </w:p>
        </w:tc>
        <w:tc>
          <w:tcPr>
            <w:tcW w:type="dxa" w:w="4608"/>
            <w:vAlign w:val="center"/>
            <w:shd w:fill="F7F9FC"/>
          </w:tcPr>
          <w:p>
            <w:pPr>
              <w:spacing w:after="0"/>
            </w:pPr>
            <w:r/>
            <w:r>
              <w:rPr>
                <w:rFonts w:ascii="Aptos" w:hAnsi="Aptos"/>
                <w:b w:val="0"/>
                <w:color w:val="202B3C"/>
                <w:sz w:val="15"/>
              </w:rPr>
              <w:t>Allows model swaps, evaluation, cost controls and per-tenant policy without binding core domain code.</w:t>
            </w:r>
          </w:p>
        </w:tc>
      </w:tr>
      <w:tr>
        <w:tc>
          <w:tcPr>
            <w:tcW w:type="dxa" w:w="1944"/>
            <w:vAlign w:val="center"/>
          </w:tcPr>
          <w:p>
            <w:pPr>
              <w:spacing w:after="0"/>
            </w:pPr>
            <w:r/>
            <w:r>
              <w:rPr>
                <w:rFonts w:ascii="Aptos" w:hAnsi="Aptos"/>
                <w:b w:val="0"/>
                <w:color w:val="202B3C"/>
                <w:sz w:val="15"/>
              </w:rPr>
              <w:t>Voice/telephony</w:t>
            </w:r>
          </w:p>
        </w:tc>
        <w:tc>
          <w:tcPr>
            <w:tcW w:type="dxa" w:w="3816"/>
            <w:vAlign w:val="center"/>
          </w:tcPr>
          <w:p>
            <w:pPr>
              <w:spacing w:after="0"/>
            </w:pPr>
            <w:r/>
            <w:r>
              <w:rPr>
                <w:rFonts w:ascii="Aptos" w:hAnsi="Aptos"/>
                <w:b w:val="0"/>
                <w:color w:val="202B3C"/>
                <w:sz w:val="15"/>
              </w:rPr>
              <w:t>A supported telephony/SIP provider with inbound numbers, transfer and event callbacks</w:t>
            </w:r>
          </w:p>
        </w:tc>
        <w:tc>
          <w:tcPr>
            <w:tcW w:type="dxa" w:w="4608"/>
            <w:vAlign w:val="center"/>
          </w:tcPr>
          <w:p>
            <w:pPr>
              <w:spacing w:after="0"/>
            </w:pPr>
            <w:r/>
            <w:r>
              <w:rPr>
                <w:rFonts w:ascii="Aptos" w:hAnsi="Aptos"/>
                <w:b w:val="0"/>
                <w:color w:val="202B3C"/>
                <w:sz w:val="15"/>
              </w:rPr>
              <w:t>Validate streaming latency, regions, number provisioning, transfer reliability and recording controls.</w:t>
            </w:r>
          </w:p>
        </w:tc>
      </w:tr>
      <w:tr>
        <w:tc>
          <w:tcPr>
            <w:tcW w:type="dxa" w:w="1944"/>
            <w:vAlign w:val="center"/>
            <w:shd w:fill="F7F9FC"/>
          </w:tcPr>
          <w:p>
            <w:pPr>
              <w:spacing w:after="0"/>
            </w:pPr>
            <w:r/>
            <w:r>
              <w:rPr>
                <w:rFonts w:ascii="Aptos" w:hAnsi="Aptos"/>
                <w:b w:val="0"/>
                <w:color w:val="202B3C"/>
                <w:sz w:val="15"/>
              </w:rPr>
              <w:t>Email</w:t>
            </w:r>
          </w:p>
        </w:tc>
        <w:tc>
          <w:tcPr>
            <w:tcW w:type="dxa" w:w="3816"/>
            <w:vAlign w:val="center"/>
            <w:shd w:fill="F7F9FC"/>
          </w:tcPr>
          <w:p>
            <w:pPr>
              <w:spacing w:after="0"/>
            </w:pPr>
            <w:r/>
            <w:r>
              <w:rPr>
                <w:rFonts w:ascii="Aptos" w:hAnsi="Aptos"/>
                <w:b w:val="0"/>
                <w:color w:val="202B3C"/>
                <w:sz w:val="15"/>
              </w:rPr>
              <w:t>One supported mailbox/API provider plus inbound webhook or forwarding path</w:t>
            </w:r>
          </w:p>
        </w:tc>
        <w:tc>
          <w:tcPr>
            <w:tcW w:type="dxa" w:w="4608"/>
            <w:vAlign w:val="center"/>
            <w:shd w:fill="F7F9FC"/>
          </w:tcPr>
          <w:p>
            <w:pPr>
              <w:spacing w:after="0"/>
            </w:pPr>
            <w:r/>
            <w:r>
              <w:rPr>
                <w:rFonts w:ascii="Aptos" w:hAnsi="Aptos"/>
                <w:b w:val="0"/>
                <w:color w:val="202B3C"/>
                <w:sz w:val="15"/>
              </w:rPr>
              <w:t>Validate threading, deliverability, attachment limits, bounce events and OAuth/token rotation.</w:t>
            </w:r>
          </w:p>
        </w:tc>
      </w:tr>
      <w:tr>
        <w:tc>
          <w:tcPr>
            <w:tcW w:type="dxa" w:w="1944"/>
            <w:vAlign w:val="center"/>
          </w:tcPr>
          <w:p>
            <w:pPr>
              <w:spacing w:after="0"/>
            </w:pPr>
            <w:r/>
            <w:r>
              <w:rPr>
                <w:rFonts w:ascii="Aptos" w:hAnsi="Aptos"/>
                <w:b w:val="0"/>
                <w:color w:val="202B3C"/>
                <w:sz w:val="15"/>
              </w:rPr>
              <w:t>Observability</w:t>
            </w:r>
          </w:p>
        </w:tc>
        <w:tc>
          <w:tcPr>
            <w:tcW w:type="dxa" w:w="3816"/>
            <w:vAlign w:val="center"/>
          </w:tcPr>
          <w:p>
            <w:pPr>
              <w:spacing w:after="0"/>
            </w:pPr>
            <w:r/>
            <w:r>
              <w:rPr>
                <w:rFonts w:ascii="Aptos" w:hAnsi="Aptos"/>
                <w:b w:val="0"/>
                <w:color w:val="202B3C"/>
                <w:sz w:val="15"/>
              </w:rPr>
              <w:t>OpenTelemetry-compatible traces, structured logs, metrics and error reporting</w:t>
            </w:r>
          </w:p>
        </w:tc>
        <w:tc>
          <w:tcPr>
            <w:tcW w:type="dxa" w:w="4608"/>
            <w:vAlign w:val="center"/>
          </w:tcPr>
          <w:p>
            <w:pPr>
              <w:spacing w:after="0"/>
            </w:pPr>
            <w:r/>
            <w:r>
              <w:rPr>
                <w:rFonts w:ascii="Aptos" w:hAnsi="Aptos"/>
                <w:b w:val="0"/>
                <w:color w:val="202B3C"/>
                <w:sz w:val="15"/>
              </w:rPr>
              <w:t>Trace a customer interaction across channel, queue, model and provider calls.</w:t>
            </w:r>
          </w:p>
        </w:tc>
      </w:tr>
      <w:tr>
        <w:tc>
          <w:tcPr>
            <w:tcW w:type="dxa" w:w="1944"/>
            <w:vAlign w:val="center"/>
            <w:shd w:fill="F7F9FC"/>
          </w:tcPr>
          <w:p>
            <w:pPr>
              <w:spacing w:after="0"/>
            </w:pPr>
            <w:r/>
            <w:r>
              <w:rPr>
                <w:rFonts w:ascii="Aptos" w:hAnsi="Aptos"/>
                <w:b w:val="0"/>
                <w:color w:val="202B3C"/>
                <w:sz w:val="15"/>
              </w:rPr>
              <w:t>Infrastructure</w:t>
            </w:r>
          </w:p>
        </w:tc>
        <w:tc>
          <w:tcPr>
            <w:tcW w:type="dxa" w:w="3816"/>
            <w:vAlign w:val="center"/>
            <w:shd w:fill="F7F9FC"/>
          </w:tcPr>
          <w:p>
            <w:pPr>
              <w:spacing w:after="0"/>
            </w:pPr>
            <w:r/>
            <w:r>
              <w:rPr>
                <w:rFonts w:ascii="Aptos" w:hAnsi="Aptos"/>
                <w:b w:val="0"/>
                <w:color w:val="202B3C"/>
                <w:sz w:val="15"/>
              </w:rPr>
              <w:t>Managed cloud services, containerized app/worker, IaC and CI/CD</w:t>
            </w:r>
          </w:p>
        </w:tc>
        <w:tc>
          <w:tcPr>
            <w:tcW w:type="dxa" w:w="4608"/>
            <w:vAlign w:val="center"/>
            <w:shd w:fill="F7F9FC"/>
          </w:tcPr>
          <w:p>
            <w:pPr>
              <w:spacing w:after="0"/>
            </w:pPr>
            <w:r/>
            <w:r>
              <w:rPr>
                <w:rFonts w:ascii="Aptos" w:hAnsi="Aptos"/>
                <w:b w:val="0"/>
                <w:color w:val="202B3C"/>
                <w:sz w:val="15"/>
              </w:rPr>
              <w:t>Start with managed compute; use Kubernetes only if operational needs justify it.</w:t>
            </w:r>
          </w:p>
        </w:tc>
      </w:tr>
    </w:tbl>
    <w:p/>
    <w:p>
      <w:pPr>
        <w:pStyle w:val="Heading2"/>
      </w:pPr>
      <w:r>
        <w:t>Technology selection gates</w:t>
      </w:r>
    </w:p>
    <w:p>
      <w:pPr>
        <w:pStyle w:val="ListBullet"/>
        <w:spacing w:after="30"/>
      </w:pPr>
      <w:r>
        <w:t>Choose based on the team’s existing skills, hiring market, production support maturity, total cost, and compliance needs.</w:t>
      </w:r>
    </w:p>
    <w:p>
      <w:pPr>
        <w:pStyle w:val="ListBullet"/>
        <w:spacing w:after="30"/>
      </w:pPr>
      <w:r>
        <w:t>Run a short technical spike for voice latency, email threading, model grounding, and tenant isolation before committing.</w:t>
      </w:r>
    </w:p>
    <w:p>
      <w:pPr>
        <w:pStyle w:val="ListBullet"/>
        <w:spacing w:after="30"/>
      </w:pPr>
      <w:r>
        <w:t>Pin versions and maintain a supported-dependency policy; do not build the product around experimental SDK behavior.</w:t>
      </w:r>
    </w:p>
    <w:p>
      <w:pPr>
        <w:pStyle w:val="Heading1"/>
      </w:pPr>
      <w:r>
        <w:t>4. Domain modules and ownership boundaries</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4233B"/>
          </w:tcPr>
          <w:p>
            <w:pPr>
              <w:spacing w:after="0"/>
            </w:pPr>
            <w:r/>
            <w:r>
              <w:rPr>
                <w:rFonts w:ascii="Aptos" w:hAnsi="Aptos"/>
                <w:b/>
                <w:color w:val="FFFFFF"/>
                <w:sz w:val="16"/>
              </w:rPr>
              <w:t>Module</w:t>
            </w:r>
          </w:p>
        </w:tc>
        <w:tc>
          <w:tcPr>
            <w:tcW w:type="dxa" w:w="4176"/>
            <w:vAlign w:val="center"/>
            <w:shd w:fill="14233B"/>
          </w:tcPr>
          <w:p>
            <w:pPr>
              <w:spacing w:after="0"/>
            </w:pPr>
            <w:r/>
            <w:r>
              <w:rPr>
                <w:rFonts w:ascii="Aptos" w:hAnsi="Aptos"/>
                <w:b/>
                <w:color w:val="FFFFFF"/>
                <w:sz w:val="16"/>
              </w:rPr>
              <w:t>Owns</w:t>
            </w:r>
          </w:p>
        </w:tc>
        <w:tc>
          <w:tcPr>
            <w:tcW w:type="dxa" w:w="4104"/>
            <w:vAlign w:val="center"/>
            <w:shd w:fill="14233B"/>
          </w:tcPr>
          <w:p>
            <w:pPr>
              <w:spacing w:after="0"/>
            </w:pPr>
            <w:r/>
            <w:r>
              <w:rPr>
                <w:rFonts w:ascii="Aptos" w:hAnsi="Aptos"/>
                <w:b/>
                <w:color w:val="FFFFFF"/>
                <w:sz w:val="16"/>
              </w:rPr>
              <w:t>Must not own</w:t>
            </w:r>
          </w:p>
        </w:tc>
      </w:tr>
      <w:tr>
        <w:tc>
          <w:tcPr>
            <w:tcW w:type="dxa" w:w="2088"/>
            <w:vAlign w:val="center"/>
          </w:tcPr>
          <w:p>
            <w:pPr>
              <w:spacing w:after="0"/>
            </w:pPr>
            <w:r/>
            <w:r>
              <w:rPr>
                <w:rFonts w:ascii="Aptos" w:hAnsi="Aptos"/>
                <w:b w:val="0"/>
                <w:color w:val="202B3C"/>
                <w:sz w:val="15"/>
              </w:rPr>
              <w:t>Identity &amp; access</w:t>
            </w:r>
          </w:p>
        </w:tc>
        <w:tc>
          <w:tcPr>
            <w:tcW w:type="dxa" w:w="4176"/>
            <w:vAlign w:val="center"/>
          </w:tcPr>
          <w:p>
            <w:pPr>
              <w:spacing w:after="0"/>
            </w:pPr>
            <w:r/>
            <w:r>
              <w:rPr>
                <w:rFonts w:ascii="Aptos" w:hAnsi="Aptos"/>
                <w:b w:val="0"/>
                <w:color w:val="202B3C"/>
                <w:sz w:val="15"/>
              </w:rPr>
              <w:t>Users, sessions, SSO/MFA integration, roles, permissions</w:t>
            </w:r>
          </w:p>
        </w:tc>
        <w:tc>
          <w:tcPr>
            <w:tcW w:type="dxa" w:w="4104"/>
            <w:vAlign w:val="center"/>
          </w:tcPr>
          <w:p>
            <w:pPr>
              <w:spacing w:after="0"/>
            </w:pPr>
            <w:r/>
            <w:r>
              <w:rPr>
                <w:rFonts w:ascii="Aptos" w:hAnsi="Aptos"/>
                <w:b w:val="0"/>
                <w:color w:val="202B3C"/>
                <w:sz w:val="15"/>
              </w:rPr>
              <w:t>Customer conversation content outside authorized access paths.</w:t>
            </w:r>
          </w:p>
        </w:tc>
      </w:tr>
      <w:tr>
        <w:tc>
          <w:tcPr>
            <w:tcW w:type="dxa" w:w="2088"/>
            <w:vAlign w:val="center"/>
            <w:shd w:fill="F7F9FC"/>
          </w:tcPr>
          <w:p>
            <w:pPr>
              <w:spacing w:after="0"/>
            </w:pPr>
            <w:r/>
            <w:r>
              <w:rPr>
                <w:rFonts w:ascii="Aptos" w:hAnsi="Aptos"/>
                <w:b w:val="0"/>
                <w:color w:val="202B3C"/>
                <w:sz w:val="15"/>
              </w:rPr>
              <w:t>Tenant &amp; configuration</w:t>
            </w:r>
          </w:p>
        </w:tc>
        <w:tc>
          <w:tcPr>
            <w:tcW w:type="dxa" w:w="4176"/>
            <w:vAlign w:val="center"/>
            <w:shd w:fill="F7F9FC"/>
          </w:tcPr>
          <w:p>
            <w:pPr>
              <w:spacing w:after="0"/>
            </w:pPr>
            <w:r/>
            <w:r>
              <w:rPr>
                <w:rFonts w:ascii="Aptos" w:hAnsi="Aptos"/>
                <w:b w:val="0"/>
                <w:color w:val="202B3C"/>
                <w:sz w:val="15"/>
              </w:rPr>
              <w:t>Tenant lifecycle, plans, feature flags, per-channel settings, config versions</w:t>
            </w:r>
          </w:p>
        </w:tc>
        <w:tc>
          <w:tcPr>
            <w:tcW w:type="dxa" w:w="4104"/>
            <w:vAlign w:val="center"/>
            <w:shd w:fill="F7F9FC"/>
          </w:tcPr>
          <w:p>
            <w:pPr>
              <w:spacing w:after="0"/>
            </w:pPr>
            <w:r/>
            <w:r>
              <w:rPr>
                <w:rFonts w:ascii="Aptos" w:hAnsi="Aptos"/>
                <w:b w:val="0"/>
                <w:color w:val="202B3C"/>
                <w:sz w:val="15"/>
              </w:rPr>
              <w:t>Secrets in plain text or unversioned behavior changes.</w:t>
            </w:r>
          </w:p>
        </w:tc>
      </w:tr>
      <w:tr>
        <w:tc>
          <w:tcPr>
            <w:tcW w:type="dxa" w:w="2088"/>
            <w:vAlign w:val="center"/>
          </w:tcPr>
          <w:p>
            <w:pPr>
              <w:spacing w:after="0"/>
            </w:pPr>
            <w:r/>
            <w:r>
              <w:rPr>
                <w:rFonts w:ascii="Aptos" w:hAnsi="Aptos"/>
                <w:b w:val="0"/>
                <w:color w:val="202B3C"/>
                <w:sz w:val="15"/>
              </w:rPr>
              <w:t>Channel adapters</w:t>
            </w:r>
          </w:p>
        </w:tc>
        <w:tc>
          <w:tcPr>
            <w:tcW w:type="dxa" w:w="4176"/>
            <w:vAlign w:val="center"/>
          </w:tcPr>
          <w:p>
            <w:pPr>
              <w:spacing w:after="0"/>
            </w:pPr>
            <w:r/>
            <w:r>
              <w:rPr>
                <w:rFonts w:ascii="Aptos" w:hAnsi="Aptos"/>
                <w:b w:val="0"/>
                <w:color w:val="202B3C"/>
                <w:sz w:val="15"/>
              </w:rPr>
              <w:t>Provider callbacks, signature verification, normalization, provider IDs, delivery receipts</w:t>
            </w:r>
          </w:p>
        </w:tc>
        <w:tc>
          <w:tcPr>
            <w:tcW w:type="dxa" w:w="4104"/>
            <w:vAlign w:val="center"/>
          </w:tcPr>
          <w:p>
            <w:pPr>
              <w:spacing w:after="0"/>
            </w:pPr>
            <w:r/>
            <w:r>
              <w:rPr>
                <w:rFonts w:ascii="Aptos" w:hAnsi="Aptos"/>
                <w:b w:val="0"/>
                <w:color w:val="202B3C"/>
                <w:sz w:val="15"/>
              </w:rPr>
              <w:t>AI policy decisions or duplicated case business rules.</w:t>
            </w:r>
          </w:p>
        </w:tc>
      </w:tr>
      <w:tr>
        <w:tc>
          <w:tcPr>
            <w:tcW w:type="dxa" w:w="2088"/>
            <w:vAlign w:val="center"/>
            <w:shd w:fill="F7F9FC"/>
          </w:tcPr>
          <w:p>
            <w:pPr>
              <w:spacing w:after="0"/>
            </w:pPr>
            <w:r/>
            <w:r>
              <w:rPr>
                <w:rFonts w:ascii="Aptos" w:hAnsi="Aptos"/>
                <w:b w:val="0"/>
                <w:color w:val="202B3C"/>
                <w:sz w:val="15"/>
              </w:rPr>
              <w:t>Conversation &amp; case</w:t>
            </w:r>
          </w:p>
        </w:tc>
        <w:tc>
          <w:tcPr>
            <w:tcW w:type="dxa" w:w="4176"/>
            <w:vAlign w:val="center"/>
            <w:shd w:fill="F7F9FC"/>
          </w:tcPr>
          <w:p>
            <w:pPr>
              <w:spacing w:after="0"/>
            </w:pPr>
            <w:r/>
            <w:r>
              <w:rPr>
                <w:rFonts w:ascii="Aptos" w:hAnsi="Aptos"/>
                <w:b w:val="0"/>
                <w:color w:val="202B3C"/>
                <w:sz w:val="15"/>
              </w:rPr>
              <w:t>Canonical thread, messages/events, case status, links between channel and case</w:t>
            </w:r>
          </w:p>
        </w:tc>
        <w:tc>
          <w:tcPr>
            <w:tcW w:type="dxa" w:w="4104"/>
            <w:vAlign w:val="center"/>
            <w:shd w:fill="F7F9FC"/>
          </w:tcPr>
          <w:p>
            <w:pPr>
              <w:spacing w:after="0"/>
            </w:pPr>
            <w:r/>
            <w:r>
              <w:rPr>
                <w:rFonts w:ascii="Aptos" w:hAnsi="Aptos"/>
                <w:b w:val="0"/>
                <w:color w:val="202B3C"/>
                <w:sz w:val="15"/>
              </w:rPr>
              <w:t>Provider-specific webhook parsing.</w:t>
            </w:r>
          </w:p>
        </w:tc>
      </w:tr>
      <w:tr>
        <w:tc>
          <w:tcPr>
            <w:tcW w:type="dxa" w:w="2088"/>
            <w:vAlign w:val="center"/>
          </w:tcPr>
          <w:p>
            <w:pPr>
              <w:spacing w:after="0"/>
            </w:pPr>
            <w:r/>
            <w:r>
              <w:rPr>
                <w:rFonts w:ascii="Aptos" w:hAnsi="Aptos"/>
                <w:b w:val="0"/>
                <w:color w:val="202B3C"/>
                <w:sz w:val="15"/>
              </w:rPr>
              <w:t>AI orchestration</w:t>
            </w:r>
          </w:p>
        </w:tc>
        <w:tc>
          <w:tcPr>
            <w:tcW w:type="dxa" w:w="4176"/>
            <w:vAlign w:val="center"/>
          </w:tcPr>
          <w:p>
            <w:pPr>
              <w:spacing w:after="0"/>
            </w:pPr>
            <w:r/>
            <w:r>
              <w:rPr>
                <w:rFonts w:ascii="Aptos" w:hAnsi="Aptos"/>
                <w:b w:val="0"/>
                <w:color w:val="202B3C"/>
                <w:sz w:val="15"/>
              </w:rPr>
              <w:t>Policy evaluation, retrieval, model selection, response validation, handoff recommendation</w:t>
            </w:r>
          </w:p>
        </w:tc>
        <w:tc>
          <w:tcPr>
            <w:tcW w:type="dxa" w:w="4104"/>
            <w:vAlign w:val="center"/>
          </w:tcPr>
          <w:p>
            <w:pPr>
              <w:spacing w:after="0"/>
            </w:pPr>
            <w:r/>
            <w:r>
              <w:rPr>
                <w:rFonts w:ascii="Aptos" w:hAnsi="Aptos"/>
                <w:b w:val="0"/>
                <w:color w:val="202B3C"/>
                <w:sz w:val="15"/>
              </w:rPr>
              <w:t>Direct arbitrary database writes or unrestricted external actions.</w:t>
            </w:r>
          </w:p>
        </w:tc>
      </w:tr>
      <w:tr>
        <w:tc>
          <w:tcPr>
            <w:tcW w:type="dxa" w:w="2088"/>
            <w:vAlign w:val="center"/>
            <w:shd w:fill="F7F9FC"/>
          </w:tcPr>
          <w:p>
            <w:pPr>
              <w:spacing w:after="0"/>
            </w:pPr>
            <w:r/>
            <w:r>
              <w:rPr>
                <w:rFonts w:ascii="Aptos" w:hAnsi="Aptos"/>
                <w:b w:val="0"/>
                <w:color w:val="202B3C"/>
                <w:sz w:val="15"/>
              </w:rPr>
              <w:t>Knowledge</w:t>
            </w:r>
          </w:p>
        </w:tc>
        <w:tc>
          <w:tcPr>
            <w:tcW w:type="dxa" w:w="4176"/>
            <w:vAlign w:val="center"/>
            <w:shd w:fill="F7F9FC"/>
          </w:tcPr>
          <w:p>
            <w:pPr>
              <w:spacing w:after="0"/>
            </w:pPr>
            <w:r/>
            <w:r>
              <w:rPr>
                <w:rFonts w:ascii="Aptos" w:hAnsi="Aptos"/>
                <w:b w:val="0"/>
                <w:color w:val="202B3C"/>
                <w:sz w:val="15"/>
              </w:rPr>
              <w:t>Sources, documents, versions, indexing state, retrieval metadata, approvals</w:t>
            </w:r>
          </w:p>
        </w:tc>
        <w:tc>
          <w:tcPr>
            <w:tcW w:type="dxa" w:w="4104"/>
            <w:vAlign w:val="center"/>
            <w:shd w:fill="F7F9FC"/>
          </w:tcPr>
          <w:p>
            <w:pPr>
              <w:spacing w:after="0"/>
            </w:pPr>
            <w:r/>
            <w:r>
              <w:rPr>
                <w:rFonts w:ascii="Aptos" w:hAnsi="Aptos"/>
                <w:b w:val="0"/>
                <w:color w:val="202B3C"/>
                <w:sz w:val="15"/>
              </w:rPr>
              <w:t>Unapproved content silently becoming production knowledge.</w:t>
            </w:r>
          </w:p>
        </w:tc>
      </w:tr>
      <w:tr>
        <w:tc>
          <w:tcPr>
            <w:tcW w:type="dxa" w:w="2088"/>
            <w:vAlign w:val="center"/>
          </w:tcPr>
          <w:p>
            <w:pPr>
              <w:spacing w:after="0"/>
            </w:pPr>
            <w:r/>
            <w:r>
              <w:rPr>
                <w:rFonts w:ascii="Aptos" w:hAnsi="Aptos"/>
                <w:b w:val="0"/>
                <w:color w:val="202B3C"/>
                <w:sz w:val="15"/>
              </w:rPr>
              <w:t>Assignment &amp; SLA</w:t>
            </w:r>
          </w:p>
        </w:tc>
        <w:tc>
          <w:tcPr>
            <w:tcW w:type="dxa" w:w="4176"/>
            <w:vAlign w:val="center"/>
          </w:tcPr>
          <w:p>
            <w:pPr>
              <w:spacing w:after="0"/>
            </w:pPr>
            <w:r/>
            <w:r>
              <w:rPr>
                <w:rFonts w:ascii="Aptos" w:hAnsi="Aptos"/>
                <w:b w:val="0"/>
                <w:color w:val="202B3C"/>
                <w:sz w:val="15"/>
              </w:rPr>
              <w:t>Queues, capacity, routing, business hours, escalation and timers</w:t>
            </w:r>
          </w:p>
        </w:tc>
        <w:tc>
          <w:tcPr>
            <w:tcW w:type="dxa" w:w="4104"/>
            <w:vAlign w:val="center"/>
          </w:tcPr>
          <w:p>
            <w:pPr>
              <w:spacing w:after="0"/>
            </w:pPr>
            <w:r/>
            <w:r>
              <w:rPr>
                <w:rFonts w:ascii="Aptos" w:hAnsi="Aptos"/>
                <w:b w:val="0"/>
                <w:color w:val="202B3C"/>
                <w:sz w:val="15"/>
              </w:rPr>
              <w:t>LLM-generated queue decisions without deterministic policy validation.</w:t>
            </w:r>
          </w:p>
        </w:tc>
      </w:tr>
      <w:tr>
        <w:tc>
          <w:tcPr>
            <w:tcW w:type="dxa" w:w="2088"/>
            <w:vAlign w:val="center"/>
            <w:shd w:fill="F7F9FC"/>
          </w:tcPr>
          <w:p>
            <w:pPr>
              <w:spacing w:after="0"/>
            </w:pPr>
            <w:r/>
            <w:r>
              <w:rPr>
                <w:rFonts w:ascii="Aptos" w:hAnsi="Aptos"/>
                <w:b w:val="0"/>
                <w:color w:val="202B3C"/>
                <w:sz w:val="15"/>
              </w:rPr>
              <w:t>Integrations &amp; tools</w:t>
            </w:r>
          </w:p>
        </w:tc>
        <w:tc>
          <w:tcPr>
            <w:tcW w:type="dxa" w:w="4176"/>
            <w:vAlign w:val="center"/>
            <w:shd w:fill="F7F9FC"/>
          </w:tcPr>
          <w:p>
            <w:pPr>
              <w:spacing w:after="0"/>
            </w:pPr>
            <w:r/>
            <w:r>
              <w:rPr>
                <w:rFonts w:ascii="Aptos" w:hAnsi="Aptos"/>
                <w:b w:val="0"/>
                <w:color w:val="202B3C"/>
                <w:sz w:val="15"/>
              </w:rPr>
              <w:t>CRM/helpdesk/account actions through allowlisted connectors</w:t>
            </w:r>
          </w:p>
        </w:tc>
        <w:tc>
          <w:tcPr>
            <w:tcW w:type="dxa" w:w="4104"/>
            <w:vAlign w:val="center"/>
            <w:shd w:fill="F7F9FC"/>
          </w:tcPr>
          <w:p>
            <w:pPr>
              <w:spacing w:after="0"/>
            </w:pPr>
            <w:r/>
            <w:r>
              <w:rPr>
                <w:rFonts w:ascii="Aptos" w:hAnsi="Aptos"/>
                <w:b w:val="0"/>
                <w:color w:val="202B3C"/>
                <w:sz w:val="15"/>
              </w:rPr>
              <w:t>Arbitrary URL fetches, shell access or unrestricted customer data export.</w:t>
            </w:r>
          </w:p>
        </w:tc>
      </w:tr>
      <w:tr>
        <w:tc>
          <w:tcPr>
            <w:tcW w:type="dxa" w:w="2088"/>
            <w:vAlign w:val="center"/>
          </w:tcPr>
          <w:p>
            <w:pPr>
              <w:spacing w:after="0"/>
            </w:pPr>
            <w:r/>
            <w:r>
              <w:rPr>
                <w:rFonts w:ascii="Aptos" w:hAnsi="Aptos"/>
                <w:b w:val="0"/>
                <w:color w:val="202B3C"/>
                <w:sz w:val="15"/>
              </w:rPr>
              <w:t>Analytics &amp; evaluation</w:t>
            </w:r>
          </w:p>
        </w:tc>
        <w:tc>
          <w:tcPr>
            <w:tcW w:type="dxa" w:w="4176"/>
            <w:vAlign w:val="center"/>
          </w:tcPr>
          <w:p>
            <w:pPr>
              <w:spacing w:after="0"/>
            </w:pPr>
            <w:r/>
            <w:r>
              <w:rPr>
                <w:rFonts w:ascii="Aptos" w:hAnsi="Aptos"/>
                <w:b w:val="0"/>
                <w:color w:val="202B3C"/>
                <w:sz w:val="15"/>
              </w:rPr>
              <w:t>Outcome events, metric definitions, offline tests, review samples</w:t>
            </w:r>
          </w:p>
        </w:tc>
        <w:tc>
          <w:tcPr>
            <w:tcW w:type="dxa" w:w="4104"/>
            <w:vAlign w:val="center"/>
          </w:tcPr>
          <w:p>
            <w:pPr>
              <w:spacing w:after="0"/>
            </w:pPr>
            <w:r/>
            <w:r>
              <w:rPr>
                <w:rFonts w:ascii="Aptos" w:hAnsi="Aptos"/>
                <w:b w:val="0"/>
                <w:color w:val="202B3C"/>
                <w:sz w:val="15"/>
              </w:rPr>
              <w:t>Raw sensitive content sent to analytics without an approved purpose.</w:t>
            </w:r>
          </w:p>
        </w:tc>
      </w:tr>
      <w:tr>
        <w:tc>
          <w:tcPr>
            <w:tcW w:type="dxa" w:w="2088"/>
            <w:vAlign w:val="center"/>
            <w:shd w:fill="F7F9FC"/>
          </w:tcPr>
          <w:p>
            <w:pPr>
              <w:spacing w:after="0"/>
            </w:pPr>
            <w:r/>
            <w:r>
              <w:rPr>
                <w:rFonts w:ascii="Aptos" w:hAnsi="Aptos"/>
                <w:b w:val="0"/>
                <w:color w:val="202B3C"/>
                <w:sz w:val="15"/>
              </w:rPr>
              <w:t>Audit &amp; compliance</w:t>
            </w:r>
          </w:p>
        </w:tc>
        <w:tc>
          <w:tcPr>
            <w:tcW w:type="dxa" w:w="4176"/>
            <w:vAlign w:val="center"/>
            <w:shd w:fill="F7F9FC"/>
          </w:tcPr>
          <w:p>
            <w:pPr>
              <w:spacing w:after="0"/>
            </w:pPr>
            <w:r/>
            <w:r>
              <w:rPr>
                <w:rFonts w:ascii="Aptos" w:hAnsi="Aptos"/>
                <w:b w:val="0"/>
                <w:color w:val="202B3C"/>
                <w:sz w:val="15"/>
              </w:rPr>
              <w:t>Immutable-ish audit events, retention/deletion workflows, access records</w:t>
            </w:r>
          </w:p>
        </w:tc>
        <w:tc>
          <w:tcPr>
            <w:tcW w:type="dxa" w:w="4104"/>
            <w:vAlign w:val="center"/>
            <w:shd w:fill="F7F9FC"/>
          </w:tcPr>
          <w:p>
            <w:pPr>
              <w:spacing w:after="0"/>
            </w:pPr>
            <w:r/>
            <w:r>
              <w:rPr>
                <w:rFonts w:ascii="Aptos" w:hAnsi="Aptos"/>
                <w:b w:val="0"/>
                <w:color w:val="202B3C"/>
                <w:sz w:val="15"/>
              </w:rPr>
              <w:t>Secrets or full message bodies copied unnecessarily into logs.</w:t>
            </w:r>
          </w:p>
        </w:tc>
      </w:tr>
    </w:tbl>
    <w:p/>
    <w:p>
      <w:pPr>
        <w:pStyle w:val="Heading1"/>
      </w:pPr>
      <w:r>
        <w:t>5. Core request and event flows</w:t>
      </w:r>
    </w:p>
    <w:p>
      <w:pPr>
        <w:pStyle w:val="Heading2"/>
      </w:pPr>
      <w:r>
        <w:t>5.1 Chat flow</w:t>
      </w:r>
    </w:p>
    <w:p>
      <w:pPr>
        <w:pStyle w:val="ListNumber"/>
        <w:spacing w:after="40"/>
      </w:pPr>
      <w:r>
        <w:t>Widget creates or resumes a signed session; backend applies origin/domain allowlist and rate limits.</w:t>
      </w:r>
    </w:p>
    <w:p>
      <w:pPr>
        <w:pStyle w:val="ListNumber"/>
        <w:spacing w:after="40"/>
      </w:pPr>
      <w:r>
        <w:t>Incoming message is normalized and persisted idempotently before AI work begins.</w:t>
      </w:r>
    </w:p>
    <w:p>
      <w:pPr>
        <w:pStyle w:val="ListNumber"/>
        <w:spacing w:after="40"/>
      </w:pPr>
      <w:r>
        <w:t>Orchestrator loads tenant configuration and checks identity, topic, allowed actions, business hours and safety policy.</w:t>
      </w:r>
    </w:p>
    <w:p>
      <w:pPr>
        <w:pStyle w:val="ListNumber"/>
        <w:spacing w:after="40"/>
      </w:pPr>
      <w:r>
        <w:t>Retriever searches only published, tenant-authorized knowledge; response generation receives bounded, relevant passages.</w:t>
      </w:r>
    </w:p>
    <w:p>
      <w:pPr>
        <w:pStyle w:val="ListNumber"/>
        <w:spacing w:after="40"/>
      </w:pPr>
      <w:r>
        <w:t>Validator checks policy compliance, source support, prohibited data disclosure and required response format.</w:t>
      </w:r>
    </w:p>
    <w:p>
      <w:pPr>
        <w:pStyle w:val="ListNumber"/>
        <w:spacing w:after="40"/>
      </w:pPr>
      <w:r>
        <w:t>If answer passes, persist and send it; if not, ask a focused clarification, provide safe fallback, or create a handoff.</w:t>
      </w:r>
    </w:p>
    <w:p>
      <w:pPr>
        <w:pStyle w:val="ListNumber"/>
        <w:spacing w:after="40"/>
      </w:pPr>
      <w:r>
        <w:t>Record outcome events and trace identifiers; never make analytics success depend on a model response.</w:t>
      </w:r>
    </w:p>
    <w:p>
      <w:pPr>
        <w:pStyle w:val="Heading2"/>
      </w:pPr>
      <w:r>
        <w:t>5.2 Email flow</w:t>
      </w:r>
    </w:p>
    <w:p>
      <w:pPr>
        <w:pStyle w:val="ListNumber"/>
        <w:spacing w:after="40"/>
      </w:pPr>
      <w:r>
        <w:t>Verify inbound webhook/provider signature and record provider event ID for deduplication.</w:t>
      </w:r>
    </w:p>
    <w:p>
      <w:pPr>
        <w:pStyle w:val="ListNumber"/>
        <w:spacing w:after="40"/>
      </w:pPr>
      <w:r>
        <w:t>Normalize sender, recipients, subject, body, attachments and threading headers; apply malware/type/size controls.</w:t>
      </w:r>
    </w:p>
    <w:p>
      <w:pPr>
        <w:pStyle w:val="ListNumber"/>
        <w:spacing w:after="40"/>
      </w:pPr>
      <w:r>
        <w:t>Link to existing case using provider thread identifiers and conservative matching; avoid merging on subject alone.</w:t>
      </w:r>
    </w:p>
    <w:p>
      <w:pPr>
        <w:pStyle w:val="ListNumber"/>
        <w:spacing w:after="40"/>
      </w:pPr>
      <w:r>
        <w:t>Run tenant policy; send only if the tenant has explicitly enabled autonomous email responses for that case class.</w:t>
      </w:r>
    </w:p>
    <w:p>
      <w:pPr>
        <w:pStyle w:val="ListNumber"/>
        <w:spacing w:after="40"/>
      </w:pPr>
      <w:r>
        <w:t>Use outbound provider API with idempotency where supported; track accepted, delivered, bounced and failed states.</w:t>
      </w:r>
    </w:p>
    <w:p>
      <w:pPr>
        <w:pStyle w:val="ListNumber"/>
        <w:spacing w:after="40"/>
      </w:pPr>
      <w:r>
        <w:t>Retry transient errors with exponential backoff; dead-letter permanent failures and alert operations.</w:t>
      </w:r>
    </w:p>
    <w:p>
      <w:pPr>
        <w:pStyle w:val="Heading2"/>
      </w:pPr>
      <w:r>
        <w:t>5.3 Inbound voice flow</w:t>
      </w:r>
    </w:p>
    <w:p>
      <w:pPr>
        <w:pStyle w:val="ListNumber"/>
        <w:spacing w:after="40"/>
      </w:pPr>
      <w:r>
        <w:t>Telephony provider sends call-start event; verify signature and create call/session and linked case.</w:t>
      </w:r>
    </w:p>
    <w:p>
      <w:pPr>
        <w:pStyle w:val="ListNumber"/>
        <w:spacing w:after="40"/>
      </w:pPr>
      <w:r>
        <w:t>Apply greeting, AI disclosure, consent/recording rules, language and tenant policy before restricted capture.</w:t>
      </w:r>
    </w:p>
    <w:p>
      <w:pPr>
        <w:pStyle w:val="ListNumber"/>
        <w:spacing w:after="40"/>
      </w:pPr>
      <w:r>
        <w:t>Use streaming speech-to-text and turn-taking where supported; keep a latency budget for each stage.</w:t>
      </w:r>
    </w:p>
    <w:p>
      <w:pPr>
        <w:pStyle w:val="ListNumber"/>
        <w:spacing w:after="40"/>
      </w:pPr>
      <w:r>
        <w:t>For each caller turn: transcribe → classify intent → retrieve approved knowledge → generate concise answer → validate → speak.</w:t>
      </w:r>
    </w:p>
    <w:p>
      <w:pPr>
        <w:pStyle w:val="ListNumber"/>
        <w:spacing w:after="40"/>
      </w:pPr>
      <w:r>
        <w:t>Transfer on explicit request or mandatory handoff; pass queue, summary and metadata where provider supports it.</w:t>
      </w:r>
    </w:p>
    <w:p>
      <w:pPr>
        <w:pStyle w:val="ListNumber"/>
        <w:spacing w:after="40"/>
      </w:pPr>
      <w:r>
        <w:t>If transfer/model/transcription fails, use a deterministic fallback such as retry once, offer callback/voicemail, or route to a human.</w:t>
      </w:r>
    </w:p>
    <w:p>
      <w:pPr>
        <w:pStyle w:val="ListNumber"/>
        <w:spacing w:after="40"/>
      </w:pPr>
      <w:r>
        <w:t>Persist transcript and call outcome under configured retention; restrict recording access separately from transcript access.</w:t>
      </w:r>
    </w:p>
    <w:p>
      <w:pPr>
        <w:pStyle w:val="Heading2"/>
      </w:pPr>
      <w:r>
        <w:t>5.4 Async processing flow</w:t>
      </w:r>
    </w:p>
    <w:p>
      <w:pPr>
        <w:spacing w:before="60" w:after="120"/>
        <w:ind w:left="216" w:right="144"/>
        <w:shd w:fill="F2F5F9"/>
      </w:pPr>
      <w:r>
        <w:rPr>
          <w:rFonts w:ascii="Consolas" w:hAnsi="Consolas"/>
          <w:color w:val="14233B"/>
          <w:sz w:val="15"/>
        </w:rPr>
        <w:t>API transaction:</w:t>
        <w:br/>
        <w:t xml:space="preserve">  persist domain change + outbox event</w:t>
        <w:br/>
        <w:t xml:space="preserve">       -&gt; commit</w:t>
        <w:br/>
        <w:t xml:space="preserve">       -&gt; outbox dispatcher publishes durable job</w:t>
        <w:br/>
        <w:t xml:space="preserve">       -&gt; worker claims job</w:t>
        <w:br/>
        <w:t xml:space="preserve">       -&gt; process with idempotency key</w:t>
        <w:br/>
        <w:t xml:space="preserve">       -&gt; update status / emit event</w:t>
        <w:br/>
        <w:t xml:space="preserve">       -&gt; retry transient failures; dead-letter terminal failures</w:t>
      </w:r>
    </w:p>
    <w:p>
      <w:r>
        <w:t>Use a transactional outbox (or an equivalent reliable publish pattern) for important database-to-queue events. Do not rely on 'write to database, then publish' as two unrelated operations.</w:t>
      </w:r>
    </w:p>
    <w:p>
      <w:pPr>
        <w:pStyle w:val="Heading1"/>
      </w:pPr>
      <w:r>
        <w:t>6. AI orchestration and RAG architecture</w:t>
      </w:r>
    </w:p>
    <w:p>
      <w:pPr>
        <w:pStyle w:val="Heading2"/>
      </w:pPr>
      <w:r>
        <w:t>Recommended orchestration pipeline</w:t>
      </w:r>
    </w:p>
    <w:p>
      <w:pPr>
        <w:spacing w:before="60" w:after="120"/>
        <w:ind w:left="216" w:right="144"/>
        <w:shd w:fill="F2F5F9"/>
      </w:pPr>
      <w:r>
        <w:rPr>
          <w:rFonts w:ascii="Consolas" w:hAnsi="Consolas"/>
          <w:color w:val="14233B"/>
          <w:sz w:val="15"/>
        </w:rPr>
        <w:t>Incoming event</w:t>
        <w:br/>
        <w:t xml:space="preserve">  1. Resolve tenant, channel, case, identity and config version</w:t>
        <w:br/>
        <w:t xml:space="preserve">  2. Apply deterministic policy and eligibility checks</w:t>
        <w:br/>
        <w:t xml:space="preserve">  3. Classify intent / detect request for a human</w:t>
        <w:br/>
        <w:t xml:space="preserve">  4. Retrieve approved knowledge (tenant + publication + locale + access filters)</w:t>
        <w:br/>
        <w:t xml:space="preserve">  5. Build bounded prompt from policy + retrieved passages + relevant conversation context</w:t>
        <w:br/>
        <w:t xml:space="preserve">  6. Call model with timeout, token/cost budget and provider fallback policy</w:t>
        <w:br/>
        <w:t xml:space="preserve">  7. Validate response: grounding, policy, privacy, action authorization, format</w:t>
        <w:br/>
        <w:t xml:space="preserve">  8. Decide: answer | clarify | safe fallback | handoff</w:t>
        <w:br/>
        <w:t xml:space="preserve">  9. Persist decision, source IDs, model/config version and outcome metadata</w:t>
        <w:br/>
        <w:t xml:space="preserve"> 10. Send via channel adapter and emit evaluation events</w:t>
      </w:r>
    </w:p>
    <w:p>
      <w:pPr>
        <w:pStyle w:val="Heading2"/>
      </w:pPr>
      <w:r>
        <w:t>Knowledge retrieval requirements</w:t>
      </w:r>
    </w:p>
    <w:p>
      <w:pPr>
        <w:pStyle w:val="ListBullet"/>
        <w:spacing w:after="30"/>
      </w:pPr>
      <w:r>
        <w:t>Only published, approved, current knowledge can be retrieved for production answers.</w:t>
      </w:r>
    </w:p>
    <w:p>
      <w:pPr>
        <w:pStyle w:val="ListBullet"/>
        <w:spacing w:after="30"/>
      </w:pPr>
      <w:r>
        <w:t>Every chunk must carry tenant_id, source_id, version, publication status, locale, access scope and effective dates as applicable.</w:t>
      </w:r>
    </w:p>
    <w:p>
      <w:pPr>
        <w:pStyle w:val="ListBullet"/>
        <w:spacing w:after="30"/>
      </w:pPr>
      <w:r>
        <w:t>Enforce tenant and authorization filters in the retrieval query, not only in the prompt.</w:t>
      </w:r>
    </w:p>
    <w:p>
      <w:pPr>
        <w:pStyle w:val="ListBullet"/>
        <w:spacing w:after="30"/>
      </w:pPr>
      <w:r>
        <w:t>Store source references with each answer so reviewers can inspect what informed the response.</w:t>
      </w:r>
    </w:p>
    <w:p>
      <w:pPr>
        <w:pStyle w:val="ListBullet"/>
        <w:spacing w:after="30"/>
      </w:pPr>
      <w:r>
        <w:t>Keep a no-answer path. If retrieval is empty, conflicting, stale, or weak, do not invent a policy or promise.</w:t>
      </w:r>
    </w:p>
    <w:p>
      <w:pPr>
        <w:pStyle w:val="ListBullet"/>
        <w:spacing w:after="30"/>
      </w:pPr>
      <w:r>
        <w:t>Treat retrieved documents and customer messages as untrusted data; they cannot override system policy or tool permissions.</w:t>
      </w:r>
    </w:p>
    <w:p>
      <w:pPr>
        <w:pStyle w:val="ListBullet"/>
        <w:spacing w:after="30"/>
      </w:pPr>
      <w:r>
        <w:t>Indexing is asynchronous and versioned; publish only after successful processing and validation.</w:t>
      </w:r>
    </w:p>
    <w:p>
      <w:pPr>
        <w:pStyle w:val="ListBullet"/>
        <w:spacing w:after="30"/>
      </w:pPr>
      <w:r>
        <w:t>Evaluate retrieval recall, groundedness, answer correctness, refusal behavior and escalation quality on a representative test set.</w:t>
      </w:r>
    </w:p>
    <w:p>
      <w:pPr>
        <w:pStyle w:val="Heading2"/>
      </w:pPr>
      <w:r>
        <w:t>AI safety and autonomy levels</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4233B"/>
          </w:tcPr>
          <w:p>
            <w:pPr>
              <w:spacing w:after="0"/>
            </w:pPr>
            <w:r/>
            <w:r>
              <w:rPr>
                <w:rFonts w:ascii="Aptos" w:hAnsi="Aptos"/>
                <w:b/>
                <w:color w:val="FFFFFF"/>
                <w:sz w:val="16"/>
              </w:rPr>
              <w:t>Mode</w:t>
            </w:r>
          </w:p>
        </w:tc>
        <w:tc>
          <w:tcPr>
            <w:tcW w:type="dxa" w:w="4320"/>
            <w:vAlign w:val="center"/>
            <w:shd w:fill="14233B"/>
          </w:tcPr>
          <w:p>
            <w:pPr>
              <w:spacing w:after="0"/>
            </w:pPr>
            <w:r/>
            <w:r>
              <w:rPr>
                <w:rFonts w:ascii="Aptos" w:hAnsi="Aptos"/>
                <w:b/>
                <w:color w:val="FFFFFF"/>
                <w:sz w:val="16"/>
              </w:rPr>
              <w:t>Behavior</w:t>
            </w:r>
          </w:p>
        </w:tc>
        <w:tc>
          <w:tcPr>
            <w:tcW w:type="dxa" w:w="3960"/>
            <w:vAlign w:val="center"/>
            <w:shd w:fill="14233B"/>
          </w:tcPr>
          <w:p>
            <w:pPr>
              <w:spacing w:after="0"/>
            </w:pPr>
            <w:r/>
            <w:r>
              <w:rPr>
                <w:rFonts w:ascii="Aptos" w:hAnsi="Aptos"/>
                <w:b/>
                <w:color w:val="FFFFFF"/>
                <w:sz w:val="16"/>
              </w:rPr>
              <w:t>Recommended use</w:t>
            </w:r>
          </w:p>
        </w:tc>
      </w:tr>
      <w:tr>
        <w:tc>
          <w:tcPr>
            <w:tcW w:type="dxa" w:w="2088"/>
            <w:vAlign w:val="center"/>
          </w:tcPr>
          <w:p>
            <w:pPr>
              <w:spacing w:after="0"/>
            </w:pPr>
            <w:r/>
            <w:r>
              <w:rPr>
                <w:rFonts w:ascii="Aptos" w:hAnsi="Aptos"/>
                <w:b w:val="0"/>
                <w:color w:val="202B3C"/>
                <w:sz w:val="16"/>
              </w:rPr>
              <w:t>Suggest-only</w:t>
            </w:r>
          </w:p>
        </w:tc>
        <w:tc>
          <w:tcPr>
            <w:tcW w:type="dxa" w:w="4320"/>
            <w:vAlign w:val="center"/>
          </w:tcPr>
          <w:p>
            <w:pPr>
              <w:spacing w:after="0"/>
            </w:pPr>
            <w:r/>
            <w:r>
              <w:rPr>
                <w:rFonts w:ascii="Aptos" w:hAnsi="Aptos"/>
                <w:b w:val="0"/>
                <w:color w:val="202B3C"/>
                <w:sz w:val="16"/>
              </w:rPr>
              <w:t>AI drafts; agent approves every response.</w:t>
            </w:r>
          </w:p>
        </w:tc>
        <w:tc>
          <w:tcPr>
            <w:tcW w:type="dxa" w:w="3960"/>
            <w:vAlign w:val="center"/>
          </w:tcPr>
          <w:p>
            <w:pPr>
              <w:spacing w:after="0"/>
            </w:pPr>
            <w:r/>
            <w:r>
              <w:rPr>
                <w:rFonts w:ascii="Aptos" w:hAnsi="Aptos"/>
                <w:b w:val="0"/>
                <w:color w:val="202B3C"/>
                <w:sz w:val="16"/>
              </w:rPr>
              <w:t>Initial internal pilot; risky topics; low-confidence channel.</w:t>
            </w:r>
          </w:p>
        </w:tc>
      </w:tr>
      <w:tr>
        <w:tc>
          <w:tcPr>
            <w:tcW w:type="dxa" w:w="2088"/>
            <w:vAlign w:val="center"/>
            <w:shd w:fill="F7F9FC"/>
          </w:tcPr>
          <w:p>
            <w:pPr>
              <w:spacing w:after="0"/>
            </w:pPr>
            <w:r/>
            <w:r>
              <w:rPr>
                <w:rFonts w:ascii="Aptos" w:hAnsi="Aptos"/>
                <w:b w:val="0"/>
                <w:color w:val="202B3C"/>
                <w:sz w:val="16"/>
              </w:rPr>
              <w:t>Approve-before-send</w:t>
            </w:r>
          </w:p>
        </w:tc>
        <w:tc>
          <w:tcPr>
            <w:tcW w:type="dxa" w:w="4320"/>
            <w:vAlign w:val="center"/>
            <w:shd w:fill="F7F9FC"/>
          </w:tcPr>
          <w:p>
            <w:pPr>
              <w:spacing w:after="0"/>
            </w:pPr>
            <w:r/>
            <w:r>
              <w:rPr>
                <w:rFonts w:ascii="Aptos" w:hAnsi="Aptos"/>
                <w:b w:val="0"/>
                <w:color w:val="202B3C"/>
                <w:sz w:val="16"/>
              </w:rPr>
              <w:t>AI proposes an answer/action; an authorized person approves.</w:t>
            </w:r>
          </w:p>
        </w:tc>
        <w:tc>
          <w:tcPr>
            <w:tcW w:type="dxa" w:w="3960"/>
            <w:vAlign w:val="center"/>
            <w:shd w:fill="F7F9FC"/>
          </w:tcPr>
          <w:p>
            <w:pPr>
              <w:spacing w:after="0"/>
            </w:pPr>
            <w:r/>
            <w:r>
              <w:rPr>
                <w:rFonts w:ascii="Aptos" w:hAnsi="Aptos"/>
                <w:b w:val="0"/>
                <w:color w:val="202B3C"/>
                <w:sz w:val="16"/>
              </w:rPr>
              <w:t>Controlled rollout for email or new tenants.</w:t>
            </w:r>
          </w:p>
        </w:tc>
      </w:tr>
      <w:tr>
        <w:tc>
          <w:tcPr>
            <w:tcW w:type="dxa" w:w="2088"/>
            <w:vAlign w:val="center"/>
          </w:tcPr>
          <w:p>
            <w:pPr>
              <w:spacing w:after="0"/>
            </w:pPr>
            <w:r/>
            <w:r>
              <w:rPr>
                <w:rFonts w:ascii="Aptos" w:hAnsi="Aptos"/>
                <w:b w:val="0"/>
                <w:color w:val="202B3C"/>
                <w:sz w:val="16"/>
              </w:rPr>
              <w:t>Auto-send within scope</w:t>
            </w:r>
          </w:p>
        </w:tc>
        <w:tc>
          <w:tcPr>
            <w:tcW w:type="dxa" w:w="4320"/>
            <w:vAlign w:val="center"/>
          </w:tcPr>
          <w:p>
            <w:pPr>
              <w:spacing w:after="0"/>
            </w:pPr>
            <w:r/>
            <w:r>
              <w:rPr>
                <w:rFonts w:ascii="Aptos" w:hAnsi="Aptos"/>
                <w:b w:val="0"/>
                <w:color w:val="202B3C"/>
                <w:sz w:val="16"/>
              </w:rPr>
              <w:t>AI sends only for explicitly allowed topics/actions and passes policy checks.</w:t>
            </w:r>
          </w:p>
        </w:tc>
        <w:tc>
          <w:tcPr>
            <w:tcW w:type="dxa" w:w="3960"/>
            <w:vAlign w:val="center"/>
          </w:tcPr>
          <w:p>
            <w:pPr>
              <w:spacing w:after="0"/>
            </w:pPr>
            <w:r/>
            <w:r>
              <w:rPr>
                <w:rFonts w:ascii="Aptos" w:hAnsi="Aptos"/>
                <w:b w:val="0"/>
                <w:color w:val="202B3C"/>
                <w:sz w:val="16"/>
              </w:rPr>
              <w:t>Mature, evaluated low-risk workflows.</w:t>
            </w:r>
          </w:p>
        </w:tc>
      </w:tr>
    </w:tbl>
    <w:p/>
    <w:p>
      <w:pPr>
        <w:pStyle w:val="Heading2"/>
      </w:pPr>
      <w:r>
        <w:t>Mandatory handoff or fallback triggers</w:t>
      </w:r>
    </w:p>
    <w:p>
      <w:pPr>
        <w:pStyle w:val="ListBullet"/>
        <w:spacing w:after="30"/>
      </w:pPr>
      <w:r>
        <w:t>Customer explicitly asks for a human.</w:t>
      </w:r>
    </w:p>
    <w:p>
      <w:pPr>
        <w:pStyle w:val="ListBullet"/>
        <w:spacing w:after="30"/>
      </w:pPr>
      <w:r>
        <w:t>Confidence/quality gates fail or required approved knowledge is absent or contradictory.</w:t>
      </w:r>
    </w:p>
    <w:p>
      <w:pPr>
        <w:pStyle w:val="ListBullet"/>
        <w:spacing w:after="30"/>
      </w:pPr>
      <w:r>
        <w:t>Repeated misunderstanding or configured attempt limit is reached.</w:t>
      </w:r>
    </w:p>
    <w:p>
      <w:pPr>
        <w:pStyle w:val="ListBullet"/>
        <w:spacing w:after="30"/>
      </w:pPr>
      <w:r>
        <w:t>Sensitive/high-impact action requires human review or verified identity.</w:t>
      </w:r>
    </w:p>
    <w:p>
      <w:pPr>
        <w:pStyle w:val="ListBullet"/>
        <w:spacing w:after="30"/>
      </w:pPr>
      <w:r>
        <w:t>Policy prohibits the request, or a model/tool/provider failure prevents safe completion.</w:t>
      </w:r>
    </w:p>
    <w:p>
      <w:pPr>
        <w:pStyle w:val="ListBullet"/>
        <w:spacing w:after="30"/>
      </w:pPr>
      <w:r>
        <w:t>Customer is distressed or risk signals require a configured escalation path; sentiment alone should not be treated as proof.</w:t>
      </w:r>
    </w:p>
    <w:p>
      <w:pPr>
        <w:pStyle w:val="Heading2"/>
      </w:pPr>
      <w:r>
        <w:t>AI evaluation loop</w:t>
      </w:r>
    </w:p>
    <w:p>
      <w:r>
        <w:t>Keep an offline evaluation set by tenant-safe, redacted scenario categories. Every prompt, model, retrieval or policy change should run regression tests before publish. Monitor production outcomes including confirmed resolution, recontact, handoff acceptance, user feedback and answer quality—not just the percentage of conversations touched by AI.</w:t>
      </w:r>
    </w:p>
    <w:p>
      <w:pPr>
        <w:pStyle w:val="Heading1"/>
      </w:pPr>
      <w:r>
        <w:t>7. Multi-tenancy and security architecture</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14233B"/>
          </w:tcPr>
          <w:p>
            <w:pPr>
              <w:spacing w:after="0"/>
            </w:pPr>
            <w:r/>
            <w:r>
              <w:rPr>
                <w:rFonts w:ascii="Aptos" w:hAnsi="Aptos"/>
                <w:b/>
                <w:color w:val="FFFFFF"/>
                <w:sz w:val="16"/>
              </w:rPr>
              <w:t>Control</w:t>
            </w:r>
          </w:p>
        </w:tc>
        <w:tc>
          <w:tcPr>
            <w:tcW w:type="dxa" w:w="8208"/>
            <w:vAlign w:val="center"/>
            <w:shd w:fill="14233B"/>
          </w:tcPr>
          <w:p>
            <w:pPr>
              <w:spacing w:after="0"/>
            </w:pPr>
            <w:r/>
            <w:r>
              <w:rPr>
                <w:rFonts w:ascii="Aptos" w:hAnsi="Aptos"/>
                <w:b/>
                <w:color w:val="FFFFFF"/>
                <w:sz w:val="16"/>
              </w:rPr>
              <w:t>Implementation requirement</w:t>
            </w:r>
          </w:p>
        </w:tc>
      </w:tr>
      <w:tr>
        <w:tc>
          <w:tcPr>
            <w:tcW w:type="dxa" w:w="2160"/>
            <w:vAlign w:val="center"/>
          </w:tcPr>
          <w:p>
            <w:pPr>
              <w:spacing w:after="0"/>
            </w:pPr>
            <w:r/>
            <w:r>
              <w:rPr>
                <w:rFonts w:ascii="Aptos" w:hAnsi="Aptos"/>
                <w:b w:val="0"/>
                <w:color w:val="202B3C"/>
                <w:sz w:val="15"/>
              </w:rPr>
              <w:t>Tenant context</w:t>
            </w:r>
          </w:p>
        </w:tc>
        <w:tc>
          <w:tcPr>
            <w:tcW w:type="dxa" w:w="8208"/>
            <w:vAlign w:val="center"/>
          </w:tcPr>
          <w:p>
            <w:pPr>
              <w:spacing w:after="0"/>
            </w:pPr>
            <w:r/>
            <w:r>
              <w:rPr>
                <w:rFonts w:ascii="Aptos" w:hAnsi="Aptos"/>
                <w:b w:val="0"/>
                <w:color w:val="202B3C"/>
                <w:sz w:val="15"/>
              </w:rPr>
              <w:t>Resolve tenant from authenticated membership or validated channel mapping; never trust a client-supplied tenant_id alone.</w:t>
            </w:r>
          </w:p>
        </w:tc>
      </w:tr>
      <w:tr>
        <w:tc>
          <w:tcPr>
            <w:tcW w:type="dxa" w:w="2160"/>
            <w:vAlign w:val="center"/>
            <w:shd w:fill="F7F9FC"/>
          </w:tcPr>
          <w:p>
            <w:pPr>
              <w:spacing w:after="0"/>
            </w:pPr>
            <w:r/>
            <w:r>
              <w:rPr>
                <w:rFonts w:ascii="Aptos" w:hAnsi="Aptos"/>
                <w:b w:val="0"/>
                <w:color w:val="202B3C"/>
                <w:sz w:val="15"/>
              </w:rPr>
              <w:t>Database isolation</w:t>
            </w:r>
          </w:p>
        </w:tc>
        <w:tc>
          <w:tcPr>
            <w:tcW w:type="dxa" w:w="8208"/>
            <w:vAlign w:val="center"/>
            <w:shd w:fill="F7F9FC"/>
          </w:tcPr>
          <w:p>
            <w:pPr>
              <w:spacing w:after="0"/>
            </w:pPr>
            <w:r/>
            <w:r>
              <w:rPr>
                <w:rFonts w:ascii="Aptos" w:hAnsi="Aptos"/>
                <w:b w:val="0"/>
                <w:color w:val="202B3C"/>
                <w:sz w:val="15"/>
              </w:rPr>
              <w:t>Every tenant-owned row has tenant_id; enforce tenant predicates in repository/service layer and consider PostgreSQL row-level security as defense in depth.</w:t>
            </w:r>
          </w:p>
        </w:tc>
      </w:tr>
      <w:tr>
        <w:tc>
          <w:tcPr>
            <w:tcW w:type="dxa" w:w="2160"/>
            <w:vAlign w:val="center"/>
          </w:tcPr>
          <w:p>
            <w:pPr>
              <w:spacing w:after="0"/>
            </w:pPr>
            <w:r/>
            <w:r>
              <w:rPr>
                <w:rFonts w:ascii="Aptos" w:hAnsi="Aptos"/>
                <w:b w:val="0"/>
                <w:color w:val="202B3C"/>
                <w:sz w:val="15"/>
              </w:rPr>
              <w:t>Authorization</w:t>
            </w:r>
          </w:p>
        </w:tc>
        <w:tc>
          <w:tcPr>
            <w:tcW w:type="dxa" w:w="8208"/>
            <w:vAlign w:val="center"/>
          </w:tcPr>
          <w:p>
            <w:pPr>
              <w:spacing w:after="0"/>
            </w:pPr>
            <w:r/>
            <w:r>
              <w:rPr>
                <w:rFonts w:ascii="Aptos" w:hAnsi="Aptos"/>
                <w:b w:val="0"/>
                <w:color w:val="202B3C"/>
                <w:sz w:val="15"/>
              </w:rPr>
              <w:t>Role-based permissions plus resource-level checks; server validates every action regardless of UI visibility.</w:t>
            </w:r>
          </w:p>
        </w:tc>
      </w:tr>
      <w:tr>
        <w:tc>
          <w:tcPr>
            <w:tcW w:type="dxa" w:w="2160"/>
            <w:vAlign w:val="center"/>
            <w:shd w:fill="F7F9FC"/>
          </w:tcPr>
          <w:p>
            <w:pPr>
              <w:spacing w:after="0"/>
            </w:pPr>
            <w:r/>
            <w:r>
              <w:rPr>
                <w:rFonts w:ascii="Aptos" w:hAnsi="Aptos"/>
                <w:b w:val="0"/>
                <w:color w:val="202B3C"/>
                <w:sz w:val="15"/>
              </w:rPr>
              <w:t>Secrets</w:t>
            </w:r>
          </w:p>
        </w:tc>
        <w:tc>
          <w:tcPr>
            <w:tcW w:type="dxa" w:w="8208"/>
            <w:vAlign w:val="center"/>
            <w:shd w:fill="F7F9FC"/>
          </w:tcPr>
          <w:p>
            <w:pPr>
              <w:spacing w:after="0"/>
            </w:pPr>
            <w:r/>
            <w:r>
              <w:rPr>
                <w:rFonts w:ascii="Aptos" w:hAnsi="Aptos"/>
                <w:b w:val="0"/>
                <w:color w:val="202B3C"/>
                <w:sz w:val="15"/>
              </w:rPr>
              <w:t>Use managed secret storage; encrypt at rest; never return provider tokens to browsers or log them.</w:t>
            </w:r>
          </w:p>
        </w:tc>
      </w:tr>
      <w:tr>
        <w:tc>
          <w:tcPr>
            <w:tcW w:type="dxa" w:w="2160"/>
            <w:vAlign w:val="center"/>
          </w:tcPr>
          <w:p>
            <w:pPr>
              <w:spacing w:after="0"/>
            </w:pPr>
            <w:r/>
            <w:r>
              <w:rPr>
                <w:rFonts w:ascii="Aptos" w:hAnsi="Aptos"/>
                <w:b w:val="0"/>
                <w:color w:val="202B3C"/>
                <w:sz w:val="15"/>
              </w:rPr>
              <w:t>Encryption</w:t>
            </w:r>
          </w:p>
        </w:tc>
        <w:tc>
          <w:tcPr>
            <w:tcW w:type="dxa" w:w="8208"/>
            <w:vAlign w:val="center"/>
          </w:tcPr>
          <w:p>
            <w:pPr>
              <w:spacing w:after="0"/>
            </w:pPr>
            <w:r/>
            <w:r>
              <w:rPr>
                <w:rFonts w:ascii="Aptos" w:hAnsi="Aptos"/>
                <w:b w:val="0"/>
                <w:color w:val="202B3C"/>
                <w:sz w:val="15"/>
              </w:rPr>
              <w:t>TLS in transit; managed encryption at rest for database, object storage, backups and queues where supported.</w:t>
            </w:r>
          </w:p>
        </w:tc>
      </w:tr>
      <w:tr>
        <w:tc>
          <w:tcPr>
            <w:tcW w:type="dxa" w:w="2160"/>
            <w:vAlign w:val="center"/>
            <w:shd w:fill="F7F9FC"/>
          </w:tcPr>
          <w:p>
            <w:pPr>
              <w:spacing w:after="0"/>
            </w:pPr>
            <w:r/>
            <w:r>
              <w:rPr>
                <w:rFonts w:ascii="Aptos" w:hAnsi="Aptos"/>
                <w:b w:val="0"/>
                <w:color w:val="202B3C"/>
                <w:sz w:val="15"/>
              </w:rPr>
              <w:t>Webhook security</w:t>
            </w:r>
          </w:p>
        </w:tc>
        <w:tc>
          <w:tcPr>
            <w:tcW w:type="dxa" w:w="8208"/>
            <w:vAlign w:val="center"/>
            <w:shd w:fill="F7F9FC"/>
          </w:tcPr>
          <w:p>
            <w:pPr>
              <w:spacing w:after="0"/>
            </w:pPr>
            <w:r/>
            <w:r>
              <w:rPr>
                <w:rFonts w:ascii="Aptos" w:hAnsi="Aptos"/>
                <w:b w:val="0"/>
                <w:color w:val="202B3C"/>
                <w:sz w:val="15"/>
              </w:rPr>
              <w:t>Signature verification, timestamp/replay checks where supported, payload size limits, rate limits and event deduplication.</w:t>
            </w:r>
          </w:p>
        </w:tc>
      </w:tr>
      <w:tr>
        <w:tc>
          <w:tcPr>
            <w:tcW w:type="dxa" w:w="2160"/>
            <w:vAlign w:val="center"/>
          </w:tcPr>
          <w:p>
            <w:pPr>
              <w:spacing w:after="0"/>
            </w:pPr>
            <w:r/>
            <w:r>
              <w:rPr>
                <w:rFonts w:ascii="Aptos" w:hAnsi="Aptos"/>
                <w:b w:val="0"/>
                <w:color w:val="202B3C"/>
                <w:sz w:val="15"/>
              </w:rPr>
              <w:t>Uploads</w:t>
            </w:r>
          </w:p>
        </w:tc>
        <w:tc>
          <w:tcPr>
            <w:tcW w:type="dxa" w:w="8208"/>
            <w:vAlign w:val="center"/>
          </w:tcPr>
          <w:p>
            <w:pPr>
              <w:spacing w:after="0"/>
            </w:pPr>
            <w:r/>
            <w:r>
              <w:rPr>
                <w:rFonts w:ascii="Aptos" w:hAnsi="Aptos"/>
                <w:b w:val="0"/>
                <w:color w:val="202B3C"/>
                <w:sz w:val="15"/>
              </w:rPr>
              <w:t>Private object storage, MIME/type and size validation, malware scanning where practical, short-lived signed links.</w:t>
            </w:r>
          </w:p>
        </w:tc>
      </w:tr>
      <w:tr>
        <w:tc>
          <w:tcPr>
            <w:tcW w:type="dxa" w:w="2160"/>
            <w:vAlign w:val="center"/>
            <w:shd w:fill="F7F9FC"/>
          </w:tcPr>
          <w:p>
            <w:pPr>
              <w:spacing w:after="0"/>
            </w:pPr>
            <w:r/>
            <w:r>
              <w:rPr>
                <w:rFonts w:ascii="Aptos" w:hAnsi="Aptos"/>
                <w:b w:val="0"/>
                <w:color w:val="202B3C"/>
                <w:sz w:val="15"/>
              </w:rPr>
              <w:t>Voice privacy</w:t>
            </w:r>
          </w:p>
        </w:tc>
        <w:tc>
          <w:tcPr>
            <w:tcW w:type="dxa" w:w="8208"/>
            <w:vAlign w:val="center"/>
            <w:shd w:fill="F7F9FC"/>
          </w:tcPr>
          <w:p>
            <w:pPr>
              <w:spacing w:after="0"/>
            </w:pPr>
            <w:r/>
            <w:r>
              <w:rPr>
                <w:rFonts w:ascii="Aptos" w:hAnsi="Aptos"/>
                <w:b w:val="0"/>
                <w:color w:val="202B3C"/>
                <w:sz w:val="15"/>
              </w:rPr>
              <w:t>Configurable consent, recording and transcript policies; separate permissions; retention/deletion by jurisdiction and customer agreement.</w:t>
            </w:r>
          </w:p>
        </w:tc>
      </w:tr>
      <w:tr>
        <w:tc>
          <w:tcPr>
            <w:tcW w:type="dxa" w:w="2160"/>
            <w:vAlign w:val="center"/>
          </w:tcPr>
          <w:p>
            <w:pPr>
              <w:spacing w:after="0"/>
            </w:pPr>
            <w:r/>
            <w:r>
              <w:rPr>
                <w:rFonts w:ascii="Aptos" w:hAnsi="Aptos"/>
                <w:b w:val="0"/>
                <w:color w:val="202B3C"/>
                <w:sz w:val="15"/>
              </w:rPr>
              <w:t>Audit</w:t>
            </w:r>
          </w:p>
        </w:tc>
        <w:tc>
          <w:tcPr>
            <w:tcW w:type="dxa" w:w="8208"/>
            <w:vAlign w:val="center"/>
          </w:tcPr>
          <w:p>
            <w:pPr>
              <w:spacing w:after="0"/>
            </w:pPr>
            <w:r/>
            <w:r>
              <w:rPr>
                <w:rFonts w:ascii="Aptos" w:hAnsi="Aptos"/>
                <w:b w:val="0"/>
                <w:color w:val="202B3C"/>
                <w:sz w:val="15"/>
              </w:rPr>
              <w:t>Record security-sensitive events: role changes, access grants, exports, config publish, source deletion, data deletion and provider changes.</w:t>
            </w:r>
          </w:p>
        </w:tc>
      </w:tr>
      <w:tr>
        <w:tc>
          <w:tcPr>
            <w:tcW w:type="dxa" w:w="2160"/>
            <w:vAlign w:val="center"/>
            <w:shd w:fill="F7F9FC"/>
          </w:tcPr>
          <w:p>
            <w:pPr>
              <w:spacing w:after="0"/>
            </w:pPr>
            <w:r/>
            <w:r>
              <w:rPr>
                <w:rFonts w:ascii="Aptos" w:hAnsi="Aptos"/>
                <w:b w:val="0"/>
                <w:color w:val="202B3C"/>
                <w:sz w:val="15"/>
              </w:rPr>
              <w:t>Prompt injection</w:t>
            </w:r>
          </w:p>
        </w:tc>
        <w:tc>
          <w:tcPr>
            <w:tcW w:type="dxa" w:w="8208"/>
            <w:vAlign w:val="center"/>
            <w:shd w:fill="F7F9FC"/>
          </w:tcPr>
          <w:p>
            <w:pPr>
              <w:spacing w:after="0"/>
            </w:pPr>
            <w:r/>
            <w:r>
              <w:rPr>
                <w:rFonts w:ascii="Aptos" w:hAnsi="Aptos"/>
                <w:b w:val="0"/>
                <w:color w:val="202B3C"/>
                <w:sz w:val="15"/>
              </w:rPr>
              <w:t>Treat user and retrieved content as untrusted; tool allowlists; output validation; no secrets in model context; least-privilege connectors.</w:t>
            </w:r>
          </w:p>
        </w:tc>
      </w:tr>
      <w:tr>
        <w:tc>
          <w:tcPr>
            <w:tcW w:type="dxa" w:w="2160"/>
            <w:vAlign w:val="center"/>
          </w:tcPr>
          <w:p>
            <w:pPr>
              <w:spacing w:after="0"/>
            </w:pPr>
            <w:r/>
            <w:r>
              <w:rPr>
                <w:rFonts w:ascii="Aptos" w:hAnsi="Aptos"/>
                <w:b w:val="0"/>
                <w:color w:val="202B3C"/>
                <w:sz w:val="15"/>
              </w:rPr>
              <w:t>SSRF/tool abuse</w:t>
            </w:r>
          </w:p>
        </w:tc>
        <w:tc>
          <w:tcPr>
            <w:tcW w:type="dxa" w:w="8208"/>
            <w:vAlign w:val="center"/>
          </w:tcPr>
          <w:p>
            <w:pPr>
              <w:spacing w:after="0"/>
            </w:pPr>
            <w:r/>
            <w:r>
              <w:rPr>
                <w:rFonts w:ascii="Aptos" w:hAnsi="Aptos"/>
                <w:b w:val="0"/>
                <w:color w:val="202B3C"/>
                <w:sz w:val="15"/>
              </w:rPr>
              <w:t>Restrict URL ingestion to approved schemes/domains; block private/internal address ranges; validate redirects and fetched content.</w:t>
            </w:r>
          </w:p>
        </w:tc>
      </w:tr>
      <w:tr>
        <w:tc>
          <w:tcPr>
            <w:tcW w:type="dxa" w:w="2160"/>
            <w:vAlign w:val="center"/>
            <w:shd w:fill="F7F9FC"/>
          </w:tcPr>
          <w:p>
            <w:pPr>
              <w:spacing w:after="0"/>
            </w:pPr>
            <w:r/>
            <w:r>
              <w:rPr>
                <w:rFonts w:ascii="Aptos" w:hAnsi="Aptos"/>
                <w:b w:val="0"/>
                <w:color w:val="202B3C"/>
                <w:sz w:val="15"/>
              </w:rPr>
              <w:t>Data minimization</w:t>
            </w:r>
          </w:p>
        </w:tc>
        <w:tc>
          <w:tcPr>
            <w:tcW w:type="dxa" w:w="8208"/>
            <w:vAlign w:val="center"/>
            <w:shd w:fill="F7F9FC"/>
          </w:tcPr>
          <w:p>
            <w:pPr>
              <w:spacing w:after="0"/>
            </w:pPr>
            <w:r/>
            <w:r>
              <w:rPr>
                <w:rFonts w:ascii="Aptos" w:hAnsi="Aptos"/>
                <w:b w:val="0"/>
                <w:color w:val="202B3C"/>
                <w:sz w:val="15"/>
              </w:rPr>
              <w:t>Redact or avoid sensitive content in telemetry; set retention limits; document subprocessors and model-provider data terms.</w:t>
            </w:r>
          </w:p>
        </w:tc>
      </w:tr>
    </w:tbl>
    <w:p/>
    <w:p>
      <w:pPr>
        <w:pStyle w:val="Heading2"/>
      </w:pPr>
      <w:r>
        <w:t>Threat scenarios to test</w:t>
      </w:r>
    </w:p>
    <w:p>
      <w:pPr>
        <w:pStyle w:val="ListBullet"/>
        <w:spacing w:after="30"/>
      </w:pPr>
      <w:r>
        <w:t>Tenant A attempts to retrieve Tenant B's case, file, vector, customer, or analytics record.</w:t>
      </w:r>
    </w:p>
    <w:p>
      <w:pPr>
        <w:pStyle w:val="ListBullet"/>
        <w:spacing w:after="30"/>
      </w:pPr>
      <w:r>
        <w:t>A malicious email or knowledge article tells the model to ignore policy or exfiltrate secrets.</w:t>
      </w:r>
    </w:p>
    <w:p>
      <w:pPr>
        <w:pStyle w:val="ListBullet"/>
        <w:spacing w:after="30"/>
      </w:pPr>
      <w:r>
        <w:t>A forged/replayed webhook creates duplicate cases or triggers unauthorized responses.</w:t>
      </w:r>
    </w:p>
    <w:p>
      <w:pPr>
        <w:pStyle w:val="ListBullet"/>
        <w:spacing w:after="30"/>
      </w:pPr>
      <w:r>
        <w:t>A support agent without permission attempts to export transcripts or access call recordings.</w:t>
      </w:r>
    </w:p>
    <w:p>
      <w:pPr>
        <w:pStyle w:val="ListBullet"/>
        <w:spacing w:after="30"/>
      </w:pPr>
      <w:r>
        <w:t>A prompt or tool input attempts SSRF, unsafe URL fetching, arbitrary CRM actions, or excessive API spend.</w:t>
      </w:r>
    </w:p>
    <w:p>
      <w:pPr>
        <w:pStyle w:val="ListBullet"/>
        <w:spacing w:after="30"/>
      </w:pPr>
      <w:r>
        <w:t>A deleted customer record remains in embeddings, cached context, search indexes, exports, or backups beyond policy.</w:t>
      </w:r>
    </w:p>
    <w:p>
      <w:pPr>
        <w:pStyle w:val="Heading1"/>
      </w:pPr>
      <w:r>
        <w:t>8. Initial data model</w:t>
      </w:r>
    </w:p>
    <w:p>
      <w:r>
        <w:t>Use relational tables for operational truth. Keep large files in object storage, and keep vector indexes linked to versioned knowledge records. The following is a logical model, not final migration SQL.</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4233B"/>
          </w:tcPr>
          <w:p>
            <w:pPr>
              <w:spacing w:after="0"/>
            </w:pPr>
            <w:r/>
            <w:r>
              <w:rPr>
                <w:rFonts w:ascii="Aptos" w:hAnsi="Aptos"/>
                <w:b/>
                <w:color w:val="FFFFFF"/>
                <w:sz w:val="16"/>
              </w:rPr>
              <w:t>Entity</w:t>
            </w:r>
          </w:p>
        </w:tc>
        <w:tc>
          <w:tcPr>
            <w:tcW w:type="dxa" w:w="7920"/>
            <w:vAlign w:val="center"/>
            <w:shd w:fill="14233B"/>
          </w:tcPr>
          <w:p>
            <w:pPr>
              <w:spacing w:after="0"/>
            </w:pPr>
            <w:r/>
            <w:r>
              <w:rPr>
                <w:rFonts w:ascii="Aptos" w:hAnsi="Aptos"/>
                <w:b/>
                <w:color w:val="FFFFFF"/>
                <w:sz w:val="16"/>
              </w:rPr>
              <w:t>Important fields / relationships</w:t>
            </w:r>
          </w:p>
        </w:tc>
      </w:tr>
      <w:tr>
        <w:tc>
          <w:tcPr>
            <w:tcW w:type="dxa" w:w="2448"/>
            <w:vAlign w:val="center"/>
          </w:tcPr>
          <w:p>
            <w:pPr>
              <w:spacing w:after="0"/>
            </w:pPr>
            <w:r/>
            <w:r>
              <w:rPr>
                <w:rFonts w:ascii="Aptos" w:hAnsi="Aptos"/>
                <w:b w:val="0"/>
                <w:color w:val="202B3C"/>
                <w:sz w:val="15"/>
              </w:rPr>
              <w:t>tenants</w:t>
            </w:r>
          </w:p>
        </w:tc>
        <w:tc>
          <w:tcPr>
            <w:tcW w:type="dxa" w:w="7920"/>
            <w:vAlign w:val="center"/>
          </w:tcPr>
          <w:p>
            <w:pPr>
              <w:spacing w:after="0"/>
            </w:pPr>
            <w:r/>
            <w:r>
              <w:rPr>
                <w:rFonts w:ascii="Aptos" w:hAnsi="Aptos"/>
                <w:b w:val="0"/>
                <w:color w:val="202B3C"/>
                <w:sz w:val="15"/>
              </w:rPr>
              <w:t>id, name, plan, status, region, created_at</w:t>
            </w:r>
          </w:p>
        </w:tc>
      </w:tr>
      <w:tr>
        <w:tc>
          <w:tcPr>
            <w:tcW w:type="dxa" w:w="2448"/>
            <w:vAlign w:val="center"/>
            <w:shd w:fill="F7F9FC"/>
          </w:tcPr>
          <w:p>
            <w:pPr>
              <w:spacing w:after="0"/>
            </w:pPr>
            <w:r/>
            <w:r>
              <w:rPr>
                <w:rFonts w:ascii="Aptos" w:hAnsi="Aptos"/>
                <w:b w:val="0"/>
                <w:color w:val="202B3C"/>
                <w:sz w:val="15"/>
              </w:rPr>
              <w:t>users</w:t>
            </w:r>
          </w:p>
        </w:tc>
        <w:tc>
          <w:tcPr>
            <w:tcW w:type="dxa" w:w="7920"/>
            <w:vAlign w:val="center"/>
            <w:shd w:fill="F7F9FC"/>
          </w:tcPr>
          <w:p>
            <w:pPr>
              <w:spacing w:after="0"/>
            </w:pPr>
            <w:r/>
            <w:r>
              <w:rPr>
                <w:rFonts w:ascii="Aptos" w:hAnsi="Aptos"/>
                <w:b w:val="0"/>
                <w:color w:val="202B3C"/>
                <w:sz w:val="15"/>
              </w:rPr>
              <w:t>id, identity_provider_id, email, status, MFA/SSO metadata</w:t>
            </w:r>
          </w:p>
        </w:tc>
      </w:tr>
      <w:tr>
        <w:tc>
          <w:tcPr>
            <w:tcW w:type="dxa" w:w="2448"/>
            <w:vAlign w:val="center"/>
          </w:tcPr>
          <w:p>
            <w:pPr>
              <w:spacing w:after="0"/>
            </w:pPr>
            <w:r/>
            <w:r>
              <w:rPr>
                <w:rFonts w:ascii="Aptos" w:hAnsi="Aptos"/>
                <w:b w:val="0"/>
                <w:color w:val="202B3C"/>
                <w:sz w:val="15"/>
              </w:rPr>
              <w:t>tenant_memberships</w:t>
            </w:r>
          </w:p>
        </w:tc>
        <w:tc>
          <w:tcPr>
            <w:tcW w:type="dxa" w:w="7920"/>
            <w:vAlign w:val="center"/>
          </w:tcPr>
          <w:p>
            <w:pPr>
              <w:spacing w:after="0"/>
            </w:pPr>
            <w:r/>
            <w:r>
              <w:rPr>
                <w:rFonts w:ascii="Aptos" w:hAnsi="Aptos"/>
                <w:b w:val="0"/>
                <w:color w:val="202B3C"/>
                <w:sz w:val="15"/>
              </w:rPr>
              <w:t>tenant_id, user_id, role_id, team_id, status</w:t>
            </w:r>
          </w:p>
        </w:tc>
      </w:tr>
      <w:tr>
        <w:tc>
          <w:tcPr>
            <w:tcW w:type="dxa" w:w="2448"/>
            <w:vAlign w:val="center"/>
            <w:shd w:fill="F7F9FC"/>
          </w:tcPr>
          <w:p>
            <w:pPr>
              <w:spacing w:after="0"/>
            </w:pPr>
            <w:r/>
            <w:r>
              <w:rPr>
                <w:rFonts w:ascii="Aptos" w:hAnsi="Aptos"/>
                <w:b w:val="0"/>
                <w:color w:val="202B3C"/>
                <w:sz w:val="15"/>
              </w:rPr>
              <w:t>roles / permissions</w:t>
            </w:r>
          </w:p>
        </w:tc>
        <w:tc>
          <w:tcPr>
            <w:tcW w:type="dxa" w:w="7920"/>
            <w:vAlign w:val="center"/>
            <w:shd w:fill="F7F9FC"/>
          </w:tcPr>
          <w:p>
            <w:pPr>
              <w:spacing w:after="0"/>
            </w:pPr>
            <w:r/>
            <w:r>
              <w:rPr>
                <w:rFonts w:ascii="Aptos" w:hAnsi="Aptos"/>
                <w:b w:val="0"/>
                <w:color w:val="202B3C"/>
                <w:sz w:val="15"/>
              </w:rPr>
              <w:t>role_id, permission_key, scope; changes audited</w:t>
            </w:r>
          </w:p>
        </w:tc>
      </w:tr>
      <w:tr>
        <w:tc>
          <w:tcPr>
            <w:tcW w:type="dxa" w:w="2448"/>
            <w:vAlign w:val="center"/>
          </w:tcPr>
          <w:p>
            <w:pPr>
              <w:spacing w:after="0"/>
            </w:pPr>
            <w:r/>
            <w:r>
              <w:rPr>
                <w:rFonts w:ascii="Aptos" w:hAnsi="Aptos"/>
                <w:b w:val="0"/>
                <w:color w:val="202B3C"/>
                <w:sz w:val="15"/>
              </w:rPr>
              <w:t>customers</w:t>
            </w:r>
          </w:p>
        </w:tc>
        <w:tc>
          <w:tcPr>
            <w:tcW w:type="dxa" w:w="7920"/>
            <w:vAlign w:val="center"/>
          </w:tcPr>
          <w:p>
            <w:pPr>
              <w:spacing w:after="0"/>
            </w:pPr>
            <w:r/>
            <w:r>
              <w:rPr>
                <w:rFonts w:ascii="Aptos" w:hAnsi="Aptos"/>
                <w:b w:val="0"/>
                <w:color w:val="202B3C"/>
                <w:sz w:val="15"/>
              </w:rPr>
              <w:t>id, tenant_id, external_ids, display_name, contact points, identity level</w:t>
            </w:r>
          </w:p>
        </w:tc>
      </w:tr>
      <w:tr>
        <w:tc>
          <w:tcPr>
            <w:tcW w:type="dxa" w:w="2448"/>
            <w:vAlign w:val="center"/>
            <w:shd w:fill="F7F9FC"/>
          </w:tcPr>
          <w:p>
            <w:pPr>
              <w:spacing w:after="0"/>
            </w:pPr>
            <w:r/>
            <w:r>
              <w:rPr>
                <w:rFonts w:ascii="Aptos" w:hAnsi="Aptos"/>
                <w:b w:val="0"/>
                <w:color w:val="202B3C"/>
                <w:sz w:val="15"/>
              </w:rPr>
              <w:t>conversations</w:t>
            </w:r>
          </w:p>
        </w:tc>
        <w:tc>
          <w:tcPr>
            <w:tcW w:type="dxa" w:w="7920"/>
            <w:vAlign w:val="center"/>
            <w:shd w:fill="F7F9FC"/>
          </w:tcPr>
          <w:p>
            <w:pPr>
              <w:spacing w:after="0"/>
            </w:pPr>
            <w:r/>
            <w:r>
              <w:rPr>
                <w:rFonts w:ascii="Aptos" w:hAnsi="Aptos"/>
                <w:b w:val="0"/>
                <w:color w:val="202B3C"/>
                <w:sz w:val="15"/>
              </w:rPr>
              <w:t>id, tenant_id, channel, external_thread_id, customer_id, case_id, status, timestamps</w:t>
            </w:r>
          </w:p>
        </w:tc>
      </w:tr>
      <w:tr>
        <w:tc>
          <w:tcPr>
            <w:tcW w:type="dxa" w:w="2448"/>
            <w:vAlign w:val="center"/>
          </w:tcPr>
          <w:p>
            <w:pPr>
              <w:spacing w:after="0"/>
            </w:pPr>
            <w:r/>
            <w:r>
              <w:rPr>
                <w:rFonts w:ascii="Aptos" w:hAnsi="Aptos"/>
                <w:b w:val="0"/>
                <w:color w:val="202B3C"/>
                <w:sz w:val="15"/>
              </w:rPr>
              <w:t>messages</w:t>
            </w:r>
          </w:p>
        </w:tc>
        <w:tc>
          <w:tcPr>
            <w:tcW w:type="dxa" w:w="7920"/>
            <w:vAlign w:val="center"/>
          </w:tcPr>
          <w:p>
            <w:pPr>
              <w:spacing w:after="0"/>
            </w:pPr>
            <w:r/>
            <w:r>
              <w:rPr>
                <w:rFonts w:ascii="Aptos" w:hAnsi="Aptos"/>
                <w:b w:val="0"/>
                <w:color w:val="202B3C"/>
                <w:sz w:val="15"/>
              </w:rPr>
              <w:t>id, tenant_id, conversation_id, direction, actor_type, body_ref/body, provider_id, idempotency_key, status</w:t>
            </w:r>
          </w:p>
        </w:tc>
      </w:tr>
      <w:tr>
        <w:tc>
          <w:tcPr>
            <w:tcW w:type="dxa" w:w="2448"/>
            <w:vAlign w:val="center"/>
            <w:shd w:fill="F7F9FC"/>
          </w:tcPr>
          <w:p>
            <w:pPr>
              <w:spacing w:after="0"/>
            </w:pPr>
            <w:r/>
            <w:r>
              <w:rPr>
                <w:rFonts w:ascii="Aptos" w:hAnsi="Aptos"/>
                <w:b w:val="0"/>
                <w:color w:val="202B3C"/>
                <w:sz w:val="15"/>
              </w:rPr>
              <w:t>cases</w:t>
            </w:r>
          </w:p>
        </w:tc>
        <w:tc>
          <w:tcPr>
            <w:tcW w:type="dxa" w:w="7920"/>
            <w:vAlign w:val="center"/>
            <w:shd w:fill="F7F9FC"/>
          </w:tcPr>
          <w:p>
            <w:pPr>
              <w:spacing w:after="0"/>
            </w:pPr>
            <w:r/>
            <w:r>
              <w:rPr>
                <w:rFonts w:ascii="Aptos" w:hAnsi="Aptos"/>
                <w:b w:val="0"/>
                <w:color w:val="202B3C"/>
                <w:sz w:val="15"/>
              </w:rPr>
              <w:t>id, tenant_id, customer_id, status, priority, queue_id, assignee_id, SLA timestamps, resolution code</w:t>
            </w:r>
          </w:p>
        </w:tc>
      </w:tr>
      <w:tr>
        <w:tc>
          <w:tcPr>
            <w:tcW w:type="dxa" w:w="2448"/>
            <w:vAlign w:val="center"/>
          </w:tcPr>
          <w:p>
            <w:pPr>
              <w:spacing w:after="0"/>
            </w:pPr>
            <w:r/>
            <w:r>
              <w:rPr>
                <w:rFonts w:ascii="Aptos" w:hAnsi="Aptos"/>
                <w:b w:val="0"/>
                <w:color w:val="202B3C"/>
                <w:sz w:val="15"/>
              </w:rPr>
              <w:t>case_events</w:t>
            </w:r>
          </w:p>
        </w:tc>
        <w:tc>
          <w:tcPr>
            <w:tcW w:type="dxa" w:w="7920"/>
            <w:vAlign w:val="center"/>
          </w:tcPr>
          <w:p>
            <w:pPr>
              <w:spacing w:after="0"/>
            </w:pPr>
            <w:r/>
            <w:r>
              <w:rPr>
                <w:rFonts w:ascii="Aptos" w:hAnsi="Aptos"/>
                <w:b w:val="0"/>
                <w:color w:val="202B3C"/>
                <w:sz w:val="15"/>
              </w:rPr>
              <w:t>id, tenant_id, case_id, event_type, actor, metadata, occurred_at</w:t>
            </w:r>
          </w:p>
        </w:tc>
      </w:tr>
      <w:tr>
        <w:tc>
          <w:tcPr>
            <w:tcW w:type="dxa" w:w="2448"/>
            <w:vAlign w:val="center"/>
            <w:shd w:fill="F7F9FC"/>
          </w:tcPr>
          <w:p>
            <w:pPr>
              <w:spacing w:after="0"/>
            </w:pPr>
            <w:r/>
            <w:r>
              <w:rPr>
                <w:rFonts w:ascii="Aptos" w:hAnsi="Aptos"/>
                <w:b w:val="0"/>
                <w:color w:val="202B3C"/>
                <w:sz w:val="15"/>
              </w:rPr>
              <w:t>handoffs</w:t>
            </w:r>
          </w:p>
        </w:tc>
        <w:tc>
          <w:tcPr>
            <w:tcW w:type="dxa" w:w="7920"/>
            <w:vAlign w:val="center"/>
            <w:shd w:fill="F7F9FC"/>
          </w:tcPr>
          <w:p>
            <w:pPr>
              <w:spacing w:after="0"/>
            </w:pPr>
            <w:r/>
            <w:r>
              <w:rPr>
                <w:rFonts w:ascii="Aptos" w:hAnsi="Aptos"/>
                <w:b w:val="0"/>
                <w:color w:val="202B3C"/>
                <w:sz w:val="15"/>
              </w:rPr>
              <w:t>id, tenant_id, case_id, reason, summary, destination_queue, state, accepted_at</w:t>
            </w:r>
          </w:p>
        </w:tc>
      </w:tr>
      <w:tr>
        <w:tc>
          <w:tcPr>
            <w:tcW w:type="dxa" w:w="2448"/>
            <w:vAlign w:val="center"/>
          </w:tcPr>
          <w:p>
            <w:pPr>
              <w:spacing w:after="0"/>
            </w:pPr>
            <w:r/>
            <w:r>
              <w:rPr>
                <w:rFonts w:ascii="Aptos" w:hAnsi="Aptos"/>
                <w:b w:val="0"/>
                <w:color w:val="202B3C"/>
                <w:sz w:val="15"/>
              </w:rPr>
              <w:t>channel_connections</w:t>
            </w:r>
          </w:p>
        </w:tc>
        <w:tc>
          <w:tcPr>
            <w:tcW w:type="dxa" w:w="7920"/>
            <w:vAlign w:val="center"/>
          </w:tcPr>
          <w:p>
            <w:pPr>
              <w:spacing w:after="0"/>
            </w:pPr>
            <w:r/>
            <w:r>
              <w:rPr>
                <w:rFonts w:ascii="Aptos" w:hAnsi="Aptos"/>
                <w:b w:val="0"/>
                <w:color w:val="202B3C"/>
                <w:sz w:val="15"/>
              </w:rPr>
              <w:t>id, tenant_id, channel, provider, external_account_id, secret_ref, status</w:t>
            </w:r>
          </w:p>
        </w:tc>
      </w:tr>
      <w:tr>
        <w:tc>
          <w:tcPr>
            <w:tcW w:type="dxa" w:w="2448"/>
            <w:vAlign w:val="center"/>
            <w:shd w:fill="F7F9FC"/>
          </w:tcPr>
          <w:p>
            <w:pPr>
              <w:spacing w:after="0"/>
            </w:pPr>
            <w:r/>
            <w:r>
              <w:rPr>
                <w:rFonts w:ascii="Aptos" w:hAnsi="Aptos"/>
                <w:b w:val="0"/>
                <w:color w:val="202B3C"/>
                <w:sz w:val="15"/>
              </w:rPr>
              <w:t>knowledge_sources</w:t>
            </w:r>
          </w:p>
        </w:tc>
        <w:tc>
          <w:tcPr>
            <w:tcW w:type="dxa" w:w="7920"/>
            <w:vAlign w:val="center"/>
            <w:shd w:fill="F7F9FC"/>
          </w:tcPr>
          <w:p>
            <w:pPr>
              <w:spacing w:after="0"/>
            </w:pPr>
            <w:r/>
            <w:r>
              <w:rPr>
                <w:rFonts w:ascii="Aptos" w:hAnsi="Aptos"/>
                <w:b w:val="0"/>
                <w:color w:val="202B3C"/>
                <w:sz w:val="15"/>
              </w:rPr>
              <w:t>id, tenant_id, type, source_uri, owner, status, last_sync_at</w:t>
            </w:r>
          </w:p>
        </w:tc>
      </w:tr>
      <w:tr>
        <w:tc>
          <w:tcPr>
            <w:tcW w:type="dxa" w:w="2448"/>
            <w:vAlign w:val="center"/>
          </w:tcPr>
          <w:p>
            <w:pPr>
              <w:spacing w:after="0"/>
            </w:pPr>
            <w:r/>
            <w:r>
              <w:rPr>
                <w:rFonts w:ascii="Aptos" w:hAnsi="Aptos"/>
                <w:b w:val="0"/>
                <w:color w:val="202B3C"/>
                <w:sz w:val="15"/>
              </w:rPr>
              <w:t>knowledge_versions / chunks</w:t>
            </w:r>
          </w:p>
        </w:tc>
        <w:tc>
          <w:tcPr>
            <w:tcW w:type="dxa" w:w="7920"/>
            <w:vAlign w:val="center"/>
          </w:tcPr>
          <w:p>
            <w:pPr>
              <w:spacing w:after="0"/>
            </w:pPr>
            <w:r/>
            <w:r>
              <w:rPr>
                <w:rFonts w:ascii="Aptos" w:hAnsi="Aptos"/>
                <w:b w:val="0"/>
                <w:color w:val="202B3C"/>
                <w:sz w:val="15"/>
              </w:rPr>
              <w:t>source_id, version, approval status, locale, effective dates, content/object ref, embedding</w:t>
            </w:r>
          </w:p>
        </w:tc>
      </w:tr>
      <w:tr>
        <w:tc>
          <w:tcPr>
            <w:tcW w:type="dxa" w:w="2448"/>
            <w:vAlign w:val="center"/>
            <w:shd w:fill="F7F9FC"/>
          </w:tcPr>
          <w:p>
            <w:pPr>
              <w:spacing w:after="0"/>
            </w:pPr>
            <w:r/>
            <w:r>
              <w:rPr>
                <w:rFonts w:ascii="Aptos" w:hAnsi="Aptos"/>
                <w:b w:val="0"/>
                <w:color w:val="202B3C"/>
                <w:sz w:val="15"/>
              </w:rPr>
              <w:t>ai_config_versions</w:t>
            </w:r>
          </w:p>
        </w:tc>
        <w:tc>
          <w:tcPr>
            <w:tcW w:type="dxa" w:w="7920"/>
            <w:vAlign w:val="center"/>
            <w:shd w:fill="F7F9FC"/>
          </w:tcPr>
          <w:p>
            <w:pPr>
              <w:spacing w:after="0"/>
            </w:pPr>
            <w:r/>
            <w:r>
              <w:rPr>
                <w:rFonts w:ascii="Aptos" w:hAnsi="Aptos"/>
                <w:b w:val="0"/>
                <w:color w:val="202B3C"/>
                <w:sz w:val="15"/>
              </w:rPr>
              <w:t>tenant_id, version, policy, allowed topics/actions, model settings, published_by, published_at</w:t>
            </w:r>
          </w:p>
        </w:tc>
      </w:tr>
      <w:tr>
        <w:tc>
          <w:tcPr>
            <w:tcW w:type="dxa" w:w="2448"/>
            <w:vAlign w:val="center"/>
          </w:tcPr>
          <w:p>
            <w:pPr>
              <w:spacing w:after="0"/>
            </w:pPr>
            <w:r/>
            <w:r>
              <w:rPr>
                <w:rFonts w:ascii="Aptos" w:hAnsi="Aptos"/>
                <w:b w:val="0"/>
                <w:color w:val="202B3C"/>
                <w:sz w:val="15"/>
              </w:rPr>
              <w:t>ai_decisions</w:t>
            </w:r>
          </w:p>
        </w:tc>
        <w:tc>
          <w:tcPr>
            <w:tcW w:type="dxa" w:w="7920"/>
            <w:vAlign w:val="center"/>
          </w:tcPr>
          <w:p>
            <w:pPr>
              <w:spacing w:after="0"/>
            </w:pPr>
            <w:r/>
            <w:r>
              <w:rPr>
                <w:rFonts w:ascii="Aptos" w:hAnsi="Aptos"/>
                <w:b w:val="0"/>
                <w:color w:val="202B3C"/>
                <w:sz w:val="15"/>
              </w:rPr>
              <w:t>tenant_id, case_id, config_version, model_id, source_ids, decision, handoff reason, latency, token/cost metadata</w:t>
            </w:r>
          </w:p>
        </w:tc>
      </w:tr>
      <w:tr>
        <w:tc>
          <w:tcPr>
            <w:tcW w:type="dxa" w:w="2448"/>
            <w:vAlign w:val="center"/>
            <w:shd w:fill="F7F9FC"/>
          </w:tcPr>
          <w:p>
            <w:pPr>
              <w:spacing w:after="0"/>
            </w:pPr>
            <w:r/>
            <w:r>
              <w:rPr>
                <w:rFonts w:ascii="Aptos" w:hAnsi="Aptos"/>
                <w:b w:val="0"/>
                <w:color w:val="202B3C"/>
                <w:sz w:val="15"/>
              </w:rPr>
              <w:t>queues / routing_rules</w:t>
            </w:r>
          </w:p>
        </w:tc>
        <w:tc>
          <w:tcPr>
            <w:tcW w:type="dxa" w:w="7920"/>
            <w:vAlign w:val="center"/>
            <w:shd w:fill="F7F9FC"/>
          </w:tcPr>
          <w:p>
            <w:pPr>
              <w:spacing w:after="0"/>
            </w:pPr>
            <w:r/>
            <w:r>
              <w:rPr>
                <w:rFonts w:ascii="Aptos" w:hAnsi="Aptos"/>
                <w:b w:val="0"/>
                <w:color w:val="202B3C"/>
                <w:sz w:val="15"/>
              </w:rPr>
              <w:t>tenant_id, channel, team, eligibility, business hours, priority and overflow policy</w:t>
            </w:r>
          </w:p>
        </w:tc>
      </w:tr>
      <w:tr>
        <w:tc>
          <w:tcPr>
            <w:tcW w:type="dxa" w:w="2448"/>
            <w:vAlign w:val="center"/>
          </w:tcPr>
          <w:p>
            <w:pPr>
              <w:spacing w:after="0"/>
            </w:pPr>
            <w:r/>
            <w:r>
              <w:rPr>
                <w:rFonts w:ascii="Aptos" w:hAnsi="Aptos"/>
                <w:b w:val="0"/>
                <w:color w:val="202B3C"/>
                <w:sz w:val="15"/>
              </w:rPr>
              <w:t>audit_events</w:t>
            </w:r>
          </w:p>
        </w:tc>
        <w:tc>
          <w:tcPr>
            <w:tcW w:type="dxa" w:w="7920"/>
            <w:vAlign w:val="center"/>
          </w:tcPr>
          <w:p>
            <w:pPr>
              <w:spacing w:after="0"/>
            </w:pPr>
            <w:r/>
            <w:r>
              <w:rPr>
                <w:rFonts w:ascii="Aptos" w:hAnsi="Aptos"/>
                <w:b w:val="0"/>
                <w:color w:val="202B3C"/>
                <w:sz w:val="15"/>
              </w:rPr>
              <w:t>tenant_id, actor_id, action, target, timestamp, outcome, correlation_id</w:t>
            </w:r>
          </w:p>
        </w:tc>
      </w:tr>
      <w:tr>
        <w:tc>
          <w:tcPr>
            <w:tcW w:type="dxa" w:w="2448"/>
            <w:vAlign w:val="center"/>
            <w:shd w:fill="F7F9FC"/>
          </w:tcPr>
          <w:p>
            <w:pPr>
              <w:spacing w:after="0"/>
            </w:pPr>
            <w:r/>
            <w:r>
              <w:rPr>
                <w:rFonts w:ascii="Aptos" w:hAnsi="Aptos"/>
                <w:b w:val="0"/>
                <w:color w:val="202B3C"/>
                <w:sz w:val="15"/>
              </w:rPr>
              <w:t>outbox_events / jobs</w:t>
            </w:r>
          </w:p>
        </w:tc>
        <w:tc>
          <w:tcPr>
            <w:tcW w:type="dxa" w:w="7920"/>
            <w:vAlign w:val="center"/>
            <w:shd w:fill="F7F9FC"/>
          </w:tcPr>
          <w:p>
            <w:pPr>
              <w:spacing w:after="0"/>
            </w:pPr>
            <w:r/>
            <w:r>
              <w:rPr>
                <w:rFonts w:ascii="Aptos" w:hAnsi="Aptos"/>
                <w:b w:val="0"/>
                <w:color w:val="202B3C"/>
                <w:sz w:val="15"/>
              </w:rPr>
              <w:t>event_id, tenant_id, type, payload reference, state, attempt_count, next_attempt_at</w:t>
            </w:r>
          </w:p>
        </w:tc>
      </w:tr>
    </w:tbl>
    <w:p/>
    <w:p>
      <w:pPr>
        <w:pStyle w:val="Heading2"/>
      </w:pPr>
      <w:r>
        <w:t>Data modeling rules</w:t>
      </w:r>
    </w:p>
    <w:p>
      <w:pPr>
        <w:pStyle w:val="ListBullet"/>
        <w:spacing w:after="30"/>
      </w:pPr>
      <w:r>
        <w:t>Use UUIDs or similarly unguessable IDs, foreign keys, explicit lifecycle statuses and created/updated timestamps.</w:t>
      </w:r>
    </w:p>
    <w:p>
      <w:pPr>
        <w:pStyle w:val="ListBullet"/>
        <w:spacing w:after="30"/>
      </w:pPr>
      <w:r>
        <w:t>Use unique constraints for provider event IDs and idempotency keys within their correct tenant/provider scope.</w:t>
      </w:r>
    </w:p>
    <w:p>
      <w:pPr>
        <w:pStyle w:val="ListBullet"/>
        <w:spacing w:after="30"/>
      </w:pPr>
      <w:r>
        <w:t>Separate message content from high-volume event metadata if scale or retention requires it; design for deletion propagation.</w:t>
      </w:r>
    </w:p>
    <w:p>
      <w:pPr>
        <w:pStyle w:val="ListBullet"/>
        <w:spacing w:after="30"/>
      </w:pPr>
      <w:r>
        <w:t>Avoid storing full customer message bodies in audit events, application logs, or general analytics tables.</w:t>
      </w:r>
    </w:p>
    <w:p>
      <w:pPr>
        <w:pStyle w:val="ListBullet"/>
        <w:spacing w:after="30"/>
      </w:pPr>
      <w:r>
        <w:t>Document which fields are personal data, where they are replicated, and how deletion/retention applies.</w:t>
      </w:r>
    </w:p>
    <w:p>
      <w:pPr>
        <w:pStyle w:val="Heading1"/>
      </w:pPr>
      <w:r>
        <w:t>9. API and event contracts</w:t>
      </w:r>
    </w:p>
    <w:p>
      <w:pPr>
        <w:pStyle w:val="Heading2"/>
      </w:pPr>
      <w:r>
        <w:t>API conventions</w:t>
      </w:r>
    </w:p>
    <w:p>
      <w:pPr>
        <w:pStyle w:val="ListBullet"/>
        <w:spacing w:after="30"/>
      </w:pPr>
      <w:r>
        <w:t>Version public APIs (for example /v1) and document with OpenAPI.</w:t>
      </w:r>
    </w:p>
    <w:p>
      <w:pPr>
        <w:pStyle w:val="ListBullet"/>
        <w:spacing w:after="30"/>
      </w:pPr>
      <w:r>
        <w:t>Use authenticated endpoints for agent/admin operations; use short-lived signed sessions or scoped tokens for the chat widget.</w:t>
      </w:r>
    </w:p>
    <w:p>
      <w:pPr>
        <w:pStyle w:val="ListBullet"/>
        <w:spacing w:after="30"/>
      </w:pPr>
      <w:r>
        <w:t>Validate schemas at the boundary; reject unknown high-risk fields; standardize error codes and correlation IDs.</w:t>
      </w:r>
    </w:p>
    <w:p>
      <w:pPr>
        <w:pStyle w:val="ListBullet"/>
        <w:spacing w:after="30"/>
      </w:pPr>
      <w:r>
        <w:t>Use cursor pagination for growing conversation/event tables; enforce tenant scope and permission filters.</w:t>
      </w:r>
    </w:p>
    <w:p>
      <w:pPr>
        <w:pStyle w:val="ListBullet"/>
        <w:spacing w:after="30"/>
      </w:pPr>
      <w:r>
        <w:t>Support idempotency keys for create/send/resolve operations where clients may retry.</w:t>
      </w:r>
    </w:p>
    <w:p>
      <w:pPr>
        <w:pStyle w:val="ListBullet"/>
        <w:spacing w:after="30"/>
      </w:pPr>
      <w:r>
        <w:t>Rate-limit per tenant, user, IP/session and provider as appropriate; expose retry-after information.</w:t>
      </w:r>
    </w:p>
    <w:tbl>
      <w:tblPr>
        <w:tblStyle w:val="TableGrid"/>
        <w:tblW w:type="auto" w:w="0"/>
        <w:jc w:val="center"/>
        <w:tblLook w:firstColumn="1" w:firstRow="1" w:lastColumn="0" w:lastRow="0" w:noHBand="0" w:noVBand="1" w:val="04A0"/>
      </w:tblPr>
      <w:tblGrid>
        <w:gridCol w:w="3389"/>
        <w:gridCol w:w="3389"/>
        <w:gridCol w:w="3389"/>
      </w:tblGrid>
      <w:tr>
        <w:tc>
          <w:tcPr>
            <w:tcW w:type="dxa" w:w="3168"/>
            <w:vAlign w:val="center"/>
            <w:shd w:fill="14233B"/>
          </w:tcPr>
          <w:p>
            <w:pPr>
              <w:spacing w:after="0"/>
            </w:pPr>
            <w:r/>
            <w:r>
              <w:rPr>
                <w:rFonts w:ascii="Aptos" w:hAnsi="Aptos"/>
                <w:b/>
                <w:color w:val="FFFFFF"/>
                <w:sz w:val="16"/>
              </w:rPr>
              <w:t>Example endpoint</w:t>
            </w:r>
          </w:p>
        </w:tc>
        <w:tc>
          <w:tcPr>
            <w:tcW w:type="dxa" w:w="3168"/>
            <w:vAlign w:val="center"/>
            <w:shd w:fill="14233B"/>
          </w:tcPr>
          <w:p>
            <w:pPr>
              <w:spacing w:after="0"/>
            </w:pPr>
            <w:r/>
            <w:r>
              <w:rPr>
                <w:rFonts w:ascii="Aptos" w:hAnsi="Aptos"/>
                <w:b/>
                <w:color w:val="FFFFFF"/>
                <w:sz w:val="16"/>
              </w:rPr>
              <w:t>Purpose</w:t>
            </w:r>
          </w:p>
        </w:tc>
        <w:tc>
          <w:tcPr>
            <w:tcW w:type="dxa" w:w="4032"/>
            <w:vAlign w:val="center"/>
            <w:shd w:fill="14233B"/>
          </w:tcPr>
          <w:p>
            <w:pPr>
              <w:spacing w:after="0"/>
            </w:pPr>
            <w:r/>
            <w:r>
              <w:rPr>
                <w:rFonts w:ascii="Aptos" w:hAnsi="Aptos"/>
                <w:b/>
                <w:color w:val="FFFFFF"/>
                <w:sz w:val="16"/>
              </w:rPr>
              <w:t>Important checks</w:t>
            </w:r>
          </w:p>
        </w:tc>
      </w:tr>
      <w:tr>
        <w:tc>
          <w:tcPr>
            <w:tcW w:type="dxa" w:w="3168"/>
            <w:vAlign w:val="center"/>
          </w:tcPr>
          <w:p>
            <w:pPr>
              <w:spacing w:after="0"/>
            </w:pPr>
            <w:r/>
            <w:r>
              <w:rPr>
                <w:rFonts w:ascii="Aptos" w:hAnsi="Aptos"/>
                <w:b w:val="0"/>
                <w:color w:val="202B3C"/>
                <w:sz w:val="15"/>
              </w:rPr>
              <w:t>POST /v1/widget/sessions</w:t>
            </w:r>
          </w:p>
        </w:tc>
        <w:tc>
          <w:tcPr>
            <w:tcW w:type="dxa" w:w="3168"/>
            <w:vAlign w:val="center"/>
          </w:tcPr>
          <w:p>
            <w:pPr>
              <w:spacing w:after="0"/>
            </w:pPr>
            <w:r/>
            <w:r>
              <w:rPr>
                <w:rFonts w:ascii="Aptos" w:hAnsi="Aptos"/>
                <w:b w:val="0"/>
                <w:color w:val="202B3C"/>
                <w:sz w:val="15"/>
              </w:rPr>
              <w:t>Create/resume chat session</w:t>
            </w:r>
          </w:p>
        </w:tc>
        <w:tc>
          <w:tcPr>
            <w:tcW w:type="dxa" w:w="4032"/>
            <w:vAlign w:val="center"/>
          </w:tcPr>
          <w:p>
            <w:pPr>
              <w:spacing w:after="0"/>
            </w:pPr>
            <w:r/>
            <w:r>
              <w:rPr>
                <w:rFonts w:ascii="Aptos" w:hAnsi="Aptos"/>
                <w:b w:val="0"/>
                <w:color w:val="202B3C"/>
                <w:sz w:val="15"/>
              </w:rPr>
              <w:t>Allowed origin, rate limit, tenant/channel mapping, session expiry</w:t>
            </w:r>
          </w:p>
        </w:tc>
      </w:tr>
      <w:tr>
        <w:tc>
          <w:tcPr>
            <w:tcW w:type="dxa" w:w="3168"/>
            <w:vAlign w:val="center"/>
            <w:shd w:fill="F7F9FC"/>
          </w:tcPr>
          <w:p>
            <w:pPr>
              <w:spacing w:after="0"/>
            </w:pPr>
            <w:r/>
            <w:r>
              <w:rPr>
                <w:rFonts w:ascii="Aptos" w:hAnsi="Aptos"/>
                <w:b w:val="0"/>
                <w:color w:val="202B3C"/>
                <w:sz w:val="15"/>
              </w:rPr>
              <w:t>POST /v1/widget/messages</w:t>
            </w:r>
          </w:p>
        </w:tc>
        <w:tc>
          <w:tcPr>
            <w:tcW w:type="dxa" w:w="3168"/>
            <w:vAlign w:val="center"/>
            <w:shd w:fill="F7F9FC"/>
          </w:tcPr>
          <w:p>
            <w:pPr>
              <w:spacing w:after="0"/>
            </w:pPr>
            <w:r/>
            <w:r>
              <w:rPr>
                <w:rFonts w:ascii="Aptos" w:hAnsi="Aptos"/>
                <w:b w:val="0"/>
                <w:color w:val="202B3C"/>
                <w:sz w:val="15"/>
              </w:rPr>
              <w:t>Accept customer chat message</w:t>
            </w:r>
          </w:p>
        </w:tc>
        <w:tc>
          <w:tcPr>
            <w:tcW w:type="dxa" w:w="4032"/>
            <w:vAlign w:val="center"/>
            <w:shd w:fill="F7F9FC"/>
          </w:tcPr>
          <w:p>
            <w:pPr>
              <w:spacing w:after="0"/>
            </w:pPr>
            <w:r/>
            <w:r>
              <w:rPr>
                <w:rFonts w:ascii="Aptos" w:hAnsi="Aptos"/>
                <w:b w:val="0"/>
                <w:color w:val="202B3C"/>
                <w:sz w:val="15"/>
              </w:rPr>
              <w:t>Session scope, payload limits, idempotency, abuse checks</w:t>
            </w:r>
          </w:p>
        </w:tc>
      </w:tr>
      <w:tr>
        <w:tc>
          <w:tcPr>
            <w:tcW w:type="dxa" w:w="3168"/>
            <w:vAlign w:val="center"/>
          </w:tcPr>
          <w:p>
            <w:pPr>
              <w:spacing w:after="0"/>
            </w:pPr>
            <w:r/>
            <w:r>
              <w:rPr>
                <w:rFonts w:ascii="Aptos" w:hAnsi="Aptos"/>
                <w:b w:val="0"/>
                <w:color w:val="202B3C"/>
                <w:sz w:val="15"/>
              </w:rPr>
              <w:t>GET /v1/cases</w:t>
            </w:r>
          </w:p>
        </w:tc>
        <w:tc>
          <w:tcPr>
            <w:tcW w:type="dxa" w:w="3168"/>
            <w:vAlign w:val="center"/>
          </w:tcPr>
          <w:p>
            <w:pPr>
              <w:spacing w:after="0"/>
            </w:pPr>
            <w:r/>
            <w:r>
              <w:rPr>
                <w:rFonts w:ascii="Aptos" w:hAnsi="Aptos"/>
                <w:b w:val="0"/>
                <w:color w:val="202B3C"/>
                <w:sz w:val="15"/>
              </w:rPr>
              <w:t>List authorized cases</w:t>
            </w:r>
          </w:p>
        </w:tc>
        <w:tc>
          <w:tcPr>
            <w:tcW w:type="dxa" w:w="4032"/>
            <w:vAlign w:val="center"/>
          </w:tcPr>
          <w:p>
            <w:pPr>
              <w:spacing w:after="0"/>
            </w:pPr>
            <w:r/>
            <w:r>
              <w:rPr>
                <w:rFonts w:ascii="Aptos" w:hAnsi="Aptos"/>
                <w:b w:val="0"/>
                <w:color w:val="202B3C"/>
                <w:sz w:val="15"/>
              </w:rPr>
              <w:t>Tenant scope, role/queue access, cursor pagination</w:t>
            </w:r>
          </w:p>
        </w:tc>
      </w:tr>
      <w:tr>
        <w:tc>
          <w:tcPr>
            <w:tcW w:type="dxa" w:w="3168"/>
            <w:vAlign w:val="center"/>
            <w:shd w:fill="F7F9FC"/>
          </w:tcPr>
          <w:p>
            <w:pPr>
              <w:spacing w:after="0"/>
            </w:pPr>
            <w:r/>
            <w:r>
              <w:rPr>
                <w:rFonts w:ascii="Aptos" w:hAnsi="Aptos"/>
                <w:b w:val="0"/>
                <w:color w:val="202B3C"/>
                <w:sz w:val="15"/>
              </w:rPr>
              <w:t>POST /v1/cases/{id}/reply</w:t>
            </w:r>
          </w:p>
        </w:tc>
        <w:tc>
          <w:tcPr>
            <w:tcW w:type="dxa" w:w="3168"/>
            <w:vAlign w:val="center"/>
            <w:shd w:fill="F7F9FC"/>
          </w:tcPr>
          <w:p>
            <w:pPr>
              <w:spacing w:after="0"/>
            </w:pPr>
            <w:r/>
            <w:r>
              <w:rPr>
                <w:rFonts w:ascii="Aptos" w:hAnsi="Aptos"/>
                <w:b w:val="0"/>
                <w:color w:val="202B3C"/>
                <w:sz w:val="15"/>
              </w:rPr>
              <w:t>Send agent reply</w:t>
            </w:r>
          </w:p>
        </w:tc>
        <w:tc>
          <w:tcPr>
            <w:tcW w:type="dxa" w:w="4032"/>
            <w:vAlign w:val="center"/>
            <w:shd w:fill="F7F9FC"/>
          </w:tcPr>
          <w:p>
            <w:pPr>
              <w:spacing w:after="0"/>
            </w:pPr>
            <w:r/>
            <w:r>
              <w:rPr>
                <w:rFonts w:ascii="Aptos" w:hAnsi="Aptos"/>
                <w:b w:val="0"/>
                <w:color w:val="202B3C"/>
                <w:sz w:val="15"/>
              </w:rPr>
              <w:t>Case access, channel state, idempotency, delivery status</w:t>
            </w:r>
          </w:p>
        </w:tc>
      </w:tr>
      <w:tr>
        <w:tc>
          <w:tcPr>
            <w:tcW w:type="dxa" w:w="3168"/>
            <w:vAlign w:val="center"/>
          </w:tcPr>
          <w:p>
            <w:pPr>
              <w:spacing w:after="0"/>
            </w:pPr>
            <w:r/>
            <w:r>
              <w:rPr>
                <w:rFonts w:ascii="Aptos" w:hAnsi="Aptos"/>
                <w:b w:val="0"/>
                <w:color w:val="202B3C"/>
                <w:sz w:val="15"/>
              </w:rPr>
              <w:t>POST /v1/cases/{id}/handoff</w:t>
            </w:r>
          </w:p>
        </w:tc>
        <w:tc>
          <w:tcPr>
            <w:tcW w:type="dxa" w:w="3168"/>
            <w:vAlign w:val="center"/>
          </w:tcPr>
          <w:p>
            <w:pPr>
              <w:spacing w:after="0"/>
            </w:pPr>
            <w:r/>
            <w:r>
              <w:rPr>
                <w:rFonts w:ascii="Aptos" w:hAnsi="Aptos"/>
                <w:b w:val="0"/>
                <w:color w:val="202B3C"/>
                <w:sz w:val="15"/>
              </w:rPr>
              <w:t>Escalate or route a case</w:t>
            </w:r>
          </w:p>
        </w:tc>
        <w:tc>
          <w:tcPr>
            <w:tcW w:type="dxa" w:w="4032"/>
            <w:vAlign w:val="center"/>
          </w:tcPr>
          <w:p>
            <w:pPr>
              <w:spacing w:after="0"/>
            </w:pPr>
            <w:r/>
            <w:r>
              <w:rPr>
                <w:rFonts w:ascii="Aptos" w:hAnsi="Aptos"/>
                <w:b w:val="0"/>
                <w:color w:val="202B3C"/>
                <w:sz w:val="15"/>
              </w:rPr>
              <w:t>Reason, destination eligibility, summary preservation, audit</w:t>
            </w:r>
          </w:p>
        </w:tc>
      </w:tr>
      <w:tr>
        <w:tc>
          <w:tcPr>
            <w:tcW w:type="dxa" w:w="3168"/>
            <w:vAlign w:val="center"/>
            <w:shd w:fill="F7F9FC"/>
          </w:tcPr>
          <w:p>
            <w:pPr>
              <w:spacing w:after="0"/>
            </w:pPr>
            <w:r/>
            <w:r>
              <w:rPr>
                <w:rFonts w:ascii="Aptos" w:hAnsi="Aptos"/>
                <w:b w:val="0"/>
                <w:color w:val="202B3C"/>
                <w:sz w:val="15"/>
              </w:rPr>
              <w:t>POST /v1/knowledge/sources</w:t>
            </w:r>
          </w:p>
        </w:tc>
        <w:tc>
          <w:tcPr>
            <w:tcW w:type="dxa" w:w="3168"/>
            <w:vAlign w:val="center"/>
            <w:shd w:fill="F7F9FC"/>
          </w:tcPr>
          <w:p>
            <w:pPr>
              <w:spacing w:after="0"/>
            </w:pPr>
            <w:r/>
            <w:r>
              <w:rPr>
                <w:rFonts w:ascii="Aptos" w:hAnsi="Aptos"/>
                <w:b w:val="0"/>
                <w:color w:val="202B3C"/>
                <w:sz w:val="15"/>
              </w:rPr>
              <w:t>Register source for indexing</w:t>
            </w:r>
          </w:p>
        </w:tc>
        <w:tc>
          <w:tcPr>
            <w:tcW w:type="dxa" w:w="4032"/>
            <w:vAlign w:val="center"/>
            <w:shd w:fill="F7F9FC"/>
          </w:tcPr>
          <w:p>
            <w:pPr>
              <w:spacing w:after="0"/>
            </w:pPr>
            <w:r/>
            <w:r>
              <w:rPr>
                <w:rFonts w:ascii="Aptos" w:hAnsi="Aptos"/>
                <w:b w:val="0"/>
                <w:color w:val="202B3C"/>
                <w:sz w:val="15"/>
              </w:rPr>
              <w:t>Tenant permissions, URL/upload safety, quotas</w:t>
            </w:r>
          </w:p>
        </w:tc>
      </w:tr>
      <w:tr>
        <w:tc>
          <w:tcPr>
            <w:tcW w:type="dxa" w:w="3168"/>
            <w:vAlign w:val="center"/>
          </w:tcPr>
          <w:p>
            <w:pPr>
              <w:spacing w:after="0"/>
            </w:pPr>
            <w:r/>
            <w:r>
              <w:rPr>
                <w:rFonts w:ascii="Aptos" w:hAnsi="Aptos"/>
                <w:b w:val="0"/>
                <w:color w:val="202B3C"/>
                <w:sz w:val="15"/>
              </w:rPr>
              <w:t>POST /v1/ai-config/{version}/test</w:t>
            </w:r>
          </w:p>
        </w:tc>
        <w:tc>
          <w:tcPr>
            <w:tcW w:type="dxa" w:w="3168"/>
            <w:vAlign w:val="center"/>
          </w:tcPr>
          <w:p>
            <w:pPr>
              <w:spacing w:after="0"/>
            </w:pPr>
            <w:r/>
            <w:r>
              <w:rPr>
                <w:rFonts w:ascii="Aptos" w:hAnsi="Aptos"/>
                <w:b w:val="0"/>
                <w:color w:val="202B3C"/>
                <w:sz w:val="15"/>
              </w:rPr>
              <w:t>Run config evaluation</w:t>
            </w:r>
          </w:p>
        </w:tc>
        <w:tc>
          <w:tcPr>
            <w:tcW w:type="dxa" w:w="4032"/>
            <w:vAlign w:val="center"/>
          </w:tcPr>
          <w:p>
            <w:pPr>
              <w:spacing w:after="0"/>
            </w:pPr>
            <w:r/>
            <w:r>
              <w:rPr>
                <w:rFonts w:ascii="Aptos" w:hAnsi="Aptos"/>
                <w:b w:val="0"/>
                <w:color w:val="202B3C"/>
                <w:sz w:val="15"/>
              </w:rPr>
              <w:t>Permission, budget, test-set scope, sensitive data rules</w:t>
            </w:r>
          </w:p>
        </w:tc>
      </w:tr>
      <w:tr>
        <w:tc>
          <w:tcPr>
            <w:tcW w:type="dxa" w:w="3168"/>
            <w:vAlign w:val="center"/>
            <w:shd w:fill="F7F9FC"/>
          </w:tcPr>
          <w:p>
            <w:pPr>
              <w:spacing w:after="0"/>
            </w:pPr>
            <w:r/>
            <w:r>
              <w:rPr>
                <w:rFonts w:ascii="Aptos" w:hAnsi="Aptos"/>
                <w:b w:val="0"/>
                <w:color w:val="202B3C"/>
                <w:sz w:val="15"/>
              </w:rPr>
              <w:t>POST /v1/ai-config/{version}/publish</w:t>
            </w:r>
          </w:p>
        </w:tc>
        <w:tc>
          <w:tcPr>
            <w:tcW w:type="dxa" w:w="3168"/>
            <w:vAlign w:val="center"/>
            <w:shd w:fill="F7F9FC"/>
          </w:tcPr>
          <w:p>
            <w:pPr>
              <w:spacing w:after="0"/>
            </w:pPr>
            <w:r/>
            <w:r>
              <w:rPr>
                <w:rFonts w:ascii="Aptos" w:hAnsi="Aptos"/>
                <w:b w:val="0"/>
                <w:color w:val="202B3C"/>
                <w:sz w:val="15"/>
              </w:rPr>
              <w:t>Publish tested config</w:t>
            </w:r>
          </w:p>
        </w:tc>
        <w:tc>
          <w:tcPr>
            <w:tcW w:type="dxa" w:w="4032"/>
            <w:vAlign w:val="center"/>
            <w:shd w:fill="F7F9FC"/>
          </w:tcPr>
          <w:p>
            <w:pPr>
              <w:spacing w:after="0"/>
            </w:pPr>
            <w:r/>
            <w:r>
              <w:rPr>
                <w:rFonts w:ascii="Aptos" w:hAnsi="Aptos"/>
                <w:b w:val="0"/>
                <w:color w:val="202B3C"/>
                <w:sz w:val="15"/>
              </w:rPr>
              <w:t>Publish permissions, test gate, version lock, audit</w:t>
            </w:r>
          </w:p>
        </w:tc>
      </w:tr>
      <w:tr>
        <w:tc>
          <w:tcPr>
            <w:tcW w:type="dxa" w:w="3168"/>
            <w:vAlign w:val="center"/>
          </w:tcPr>
          <w:p>
            <w:pPr>
              <w:spacing w:after="0"/>
            </w:pPr>
            <w:r/>
            <w:r>
              <w:rPr>
                <w:rFonts w:ascii="Aptos" w:hAnsi="Aptos"/>
                <w:b w:val="0"/>
                <w:color w:val="202B3C"/>
                <w:sz w:val="15"/>
              </w:rPr>
              <w:t>POST /v1/webhooks/{provider}</w:t>
            </w:r>
          </w:p>
        </w:tc>
        <w:tc>
          <w:tcPr>
            <w:tcW w:type="dxa" w:w="3168"/>
            <w:vAlign w:val="center"/>
          </w:tcPr>
          <w:p>
            <w:pPr>
              <w:spacing w:after="0"/>
            </w:pPr>
            <w:r/>
            <w:r>
              <w:rPr>
                <w:rFonts w:ascii="Aptos" w:hAnsi="Aptos"/>
                <w:b w:val="0"/>
                <w:color w:val="202B3C"/>
                <w:sz w:val="15"/>
              </w:rPr>
              <w:t>Receive provider callback</w:t>
            </w:r>
          </w:p>
        </w:tc>
        <w:tc>
          <w:tcPr>
            <w:tcW w:type="dxa" w:w="4032"/>
            <w:vAlign w:val="center"/>
          </w:tcPr>
          <w:p>
            <w:pPr>
              <w:spacing w:after="0"/>
            </w:pPr>
            <w:r/>
            <w:r>
              <w:rPr>
                <w:rFonts w:ascii="Aptos" w:hAnsi="Aptos"/>
                <w:b w:val="0"/>
                <w:color w:val="202B3C"/>
                <w:sz w:val="15"/>
              </w:rPr>
              <w:t>Signature verification, replay/deduplication, payload limits</w:t>
            </w:r>
          </w:p>
        </w:tc>
      </w:tr>
    </w:tbl>
    <w:p/>
    <w:p>
      <w:pPr>
        <w:pStyle w:val="Heading2"/>
      </w:pPr>
      <w:r>
        <w:t>Event naming examples</w:t>
      </w:r>
    </w:p>
    <w:p>
      <w:pPr>
        <w:spacing w:before="60" w:after="120"/>
        <w:ind w:left="216" w:right="144"/>
        <w:shd w:fill="F2F5F9"/>
      </w:pPr>
      <w:r>
        <w:rPr>
          <w:rFonts w:ascii="Consolas" w:hAnsi="Consolas"/>
          <w:color w:val="14233B"/>
          <w:sz w:val="15"/>
        </w:rPr>
        <w:t>message.received</w:t>
        <w:br/>
        <w:t>conversation.created</w:t>
        <w:br/>
        <w:t>case.created</w:t>
        <w:br/>
        <w:t>ai.decision.completed</w:t>
        <w:br/>
        <w:t>ai.response.sent</w:t>
        <w:br/>
        <w:t>handoff.requested</w:t>
        <w:br/>
        <w:t>handoff.accepted</w:t>
        <w:br/>
        <w:t>case.resolved</w:t>
        <w:br/>
        <w:t>email.delivery.failed</w:t>
        <w:br/>
        <w:t>voice.call.ended</w:t>
        <w:br/>
        <w:t>knowledge.indexing.completed</w:t>
        <w:br/>
        <w:t>tenant.config.published</w:t>
        <w:br/>
        <w:t>provider.connection.degraded</w:t>
      </w:r>
    </w:p>
    <w:p>
      <w:pPr>
        <w:pStyle w:val="SmallNote"/>
      </w:pPr>
      <w:r>
        <w:t>Events should have an event_id, tenant_id, occurred_at, schema_version, correlation_id and minimal payload. Prefer references to sensitive content over copying content into every event.</w:t>
      </w:r>
    </w:p>
    <w:p>
      <w:pPr>
        <w:pStyle w:val="Heading1"/>
      </w:pPr>
      <w:r>
        <w:t>10. Reliability, performance and operations</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4233B"/>
          </w:tcPr>
          <w:p>
            <w:pPr>
              <w:spacing w:after="0"/>
            </w:pPr>
            <w:r/>
            <w:r>
              <w:rPr>
                <w:rFonts w:ascii="Aptos" w:hAnsi="Aptos"/>
                <w:b/>
                <w:color w:val="FFFFFF"/>
                <w:sz w:val="16"/>
              </w:rPr>
              <w:t>Area</w:t>
            </w:r>
          </w:p>
        </w:tc>
        <w:tc>
          <w:tcPr>
            <w:tcW w:type="dxa" w:w="4536"/>
            <w:vAlign w:val="center"/>
            <w:shd w:fill="14233B"/>
          </w:tcPr>
          <w:p>
            <w:pPr>
              <w:spacing w:after="0"/>
            </w:pPr>
            <w:r/>
            <w:r>
              <w:rPr>
                <w:rFonts w:ascii="Aptos" w:hAnsi="Aptos"/>
                <w:b/>
                <w:color w:val="FFFFFF"/>
                <w:sz w:val="16"/>
              </w:rPr>
              <w:t>Initial engineering target / policy</w:t>
            </w:r>
          </w:p>
        </w:tc>
        <w:tc>
          <w:tcPr>
            <w:tcW w:type="dxa" w:w="3888"/>
            <w:vAlign w:val="center"/>
            <w:shd w:fill="14233B"/>
          </w:tcPr>
          <w:p>
            <w:pPr>
              <w:spacing w:after="0"/>
            </w:pPr>
            <w:r/>
            <w:r>
              <w:rPr>
                <w:rFonts w:ascii="Aptos" w:hAnsi="Aptos"/>
                <w:b/>
                <w:color w:val="FFFFFF"/>
                <w:sz w:val="16"/>
              </w:rPr>
              <w:t>Notes</w:t>
            </w:r>
          </w:p>
        </w:tc>
      </w:tr>
      <w:tr>
        <w:tc>
          <w:tcPr>
            <w:tcW w:type="dxa" w:w="1944"/>
            <w:vAlign w:val="center"/>
          </w:tcPr>
          <w:p>
            <w:pPr>
              <w:spacing w:after="0"/>
            </w:pPr>
            <w:r/>
            <w:r>
              <w:rPr>
                <w:rFonts w:ascii="Aptos" w:hAnsi="Aptos"/>
                <w:b w:val="0"/>
                <w:color w:val="202B3C"/>
                <w:sz w:val="14"/>
              </w:rPr>
              <w:t>API responsiveness</w:t>
            </w:r>
          </w:p>
        </w:tc>
        <w:tc>
          <w:tcPr>
            <w:tcW w:type="dxa" w:w="4536"/>
            <w:vAlign w:val="center"/>
          </w:tcPr>
          <w:p>
            <w:pPr>
              <w:spacing w:after="0"/>
            </w:pPr>
            <w:r/>
            <w:r>
              <w:rPr>
                <w:rFonts w:ascii="Aptos" w:hAnsi="Aptos"/>
                <w:b w:val="0"/>
                <w:color w:val="202B3C"/>
                <w:sz w:val="14"/>
              </w:rPr>
              <w:t>Set endpoint-specific SLOs; ordinary non-AI reads/writes should generally return in hundreds of milliseconds under expected load.</w:t>
            </w:r>
          </w:p>
        </w:tc>
        <w:tc>
          <w:tcPr>
            <w:tcW w:type="dxa" w:w="3888"/>
            <w:vAlign w:val="center"/>
          </w:tcPr>
          <w:p>
            <w:pPr>
              <w:spacing w:after="0"/>
            </w:pPr>
            <w:r/>
            <w:r>
              <w:rPr>
                <w:rFonts w:ascii="Aptos" w:hAnsi="Aptos"/>
                <w:b w:val="0"/>
                <w:color w:val="202B3C"/>
                <w:sz w:val="14"/>
              </w:rPr>
              <w:t>Baseline with load tests; avoid promising universal latency before measuring.</w:t>
            </w:r>
          </w:p>
        </w:tc>
      </w:tr>
      <w:tr>
        <w:tc>
          <w:tcPr>
            <w:tcW w:type="dxa" w:w="1944"/>
            <w:vAlign w:val="center"/>
            <w:shd w:fill="F7F9FC"/>
          </w:tcPr>
          <w:p>
            <w:pPr>
              <w:spacing w:after="0"/>
            </w:pPr>
            <w:r/>
            <w:r>
              <w:rPr>
                <w:rFonts w:ascii="Aptos" w:hAnsi="Aptos"/>
                <w:b w:val="0"/>
                <w:color w:val="202B3C"/>
                <w:sz w:val="14"/>
              </w:rPr>
              <w:t>Chat response latency</w:t>
            </w:r>
          </w:p>
        </w:tc>
        <w:tc>
          <w:tcPr>
            <w:tcW w:type="dxa" w:w="4536"/>
            <w:vAlign w:val="center"/>
            <w:shd w:fill="F7F9FC"/>
          </w:tcPr>
          <w:p>
            <w:pPr>
              <w:spacing w:after="0"/>
            </w:pPr>
            <w:r/>
            <w:r>
              <w:rPr>
                <w:rFonts w:ascii="Aptos" w:hAnsi="Aptos"/>
                <w:b w:val="0"/>
                <w:color w:val="202B3C"/>
                <w:sz w:val="14"/>
              </w:rPr>
              <w:t>Measure end-to-end p50/p95, time-to-first-token where streaming, retrieval time and model time separately.</w:t>
            </w:r>
          </w:p>
        </w:tc>
        <w:tc>
          <w:tcPr>
            <w:tcW w:type="dxa" w:w="3888"/>
            <w:vAlign w:val="center"/>
            <w:shd w:fill="F7F9FC"/>
          </w:tcPr>
          <w:p>
            <w:pPr>
              <w:spacing w:after="0"/>
            </w:pPr>
            <w:r/>
            <w:r>
              <w:rPr>
                <w:rFonts w:ascii="Aptos" w:hAnsi="Aptos"/>
                <w:b w:val="0"/>
                <w:color w:val="202B3C"/>
                <w:sz w:val="14"/>
              </w:rPr>
              <w:t>Streaming is useful, but do not stream unvalidated high-risk content.</w:t>
            </w:r>
          </w:p>
        </w:tc>
      </w:tr>
      <w:tr>
        <w:tc>
          <w:tcPr>
            <w:tcW w:type="dxa" w:w="1944"/>
            <w:vAlign w:val="center"/>
          </w:tcPr>
          <w:p>
            <w:pPr>
              <w:spacing w:after="0"/>
            </w:pPr>
            <w:r/>
            <w:r>
              <w:rPr>
                <w:rFonts w:ascii="Aptos" w:hAnsi="Aptos"/>
                <w:b w:val="0"/>
                <w:color w:val="202B3C"/>
                <w:sz w:val="14"/>
              </w:rPr>
              <w:t>Voice turn latency</w:t>
            </w:r>
          </w:p>
        </w:tc>
        <w:tc>
          <w:tcPr>
            <w:tcW w:type="dxa" w:w="4536"/>
            <w:vAlign w:val="center"/>
          </w:tcPr>
          <w:p>
            <w:pPr>
              <w:spacing w:after="0"/>
            </w:pPr>
            <w:r/>
            <w:r>
              <w:rPr>
                <w:rFonts w:ascii="Aptos" w:hAnsi="Aptos"/>
                <w:b w:val="0"/>
                <w:color w:val="202B3C"/>
                <w:sz w:val="14"/>
              </w:rPr>
              <w:t>Set a strict per-stage budget; measure audio end-to-end and provider transfer time.</w:t>
            </w:r>
          </w:p>
        </w:tc>
        <w:tc>
          <w:tcPr>
            <w:tcW w:type="dxa" w:w="3888"/>
            <w:vAlign w:val="center"/>
          </w:tcPr>
          <w:p>
            <w:pPr>
              <w:spacing w:after="0"/>
            </w:pPr>
            <w:r/>
            <w:r>
              <w:rPr>
                <w:rFonts w:ascii="Aptos" w:hAnsi="Aptos"/>
                <w:b w:val="0"/>
                <w:color w:val="202B3C"/>
                <w:sz w:val="14"/>
              </w:rPr>
              <w:t>Run real telephony tests; model-only latency is not the user-perceived latency.</w:t>
            </w:r>
          </w:p>
        </w:tc>
      </w:tr>
      <w:tr>
        <w:tc>
          <w:tcPr>
            <w:tcW w:type="dxa" w:w="1944"/>
            <w:vAlign w:val="center"/>
            <w:shd w:fill="F7F9FC"/>
          </w:tcPr>
          <w:p>
            <w:pPr>
              <w:spacing w:after="0"/>
            </w:pPr>
            <w:r/>
            <w:r>
              <w:rPr>
                <w:rFonts w:ascii="Aptos" w:hAnsi="Aptos"/>
                <w:b w:val="0"/>
                <w:color w:val="202B3C"/>
                <w:sz w:val="14"/>
              </w:rPr>
              <w:t>Availability</w:t>
            </w:r>
          </w:p>
        </w:tc>
        <w:tc>
          <w:tcPr>
            <w:tcW w:type="dxa" w:w="4536"/>
            <w:vAlign w:val="center"/>
            <w:shd w:fill="F7F9FC"/>
          </w:tcPr>
          <w:p>
            <w:pPr>
              <w:spacing w:after="0"/>
            </w:pPr>
            <w:r/>
            <w:r>
              <w:rPr>
                <w:rFonts w:ascii="Aptos" w:hAnsi="Aptos"/>
                <w:b w:val="0"/>
                <w:color w:val="202B3C"/>
                <w:sz w:val="14"/>
              </w:rPr>
              <w:t>Define a service SLO and error budget before GA; establish incident severity and on-call ownership.</w:t>
            </w:r>
          </w:p>
        </w:tc>
        <w:tc>
          <w:tcPr>
            <w:tcW w:type="dxa" w:w="3888"/>
            <w:vAlign w:val="center"/>
            <w:shd w:fill="F7F9FC"/>
          </w:tcPr>
          <w:p>
            <w:pPr>
              <w:spacing w:after="0"/>
            </w:pPr>
            <w:r/>
            <w:r>
              <w:rPr>
                <w:rFonts w:ascii="Aptos" w:hAnsi="Aptos"/>
                <w:b w:val="0"/>
                <w:color w:val="202B3C"/>
                <w:sz w:val="14"/>
              </w:rPr>
              <w:t>Initial target should match team capacity and customer commitments.</w:t>
            </w:r>
          </w:p>
        </w:tc>
      </w:tr>
      <w:tr>
        <w:tc>
          <w:tcPr>
            <w:tcW w:type="dxa" w:w="1944"/>
            <w:vAlign w:val="center"/>
          </w:tcPr>
          <w:p>
            <w:pPr>
              <w:spacing w:after="0"/>
            </w:pPr>
            <w:r/>
            <w:r>
              <w:rPr>
                <w:rFonts w:ascii="Aptos" w:hAnsi="Aptos"/>
                <w:b w:val="0"/>
                <w:color w:val="202B3C"/>
                <w:sz w:val="14"/>
              </w:rPr>
              <w:t>Retries</w:t>
            </w:r>
          </w:p>
        </w:tc>
        <w:tc>
          <w:tcPr>
            <w:tcW w:type="dxa" w:w="4536"/>
            <w:vAlign w:val="center"/>
          </w:tcPr>
          <w:p>
            <w:pPr>
              <w:spacing w:after="0"/>
            </w:pPr>
            <w:r/>
            <w:r>
              <w:rPr>
                <w:rFonts w:ascii="Aptos" w:hAnsi="Aptos"/>
                <w:b w:val="0"/>
                <w:color w:val="202B3C"/>
                <w:sz w:val="14"/>
              </w:rPr>
              <w:t>Retry transient failures with exponential backoff and jitter; cap attempts; dead-letter terminal failures.</w:t>
            </w:r>
          </w:p>
        </w:tc>
        <w:tc>
          <w:tcPr>
            <w:tcW w:type="dxa" w:w="3888"/>
            <w:vAlign w:val="center"/>
          </w:tcPr>
          <w:p>
            <w:pPr>
              <w:spacing w:after="0"/>
            </w:pPr>
            <w:r/>
            <w:r>
              <w:rPr>
                <w:rFonts w:ascii="Aptos" w:hAnsi="Aptos"/>
                <w:b w:val="0"/>
                <w:color w:val="202B3C"/>
                <w:sz w:val="14"/>
              </w:rPr>
              <w:t>Never retry non-idempotent sends blindly.</w:t>
            </w:r>
          </w:p>
        </w:tc>
      </w:tr>
      <w:tr>
        <w:tc>
          <w:tcPr>
            <w:tcW w:type="dxa" w:w="1944"/>
            <w:vAlign w:val="center"/>
            <w:shd w:fill="F7F9FC"/>
          </w:tcPr>
          <w:p>
            <w:pPr>
              <w:spacing w:after="0"/>
            </w:pPr>
            <w:r/>
            <w:r>
              <w:rPr>
                <w:rFonts w:ascii="Aptos" w:hAnsi="Aptos"/>
                <w:b w:val="0"/>
                <w:color w:val="202B3C"/>
                <w:sz w:val="14"/>
              </w:rPr>
              <w:t>Idempotency</w:t>
            </w:r>
          </w:p>
        </w:tc>
        <w:tc>
          <w:tcPr>
            <w:tcW w:type="dxa" w:w="4536"/>
            <w:vAlign w:val="center"/>
            <w:shd w:fill="F7F9FC"/>
          </w:tcPr>
          <w:p>
            <w:pPr>
              <w:spacing w:after="0"/>
            </w:pPr>
            <w:r/>
            <w:r>
              <w:rPr>
                <w:rFonts w:ascii="Aptos" w:hAnsi="Aptos"/>
                <w:b w:val="0"/>
                <w:color w:val="202B3C"/>
                <w:sz w:val="14"/>
              </w:rPr>
              <w:t>Deduplicate provider events and customer actions using stable keys and unique constraints.</w:t>
            </w:r>
          </w:p>
        </w:tc>
        <w:tc>
          <w:tcPr>
            <w:tcW w:type="dxa" w:w="3888"/>
            <w:vAlign w:val="center"/>
            <w:shd w:fill="F7F9FC"/>
          </w:tcPr>
          <w:p>
            <w:pPr>
              <w:spacing w:after="0"/>
            </w:pPr>
            <w:r/>
            <w:r>
              <w:rPr>
                <w:rFonts w:ascii="Aptos" w:hAnsi="Aptos"/>
                <w:b w:val="0"/>
                <w:color w:val="202B3C"/>
                <w:sz w:val="14"/>
              </w:rPr>
              <w:t>At-least-once delivery is normal; design handlers to be idempotent.</w:t>
            </w:r>
          </w:p>
        </w:tc>
      </w:tr>
      <w:tr>
        <w:tc>
          <w:tcPr>
            <w:tcW w:type="dxa" w:w="1944"/>
            <w:vAlign w:val="center"/>
          </w:tcPr>
          <w:p>
            <w:pPr>
              <w:spacing w:after="0"/>
            </w:pPr>
            <w:r/>
            <w:r>
              <w:rPr>
                <w:rFonts w:ascii="Aptos" w:hAnsi="Aptos"/>
                <w:b w:val="0"/>
                <w:color w:val="202B3C"/>
                <w:sz w:val="14"/>
              </w:rPr>
              <w:t>Backpressure</w:t>
            </w:r>
          </w:p>
        </w:tc>
        <w:tc>
          <w:tcPr>
            <w:tcW w:type="dxa" w:w="4536"/>
            <w:vAlign w:val="center"/>
          </w:tcPr>
          <w:p>
            <w:pPr>
              <w:spacing w:after="0"/>
            </w:pPr>
            <w:r/>
            <w:r>
              <w:rPr>
                <w:rFonts w:ascii="Aptos" w:hAnsi="Aptos"/>
                <w:b w:val="0"/>
                <w:color w:val="202B3C"/>
                <w:sz w:val="14"/>
              </w:rPr>
              <w:t>Bound queue depth, concurrent model calls, per-tenant rate and provider request rates.</w:t>
            </w:r>
          </w:p>
        </w:tc>
        <w:tc>
          <w:tcPr>
            <w:tcW w:type="dxa" w:w="3888"/>
            <w:vAlign w:val="center"/>
          </w:tcPr>
          <w:p>
            <w:pPr>
              <w:spacing w:after="0"/>
            </w:pPr>
            <w:r/>
            <w:r>
              <w:rPr>
                <w:rFonts w:ascii="Aptos" w:hAnsi="Aptos"/>
                <w:b w:val="0"/>
                <w:color w:val="202B3C"/>
                <w:sz w:val="14"/>
              </w:rPr>
              <w:t>Protect the system and prevent one tenant consuming shared capacity.</w:t>
            </w:r>
          </w:p>
        </w:tc>
      </w:tr>
      <w:tr>
        <w:tc>
          <w:tcPr>
            <w:tcW w:type="dxa" w:w="1944"/>
            <w:vAlign w:val="center"/>
            <w:shd w:fill="F7F9FC"/>
          </w:tcPr>
          <w:p>
            <w:pPr>
              <w:spacing w:after="0"/>
            </w:pPr>
            <w:r/>
            <w:r>
              <w:rPr>
                <w:rFonts w:ascii="Aptos" w:hAnsi="Aptos"/>
                <w:b w:val="0"/>
                <w:color w:val="202B3C"/>
                <w:sz w:val="14"/>
              </w:rPr>
              <w:t>Degradation</w:t>
            </w:r>
          </w:p>
        </w:tc>
        <w:tc>
          <w:tcPr>
            <w:tcW w:type="dxa" w:w="4536"/>
            <w:vAlign w:val="center"/>
            <w:shd w:fill="F7F9FC"/>
          </w:tcPr>
          <w:p>
            <w:pPr>
              <w:spacing w:after="0"/>
            </w:pPr>
            <w:r/>
            <w:r>
              <w:rPr>
                <w:rFonts w:ascii="Aptos" w:hAnsi="Aptos"/>
                <w:b w:val="0"/>
                <w:color w:val="202B3C"/>
                <w:sz w:val="14"/>
              </w:rPr>
              <w:t>When model provider fails, stop auto-answering and use configured human/fallback route.</w:t>
            </w:r>
          </w:p>
        </w:tc>
        <w:tc>
          <w:tcPr>
            <w:tcW w:type="dxa" w:w="3888"/>
            <w:vAlign w:val="center"/>
            <w:shd w:fill="F7F9FC"/>
          </w:tcPr>
          <w:p>
            <w:pPr>
              <w:spacing w:after="0"/>
            </w:pPr>
            <w:r/>
            <w:r>
              <w:rPr>
                <w:rFonts w:ascii="Aptos" w:hAnsi="Aptos"/>
                <w:b w:val="0"/>
                <w:color w:val="202B3C"/>
                <w:sz w:val="14"/>
              </w:rPr>
              <w:t>Never silently pretend AI handled a request.</w:t>
            </w:r>
          </w:p>
        </w:tc>
      </w:tr>
      <w:tr>
        <w:tc>
          <w:tcPr>
            <w:tcW w:type="dxa" w:w="1944"/>
            <w:vAlign w:val="center"/>
          </w:tcPr>
          <w:p>
            <w:pPr>
              <w:spacing w:after="0"/>
            </w:pPr>
            <w:r/>
            <w:r>
              <w:rPr>
                <w:rFonts w:ascii="Aptos" w:hAnsi="Aptos"/>
                <w:b w:val="0"/>
                <w:color w:val="202B3C"/>
                <w:sz w:val="14"/>
              </w:rPr>
              <w:t>Backup/restore</w:t>
            </w:r>
          </w:p>
        </w:tc>
        <w:tc>
          <w:tcPr>
            <w:tcW w:type="dxa" w:w="4536"/>
            <w:vAlign w:val="center"/>
          </w:tcPr>
          <w:p>
            <w:pPr>
              <w:spacing w:after="0"/>
            </w:pPr>
            <w:r/>
            <w:r>
              <w:rPr>
                <w:rFonts w:ascii="Aptos" w:hAnsi="Aptos"/>
                <w:b w:val="0"/>
                <w:color w:val="202B3C"/>
                <w:sz w:val="14"/>
              </w:rPr>
              <w:t>Automated backups, point-in-time recovery where available, periodic restore drills.</w:t>
            </w:r>
          </w:p>
        </w:tc>
        <w:tc>
          <w:tcPr>
            <w:tcW w:type="dxa" w:w="3888"/>
            <w:vAlign w:val="center"/>
          </w:tcPr>
          <w:p>
            <w:pPr>
              <w:spacing w:after="0"/>
            </w:pPr>
            <w:r/>
            <w:r>
              <w:rPr>
                <w:rFonts w:ascii="Aptos" w:hAnsi="Aptos"/>
                <w:b w:val="0"/>
                <w:color w:val="202B3C"/>
                <w:sz w:val="14"/>
              </w:rPr>
              <w:t>Set RPO/RTO based on contracts and risk, then test them.</w:t>
            </w:r>
          </w:p>
        </w:tc>
      </w:tr>
      <w:tr>
        <w:tc>
          <w:tcPr>
            <w:tcW w:type="dxa" w:w="1944"/>
            <w:vAlign w:val="center"/>
            <w:shd w:fill="F7F9FC"/>
          </w:tcPr>
          <w:p>
            <w:pPr>
              <w:spacing w:after="0"/>
            </w:pPr>
            <w:r/>
            <w:r>
              <w:rPr>
                <w:rFonts w:ascii="Aptos" w:hAnsi="Aptos"/>
                <w:b w:val="0"/>
                <w:color w:val="202B3C"/>
                <w:sz w:val="14"/>
              </w:rPr>
              <w:t>Observability</w:t>
            </w:r>
          </w:p>
        </w:tc>
        <w:tc>
          <w:tcPr>
            <w:tcW w:type="dxa" w:w="4536"/>
            <w:vAlign w:val="center"/>
            <w:shd w:fill="F7F9FC"/>
          </w:tcPr>
          <w:p>
            <w:pPr>
              <w:spacing w:after="0"/>
            </w:pPr>
            <w:r/>
            <w:r>
              <w:rPr>
                <w:rFonts w:ascii="Aptos" w:hAnsi="Aptos"/>
                <w:b w:val="0"/>
                <w:color w:val="202B3C"/>
                <w:sz w:val="14"/>
              </w:rPr>
              <w:t>Trace by correlation ID across adapter, orchestration, model, queue and provider.</w:t>
            </w:r>
          </w:p>
        </w:tc>
        <w:tc>
          <w:tcPr>
            <w:tcW w:type="dxa" w:w="3888"/>
            <w:vAlign w:val="center"/>
            <w:shd w:fill="F7F9FC"/>
          </w:tcPr>
          <w:p>
            <w:pPr>
              <w:spacing w:after="0"/>
            </w:pPr>
            <w:r/>
            <w:r>
              <w:rPr>
                <w:rFonts w:ascii="Aptos" w:hAnsi="Aptos"/>
                <w:b w:val="0"/>
                <w:color w:val="202B3C"/>
                <w:sz w:val="14"/>
              </w:rPr>
              <w:t>Redact sensitive fields; define retention and access controls.</w:t>
            </w:r>
          </w:p>
        </w:tc>
      </w:tr>
    </w:tbl>
    <w:p/>
    <w:p>
      <w:pPr>
        <w:pStyle w:val="Heading2"/>
      </w:pPr>
      <w:r>
        <w:t>Minimum operational dashboards</w:t>
      </w:r>
    </w:p>
    <w:p>
      <w:pPr>
        <w:pStyle w:val="ListBullet"/>
        <w:spacing w:after="30"/>
      </w:pPr>
      <w:r>
        <w:t>API error rate and latency; database connection saturation and slow queries.</w:t>
      </w:r>
    </w:p>
    <w:p>
      <w:pPr>
        <w:pStyle w:val="ListBullet"/>
        <w:spacing w:after="30"/>
      </w:pPr>
      <w:r>
        <w:t>Queue depth, oldest job age, retry count, dead-letter count and worker utilization.</w:t>
      </w:r>
    </w:p>
    <w:p>
      <w:pPr>
        <w:pStyle w:val="ListBullet"/>
        <w:spacing w:after="30"/>
      </w:pPr>
      <w:r>
        <w:t>Per-provider webhook failures, email delivery/bounce rate, telephony transfer failure and call disconnects.</w:t>
      </w:r>
    </w:p>
    <w:p>
      <w:pPr>
        <w:pStyle w:val="ListBullet"/>
        <w:spacing w:after="30"/>
      </w:pPr>
      <w:r>
        <w:t>AI latency, timeout rate, tokens/cost per tenant, retrieval-empty rate, handoff rate, confirmed resolution and recontact.</w:t>
      </w:r>
    </w:p>
    <w:p>
      <w:pPr>
        <w:pStyle w:val="ListBullet"/>
        <w:spacing w:after="30"/>
      </w:pPr>
      <w:r>
        <w:t>Knowledge indexing backlog, failed sources, stale sources and publish/test failures.</w:t>
      </w:r>
    </w:p>
    <w:p>
      <w:pPr>
        <w:pStyle w:val="ListBullet"/>
        <w:spacing w:after="30"/>
      </w:pPr>
      <w:r>
        <w:t>Tenant-level throttling and anomalous usage, without exposing one customer's content to another.</w:t>
      </w:r>
    </w:p>
    <w:p>
      <w:pPr>
        <w:pStyle w:val="Heading1"/>
      </w:pPr>
      <w:r>
        <w:t>11. Deployment and environments</w:t>
      </w:r>
    </w:p>
    <w:p>
      <w:pPr>
        <w:spacing w:before="60" w:after="120"/>
        <w:ind w:left="216" w:right="144"/>
        <w:shd w:fill="F2F5F9"/>
      </w:pPr>
      <w:r>
        <w:rPr>
          <w:rFonts w:ascii="Consolas" w:hAnsi="Consolas"/>
          <w:color w:val="14233B"/>
          <w:sz w:val="15"/>
        </w:rPr>
        <w:t>Developer laptop</w:t>
        <w:br/>
        <w:t xml:space="preserve">   ↓ pull request + lint + type checks + unit tests + secret/dependency scans</w:t>
        <w:br/>
        <w:t>CI build</w:t>
        <w:br/>
        <w:t xml:space="preserve">   ↓ integration tests + migrations check + container build</w:t>
        <w:br/>
        <w:t>Development environment</w:t>
        <w:br/>
        <w:t xml:space="preserve">   ↓ synthetic tenant data + provider sandbox</w:t>
        <w:br/>
        <w:t>Staging / pre-production</w:t>
        <w:br/>
        <w:t xml:space="preserve">   ↓ end-to-end channel tests + security checks + AI regression suite</w:t>
        <w:br/>
        <w:t>Production</w:t>
        <w:br/>
        <w:t xml:space="preserve">   ↓ canary/feature flag → monitor → expand or rollback</w:t>
      </w:r>
    </w:p>
    <w:tbl>
      <w:tblPr>
        <w:tblStyle w:val="TableGrid"/>
        <w:tblW w:type="auto" w:w="0"/>
        <w:jc w:val="center"/>
        <w:tblLook w:firstColumn="1" w:firstRow="1" w:lastColumn="0" w:lastRow="0" w:noHBand="0" w:noVBand="1" w:val="04A0"/>
      </w:tblPr>
      <w:tblGrid>
        <w:gridCol w:w="5083"/>
        <w:gridCol w:w="5083"/>
      </w:tblGrid>
      <w:tr>
        <w:tc>
          <w:tcPr>
            <w:tcW w:type="dxa" w:w="2016"/>
            <w:vAlign w:val="center"/>
            <w:shd w:fill="14233B"/>
          </w:tcPr>
          <w:p>
            <w:pPr>
              <w:spacing w:after="0"/>
            </w:pPr>
            <w:r/>
            <w:r>
              <w:rPr>
                <w:rFonts w:ascii="Aptos" w:hAnsi="Aptos"/>
                <w:b/>
                <w:color w:val="FFFFFF"/>
                <w:sz w:val="16"/>
              </w:rPr>
              <w:t>Environment</w:t>
            </w:r>
          </w:p>
        </w:tc>
        <w:tc>
          <w:tcPr>
            <w:tcW w:type="dxa" w:w="8352"/>
            <w:vAlign w:val="center"/>
            <w:shd w:fill="14233B"/>
          </w:tcPr>
          <w:p>
            <w:pPr>
              <w:spacing w:after="0"/>
            </w:pPr>
            <w:r/>
            <w:r>
              <w:rPr>
                <w:rFonts w:ascii="Aptos" w:hAnsi="Aptos"/>
                <w:b/>
                <w:color w:val="FFFFFF"/>
                <w:sz w:val="16"/>
              </w:rPr>
              <w:t>Rules</w:t>
            </w:r>
          </w:p>
        </w:tc>
      </w:tr>
      <w:tr>
        <w:tc>
          <w:tcPr>
            <w:tcW w:type="dxa" w:w="2016"/>
            <w:vAlign w:val="center"/>
          </w:tcPr>
          <w:p>
            <w:pPr>
              <w:spacing w:after="0"/>
            </w:pPr>
            <w:r/>
            <w:r>
              <w:rPr>
                <w:rFonts w:ascii="Aptos" w:hAnsi="Aptos"/>
                <w:b w:val="0"/>
                <w:color w:val="202B3C"/>
                <w:sz w:val="16"/>
              </w:rPr>
              <w:t>Local</w:t>
            </w:r>
          </w:p>
        </w:tc>
        <w:tc>
          <w:tcPr>
            <w:tcW w:type="dxa" w:w="8352"/>
            <w:vAlign w:val="center"/>
          </w:tcPr>
          <w:p>
            <w:pPr>
              <w:spacing w:after="0"/>
            </w:pPr>
            <w:r/>
            <w:r>
              <w:rPr>
                <w:rFonts w:ascii="Aptos" w:hAnsi="Aptos"/>
                <w:b w:val="0"/>
                <w:color w:val="202B3C"/>
                <w:sz w:val="16"/>
              </w:rPr>
              <w:t>Synthetic data only; secrets supplied through approved local secret workflow.</w:t>
            </w:r>
          </w:p>
        </w:tc>
      </w:tr>
      <w:tr>
        <w:tc>
          <w:tcPr>
            <w:tcW w:type="dxa" w:w="2016"/>
            <w:vAlign w:val="center"/>
            <w:shd w:fill="F7F9FC"/>
          </w:tcPr>
          <w:p>
            <w:pPr>
              <w:spacing w:after="0"/>
            </w:pPr>
            <w:r/>
            <w:r>
              <w:rPr>
                <w:rFonts w:ascii="Aptos" w:hAnsi="Aptos"/>
                <w:b w:val="0"/>
                <w:color w:val="202B3C"/>
                <w:sz w:val="16"/>
              </w:rPr>
              <w:t>Development</w:t>
            </w:r>
          </w:p>
        </w:tc>
        <w:tc>
          <w:tcPr>
            <w:tcW w:type="dxa" w:w="8352"/>
            <w:vAlign w:val="center"/>
            <w:shd w:fill="F7F9FC"/>
          </w:tcPr>
          <w:p>
            <w:pPr>
              <w:spacing w:after="0"/>
            </w:pPr>
            <w:r/>
            <w:r>
              <w:rPr>
                <w:rFonts w:ascii="Aptos" w:hAnsi="Aptos"/>
                <w:b w:val="0"/>
                <w:color w:val="202B3C"/>
                <w:sz w:val="16"/>
              </w:rPr>
              <w:t>Shared team integration; no production customer content by default.</w:t>
            </w:r>
          </w:p>
        </w:tc>
      </w:tr>
      <w:tr>
        <w:tc>
          <w:tcPr>
            <w:tcW w:type="dxa" w:w="2016"/>
            <w:vAlign w:val="center"/>
          </w:tcPr>
          <w:p>
            <w:pPr>
              <w:spacing w:after="0"/>
            </w:pPr>
            <w:r/>
            <w:r>
              <w:rPr>
                <w:rFonts w:ascii="Aptos" w:hAnsi="Aptos"/>
                <w:b w:val="0"/>
                <w:color w:val="202B3C"/>
                <w:sz w:val="16"/>
              </w:rPr>
              <w:t>Staging</w:t>
            </w:r>
          </w:p>
        </w:tc>
        <w:tc>
          <w:tcPr>
            <w:tcW w:type="dxa" w:w="8352"/>
            <w:vAlign w:val="center"/>
          </w:tcPr>
          <w:p>
            <w:pPr>
              <w:spacing w:after="0"/>
            </w:pPr>
            <w:r/>
            <w:r>
              <w:rPr>
                <w:rFonts w:ascii="Aptos" w:hAnsi="Aptos"/>
                <w:b w:val="0"/>
                <w:color w:val="202B3C"/>
                <w:sz w:val="16"/>
              </w:rPr>
              <w:t>Production-like configuration and isolated provider sandboxes; test tenants and test numbers.</w:t>
            </w:r>
          </w:p>
        </w:tc>
      </w:tr>
      <w:tr>
        <w:tc>
          <w:tcPr>
            <w:tcW w:type="dxa" w:w="2016"/>
            <w:vAlign w:val="center"/>
            <w:shd w:fill="F7F9FC"/>
          </w:tcPr>
          <w:p>
            <w:pPr>
              <w:spacing w:after="0"/>
            </w:pPr>
            <w:r/>
            <w:r>
              <w:rPr>
                <w:rFonts w:ascii="Aptos" w:hAnsi="Aptos"/>
                <w:b w:val="0"/>
                <w:color w:val="202B3C"/>
                <w:sz w:val="16"/>
              </w:rPr>
              <w:t>Production</w:t>
            </w:r>
          </w:p>
        </w:tc>
        <w:tc>
          <w:tcPr>
            <w:tcW w:type="dxa" w:w="8352"/>
            <w:vAlign w:val="center"/>
            <w:shd w:fill="F7F9FC"/>
          </w:tcPr>
          <w:p>
            <w:pPr>
              <w:spacing w:after="0"/>
            </w:pPr>
            <w:r/>
            <w:r>
              <w:rPr>
                <w:rFonts w:ascii="Aptos" w:hAnsi="Aptos"/>
                <w:b w:val="0"/>
                <w:color w:val="202B3C"/>
                <w:sz w:val="16"/>
              </w:rPr>
              <w:t>Restricted access, approved deploys, migration backups, alerts, feature flags and rollback path.</w:t>
            </w:r>
          </w:p>
        </w:tc>
      </w:tr>
    </w:tbl>
    <w:p/>
    <w:p>
      <w:pPr>
        <w:pStyle w:val="Heading2"/>
      </w:pPr>
      <w:r>
        <w:t>Infrastructure as code and release controls</w:t>
      </w:r>
    </w:p>
    <w:p>
      <w:pPr>
        <w:pStyle w:val="ListBullet"/>
        <w:spacing w:after="30"/>
      </w:pPr>
      <w:r>
        <w:t>Manage database, queue, storage, secrets permissions, networking, and alerts through reviewed infrastructure code.</w:t>
      </w:r>
    </w:p>
    <w:p>
      <w:pPr>
        <w:pStyle w:val="ListBullet"/>
        <w:spacing w:after="30"/>
      </w:pPr>
      <w:r>
        <w:t>Use backward-compatible database migrations: expand → deploy compatible code → migrate/backfill → contract later.</w:t>
      </w:r>
    </w:p>
    <w:p>
      <w:pPr>
        <w:pStyle w:val="ListBullet"/>
        <w:spacing w:after="30"/>
      </w:pPr>
      <w:r>
        <w:t>Feature-flag new channel capabilities and AI autonomy per tenant; default new tenants to conservative settings.</w:t>
      </w:r>
    </w:p>
    <w:p>
      <w:pPr>
        <w:pStyle w:val="ListBullet"/>
        <w:spacing w:after="30"/>
      </w:pPr>
      <w:r>
        <w:t>Keep model/prompt/config version separate from application release so behavior can be tested and rolled back.</w:t>
      </w:r>
    </w:p>
    <w:p>
      <w:pPr>
        <w:pStyle w:val="ListBullet"/>
        <w:spacing w:after="30"/>
      </w:pPr>
      <w:r>
        <w:t>Have a tested emergency switch to pause AI auto-send per tenant/channel without taking the whole platform offline.</w:t>
      </w:r>
    </w:p>
    <w:p>
      <w:pPr>
        <w:pStyle w:val="Heading1"/>
      </w:pPr>
      <w:r>
        <w:t>12. Testing strategy</w:t>
      </w:r>
    </w:p>
    <w:tbl>
      <w:tblPr>
        <w:tblStyle w:val="TableGrid"/>
        <w:tblW w:type="auto" w:w="0"/>
        <w:jc w:val="center"/>
        <w:tblLook w:firstColumn="1" w:firstRow="1" w:lastColumn="0" w:lastRow="0" w:noHBand="0" w:noVBand="1" w:val="04A0"/>
      </w:tblPr>
      <w:tblGrid>
        <w:gridCol w:w="5083"/>
        <w:gridCol w:w="5083"/>
      </w:tblGrid>
      <w:tr>
        <w:tc>
          <w:tcPr>
            <w:tcW w:type="dxa" w:w="1944"/>
            <w:vAlign w:val="center"/>
            <w:shd w:fill="14233B"/>
          </w:tcPr>
          <w:p>
            <w:pPr>
              <w:spacing w:after="0"/>
            </w:pPr>
            <w:r/>
            <w:r>
              <w:rPr>
                <w:rFonts w:ascii="Aptos" w:hAnsi="Aptos"/>
                <w:b/>
                <w:color w:val="FFFFFF"/>
                <w:sz w:val="16"/>
              </w:rPr>
              <w:t>Test layer</w:t>
            </w:r>
          </w:p>
        </w:tc>
        <w:tc>
          <w:tcPr>
            <w:tcW w:type="dxa" w:w="8424"/>
            <w:vAlign w:val="center"/>
            <w:shd w:fill="14233B"/>
          </w:tcPr>
          <w:p>
            <w:pPr>
              <w:spacing w:after="0"/>
            </w:pPr>
            <w:r/>
            <w:r>
              <w:rPr>
                <w:rFonts w:ascii="Aptos" w:hAnsi="Aptos"/>
                <w:b/>
                <w:color w:val="FFFFFF"/>
                <w:sz w:val="16"/>
              </w:rPr>
              <w:t>Required checks</w:t>
            </w:r>
          </w:p>
        </w:tc>
      </w:tr>
      <w:tr>
        <w:tc>
          <w:tcPr>
            <w:tcW w:type="dxa" w:w="1944"/>
            <w:vAlign w:val="center"/>
          </w:tcPr>
          <w:p>
            <w:pPr>
              <w:spacing w:after="0"/>
            </w:pPr>
            <w:r/>
            <w:r>
              <w:rPr>
                <w:rFonts w:ascii="Aptos" w:hAnsi="Aptos"/>
                <w:b w:val="0"/>
                <w:color w:val="202B3C"/>
                <w:sz w:val="15"/>
              </w:rPr>
              <w:t>Unit</w:t>
            </w:r>
          </w:p>
        </w:tc>
        <w:tc>
          <w:tcPr>
            <w:tcW w:type="dxa" w:w="8424"/>
            <w:vAlign w:val="center"/>
          </w:tcPr>
          <w:p>
            <w:pPr>
              <w:spacing w:after="0"/>
            </w:pPr>
            <w:r/>
            <w:r>
              <w:rPr>
                <w:rFonts w:ascii="Aptos" w:hAnsi="Aptos"/>
                <w:b w:val="0"/>
                <w:color w:val="202B3C"/>
                <w:sz w:val="15"/>
              </w:rPr>
              <w:t>Tenant authorization helpers, state machines, routing rules, validators, retry policy, config versioning.</w:t>
            </w:r>
          </w:p>
        </w:tc>
      </w:tr>
      <w:tr>
        <w:tc>
          <w:tcPr>
            <w:tcW w:type="dxa" w:w="1944"/>
            <w:vAlign w:val="center"/>
            <w:shd w:fill="F7F9FC"/>
          </w:tcPr>
          <w:p>
            <w:pPr>
              <w:spacing w:after="0"/>
            </w:pPr>
            <w:r/>
            <w:r>
              <w:rPr>
                <w:rFonts w:ascii="Aptos" w:hAnsi="Aptos"/>
                <w:b w:val="0"/>
                <w:color w:val="202B3C"/>
                <w:sz w:val="15"/>
              </w:rPr>
              <w:t>Integration</w:t>
            </w:r>
          </w:p>
        </w:tc>
        <w:tc>
          <w:tcPr>
            <w:tcW w:type="dxa" w:w="8424"/>
            <w:vAlign w:val="center"/>
            <w:shd w:fill="F7F9FC"/>
          </w:tcPr>
          <w:p>
            <w:pPr>
              <w:spacing w:after="0"/>
            </w:pPr>
            <w:r/>
            <w:r>
              <w:rPr>
                <w:rFonts w:ascii="Aptos" w:hAnsi="Aptos"/>
                <w:b w:val="0"/>
                <w:color w:val="202B3C"/>
                <w:sz w:val="15"/>
              </w:rPr>
              <w:t>PostgreSQL transactions, outbox, queue retries, object storage permissions, provider adapters and signature validation.</w:t>
            </w:r>
          </w:p>
        </w:tc>
      </w:tr>
      <w:tr>
        <w:tc>
          <w:tcPr>
            <w:tcW w:type="dxa" w:w="1944"/>
            <w:vAlign w:val="center"/>
          </w:tcPr>
          <w:p>
            <w:pPr>
              <w:spacing w:after="0"/>
            </w:pPr>
            <w:r/>
            <w:r>
              <w:rPr>
                <w:rFonts w:ascii="Aptos" w:hAnsi="Aptos"/>
                <w:b w:val="0"/>
                <w:color w:val="202B3C"/>
                <w:sz w:val="15"/>
              </w:rPr>
              <w:t>Contract</w:t>
            </w:r>
          </w:p>
        </w:tc>
        <w:tc>
          <w:tcPr>
            <w:tcW w:type="dxa" w:w="8424"/>
            <w:vAlign w:val="center"/>
          </w:tcPr>
          <w:p>
            <w:pPr>
              <w:spacing w:after="0"/>
            </w:pPr>
            <w:r/>
            <w:r>
              <w:rPr>
                <w:rFonts w:ascii="Aptos" w:hAnsi="Aptos"/>
                <w:b w:val="0"/>
                <w:color w:val="202B3C"/>
                <w:sz w:val="15"/>
              </w:rPr>
              <w:t>Webhook payload versions, email thread/delivery events, telephony transfer callbacks, model-provider schemas.</w:t>
            </w:r>
          </w:p>
        </w:tc>
      </w:tr>
      <w:tr>
        <w:tc>
          <w:tcPr>
            <w:tcW w:type="dxa" w:w="1944"/>
            <w:vAlign w:val="center"/>
            <w:shd w:fill="F7F9FC"/>
          </w:tcPr>
          <w:p>
            <w:pPr>
              <w:spacing w:after="0"/>
            </w:pPr>
            <w:r/>
            <w:r>
              <w:rPr>
                <w:rFonts w:ascii="Aptos" w:hAnsi="Aptos"/>
                <w:b w:val="0"/>
                <w:color w:val="202B3C"/>
                <w:sz w:val="15"/>
              </w:rPr>
              <w:t>End-to-end</w:t>
            </w:r>
          </w:p>
        </w:tc>
        <w:tc>
          <w:tcPr>
            <w:tcW w:type="dxa" w:w="8424"/>
            <w:vAlign w:val="center"/>
            <w:shd w:fill="F7F9FC"/>
          </w:tcPr>
          <w:p>
            <w:pPr>
              <w:spacing w:after="0"/>
            </w:pPr>
            <w:r/>
            <w:r>
              <w:rPr>
                <w:rFonts w:ascii="Aptos" w:hAnsi="Aptos"/>
                <w:b w:val="0"/>
                <w:color w:val="202B3C"/>
                <w:sz w:val="15"/>
              </w:rPr>
              <w:t>Chat resolution and handoff; email inbound/thread/reply/bounce; voice answer/transfer/failure; admin publish/rollback.</w:t>
            </w:r>
          </w:p>
        </w:tc>
      </w:tr>
      <w:tr>
        <w:tc>
          <w:tcPr>
            <w:tcW w:type="dxa" w:w="1944"/>
            <w:vAlign w:val="center"/>
          </w:tcPr>
          <w:p>
            <w:pPr>
              <w:spacing w:after="0"/>
            </w:pPr>
            <w:r/>
            <w:r>
              <w:rPr>
                <w:rFonts w:ascii="Aptos" w:hAnsi="Aptos"/>
                <w:b w:val="0"/>
                <w:color w:val="202B3C"/>
                <w:sz w:val="15"/>
              </w:rPr>
              <w:t>AI evaluation</w:t>
            </w:r>
          </w:p>
        </w:tc>
        <w:tc>
          <w:tcPr>
            <w:tcW w:type="dxa" w:w="8424"/>
            <w:vAlign w:val="center"/>
          </w:tcPr>
          <w:p>
            <w:pPr>
              <w:spacing w:after="0"/>
            </w:pPr>
            <w:r/>
            <w:r>
              <w:rPr>
                <w:rFonts w:ascii="Aptos" w:hAnsi="Aptos"/>
                <w:b w:val="0"/>
                <w:color w:val="202B3C"/>
                <w:sz w:val="15"/>
              </w:rPr>
              <w:t>Grounded answers, missing knowledge, conflicting sources, prompt injection, refusal, sensitive requests, multilingual cases.</w:t>
            </w:r>
          </w:p>
        </w:tc>
      </w:tr>
      <w:tr>
        <w:tc>
          <w:tcPr>
            <w:tcW w:type="dxa" w:w="1944"/>
            <w:vAlign w:val="center"/>
            <w:shd w:fill="F7F9FC"/>
          </w:tcPr>
          <w:p>
            <w:pPr>
              <w:spacing w:after="0"/>
            </w:pPr>
            <w:r/>
            <w:r>
              <w:rPr>
                <w:rFonts w:ascii="Aptos" w:hAnsi="Aptos"/>
                <w:b w:val="0"/>
                <w:color w:val="202B3C"/>
                <w:sz w:val="15"/>
              </w:rPr>
              <w:t>Security</w:t>
            </w:r>
          </w:p>
        </w:tc>
        <w:tc>
          <w:tcPr>
            <w:tcW w:type="dxa" w:w="8424"/>
            <w:vAlign w:val="center"/>
            <w:shd w:fill="F7F9FC"/>
          </w:tcPr>
          <w:p>
            <w:pPr>
              <w:spacing w:after="0"/>
            </w:pPr>
            <w:r/>
            <w:r>
              <w:rPr>
                <w:rFonts w:ascii="Aptos" w:hAnsi="Aptos"/>
                <w:b w:val="0"/>
                <w:color w:val="202B3C"/>
                <w:sz w:val="15"/>
              </w:rPr>
              <w:t>Cross-tenant access, IDOR, role escalation, SSRF, webhook replay, secret exposure, export and deletion paths.</w:t>
            </w:r>
          </w:p>
        </w:tc>
      </w:tr>
      <w:tr>
        <w:tc>
          <w:tcPr>
            <w:tcW w:type="dxa" w:w="1944"/>
            <w:vAlign w:val="center"/>
          </w:tcPr>
          <w:p>
            <w:pPr>
              <w:spacing w:after="0"/>
            </w:pPr>
            <w:r/>
            <w:r>
              <w:rPr>
                <w:rFonts w:ascii="Aptos" w:hAnsi="Aptos"/>
                <w:b w:val="0"/>
                <w:color w:val="202B3C"/>
                <w:sz w:val="15"/>
              </w:rPr>
              <w:t>Resilience</w:t>
            </w:r>
          </w:p>
        </w:tc>
        <w:tc>
          <w:tcPr>
            <w:tcW w:type="dxa" w:w="8424"/>
            <w:vAlign w:val="center"/>
          </w:tcPr>
          <w:p>
            <w:pPr>
              <w:spacing w:after="0"/>
            </w:pPr>
            <w:r/>
            <w:r>
              <w:rPr>
                <w:rFonts w:ascii="Aptos" w:hAnsi="Aptos"/>
                <w:b w:val="0"/>
                <w:color w:val="202B3C"/>
                <w:sz w:val="15"/>
              </w:rPr>
              <w:t>Provider timeout, model outage, queue outage, duplicate webhook, database failover, worker restart and DLQ recovery.</w:t>
            </w:r>
          </w:p>
        </w:tc>
      </w:tr>
      <w:tr>
        <w:tc>
          <w:tcPr>
            <w:tcW w:type="dxa" w:w="1944"/>
            <w:vAlign w:val="center"/>
            <w:shd w:fill="F7F9FC"/>
          </w:tcPr>
          <w:p>
            <w:pPr>
              <w:spacing w:after="0"/>
            </w:pPr>
            <w:r/>
            <w:r>
              <w:rPr>
                <w:rFonts w:ascii="Aptos" w:hAnsi="Aptos"/>
                <w:b w:val="0"/>
                <w:color w:val="202B3C"/>
                <w:sz w:val="15"/>
              </w:rPr>
              <w:t>Load</w:t>
            </w:r>
          </w:p>
        </w:tc>
        <w:tc>
          <w:tcPr>
            <w:tcW w:type="dxa" w:w="8424"/>
            <w:vAlign w:val="center"/>
            <w:shd w:fill="F7F9FC"/>
          </w:tcPr>
          <w:p>
            <w:pPr>
              <w:spacing w:after="0"/>
            </w:pPr>
            <w:r/>
            <w:r>
              <w:rPr>
                <w:rFonts w:ascii="Aptos" w:hAnsi="Aptos"/>
                <w:b w:val="0"/>
                <w:color w:val="202B3C"/>
                <w:sz w:val="15"/>
              </w:rPr>
              <w:t>Concurrent conversations, queue backlog, knowledge indexing bursts, tenant fairness, voice concurrency and rate limits.</w:t>
            </w:r>
          </w:p>
        </w:tc>
      </w:tr>
      <w:tr>
        <w:tc>
          <w:tcPr>
            <w:tcW w:type="dxa" w:w="1944"/>
            <w:vAlign w:val="center"/>
          </w:tcPr>
          <w:p>
            <w:pPr>
              <w:spacing w:after="0"/>
            </w:pPr>
            <w:r/>
            <w:r>
              <w:rPr>
                <w:rFonts w:ascii="Aptos" w:hAnsi="Aptos"/>
                <w:b w:val="0"/>
                <w:color w:val="202B3C"/>
                <w:sz w:val="15"/>
              </w:rPr>
              <w:t>Accessibility</w:t>
            </w:r>
          </w:p>
        </w:tc>
        <w:tc>
          <w:tcPr>
            <w:tcW w:type="dxa" w:w="8424"/>
            <w:vAlign w:val="center"/>
          </w:tcPr>
          <w:p>
            <w:pPr>
              <w:spacing w:after="0"/>
            </w:pPr>
            <w:r/>
            <w:r>
              <w:rPr>
                <w:rFonts w:ascii="Aptos" w:hAnsi="Aptos"/>
                <w:b w:val="0"/>
                <w:color w:val="202B3C"/>
                <w:sz w:val="15"/>
              </w:rPr>
              <w:t>Keyboard navigation, screen readers, contrast, zoom, accessible chat widget and transcript review.</w:t>
            </w:r>
          </w:p>
        </w:tc>
      </w:tr>
    </w:tbl>
    <w:p/>
    <w:p>
      <w:pPr>
        <w:pStyle w:val="Heading2"/>
      </w:pPr>
      <w:r>
        <w:t>Release gate</w:t>
      </w:r>
    </w:p>
    <w:p>
      <w:r>
        <w:t>Do not enable autonomous customer-facing responses for a tenant until channel tests pass, the knowledge set is approved, mandatory handoff is tested, AI regression results meet agreed thresholds, tenant permissions are reviewed, and an operator knows how to pause automation.</w:t>
      </w:r>
    </w:p>
    <w:p>
      <w:pPr>
        <w:pStyle w:val="Heading1"/>
      </w:pPr>
      <w:r>
        <w:t>13. Suggested engineering workstreams for a 20-person team</w:t>
      </w:r>
    </w:p>
    <w:p>
      <w:r>
        <w:t>Illustrative allocation only; adjust to actual skills and whether product/design/QA are included in the 20-person headcount.</w:t>
      </w:r>
    </w:p>
    <w:tbl>
      <w:tblPr>
        <w:tblStyle w:val="TableGrid"/>
        <w:tblW w:type="auto" w:w="0"/>
        <w:jc w:val="center"/>
        <w:tblLook w:firstColumn="1" w:firstRow="1" w:lastColumn="0" w:lastRow="0" w:noHBand="0" w:noVBand="1" w:val="04A0"/>
      </w:tblPr>
      <w:tblGrid>
        <w:gridCol w:w="3389"/>
        <w:gridCol w:w="3389"/>
        <w:gridCol w:w="3389"/>
      </w:tblGrid>
      <w:tr>
        <w:tc>
          <w:tcPr>
            <w:tcW w:type="dxa" w:w="2520"/>
            <w:vAlign w:val="center"/>
            <w:shd w:fill="14233B"/>
          </w:tcPr>
          <w:p>
            <w:pPr>
              <w:spacing w:after="0"/>
            </w:pPr>
            <w:r/>
            <w:r>
              <w:rPr>
                <w:rFonts w:ascii="Aptos" w:hAnsi="Aptos"/>
                <w:b/>
                <w:color w:val="FFFFFF"/>
                <w:sz w:val="16"/>
              </w:rPr>
              <w:t>Workstream</w:t>
            </w:r>
          </w:p>
        </w:tc>
        <w:tc>
          <w:tcPr>
            <w:tcW w:type="dxa" w:w="1584"/>
            <w:vAlign w:val="center"/>
            <w:shd w:fill="14233B"/>
          </w:tcPr>
          <w:p>
            <w:pPr>
              <w:spacing w:after="0"/>
            </w:pPr>
            <w:r/>
            <w:r>
              <w:rPr>
                <w:rFonts w:ascii="Aptos" w:hAnsi="Aptos"/>
                <w:b/>
                <w:color w:val="FFFFFF"/>
                <w:sz w:val="16"/>
              </w:rPr>
              <w:t>Indicative people</w:t>
            </w:r>
          </w:p>
        </w:tc>
        <w:tc>
          <w:tcPr>
            <w:tcW w:type="dxa" w:w="6264"/>
            <w:vAlign w:val="center"/>
            <w:shd w:fill="14233B"/>
          </w:tcPr>
          <w:p>
            <w:pPr>
              <w:spacing w:after="0"/>
            </w:pPr>
            <w:r/>
            <w:r>
              <w:rPr>
                <w:rFonts w:ascii="Aptos" w:hAnsi="Aptos"/>
                <w:b/>
                <w:color w:val="FFFFFF"/>
                <w:sz w:val="16"/>
              </w:rPr>
              <w:t>Primary ownership</w:t>
            </w:r>
          </w:p>
        </w:tc>
      </w:tr>
      <w:tr>
        <w:tc>
          <w:tcPr>
            <w:tcW w:type="dxa" w:w="2520"/>
            <w:vAlign w:val="center"/>
          </w:tcPr>
          <w:p>
            <w:pPr>
              <w:spacing w:after="0"/>
            </w:pPr>
            <w:r/>
            <w:r>
              <w:rPr>
                <w:rFonts w:ascii="Aptos" w:hAnsi="Aptos"/>
                <w:b w:val="0"/>
                <w:color w:val="202B3C"/>
                <w:sz w:val="16"/>
              </w:rPr>
              <w:t>Product + design</w:t>
            </w:r>
          </w:p>
        </w:tc>
        <w:tc>
          <w:tcPr>
            <w:tcW w:type="dxa" w:w="1584"/>
            <w:vAlign w:val="center"/>
          </w:tcPr>
          <w:p>
            <w:pPr>
              <w:spacing w:after="0"/>
            </w:pPr>
            <w:r/>
            <w:r>
              <w:rPr>
                <w:rFonts w:ascii="Aptos" w:hAnsi="Aptos"/>
                <w:b w:val="0"/>
                <w:color w:val="202B3C"/>
                <w:sz w:val="16"/>
              </w:rPr>
              <w:t>2</w:t>
            </w:r>
          </w:p>
        </w:tc>
        <w:tc>
          <w:tcPr>
            <w:tcW w:type="dxa" w:w="6264"/>
            <w:vAlign w:val="center"/>
          </w:tcPr>
          <w:p>
            <w:pPr>
              <w:spacing w:after="0"/>
            </w:pPr>
            <w:r/>
            <w:r>
              <w:rPr>
                <w:rFonts w:ascii="Aptos" w:hAnsi="Aptos"/>
                <w:b w:val="0"/>
                <w:color w:val="202B3C"/>
                <w:sz w:val="16"/>
              </w:rPr>
              <w:t>Scope, user research, UX flows, acceptance criteria, tenant onboarding.</w:t>
            </w:r>
          </w:p>
        </w:tc>
      </w:tr>
      <w:tr>
        <w:tc>
          <w:tcPr>
            <w:tcW w:type="dxa" w:w="2520"/>
            <w:vAlign w:val="center"/>
            <w:shd w:fill="F7F9FC"/>
          </w:tcPr>
          <w:p>
            <w:pPr>
              <w:spacing w:after="0"/>
            </w:pPr>
            <w:r/>
            <w:r>
              <w:rPr>
                <w:rFonts w:ascii="Aptos" w:hAnsi="Aptos"/>
                <w:b w:val="0"/>
                <w:color w:val="202B3C"/>
                <w:sz w:val="16"/>
              </w:rPr>
              <w:t>Frontend</w:t>
            </w:r>
          </w:p>
        </w:tc>
        <w:tc>
          <w:tcPr>
            <w:tcW w:type="dxa" w:w="1584"/>
            <w:vAlign w:val="center"/>
            <w:shd w:fill="F7F9FC"/>
          </w:tcPr>
          <w:p>
            <w:pPr>
              <w:spacing w:after="0"/>
            </w:pPr>
            <w:r/>
            <w:r>
              <w:rPr>
                <w:rFonts w:ascii="Aptos" w:hAnsi="Aptos"/>
                <w:b w:val="0"/>
                <w:color w:val="202B3C"/>
                <w:sz w:val="16"/>
              </w:rPr>
              <w:t>3</w:t>
            </w:r>
          </w:p>
        </w:tc>
        <w:tc>
          <w:tcPr>
            <w:tcW w:type="dxa" w:w="6264"/>
            <w:vAlign w:val="center"/>
            <w:shd w:fill="F7F9FC"/>
          </w:tcPr>
          <w:p>
            <w:pPr>
              <w:spacing w:after="0"/>
            </w:pPr>
            <w:r/>
            <w:r>
              <w:rPr>
                <w:rFonts w:ascii="Aptos" w:hAnsi="Aptos"/>
                <w:b w:val="0"/>
                <w:color w:val="202B3C"/>
                <w:sz w:val="16"/>
              </w:rPr>
              <w:t>Admin console, agent workspace, chat widget, accessibility.</w:t>
            </w:r>
          </w:p>
        </w:tc>
      </w:tr>
      <w:tr>
        <w:tc>
          <w:tcPr>
            <w:tcW w:type="dxa" w:w="2520"/>
            <w:vAlign w:val="center"/>
          </w:tcPr>
          <w:p>
            <w:pPr>
              <w:spacing w:after="0"/>
            </w:pPr>
            <w:r/>
            <w:r>
              <w:rPr>
                <w:rFonts w:ascii="Aptos" w:hAnsi="Aptos"/>
                <w:b w:val="0"/>
                <w:color w:val="202B3C"/>
                <w:sz w:val="16"/>
              </w:rPr>
              <w:t>Core backend/domain</w:t>
            </w:r>
          </w:p>
        </w:tc>
        <w:tc>
          <w:tcPr>
            <w:tcW w:type="dxa" w:w="1584"/>
            <w:vAlign w:val="center"/>
          </w:tcPr>
          <w:p>
            <w:pPr>
              <w:spacing w:after="0"/>
            </w:pPr>
            <w:r/>
            <w:r>
              <w:rPr>
                <w:rFonts w:ascii="Aptos" w:hAnsi="Aptos"/>
                <w:b w:val="0"/>
                <w:color w:val="202B3C"/>
                <w:sz w:val="16"/>
              </w:rPr>
              <w:t>4</w:t>
            </w:r>
          </w:p>
        </w:tc>
        <w:tc>
          <w:tcPr>
            <w:tcW w:type="dxa" w:w="6264"/>
            <w:vAlign w:val="center"/>
          </w:tcPr>
          <w:p>
            <w:pPr>
              <w:spacing w:after="0"/>
            </w:pPr>
            <w:r/>
            <w:r>
              <w:rPr>
                <w:rFonts w:ascii="Aptos" w:hAnsi="Aptos"/>
                <w:b w:val="0"/>
                <w:color w:val="202B3C"/>
                <w:sz w:val="16"/>
              </w:rPr>
              <w:t>Cases, conversations, tenancy, permissions, routing, APIs.</w:t>
            </w:r>
          </w:p>
        </w:tc>
      </w:tr>
      <w:tr>
        <w:tc>
          <w:tcPr>
            <w:tcW w:type="dxa" w:w="2520"/>
            <w:vAlign w:val="center"/>
            <w:shd w:fill="F7F9FC"/>
          </w:tcPr>
          <w:p>
            <w:pPr>
              <w:spacing w:after="0"/>
            </w:pPr>
            <w:r/>
            <w:r>
              <w:rPr>
                <w:rFonts w:ascii="Aptos" w:hAnsi="Aptos"/>
                <w:b w:val="0"/>
                <w:color w:val="202B3C"/>
                <w:sz w:val="16"/>
              </w:rPr>
              <w:t>AI + knowledge</w:t>
            </w:r>
          </w:p>
        </w:tc>
        <w:tc>
          <w:tcPr>
            <w:tcW w:type="dxa" w:w="1584"/>
            <w:vAlign w:val="center"/>
            <w:shd w:fill="F7F9FC"/>
          </w:tcPr>
          <w:p>
            <w:pPr>
              <w:spacing w:after="0"/>
            </w:pPr>
            <w:r/>
            <w:r>
              <w:rPr>
                <w:rFonts w:ascii="Aptos" w:hAnsi="Aptos"/>
                <w:b w:val="0"/>
                <w:color w:val="202B3C"/>
                <w:sz w:val="16"/>
              </w:rPr>
              <w:t>3</w:t>
            </w:r>
          </w:p>
        </w:tc>
        <w:tc>
          <w:tcPr>
            <w:tcW w:type="dxa" w:w="6264"/>
            <w:vAlign w:val="center"/>
            <w:shd w:fill="F7F9FC"/>
          </w:tcPr>
          <w:p>
            <w:pPr>
              <w:spacing w:after="0"/>
            </w:pPr>
            <w:r/>
            <w:r>
              <w:rPr>
                <w:rFonts w:ascii="Aptos" w:hAnsi="Aptos"/>
                <w:b w:val="0"/>
                <w:color w:val="202B3C"/>
                <w:sz w:val="16"/>
              </w:rPr>
              <w:t>Orchestration, retrieval, evaluation harness, safety and model adapter.</w:t>
            </w:r>
          </w:p>
        </w:tc>
      </w:tr>
      <w:tr>
        <w:tc>
          <w:tcPr>
            <w:tcW w:type="dxa" w:w="2520"/>
            <w:vAlign w:val="center"/>
          </w:tcPr>
          <w:p>
            <w:pPr>
              <w:spacing w:after="0"/>
            </w:pPr>
            <w:r/>
            <w:r>
              <w:rPr>
                <w:rFonts w:ascii="Aptos" w:hAnsi="Aptos"/>
                <w:b w:val="0"/>
                <w:color w:val="202B3C"/>
                <w:sz w:val="16"/>
              </w:rPr>
              <w:t>Channel integrations</w:t>
            </w:r>
          </w:p>
        </w:tc>
        <w:tc>
          <w:tcPr>
            <w:tcW w:type="dxa" w:w="1584"/>
            <w:vAlign w:val="center"/>
          </w:tcPr>
          <w:p>
            <w:pPr>
              <w:spacing w:after="0"/>
            </w:pPr>
            <w:r/>
            <w:r>
              <w:rPr>
                <w:rFonts w:ascii="Aptos" w:hAnsi="Aptos"/>
                <w:b w:val="0"/>
                <w:color w:val="202B3C"/>
                <w:sz w:val="16"/>
              </w:rPr>
              <w:t>3</w:t>
            </w:r>
          </w:p>
        </w:tc>
        <w:tc>
          <w:tcPr>
            <w:tcW w:type="dxa" w:w="6264"/>
            <w:vAlign w:val="center"/>
          </w:tcPr>
          <w:p>
            <w:pPr>
              <w:spacing w:after="0"/>
            </w:pPr>
            <w:r/>
            <w:r>
              <w:rPr>
                <w:rFonts w:ascii="Aptos" w:hAnsi="Aptos"/>
                <w:b w:val="0"/>
                <w:color w:val="202B3C"/>
                <w:sz w:val="16"/>
              </w:rPr>
              <w:t>Email adapter, chat integration, telephony/voice runtime.</w:t>
            </w:r>
          </w:p>
        </w:tc>
      </w:tr>
      <w:tr>
        <w:tc>
          <w:tcPr>
            <w:tcW w:type="dxa" w:w="2520"/>
            <w:vAlign w:val="center"/>
            <w:shd w:fill="F7F9FC"/>
          </w:tcPr>
          <w:p>
            <w:pPr>
              <w:spacing w:after="0"/>
            </w:pPr>
            <w:r/>
            <w:r>
              <w:rPr>
                <w:rFonts w:ascii="Aptos" w:hAnsi="Aptos"/>
                <w:b w:val="0"/>
                <w:color w:val="202B3C"/>
                <w:sz w:val="16"/>
              </w:rPr>
              <w:t>QA/automation</w:t>
            </w:r>
          </w:p>
        </w:tc>
        <w:tc>
          <w:tcPr>
            <w:tcW w:type="dxa" w:w="1584"/>
            <w:vAlign w:val="center"/>
            <w:shd w:fill="F7F9FC"/>
          </w:tcPr>
          <w:p>
            <w:pPr>
              <w:spacing w:after="0"/>
            </w:pPr>
            <w:r/>
            <w:r>
              <w:rPr>
                <w:rFonts w:ascii="Aptos" w:hAnsi="Aptos"/>
                <w:b w:val="0"/>
                <w:color w:val="202B3C"/>
                <w:sz w:val="16"/>
              </w:rPr>
              <w:t>2</w:t>
            </w:r>
          </w:p>
        </w:tc>
        <w:tc>
          <w:tcPr>
            <w:tcW w:type="dxa" w:w="6264"/>
            <w:vAlign w:val="center"/>
            <w:shd w:fill="F7F9FC"/>
          </w:tcPr>
          <w:p>
            <w:pPr>
              <w:spacing w:after="0"/>
            </w:pPr>
            <w:r/>
            <w:r>
              <w:rPr>
                <w:rFonts w:ascii="Aptos" w:hAnsi="Aptos"/>
                <w:b w:val="0"/>
                <w:color w:val="202B3C"/>
                <w:sz w:val="16"/>
              </w:rPr>
              <w:t>E2E, contract, regression, security and load test coordination.</w:t>
            </w:r>
          </w:p>
        </w:tc>
      </w:tr>
      <w:tr>
        <w:tc>
          <w:tcPr>
            <w:tcW w:type="dxa" w:w="2520"/>
            <w:vAlign w:val="center"/>
          </w:tcPr>
          <w:p>
            <w:pPr>
              <w:spacing w:after="0"/>
            </w:pPr>
            <w:r/>
            <w:r>
              <w:rPr>
                <w:rFonts w:ascii="Aptos" w:hAnsi="Aptos"/>
                <w:b w:val="0"/>
                <w:color w:val="202B3C"/>
                <w:sz w:val="16"/>
              </w:rPr>
              <w:t>Platform/DevOps/security</w:t>
            </w:r>
          </w:p>
        </w:tc>
        <w:tc>
          <w:tcPr>
            <w:tcW w:type="dxa" w:w="1584"/>
            <w:vAlign w:val="center"/>
          </w:tcPr>
          <w:p>
            <w:pPr>
              <w:spacing w:after="0"/>
            </w:pPr>
            <w:r/>
            <w:r>
              <w:rPr>
                <w:rFonts w:ascii="Aptos" w:hAnsi="Aptos"/>
                <w:b w:val="0"/>
                <w:color w:val="202B3C"/>
                <w:sz w:val="16"/>
              </w:rPr>
              <w:t>2</w:t>
            </w:r>
          </w:p>
        </w:tc>
        <w:tc>
          <w:tcPr>
            <w:tcW w:type="dxa" w:w="6264"/>
            <w:vAlign w:val="center"/>
          </w:tcPr>
          <w:p>
            <w:pPr>
              <w:spacing w:after="0"/>
            </w:pPr>
            <w:r/>
            <w:r>
              <w:rPr>
                <w:rFonts w:ascii="Aptos" w:hAnsi="Aptos"/>
                <w:b w:val="0"/>
                <w:color w:val="202B3C"/>
                <w:sz w:val="16"/>
              </w:rPr>
              <w:t>CI/CD, cloud, observability, secrets, backups, incident readiness.</w:t>
            </w:r>
          </w:p>
        </w:tc>
      </w:tr>
      <w:tr>
        <w:tc>
          <w:tcPr>
            <w:tcW w:type="dxa" w:w="2520"/>
            <w:vAlign w:val="center"/>
            <w:shd w:fill="F7F9FC"/>
          </w:tcPr>
          <w:p>
            <w:pPr>
              <w:spacing w:after="0"/>
            </w:pPr>
            <w:r/>
            <w:r>
              <w:rPr>
                <w:rFonts w:ascii="Aptos" w:hAnsi="Aptos"/>
                <w:b w:val="0"/>
                <w:color w:val="202B3C"/>
                <w:sz w:val="16"/>
              </w:rPr>
              <w:t>Engineering/product lead</w:t>
            </w:r>
          </w:p>
        </w:tc>
        <w:tc>
          <w:tcPr>
            <w:tcW w:type="dxa" w:w="1584"/>
            <w:vAlign w:val="center"/>
            <w:shd w:fill="F7F9FC"/>
          </w:tcPr>
          <w:p>
            <w:pPr>
              <w:spacing w:after="0"/>
            </w:pPr>
            <w:r/>
            <w:r>
              <w:rPr>
                <w:rFonts w:ascii="Aptos" w:hAnsi="Aptos"/>
                <w:b w:val="0"/>
                <w:color w:val="202B3C"/>
                <w:sz w:val="16"/>
              </w:rPr>
              <w:t>1</w:t>
            </w:r>
          </w:p>
        </w:tc>
        <w:tc>
          <w:tcPr>
            <w:tcW w:type="dxa" w:w="6264"/>
            <w:vAlign w:val="center"/>
            <w:shd w:fill="F7F9FC"/>
          </w:tcPr>
          <w:p>
            <w:pPr>
              <w:spacing w:after="0"/>
            </w:pPr>
            <w:r/>
            <w:r>
              <w:rPr>
                <w:rFonts w:ascii="Aptos" w:hAnsi="Aptos"/>
                <w:b w:val="0"/>
                <w:color w:val="202B3C"/>
                <w:sz w:val="16"/>
              </w:rPr>
              <w:t>Architecture decisions, delivery coordination, risk and customer feedback.</w:t>
            </w:r>
          </w:p>
        </w:tc>
      </w:tr>
    </w:tbl>
    <w:p/>
    <w:p>
      <w:pPr>
        <w:pStyle w:val="SmallNote"/>
      </w:pPr>
      <w:r>
        <w:t>This allocation is not a fixed org chart. Voice and security work may need specialist help; keep a single accountable owner for each domain and rotate operational support deliberately.</w:t>
      </w:r>
    </w:p>
    <w:p>
      <w:pPr>
        <w:pStyle w:val="Heading1"/>
      </w:pPr>
      <w:r>
        <w:t>14. Phased implementation plan</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4233B"/>
          </w:tcPr>
          <w:p>
            <w:pPr>
              <w:spacing w:after="0"/>
            </w:pPr>
            <w:r/>
            <w:r>
              <w:rPr>
                <w:rFonts w:ascii="Aptos" w:hAnsi="Aptos"/>
                <w:b/>
                <w:color w:val="FFFFFF"/>
                <w:sz w:val="16"/>
              </w:rPr>
              <w:t>Phase</w:t>
            </w:r>
          </w:p>
        </w:tc>
        <w:tc>
          <w:tcPr>
            <w:tcW w:type="dxa" w:w="4968"/>
            <w:vAlign w:val="center"/>
            <w:shd w:fill="14233B"/>
          </w:tcPr>
          <w:p>
            <w:pPr>
              <w:spacing w:after="0"/>
            </w:pPr>
            <w:r/>
            <w:r>
              <w:rPr>
                <w:rFonts w:ascii="Aptos" w:hAnsi="Aptos"/>
                <w:b/>
                <w:color w:val="FFFFFF"/>
                <w:sz w:val="16"/>
              </w:rPr>
              <w:t>Build scope</w:t>
            </w:r>
          </w:p>
        </w:tc>
        <w:tc>
          <w:tcPr>
            <w:tcW w:type="dxa" w:w="3312"/>
            <w:vAlign w:val="center"/>
            <w:shd w:fill="14233B"/>
          </w:tcPr>
          <w:p>
            <w:pPr>
              <w:spacing w:after="0"/>
            </w:pPr>
            <w:r/>
            <w:r>
              <w:rPr>
                <w:rFonts w:ascii="Aptos" w:hAnsi="Aptos"/>
                <w:b/>
                <w:color w:val="FFFFFF"/>
                <w:sz w:val="16"/>
              </w:rPr>
              <w:t>Exit criteria</w:t>
            </w:r>
          </w:p>
        </w:tc>
      </w:tr>
      <w:tr>
        <w:tc>
          <w:tcPr>
            <w:tcW w:type="dxa" w:w="2088"/>
            <w:vAlign w:val="center"/>
          </w:tcPr>
          <w:p>
            <w:pPr>
              <w:spacing w:after="0"/>
            </w:pPr>
            <w:r/>
            <w:r>
              <w:rPr>
                <w:rFonts w:ascii="Aptos" w:hAnsi="Aptos"/>
                <w:b w:val="0"/>
                <w:color w:val="202B3C"/>
                <w:sz w:val="15"/>
              </w:rPr>
              <w:t>0 — Technical spikes</w:t>
            </w:r>
          </w:p>
        </w:tc>
        <w:tc>
          <w:tcPr>
            <w:tcW w:type="dxa" w:w="4968"/>
            <w:vAlign w:val="center"/>
          </w:tcPr>
          <w:p>
            <w:pPr>
              <w:spacing w:after="0"/>
            </w:pPr>
            <w:r/>
            <w:r>
              <w:rPr>
                <w:rFonts w:ascii="Aptos" w:hAnsi="Aptos"/>
                <w:b w:val="0"/>
                <w:color w:val="202B3C"/>
                <w:sz w:val="15"/>
              </w:rPr>
              <w:t>Validate tenant isolation approach, voice provider latency/transfer, email threading/delivery, RAG quality, and cost controls.</w:t>
            </w:r>
          </w:p>
        </w:tc>
        <w:tc>
          <w:tcPr>
            <w:tcW w:type="dxa" w:w="3312"/>
            <w:vAlign w:val="center"/>
          </w:tcPr>
          <w:p>
            <w:pPr>
              <w:spacing w:after="0"/>
            </w:pPr>
            <w:r/>
            <w:r>
              <w:rPr>
                <w:rFonts w:ascii="Aptos" w:hAnsi="Aptos"/>
                <w:b w:val="0"/>
                <w:color w:val="202B3C"/>
                <w:sz w:val="15"/>
              </w:rPr>
              <w:t>Architecture decisions recorded; key risks measured; provider chosen.</w:t>
            </w:r>
          </w:p>
        </w:tc>
      </w:tr>
      <w:tr>
        <w:tc>
          <w:tcPr>
            <w:tcW w:type="dxa" w:w="2088"/>
            <w:vAlign w:val="center"/>
            <w:shd w:fill="F7F9FC"/>
          </w:tcPr>
          <w:p>
            <w:pPr>
              <w:spacing w:after="0"/>
            </w:pPr>
            <w:r/>
            <w:r>
              <w:rPr>
                <w:rFonts w:ascii="Aptos" w:hAnsi="Aptos"/>
                <w:b w:val="0"/>
                <w:color w:val="202B3C"/>
                <w:sz w:val="15"/>
              </w:rPr>
              <w:t>1 — Platform foundation</w:t>
            </w:r>
          </w:p>
        </w:tc>
        <w:tc>
          <w:tcPr>
            <w:tcW w:type="dxa" w:w="4968"/>
            <w:vAlign w:val="center"/>
            <w:shd w:fill="F7F9FC"/>
          </w:tcPr>
          <w:p>
            <w:pPr>
              <w:spacing w:after="0"/>
            </w:pPr>
            <w:r/>
            <w:r>
              <w:rPr>
                <w:rFonts w:ascii="Aptos" w:hAnsi="Aptos"/>
                <w:b w:val="0"/>
                <w:color w:val="202B3C"/>
                <w:sz w:val="15"/>
              </w:rPr>
              <w:t>Auth, tenants, roles, case/message schema, API conventions, audit, CI/CD, logs/traces, outbox/queue.</w:t>
            </w:r>
          </w:p>
        </w:tc>
        <w:tc>
          <w:tcPr>
            <w:tcW w:type="dxa" w:w="3312"/>
            <w:vAlign w:val="center"/>
            <w:shd w:fill="F7F9FC"/>
          </w:tcPr>
          <w:p>
            <w:pPr>
              <w:spacing w:after="0"/>
            </w:pPr>
            <w:r/>
            <w:r>
              <w:rPr>
                <w:rFonts w:ascii="Aptos" w:hAnsi="Aptos"/>
                <w:b w:val="0"/>
                <w:color w:val="202B3C"/>
                <w:sz w:val="15"/>
              </w:rPr>
              <w:t>Multi-tenant smoke tests; migrations and backup/restore process work.</w:t>
            </w:r>
          </w:p>
        </w:tc>
      </w:tr>
      <w:tr>
        <w:tc>
          <w:tcPr>
            <w:tcW w:type="dxa" w:w="2088"/>
            <w:vAlign w:val="center"/>
          </w:tcPr>
          <w:p>
            <w:pPr>
              <w:spacing w:after="0"/>
            </w:pPr>
            <w:r/>
            <w:r>
              <w:rPr>
                <w:rFonts w:ascii="Aptos" w:hAnsi="Aptos"/>
                <w:b w:val="0"/>
                <w:color w:val="202B3C"/>
                <w:sz w:val="15"/>
              </w:rPr>
              <w:t>2 — Chat + unified case</w:t>
            </w:r>
          </w:p>
        </w:tc>
        <w:tc>
          <w:tcPr>
            <w:tcW w:type="dxa" w:w="4968"/>
            <w:vAlign w:val="center"/>
          </w:tcPr>
          <w:p>
            <w:pPr>
              <w:spacing w:after="0"/>
            </w:pPr>
            <w:r/>
            <w:r>
              <w:rPr>
                <w:rFonts w:ascii="Aptos" w:hAnsi="Aptos"/>
                <w:b w:val="0"/>
                <w:color w:val="202B3C"/>
                <w:sz w:val="15"/>
              </w:rPr>
              <w:t>Chat widget, canonical conversation model, agent inbox, knowledge ingestion, grounded AI, human handoff.</w:t>
            </w:r>
          </w:p>
        </w:tc>
        <w:tc>
          <w:tcPr>
            <w:tcW w:type="dxa" w:w="3312"/>
            <w:vAlign w:val="center"/>
          </w:tcPr>
          <w:p>
            <w:pPr>
              <w:spacing w:after="0"/>
            </w:pPr>
            <w:r/>
            <w:r>
              <w:rPr>
                <w:rFonts w:ascii="Aptos" w:hAnsi="Aptos"/>
                <w:b w:val="0"/>
                <w:color w:val="202B3C"/>
                <w:sz w:val="15"/>
              </w:rPr>
              <w:t>Happy path and mandatory fallback work end-to-end.</w:t>
            </w:r>
          </w:p>
        </w:tc>
      </w:tr>
      <w:tr>
        <w:tc>
          <w:tcPr>
            <w:tcW w:type="dxa" w:w="2088"/>
            <w:vAlign w:val="center"/>
            <w:shd w:fill="F7F9FC"/>
          </w:tcPr>
          <w:p>
            <w:pPr>
              <w:spacing w:after="0"/>
            </w:pPr>
            <w:r/>
            <w:r>
              <w:rPr>
                <w:rFonts w:ascii="Aptos" w:hAnsi="Aptos"/>
                <w:b w:val="0"/>
                <w:color w:val="202B3C"/>
                <w:sz w:val="15"/>
              </w:rPr>
              <w:t>3 — Email</w:t>
            </w:r>
          </w:p>
        </w:tc>
        <w:tc>
          <w:tcPr>
            <w:tcW w:type="dxa" w:w="4968"/>
            <w:vAlign w:val="center"/>
            <w:shd w:fill="F7F9FC"/>
          </w:tcPr>
          <w:p>
            <w:pPr>
              <w:spacing w:after="0"/>
            </w:pPr>
            <w:r/>
            <w:r>
              <w:rPr>
                <w:rFonts w:ascii="Aptos" w:hAnsi="Aptos"/>
                <w:b w:val="0"/>
                <w:color w:val="202B3C"/>
                <w:sz w:val="15"/>
              </w:rPr>
              <w:t>Inbound/outbound, threading, attachments controls, delivery status, retries and failure queue.</w:t>
            </w:r>
          </w:p>
        </w:tc>
        <w:tc>
          <w:tcPr>
            <w:tcW w:type="dxa" w:w="3312"/>
            <w:vAlign w:val="center"/>
            <w:shd w:fill="F7F9FC"/>
          </w:tcPr>
          <w:p>
            <w:pPr>
              <w:spacing w:after="0"/>
            </w:pPr>
            <w:r/>
            <w:r>
              <w:rPr>
                <w:rFonts w:ascii="Aptos" w:hAnsi="Aptos"/>
                <w:b w:val="0"/>
                <w:color w:val="202B3C"/>
                <w:sz w:val="15"/>
              </w:rPr>
              <w:t>Inbound-to-resolution, bounce, duplicate and threading tests pass.</w:t>
            </w:r>
          </w:p>
        </w:tc>
      </w:tr>
      <w:tr>
        <w:tc>
          <w:tcPr>
            <w:tcW w:type="dxa" w:w="2088"/>
            <w:vAlign w:val="center"/>
          </w:tcPr>
          <w:p>
            <w:pPr>
              <w:spacing w:after="0"/>
            </w:pPr>
            <w:r/>
            <w:r>
              <w:rPr>
                <w:rFonts w:ascii="Aptos" w:hAnsi="Aptos"/>
                <w:b w:val="0"/>
                <w:color w:val="202B3C"/>
                <w:sz w:val="15"/>
              </w:rPr>
              <w:t>4 — Voice</w:t>
            </w:r>
          </w:p>
        </w:tc>
        <w:tc>
          <w:tcPr>
            <w:tcW w:type="dxa" w:w="4968"/>
            <w:vAlign w:val="center"/>
          </w:tcPr>
          <w:p>
            <w:pPr>
              <w:spacing w:after="0"/>
            </w:pPr>
            <w:r/>
            <w:r>
              <w:rPr>
                <w:rFonts w:ascii="Aptos" w:hAnsi="Aptos"/>
                <w:b w:val="0"/>
                <w:color w:val="202B3C"/>
                <w:sz w:val="15"/>
              </w:rPr>
              <w:t>Inbound number, speech pipeline, turn-taking, transfer, consent, transcript and failure fallback.</w:t>
            </w:r>
          </w:p>
        </w:tc>
        <w:tc>
          <w:tcPr>
            <w:tcW w:type="dxa" w:w="3312"/>
            <w:vAlign w:val="center"/>
          </w:tcPr>
          <w:p>
            <w:pPr>
              <w:spacing w:after="0"/>
            </w:pPr>
            <w:r/>
            <w:r>
              <w:rPr>
                <w:rFonts w:ascii="Aptos" w:hAnsi="Aptos"/>
                <w:b w:val="0"/>
                <w:color w:val="202B3C"/>
                <w:sz w:val="15"/>
              </w:rPr>
              <w:t>Real test calls meet latency and transfer acceptance targets.</w:t>
            </w:r>
          </w:p>
        </w:tc>
      </w:tr>
      <w:tr>
        <w:tc>
          <w:tcPr>
            <w:tcW w:type="dxa" w:w="2088"/>
            <w:vAlign w:val="center"/>
            <w:shd w:fill="F7F9FC"/>
          </w:tcPr>
          <w:p>
            <w:pPr>
              <w:spacing w:after="0"/>
            </w:pPr>
            <w:r/>
            <w:r>
              <w:rPr>
                <w:rFonts w:ascii="Aptos" w:hAnsi="Aptos"/>
                <w:b w:val="0"/>
                <w:color w:val="202B3C"/>
                <w:sz w:val="15"/>
              </w:rPr>
              <w:t>5 — Controlled pilot</w:t>
            </w:r>
          </w:p>
        </w:tc>
        <w:tc>
          <w:tcPr>
            <w:tcW w:type="dxa" w:w="4968"/>
            <w:vAlign w:val="center"/>
            <w:shd w:fill="F7F9FC"/>
          </w:tcPr>
          <w:p>
            <w:pPr>
              <w:spacing w:after="0"/>
            </w:pPr>
            <w:r/>
            <w:r>
              <w:rPr>
                <w:rFonts w:ascii="Aptos" w:hAnsi="Aptos"/>
                <w:b w:val="0"/>
                <w:color w:val="202B3C"/>
                <w:sz w:val="15"/>
              </w:rPr>
              <w:t>Tenant onboarding, AI evaluation, analytics, configuration publish/rollback, operator runbooks.</w:t>
            </w:r>
          </w:p>
        </w:tc>
        <w:tc>
          <w:tcPr>
            <w:tcW w:type="dxa" w:w="3312"/>
            <w:vAlign w:val="center"/>
            <w:shd w:fill="F7F9FC"/>
          </w:tcPr>
          <w:p>
            <w:pPr>
              <w:spacing w:after="0"/>
            </w:pPr>
            <w:r/>
            <w:r>
              <w:rPr>
                <w:rFonts w:ascii="Aptos" w:hAnsi="Aptos"/>
                <w:b w:val="0"/>
                <w:color w:val="202B3C"/>
                <w:sz w:val="15"/>
              </w:rPr>
              <w:t>Pilot success metrics and incident response validated.</w:t>
            </w:r>
          </w:p>
        </w:tc>
      </w:tr>
      <w:tr>
        <w:tc>
          <w:tcPr>
            <w:tcW w:type="dxa" w:w="2088"/>
            <w:vAlign w:val="center"/>
          </w:tcPr>
          <w:p>
            <w:pPr>
              <w:spacing w:after="0"/>
            </w:pPr>
            <w:r/>
            <w:r>
              <w:rPr>
                <w:rFonts w:ascii="Aptos" w:hAnsi="Aptos"/>
                <w:b w:val="0"/>
                <w:color w:val="202B3C"/>
                <w:sz w:val="15"/>
              </w:rPr>
              <w:t>6 — GA hardening</w:t>
            </w:r>
          </w:p>
        </w:tc>
        <w:tc>
          <w:tcPr>
            <w:tcW w:type="dxa" w:w="4968"/>
            <w:vAlign w:val="center"/>
          </w:tcPr>
          <w:p>
            <w:pPr>
              <w:spacing w:after="0"/>
            </w:pPr>
            <w:r/>
            <w:r>
              <w:rPr>
                <w:rFonts w:ascii="Aptos" w:hAnsi="Aptos"/>
                <w:b w:val="0"/>
                <w:color w:val="202B3C"/>
                <w:sz w:val="15"/>
              </w:rPr>
              <w:t>Security review, load tests, restore drills, accessibility, billing/quotas, customer support readiness.</w:t>
            </w:r>
          </w:p>
        </w:tc>
        <w:tc>
          <w:tcPr>
            <w:tcW w:type="dxa" w:w="3312"/>
            <w:vAlign w:val="center"/>
          </w:tcPr>
          <w:p>
            <w:pPr>
              <w:spacing w:after="0"/>
            </w:pPr>
            <w:r/>
            <w:r>
              <w:rPr>
                <w:rFonts w:ascii="Aptos" w:hAnsi="Aptos"/>
                <w:b w:val="0"/>
                <w:color w:val="202B3C"/>
                <w:sz w:val="15"/>
              </w:rPr>
              <w:t>Go-live checklist approved; known limitations documented.</w:t>
            </w:r>
          </w:p>
        </w:tc>
      </w:tr>
    </w:tbl>
    <w:p/>
    <w:p>
      <w:pPr>
        <w:pStyle w:val="Heading1"/>
      </w:pPr>
      <w:r>
        <w:t>15. Architecture decision records (ADRs) to create</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center"/>
            <w:shd w:fill="14233B"/>
          </w:tcPr>
          <w:p>
            <w:pPr>
              <w:spacing w:after="0"/>
            </w:pPr>
            <w:r/>
            <w:r>
              <w:rPr>
                <w:rFonts w:ascii="Aptos" w:hAnsi="Aptos"/>
                <w:b/>
                <w:color w:val="FFFFFF"/>
                <w:sz w:val="16"/>
              </w:rPr>
              <w:t>ADR</w:t>
            </w:r>
          </w:p>
        </w:tc>
        <w:tc>
          <w:tcPr>
            <w:tcW w:type="dxa" w:w="3456"/>
            <w:vAlign w:val="center"/>
            <w:shd w:fill="14233B"/>
          </w:tcPr>
          <w:p>
            <w:pPr>
              <w:spacing w:after="0"/>
            </w:pPr>
            <w:r/>
            <w:r>
              <w:rPr>
                <w:rFonts w:ascii="Aptos" w:hAnsi="Aptos"/>
                <w:b/>
                <w:color w:val="FFFFFF"/>
                <w:sz w:val="16"/>
              </w:rPr>
              <w:t>Decision to record</w:t>
            </w:r>
          </w:p>
        </w:tc>
        <w:tc>
          <w:tcPr>
            <w:tcW w:type="dxa" w:w="5328"/>
            <w:vAlign w:val="center"/>
            <w:shd w:fill="14233B"/>
          </w:tcPr>
          <w:p>
            <w:pPr>
              <w:spacing w:after="0"/>
            </w:pPr>
            <w:r/>
            <w:r>
              <w:rPr>
                <w:rFonts w:ascii="Aptos" w:hAnsi="Aptos"/>
                <w:b/>
                <w:color w:val="FFFFFF"/>
                <w:sz w:val="16"/>
              </w:rPr>
              <w:t>Must evaluate</w:t>
            </w:r>
          </w:p>
        </w:tc>
      </w:tr>
      <w:tr>
        <w:tc>
          <w:tcPr>
            <w:tcW w:type="dxa" w:w="1584"/>
            <w:vAlign w:val="center"/>
          </w:tcPr>
          <w:p>
            <w:pPr>
              <w:spacing w:after="0"/>
            </w:pPr>
            <w:r/>
            <w:r>
              <w:rPr>
                <w:rFonts w:ascii="Aptos" w:hAnsi="Aptos"/>
                <w:b w:val="0"/>
                <w:color w:val="202B3C"/>
                <w:sz w:val="15"/>
              </w:rPr>
              <w:t>ADR-001</w:t>
            </w:r>
          </w:p>
        </w:tc>
        <w:tc>
          <w:tcPr>
            <w:tcW w:type="dxa" w:w="3456"/>
            <w:vAlign w:val="center"/>
          </w:tcPr>
          <w:p>
            <w:pPr>
              <w:spacing w:after="0"/>
            </w:pPr>
            <w:r/>
            <w:r>
              <w:rPr>
                <w:rFonts w:ascii="Aptos" w:hAnsi="Aptos"/>
                <w:b w:val="0"/>
                <w:color w:val="202B3C"/>
                <w:sz w:val="15"/>
              </w:rPr>
              <w:t>Backend language/framework</w:t>
            </w:r>
          </w:p>
        </w:tc>
        <w:tc>
          <w:tcPr>
            <w:tcW w:type="dxa" w:w="5328"/>
            <w:vAlign w:val="center"/>
          </w:tcPr>
          <w:p>
            <w:pPr>
              <w:spacing w:after="0"/>
            </w:pPr>
            <w:r/>
            <w:r>
              <w:rPr>
                <w:rFonts w:ascii="Aptos" w:hAnsi="Aptos"/>
                <w:b w:val="0"/>
                <w:color w:val="202B3C"/>
                <w:sz w:val="15"/>
              </w:rPr>
              <w:t>Team skill, performance, hiring, SDK quality, operational maturity.</w:t>
            </w:r>
          </w:p>
        </w:tc>
      </w:tr>
      <w:tr>
        <w:tc>
          <w:tcPr>
            <w:tcW w:type="dxa" w:w="1584"/>
            <w:vAlign w:val="center"/>
            <w:shd w:fill="F7F9FC"/>
          </w:tcPr>
          <w:p>
            <w:pPr>
              <w:spacing w:after="0"/>
            </w:pPr>
            <w:r/>
            <w:r>
              <w:rPr>
                <w:rFonts w:ascii="Aptos" w:hAnsi="Aptos"/>
                <w:b w:val="0"/>
                <w:color w:val="202B3C"/>
                <w:sz w:val="15"/>
              </w:rPr>
              <w:t>ADR-002</w:t>
            </w:r>
          </w:p>
        </w:tc>
        <w:tc>
          <w:tcPr>
            <w:tcW w:type="dxa" w:w="3456"/>
            <w:vAlign w:val="center"/>
            <w:shd w:fill="F7F9FC"/>
          </w:tcPr>
          <w:p>
            <w:pPr>
              <w:spacing w:after="0"/>
            </w:pPr>
            <w:r/>
            <w:r>
              <w:rPr>
                <w:rFonts w:ascii="Aptos" w:hAnsi="Aptos"/>
                <w:b w:val="0"/>
                <w:color w:val="202B3C"/>
                <w:sz w:val="15"/>
              </w:rPr>
              <w:t>Queue and outbox pattern</w:t>
            </w:r>
          </w:p>
        </w:tc>
        <w:tc>
          <w:tcPr>
            <w:tcW w:type="dxa" w:w="5328"/>
            <w:vAlign w:val="center"/>
            <w:shd w:fill="F7F9FC"/>
          </w:tcPr>
          <w:p>
            <w:pPr>
              <w:spacing w:after="0"/>
            </w:pPr>
            <w:r/>
            <w:r>
              <w:rPr>
                <w:rFonts w:ascii="Aptos" w:hAnsi="Aptos"/>
                <w:b w:val="0"/>
                <w:color w:val="202B3C"/>
                <w:sz w:val="15"/>
              </w:rPr>
              <w:t>Delivery guarantees, retries, ordering needs, dead-letter handling and cost.</w:t>
            </w:r>
          </w:p>
        </w:tc>
      </w:tr>
      <w:tr>
        <w:tc>
          <w:tcPr>
            <w:tcW w:type="dxa" w:w="1584"/>
            <w:vAlign w:val="center"/>
          </w:tcPr>
          <w:p>
            <w:pPr>
              <w:spacing w:after="0"/>
            </w:pPr>
            <w:r/>
            <w:r>
              <w:rPr>
                <w:rFonts w:ascii="Aptos" w:hAnsi="Aptos"/>
                <w:b w:val="0"/>
                <w:color w:val="202B3C"/>
                <w:sz w:val="15"/>
              </w:rPr>
              <w:t>ADR-003</w:t>
            </w:r>
          </w:p>
        </w:tc>
        <w:tc>
          <w:tcPr>
            <w:tcW w:type="dxa" w:w="3456"/>
            <w:vAlign w:val="center"/>
          </w:tcPr>
          <w:p>
            <w:pPr>
              <w:spacing w:after="0"/>
            </w:pPr>
            <w:r/>
            <w:r>
              <w:rPr>
                <w:rFonts w:ascii="Aptos" w:hAnsi="Aptos"/>
                <w:b w:val="0"/>
                <w:color w:val="202B3C"/>
                <w:sz w:val="15"/>
              </w:rPr>
              <w:t>Tenant isolation</w:t>
            </w:r>
          </w:p>
        </w:tc>
        <w:tc>
          <w:tcPr>
            <w:tcW w:type="dxa" w:w="5328"/>
            <w:vAlign w:val="center"/>
          </w:tcPr>
          <w:p>
            <w:pPr>
              <w:spacing w:after="0"/>
            </w:pPr>
            <w:r/>
            <w:r>
              <w:rPr>
                <w:rFonts w:ascii="Aptos" w:hAnsi="Aptos"/>
                <w:b w:val="0"/>
                <w:color w:val="202B3C"/>
                <w:sz w:val="15"/>
              </w:rPr>
              <w:t>Shared schema + RLS vs schema/database separation; isolation and migration complexity.</w:t>
            </w:r>
          </w:p>
        </w:tc>
      </w:tr>
      <w:tr>
        <w:tc>
          <w:tcPr>
            <w:tcW w:type="dxa" w:w="1584"/>
            <w:vAlign w:val="center"/>
            <w:shd w:fill="F7F9FC"/>
          </w:tcPr>
          <w:p>
            <w:pPr>
              <w:spacing w:after="0"/>
            </w:pPr>
            <w:r/>
            <w:r>
              <w:rPr>
                <w:rFonts w:ascii="Aptos" w:hAnsi="Aptos"/>
                <w:b w:val="0"/>
                <w:color w:val="202B3C"/>
                <w:sz w:val="15"/>
              </w:rPr>
              <w:t>ADR-004</w:t>
            </w:r>
          </w:p>
        </w:tc>
        <w:tc>
          <w:tcPr>
            <w:tcW w:type="dxa" w:w="3456"/>
            <w:vAlign w:val="center"/>
            <w:shd w:fill="F7F9FC"/>
          </w:tcPr>
          <w:p>
            <w:pPr>
              <w:spacing w:after="0"/>
            </w:pPr>
            <w:r/>
            <w:r>
              <w:rPr>
                <w:rFonts w:ascii="Aptos" w:hAnsi="Aptos"/>
                <w:b w:val="0"/>
                <w:color w:val="202B3C"/>
                <w:sz w:val="15"/>
              </w:rPr>
              <w:t>LLM/embedding provider abstraction</w:t>
            </w:r>
          </w:p>
        </w:tc>
        <w:tc>
          <w:tcPr>
            <w:tcW w:type="dxa" w:w="5328"/>
            <w:vAlign w:val="center"/>
            <w:shd w:fill="F7F9FC"/>
          </w:tcPr>
          <w:p>
            <w:pPr>
              <w:spacing w:after="0"/>
            </w:pPr>
            <w:r/>
            <w:r>
              <w:rPr>
                <w:rFonts w:ascii="Aptos" w:hAnsi="Aptos"/>
                <w:b w:val="0"/>
                <w:color w:val="202B3C"/>
                <w:sz w:val="15"/>
              </w:rPr>
              <w:t>Data terms, region, latency, cost, eval performance, fallback and versioning.</w:t>
            </w:r>
          </w:p>
        </w:tc>
      </w:tr>
      <w:tr>
        <w:tc>
          <w:tcPr>
            <w:tcW w:type="dxa" w:w="1584"/>
            <w:vAlign w:val="center"/>
          </w:tcPr>
          <w:p>
            <w:pPr>
              <w:spacing w:after="0"/>
            </w:pPr>
            <w:r/>
            <w:r>
              <w:rPr>
                <w:rFonts w:ascii="Aptos" w:hAnsi="Aptos"/>
                <w:b w:val="0"/>
                <w:color w:val="202B3C"/>
                <w:sz w:val="15"/>
              </w:rPr>
              <w:t>ADR-005</w:t>
            </w:r>
          </w:p>
        </w:tc>
        <w:tc>
          <w:tcPr>
            <w:tcW w:type="dxa" w:w="3456"/>
            <w:vAlign w:val="center"/>
          </w:tcPr>
          <w:p>
            <w:pPr>
              <w:spacing w:after="0"/>
            </w:pPr>
            <w:r/>
            <w:r>
              <w:rPr>
                <w:rFonts w:ascii="Aptos" w:hAnsi="Aptos"/>
                <w:b w:val="0"/>
                <w:color w:val="202B3C"/>
                <w:sz w:val="15"/>
              </w:rPr>
              <w:t>Vector retrieval store</w:t>
            </w:r>
          </w:p>
        </w:tc>
        <w:tc>
          <w:tcPr>
            <w:tcW w:type="dxa" w:w="5328"/>
            <w:vAlign w:val="center"/>
          </w:tcPr>
          <w:p>
            <w:pPr>
              <w:spacing w:after="0"/>
            </w:pPr>
            <w:r/>
            <w:r>
              <w:rPr>
                <w:rFonts w:ascii="Aptos" w:hAnsi="Aptos"/>
                <w:b w:val="0"/>
                <w:color w:val="202B3C"/>
                <w:sz w:val="15"/>
              </w:rPr>
              <w:t>pgvector benchmark, filtering, index size, recall, update/delete behavior.</w:t>
            </w:r>
          </w:p>
        </w:tc>
      </w:tr>
      <w:tr>
        <w:tc>
          <w:tcPr>
            <w:tcW w:type="dxa" w:w="1584"/>
            <w:vAlign w:val="center"/>
            <w:shd w:fill="F7F9FC"/>
          </w:tcPr>
          <w:p>
            <w:pPr>
              <w:spacing w:after="0"/>
            </w:pPr>
            <w:r/>
            <w:r>
              <w:rPr>
                <w:rFonts w:ascii="Aptos" w:hAnsi="Aptos"/>
                <w:b w:val="0"/>
                <w:color w:val="202B3C"/>
                <w:sz w:val="15"/>
              </w:rPr>
              <w:t>ADR-006</w:t>
            </w:r>
          </w:p>
        </w:tc>
        <w:tc>
          <w:tcPr>
            <w:tcW w:type="dxa" w:w="3456"/>
            <w:vAlign w:val="center"/>
            <w:shd w:fill="F7F9FC"/>
          </w:tcPr>
          <w:p>
            <w:pPr>
              <w:spacing w:after="0"/>
            </w:pPr>
            <w:r/>
            <w:r>
              <w:rPr>
                <w:rFonts w:ascii="Aptos" w:hAnsi="Aptos"/>
                <w:b w:val="0"/>
                <w:color w:val="202B3C"/>
                <w:sz w:val="15"/>
              </w:rPr>
              <w:t>Telephony/voice architecture</w:t>
            </w:r>
          </w:p>
        </w:tc>
        <w:tc>
          <w:tcPr>
            <w:tcW w:type="dxa" w:w="5328"/>
            <w:vAlign w:val="center"/>
            <w:shd w:fill="F7F9FC"/>
          </w:tcPr>
          <w:p>
            <w:pPr>
              <w:spacing w:after="0"/>
            </w:pPr>
            <w:r/>
            <w:r>
              <w:rPr>
                <w:rFonts w:ascii="Aptos" w:hAnsi="Aptos"/>
                <w:b w:val="0"/>
                <w:color w:val="202B3C"/>
                <w:sz w:val="15"/>
              </w:rPr>
              <w:t>Streaming support, transfer, regional availability, call recording, provider reliability.</w:t>
            </w:r>
          </w:p>
        </w:tc>
      </w:tr>
      <w:tr>
        <w:tc>
          <w:tcPr>
            <w:tcW w:type="dxa" w:w="1584"/>
            <w:vAlign w:val="center"/>
          </w:tcPr>
          <w:p>
            <w:pPr>
              <w:spacing w:after="0"/>
            </w:pPr>
            <w:r/>
            <w:r>
              <w:rPr>
                <w:rFonts w:ascii="Aptos" w:hAnsi="Aptos"/>
                <w:b w:val="0"/>
                <w:color w:val="202B3C"/>
                <w:sz w:val="15"/>
              </w:rPr>
              <w:t>ADR-007</w:t>
            </w:r>
          </w:p>
        </w:tc>
        <w:tc>
          <w:tcPr>
            <w:tcW w:type="dxa" w:w="3456"/>
            <w:vAlign w:val="center"/>
          </w:tcPr>
          <w:p>
            <w:pPr>
              <w:spacing w:after="0"/>
            </w:pPr>
            <w:r/>
            <w:r>
              <w:rPr>
                <w:rFonts w:ascii="Aptos" w:hAnsi="Aptos"/>
                <w:b w:val="0"/>
                <w:color w:val="202B3C"/>
                <w:sz w:val="15"/>
              </w:rPr>
              <w:t>Email provider strategy</w:t>
            </w:r>
          </w:p>
        </w:tc>
        <w:tc>
          <w:tcPr>
            <w:tcW w:type="dxa" w:w="5328"/>
            <w:vAlign w:val="center"/>
          </w:tcPr>
          <w:p>
            <w:pPr>
              <w:spacing w:after="0"/>
            </w:pPr>
            <w:r/>
            <w:r>
              <w:rPr>
                <w:rFonts w:ascii="Aptos" w:hAnsi="Aptos"/>
                <w:b w:val="0"/>
                <w:color w:val="202B3C"/>
                <w:sz w:val="15"/>
              </w:rPr>
              <w:t>OAuth, webhook verification, threading, deliverability, bounce events and rate limits.</w:t>
            </w:r>
          </w:p>
        </w:tc>
      </w:tr>
      <w:tr>
        <w:tc>
          <w:tcPr>
            <w:tcW w:type="dxa" w:w="1584"/>
            <w:vAlign w:val="center"/>
            <w:shd w:fill="F7F9FC"/>
          </w:tcPr>
          <w:p>
            <w:pPr>
              <w:spacing w:after="0"/>
            </w:pPr>
            <w:r/>
            <w:r>
              <w:rPr>
                <w:rFonts w:ascii="Aptos" w:hAnsi="Aptos"/>
                <w:b w:val="0"/>
                <w:color w:val="202B3C"/>
                <w:sz w:val="15"/>
              </w:rPr>
              <w:t>ADR-008</w:t>
            </w:r>
          </w:p>
        </w:tc>
        <w:tc>
          <w:tcPr>
            <w:tcW w:type="dxa" w:w="3456"/>
            <w:vAlign w:val="center"/>
            <w:shd w:fill="F7F9FC"/>
          </w:tcPr>
          <w:p>
            <w:pPr>
              <w:spacing w:after="0"/>
            </w:pPr>
            <w:r/>
            <w:r>
              <w:rPr>
                <w:rFonts w:ascii="Aptos" w:hAnsi="Aptos"/>
                <w:b w:val="0"/>
                <w:color w:val="202B3C"/>
                <w:sz w:val="15"/>
              </w:rPr>
              <w:t>Observability and retention</w:t>
            </w:r>
          </w:p>
        </w:tc>
        <w:tc>
          <w:tcPr>
            <w:tcW w:type="dxa" w:w="5328"/>
            <w:vAlign w:val="center"/>
            <w:shd w:fill="F7F9FC"/>
          </w:tcPr>
          <w:p>
            <w:pPr>
              <w:spacing w:after="0"/>
            </w:pPr>
            <w:r/>
            <w:r>
              <w:rPr>
                <w:rFonts w:ascii="Aptos" w:hAnsi="Aptos"/>
                <w:b w:val="0"/>
                <w:color w:val="202B3C"/>
                <w:sz w:val="15"/>
              </w:rPr>
              <w:t>Trace/log content, access controls, redaction, retention and cost.</w:t>
            </w:r>
          </w:p>
        </w:tc>
      </w:tr>
      <w:tr>
        <w:tc>
          <w:tcPr>
            <w:tcW w:type="dxa" w:w="1584"/>
            <w:vAlign w:val="center"/>
          </w:tcPr>
          <w:p>
            <w:pPr>
              <w:spacing w:after="0"/>
            </w:pPr>
            <w:r/>
            <w:r>
              <w:rPr>
                <w:rFonts w:ascii="Aptos" w:hAnsi="Aptos"/>
                <w:b w:val="0"/>
                <w:color w:val="202B3C"/>
                <w:sz w:val="15"/>
              </w:rPr>
              <w:t>ADR-009</w:t>
            </w:r>
          </w:p>
        </w:tc>
        <w:tc>
          <w:tcPr>
            <w:tcW w:type="dxa" w:w="3456"/>
            <w:vAlign w:val="center"/>
          </w:tcPr>
          <w:p>
            <w:pPr>
              <w:spacing w:after="0"/>
            </w:pPr>
            <w:r/>
            <w:r>
              <w:rPr>
                <w:rFonts w:ascii="Aptos" w:hAnsi="Aptos"/>
                <w:b w:val="0"/>
                <w:color w:val="202B3C"/>
                <w:sz w:val="15"/>
              </w:rPr>
              <w:t>Autonomy rollout policy</w:t>
            </w:r>
          </w:p>
        </w:tc>
        <w:tc>
          <w:tcPr>
            <w:tcW w:type="dxa" w:w="5328"/>
            <w:vAlign w:val="center"/>
          </w:tcPr>
          <w:p>
            <w:pPr>
              <w:spacing w:after="0"/>
            </w:pPr>
            <w:r/>
            <w:r>
              <w:rPr>
                <w:rFonts w:ascii="Aptos" w:hAnsi="Aptos"/>
                <w:b w:val="0"/>
                <w:color w:val="202B3C"/>
                <w:sz w:val="15"/>
              </w:rPr>
              <w:t>Suggest-only, approval and auto-send gates; kill switch; per-tenant configuration.</w:t>
            </w:r>
          </w:p>
        </w:tc>
      </w:tr>
    </w:tbl>
    <w:p/>
    <w:p>
      <w:pPr>
        <w:pStyle w:val="Heading1"/>
      </w:pPr>
      <w:r>
        <w:t>16. Definition of architecture readiness</w:t>
      </w:r>
    </w:p>
    <w:p>
      <w:pPr>
        <w:pStyle w:val="ListBullet"/>
        <w:spacing w:after="40"/>
      </w:pPr>
      <w:r>
        <w:t>☐ A current system context diagram and data-flow diagram are reviewed by the engineering team.</w:t>
      </w:r>
    </w:p>
    <w:p>
      <w:pPr>
        <w:pStyle w:val="ListBullet"/>
        <w:spacing w:after="40"/>
      </w:pPr>
      <w:r>
        <w:t>☐ Tenant isolation and authorization tests are part of CI, including negative cross-tenant tests.</w:t>
      </w:r>
    </w:p>
    <w:p>
      <w:pPr>
        <w:pStyle w:val="ListBullet"/>
        <w:spacing w:after="40"/>
      </w:pPr>
      <w:r>
        <w:t>☐ All three channel adapters have documented provider contracts and tested failure paths.</w:t>
      </w:r>
    </w:p>
    <w:p>
      <w:pPr>
        <w:pStyle w:val="ListBullet"/>
        <w:spacing w:after="40"/>
      </w:pPr>
      <w:r>
        <w:t>☐ The AI pipeline has a deterministic policy gate, approved-source retrieval, output validation and mandatory handoff rules.</w:t>
      </w:r>
    </w:p>
    <w:p>
      <w:pPr>
        <w:pStyle w:val="ListBullet"/>
        <w:spacing w:after="40"/>
      </w:pPr>
      <w:r>
        <w:t>☐ Queue processing is idempotent; retry limits and dead-letter operations are documented.</w:t>
      </w:r>
    </w:p>
    <w:p>
      <w:pPr>
        <w:pStyle w:val="ListBullet"/>
        <w:spacing w:after="40"/>
      </w:pPr>
      <w:r>
        <w:t>☐ Sensitive data, recordings, transcripts, model-provider data handling and retention are documented.</w:t>
      </w:r>
    </w:p>
    <w:p>
      <w:pPr>
        <w:pStyle w:val="ListBullet"/>
        <w:spacing w:after="40"/>
      </w:pPr>
      <w:r>
        <w:t>☐ Logs, metrics, traces, alerts, backups, restore tests and incident ownership are established.</w:t>
      </w:r>
    </w:p>
    <w:p>
      <w:pPr>
        <w:pStyle w:val="ListBullet"/>
        <w:spacing w:after="40"/>
      </w:pPr>
      <w:r>
        <w:t>☐ The team has an agreed MVP boundary and architecture decisions are recorded rather than left implicit.</w:t>
      </w:r>
    </w:p>
    <w:p>
      <w:pPr>
        <w:pStyle w:val="Heading1"/>
      </w:pPr>
      <w:r>
        <w:t>17. Risks and mitigations</w:t>
      </w:r>
    </w:p>
    <w:tbl>
      <w:tblPr>
        <w:tblStyle w:val="TableGrid"/>
        <w:tblW w:type="auto" w:w="0"/>
        <w:jc w:val="center"/>
        <w:tblLook w:firstColumn="1" w:firstRow="1" w:lastColumn="0" w:lastRow="0" w:noHBand="0" w:noVBand="1" w:val="04A0"/>
      </w:tblPr>
      <w:tblGrid>
        <w:gridCol w:w="3389"/>
        <w:gridCol w:w="3389"/>
        <w:gridCol w:w="3389"/>
      </w:tblGrid>
      <w:tr>
        <w:tc>
          <w:tcPr>
            <w:tcW w:type="dxa" w:w="2376"/>
            <w:vAlign w:val="center"/>
            <w:shd w:fill="14233B"/>
          </w:tcPr>
          <w:p>
            <w:pPr>
              <w:spacing w:after="0"/>
            </w:pPr>
            <w:r/>
            <w:r>
              <w:rPr>
                <w:rFonts w:ascii="Aptos" w:hAnsi="Aptos"/>
                <w:b/>
                <w:color w:val="FFFFFF"/>
                <w:sz w:val="16"/>
              </w:rPr>
              <w:t>Risk</w:t>
            </w:r>
          </w:p>
        </w:tc>
        <w:tc>
          <w:tcPr>
            <w:tcW w:type="dxa" w:w="3024"/>
            <w:vAlign w:val="center"/>
            <w:shd w:fill="14233B"/>
          </w:tcPr>
          <w:p>
            <w:pPr>
              <w:spacing w:after="0"/>
            </w:pPr>
            <w:r/>
            <w:r>
              <w:rPr>
                <w:rFonts w:ascii="Aptos" w:hAnsi="Aptos"/>
                <w:b/>
                <w:color w:val="FFFFFF"/>
                <w:sz w:val="16"/>
              </w:rPr>
              <w:t>Impact</w:t>
            </w:r>
          </w:p>
        </w:tc>
        <w:tc>
          <w:tcPr>
            <w:tcW w:type="dxa" w:w="4968"/>
            <w:vAlign w:val="center"/>
            <w:shd w:fill="14233B"/>
          </w:tcPr>
          <w:p>
            <w:pPr>
              <w:spacing w:after="0"/>
            </w:pPr>
            <w:r/>
            <w:r>
              <w:rPr>
                <w:rFonts w:ascii="Aptos" w:hAnsi="Aptos"/>
                <w:b/>
                <w:color w:val="FFFFFF"/>
                <w:sz w:val="16"/>
              </w:rPr>
              <w:t>Mitigation</w:t>
            </w:r>
          </w:p>
        </w:tc>
      </w:tr>
      <w:tr>
        <w:tc>
          <w:tcPr>
            <w:tcW w:type="dxa" w:w="2376"/>
            <w:vAlign w:val="center"/>
          </w:tcPr>
          <w:p>
            <w:pPr>
              <w:spacing w:after="0"/>
            </w:pPr>
            <w:r/>
            <w:r>
              <w:rPr>
                <w:rFonts w:ascii="Aptos" w:hAnsi="Aptos"/>
                <w:b w:val="0"/>
                <w:color w:val="202B3C"/>
                <w:sz w:val="14"/>
              </w:rPr>
              <w:t>Overengineering too early</w:t>
            </w:r>
          </w:p>
        </w:tc>
        <w:tc>
          <w:tcPr>
            <w:tcW w:type="dxa" w:w="3024"/>
            <w:vAlign w:val="center"/>
          </w:tcPr>
          <w:p>
            <w:pPr>
              <w:spacing w:after="0"/>
            </w:pPr>
            <w:r/>
            <w:r>
              <w:rPr>
                <w:rFonts w:ascii="Aptos" w:hAnsi="Aptos"/>
                <w:b w:val="0"/>
                <w:color w:val="202B3C"/>
                <w:sz w:val="14"/>
              </w:rPr>
              <w:t>Slow delivery and operational burden</w:t>
            </w:r>
          </w:p>
        </w:tc>
        <w:tc>
          <w:tcPr>
            <w:tcW w:type="dxa" w:w="4968"/>
            <w:vAlign w:val="center"/>
          </w:tcPr>
          <w:p>
            <w:pPr>
              <w:spacing w:after="0"/>
            </w:pPr>
            <w:r/>
            <w:r>
              <w:rPr>
                <w:rFonts w:ascii="Aptos" w:hAnsi="Aptos"/>
                <w:b w:val="0"/>
                <w:color w:val="202B3C"/>
                <w:sz w:val="14"/>
              </w:rPr>
              <w:t>Modular monolith; managed services; extract only measured bottlenecks.</w:t>
            </w:r>
          </w:p>
        </w:tc>
      </w:tr>
      <w:tr>
        <w:tc>
          <w:tcPr>
            <w:tcW w:type="dxa" w:w="2376"/>
            <w:vAlign w:val="center"/>
            <w:shd w:fill="F7F9FC"/>
          </w:tcPr>
          <w:p>
            <w:pPr>
              <w:spacing w:after="0"/>
            </w:pPr>
            <w:r/>
            <w:r>
              <w:rPr>
                <w:rFonts w:ascii="Aptos" w:hAnsi="Aptos"/>
                <w:b w:val="0"/>
                <w:color w:val="202B3C"/>
                <w:sz w:val="14"/>
              </w:rPr>
              <w:t>AI confidently gives incorrect answer</w:t>
            </w:r>
          </w:p>
        </w:tc>
        <w:tc>
          <w:tcPr>
            <w:tcW w:type="dxa" w:w="3024"/>
            <w:vAlign w:val="center"/>
            <w:shd w:fill="F7F9FC"/>
          </w:tcPr>
          <w:p>
            <w:pPr>
              <w:spacing w:after="0"/>
            </w:pPr>
            <w:r/>
            <w:r>
              <w:rPr>
                <w:rFonts w:ascii="Aptos" w:hAnsi="Aptos"/>
                <w:b w:val="0"/>
                <w:color w:val="202B3C"/>
                <w:sz w:val="14"/>
              </w:rPr>
              <w:t>Customer harm, trust loss, compliance exposure</w:t>
            </w:r>
          </w:p>
        </w:tc>
        <w:tc>
          <w:tcPr>
            <w:tcW w:type="dxa" w:w="4968"/>
            <w:vAlign w:val="center"/>
            <w:shd w:fill="F7F9FC"/>
          </w:tcPr>
          <w:p>
            <w:pPr>
              <w:spacing w:after="0"/>
            </w:pPr>
            <w:r/>
            <w:r>
              <w:rPr>
                <w:rFonts w:ascii="Aptos" w:hAnsi="Aptos"/>
                <w:b w:val="0"/>
                <w:color w:val="202B3C"/>
                <w:sz w:val="14"/>
              </w:rPr>
              <w:t>Approved-source grounding, validation, safe no-answer path, evaluation and handoff.</w:t>
            </w:r>
          </w:p>
        </w:tc>
      </w:tr>
      <w:tr>
        <w:tc>
          <w:tcPr>
            <w:tcW w:type="dxa" w:w="2376"/>
            <w:vAlign w:val="center"/>
          </w:tcPr>
          <w:p>
            <w:pPr>
              <w:spacing w:after="0"/>
            </w:pPr>
            <w:r/>
            <w:r>
              <w:rPr>
                <w:rFonts w:ascii="Aptos" w:hAnsi="Aptos"/>
                <w:b w:val="0"/>
                <w:color w:val="202B3C"/>
                <w:sz w:val="14"/>
              </w:rPr>
              <w:t>Cross-tenant data leak</w:t>
            </w:r>
          </w:p>
        </w:tc>
        <w:tc>
          <w:tcPr>
            <w:tcW w:type="dxa" w:w="3024"/>
            <w:vAlign w:val="center"/>
          </w:tcPr>
          <w:p>
            <w:pPr>
              <w:spacing w:after="0"/>
            </w:pPr>
            <w:r/>
            <w:r>
              <w:rPr>
                <w:rFonts w:ascii="Aptos" w:hAnsi="Aptos"/>
                <w:b w:val="0"/>
                <w:color w:val="202B3C"/>
                <w:sz w:val="14"/>
              </w:rPr>
              <w:t>Severe security incident</w:t>
            </w:r>
          </w:p>
        </w:tc>
        <w:tc>
          <w:tcPr>
            <w:tcW w:type="dxa" w:w="4968"/>
            <w:vAlign w:val="center"/>
          </w:tcPr>
          <w:p>
            <w:pPr>
              <w:spacing w:after="0"/>
            </w:pPr>
            <w:r/>
            <w:r>
              <w:rPr>
                <w:rFonts w:ascii="Aptos" w:hAnsi="Aptos"/>
                <w:b w:val="0"/>
                <w:color w:val="202B3C"/>
                <w:sz w:val="14"/>
              </w:rPr>
              <w:t>Tenant context enforcement, RLS defense-in-depth, negative tests, scoped storage/cache keys.</w:t>
            </w:r>
          </w:p>
        </w:tc>
      </w:tr>
      <w:tr>
        <w:tc>
          <w:tcPr>
            <w:tcW w:type="dxa" w:w="2376"/>
            <w:vAlign w:val="center"/>
            <w:shd w:fill="F7F9FC"/>
          </w:tcPr>
          <w:p>
            <w:pPr>
              <w:spacing w:after="0"/>
            </w:pPr>
            <w:r/>
            <w:r>
              <w:rPr>
                <w:rFonts w:ascii="Aptos" w:hAnsi="Aptos"/>
                <w:b w:val="0"/>
                <w:color w:val="202B3C"/>
                <w:sz w:val="14"/>
              </w:rPr>
              <w:t>Voice latency or transfer failure</w:t>
            </w:r>
          </w:p>
        </w:tc>
        <w:tc>
          <w:tcPr>
            <w:tcW w:type="dxa" w:w="3024"/>
            <w:vAlign w:val="center"/>
            <w:shd w:fill="F7F9FC"/>
          </w:tcPr>
          <w:p>
            <w:pPr>
              <w:spacing w:after="0"/>
            </w:pPr>
            <w:r/>
            <w:r>
              <w:rPr>
                <w:rFonts w:ascii="Aptos" w:hAnsi="Aptos"/>
                <w:b w:val="0"/>
                <w:color w:val="202B3C"/>
                <w:sz w:val="14"/>
              </w:rPr>
              <w:t>Poor caller experience and abandonment</w:t>
            </w:r>
          </w:p>
        </w:tc>
        <w:tc>
          <w:tcPr>
            <w:tcW w:type="dxa" w:w="4968"/>
            <w:vAlign w:val="center"/>
            <w:shd w:fill="F7F9FC"/>
          </w:tcPr>
          <w:p>
            <w:pPr>
              <w:spacing w:after="0"/>
            </w:pPr>
            <w:r/>
            <w:r>
              <w:rPr>
                <w:rFonts w:ascii="Aptos" w:hAnsi="Aptos"/>
                <w:b w:val="0"/>
                <w:color w:val="202B3C"/>
                <w:sz w:val="14"/>
              </w:rPr>
              <w:t>Early provider spike, stage-level latency metrics, transfer tests, fallback route.</w:t>
            </w:r>
          </w:p>
        </w:tc>
      </w:tr>
      <w:tr>
        <w:tc>
          <w:tcPr>
            <w:tcW w:type="dxa" w:w="2376"/>
            <w:vAlign w:val="center"/>
          </w:tcPr>
          <w:p>
            <w:pPr>
              <w:spacing w:after="0"/>
            </w:pPr>
            <w:r/>
            <w:r>
              <w:rPr>
                <w:rFonts w:ascii="Aptos" w:hAnsi="Aptos"/>
                <w:b w:val="0"/>
                <w:color w:val="202B3C"/>
                <w:sz w:val="14"/>
              </w:rPr>
              <w:t>Email duplicate or broken threading</w:t>
            </w:r>
          </w:p>
        </w:tc>
        <w:tc>
          <w:tcPr>
            <w:tcW w:type="dxa" w:w="3024"/>
            <w:vAlign w:val="center"/>
          </w:tcPr>
          <w:p>
            <w:pPr>
              <w:spacing w:after="0"/>
            </w:pPr>
            <w:r/>
            <w:r>
              <w:rPr>
                <w:rFonts w:ascii="Aptos" w:hAnsi="Aptos"/>
                <w:b w:val="0"/>
                <w:color w:val="202B3C"/>
                <w:sz w:val="14"/>
              </w:rPr>
              <w:t>Confusing customer interactions</w:t>
            </w:r>
          </w:p>
        </w:tc>
        <w:tc>
          <w:tcPr>
            <w:tcW w:type="dxa" w:w="4968"/>
            <w:vAlign w:val="center"/>
          </w:tcPr>
          <w:p>
            <w:pPr>
              <w:spacing w:after="0"/>
            </w:pPr>
            <w:r/>
            <w:r>
              <w:rPr>
                <w:rFonts w:ascii="Aptos" w:hAnsi="Aptos"/>
                <w:b w:val="0"/>
                <w:color w:val="202B3C"/>
                <w:sz w:val="14"/>
              </w:rPr>
              <w:t>Provider IDs, idempotency, conservative thread matching, delivery-state tracking.</w:t>
            </w:r>
          </w:p>
        </w:tc>
      </w:tr>
      <w:tr>
        <w:tc>
          <w:tcPr>
            <w:tcW w:type="dxa" w:w="2376"/>
            <w:vAlign w:val="center"/>
            <w:shd w:fill="F7F9FC"/>
          </w:tcPr>
          <w:p>
            <w:pPr>
              <w:spacing w:after="0"/>
            </w:pPr>
            <w:r/>
            <w:r>
              <w:rPr>
                <w:rFonts w:ascii="Aptos" w:hAnsi="Aptos"/>
                <w:b w:val="0"/>
                <w:color w:val="202B3C"/>
                <w:sz w:val="14"/>
              </w:rPr>
              <w:t>Uncontrolled model cost</w:t>
            </w:r>
          </w:p>
        </w:tc>
        <w:tc>
          <w:tcPr>
            <w:tcW w:type="dxa" w:w="3024"/>
            <w:vAlign w:val="center"/>
            <w:shd w:fill="F7F9FC"/>
          </w:tcPr>
          <w:p>
            <w:pPr>
              <w:spacing w:after="0"/>
            </w:pPr>
            <w:r/>
            <w:r>
              <w:rPr>
                <w:rFonts w:ascii="Aptos" w:hAnsi="Aptos"/>
                <w:b w:val="0"/>
                <w:color w:val="202B3C"/>
                <w:sz w:val="14"/>
              </w:rPr>
              <w:t>Margin erosion or abuse</w:t>
            </w:r>
          </w:p>
        </w:tc>
        <w:tc>
          <w:tcPr>
            <w:tcW w:type="dxa" w:w="4968"/>
            <w:vAlign w:val="center"/>
            <w:shd w:fill="F7F9FC"/>
          </w:tcPr>
          <w:p>
            <w:pPr>
              <w:spacing w:after="0"/>
            </w:pPr>
            <w:r/>
            <w:r>
              <w:rPr>
                <w:rFonts w:ascii="Aptos" w:hAnsi="Aptos"/>
                <w:b w:val="0"/>
                <w:color w:val="202B3C"/>
                <w:sz w:val="14"/>
              </w:rPr>
              <w:t>Per-tenant budgets, rate limits, token caps, caching where safe, cost alerts.</w:t>
            </w:r>
          </w:p>
        </w:tc>
      </w:tr>
      <w:tr>
        <w:tc>
          <w:tcPr>
            <w:tcW w:type="dxa" w:w="2376"/>
            <w:vAlign w:val="center"/>
          </w:tcPr>
          <w:p>
            <w:pPr>
              <w:spacing w:after="0"/>
            </w:pPr>
            <w:r/>
            <w:r>
              <w:rPr>
                <w:rFonts w:ascii="Aptos" w:hAnsi="Aptos"/>
                <w:b w:val="0"/>
                <w:color w:val="202B3C"/>
                <w:sz w:val="14"/>
              </w:rPr>
              <w:t>Provider lock-in</w:t>
            </w:r>
          </w:p>
        </w:tc>
        <w:tc>
          <w:tcPr>
            <w:tcW w:type="dxa" w:w="3024"/>
            <w:vAlign w:val="center"/>
          </w:tcPr>
          <w:p>
            <w:pPr>
              <w:spacing w:after="0"/>
            </w:pPr>
            <w:r/>
            <w:r>
              <w:rPr>
                <w:rFonts w:ascii="Aptos" w:hAnsi="Aptos"/>
                <w:b w:val="0"/>
                <w:color w:val="202B3C"/>
                <w:sz w:val="14"/>
              </w:rPr>
              <w:t>Migration cost and limited options</w:t>
            </w:r>
          </w:p>
        </w:tc>
        <w:tc>
          <w:tcPr>
            <w:tcW w:type="dxa" w:w="4968"/>
            <w:vAlign w:val="center"/>
          </w:tcPr>
          <w:p>
            <w:pPr>
              <w:spacing w:after="0"/>
            </w:pPr>
            <w:r/>
            <w:r>
              <w:rPr>
                <w:rFonts w:ascii="Aptos" w:hAnsi="Aptos"/>
                <w:b w:val="0"/>
                <w:color w:val="202B3C"/>
                <w:sz w:val="14"/>
              </w:rPr>
              <w:t>Adapter interfaces and contract tests; avoid premature lowest-common-denominator abstractions.</w:t>
            </w:r>
          </w:p>
        </w:tc>
      </w:tr>
      <w:tr>
        <w:tc>
          <w:tcPr>
            <w:tcW w:type="dxa" w:w="2376"/>
            <w:vAlign w:val="center"/>
            <w:shd w:fill="F7F9FC"/>
          </w:tcPr>
          <w:p>
            <w:pPr>
              <w:spacing w:after="0"/>
            </w:pPr>
            <w:r/>
            <w:r>
              <w:rPr>
                <w:rFonts w:ascii="Aptos" w:hAnsi="Aptos"/>
                <w:b w:val="0"/>
                <w:color w:val="202B3C"/>
                <w:sz w:val="14"/>
              </w:rPr>
              <w:t>Deletion incomplete across indexes</w:t>
            </w:r>
          </w:p>
        </w:tc>
        <w:tc>
          <w:tcPr>
            <w:tcW w:type="dxa" w:w="3024"/>
            <w:vAlign w:val="center"/>
            <w:shd w:fill="F7F9FC"/>
          </w:tcPr>
          <w:p>
            <w:pPr>
              <w:spacing w:after="0"/>
            </w:pPr>
            <w:r/>
            <w:r>
              <w:rPr>
                <w:rFonts w:ascii="Aptos" w:hAnsi="Aptos"/>
                <w:b w:val="0"/>
                <w:color w:val="202B3C"/>
                <w:sz w:val="14"/>
              </w:rPr>
              <w:t>Privacy and retention failure</w:t>
            </w:r>
          </w:p>
        </w:tc>
        <w:tc>
          <w:tcPr>
            <w:tcW w:type="dxa" w:w="4968"/>
            <w:vAlign w:val="center"/>
            <w:shd w:fill="F7F9FC"/>
          </w:tcPr>
          <w:p>
            <w:pPr>
              <w:spacing w:after="0"/>
            </w:pPr>
            <w:r/>
            <w:r>
              <w:rPr>
                <w:rFonts w:ascii="Aptos" w:hAnsi="Aptos"/>
                <w:b w:val="0"/>
                <w:color w:val="202B3C"/>
                <w:sz w:val="14"/>
              </w:rPr>
              <w:t>Deletion workflow covers DB, object store, vector indexes, caches, exports and downstream providers.</w:t>
            </w:r>
          </w:p>
        </w:tc>
      </w:tr>
    </w:tbl>
    <w:p/>
    <w:p>
      <w:pPr>
        <w:pStyle w:val="Heading1"/>
      </w:pPr>
      <w:r>
        <w:t>18. Immediate next actions</w:t>
      </w:r>
    </w:p>
    <w:p>
      <w:pPr>
        <w:pStyle w:val="ListNumber"/>
        <w:spacing w:after="40"/>
      </w:pPr>
      <w:r>
        <w:t>Name an architecture owner and assign one accountable owner to each module.</w:t>
      </w:r>
    </w:p>
    <w:p>
      <w:pPr>
        <w:pStyle w:val="ListNumber"/>
        <w:spacing w:after="40"/>
      </w:pPr>
      <w:r>
        <w:t>Run short technical spikes for voice streaming/transfer, email threading, tenant isolation and RAG evaluation.</w:t>
      </w:r>
    </w:p>
    <w:p>
      <w:pPr>
        <w:pStyle w:val="ListNumber"/>
        <w:spacing w:after="40"/>
      </w:pPr>
      <w:r>
        <w:t>Create ADRs for the backend stack, queue/outbox, tenant isolation, AI provider, email and voice providers.</w:t>
      </w:r>
    </w:p>
    <w:p>
      <w:pPr>
        <w:pStyle w:val="ListNumber"/>
        <w:spacing w:after="40"/>
      </w:pPr>
      <w:r>
        <w:t>Build the case/message schema and tenant authorization tests before implementing complex AI workflows.</w:t>
      </w:r>
    </w:p>
    <w:p>
      <w:pPr>
        <w:pStyle w:val="ListNumber"/>
        <w:spacing w:after="40"/>
      </w:pPr>
      <w:r>
        <w:t>Deliver one complete vertical slice: chat message → approved knowledge retrieval → grounded answer or handoff → agent resolution → outcome event.</w:t>
      </w:r>
    </w:p>
    <w:p>
      <w:pPr>
        <w:pStyle w:val="ListNumber"/>
        <w:spacing w:after="40"/>
      </w:pPr>
      <w:r>
        <w:t>Only then expand the same domain model to email and voice, rather than creating three independent support systems.</w:t>
      </w:r>
    </w:p>
    <w:p>
      <w:pPr>
        <w:pStyle w:val="Heading1"/>
      </w:pPr>
      <w:r>
        <w:t>Final recommendation</w:t>
      </w:r>
    </w:p>
    <w:p>
      <w:r>
        <w:rPr>
          <w:b/>
        </w:rPr>
        <w:t xml:space="preserve">Build a reliable support workflow first; make the AI replaceable. </w:t>
      </w:r>
      <w:r>
        <w:t>The durable advantage will come from your unified case model, safe tenant-specific automation, high-quality knowledge operations, channel reliability, evaluation data and customer-specific configuration—not from coupling the product to one model or a large collection of microservices.</w:t>
      </w:r>
    </w:p>
    <w:p>
      <w:pPr>
        <w:pStyle w:val="SmallNote"/>
      </w:pPr>
      <w:r>
        <w:t>This is a reference architecture, not a security certification or a final cloud deployment design. Confirm actual data residency, privacy obligations, telephony requirements, expected concurrency, recovery objectives and provider contracts before production launch.</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A"/>
        <w:sz w:val="16"/>
      </w:rPr>
      <w:t>AI Customer Support Platform | Software Architecture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02B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4233B"/>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46BF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1A6A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4233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E6B7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